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FCD3CB">
      <w:pPr>
        <w:jc w:val="center"/>
        <w:rPr>
          <w:color w:val="auto"/>
          <w:kern w:val="24"/>
          <w:sz w:val="44"/>
          <w:szCs w:val="44"/>
        </w:rPr>
      </w:pPr>
    </w:p>
    <w:p w14:paraId="0650E524">
      <w:pPr>
        <w:jc w:val="center"/>
        <w:outlineLvl w:val="0"/>
        <w:rPr>
          <w:rFonts w:hint="eastAsia"/>
          <w:b/>
          <w:bCs/>
          <w:color w:val="auto"/>
          <w:kern w:val="24"/>
          <w:sz w:val="52"/>
          <w:szCs w:val="52"/>
        </w:rPr>
      </w:pPr>
      <w:r>
        <w:rPr>
          <w:rFonts w:hint="eastAsia"/>
          <w:b/>
          <w:bCs/>
          <w:color w:val="auto"/>
          <w:kern w:val="24"/>
          <w:sz w:val="52"/>
          <w:szCs w:val="52"/>
        </w:rPr>
        <w:t>安徽瑞瑟科金属材料有限公司年产5.05万吨再生铝建设项目</w:t>
      </w:r>
    </w:p>
    <w:p w14:paraId="3855D0A3">
      <w:pPr>
        <w:jc w:val="center"/>
        <w:outlineLvl w:val="0"/>
        <w:rPr>
          <w:b/>
          <w:bCs/>
          <w:color w:val="auto"/>
          <w:kern w:val="24"/>
          <w:sz w:val="52"/>
          <w:szCs w:val="52"/>
        </w:rPr>
      </w:pPr>
      <w:r>
        <w:rPr>
          <w:rFonts w:hint="eastAsia"/>
          <w:b/>
          <w:bCs/>
          <w:color w:val="auto"/>
          <w:kern w:val="24"/>
          <w:sz w:val="52"/>
          <w:szCs w:val="52"/>
        </w:rPr>
        <w:t>环境影响后评价报告</w:t>
      </w:r>
    </w:p>
    <w:p w14:paraId="4F31D868">
      <w:pPr>
        <w:jc w:val="center"/>
        <w:rPr>
          <w:color w:val="auto"/>
          <w:kern w:val="24"/>
          <w:sz w:val="48"/>
          <w:szCs w:val="48"/>
        </w:rPr>
      </w:pPr>
    </w:p>
    <w:p w14:paraId="4647DA6F">
      <w:pPr>
        <w:jc w:val="center"/>
        <w:rPr>
          <w:color w:val="auto"/>
          <w:kern w:val="24"/>
          <w:sz w:val="48"/>
          <w:szCs w:val="48"/>
        </w:rPr>
      </w:pPr>
    </w:p>
    <w:p w14:paraId="4D93A732">
      <w:pPr>
        <w:jc w:val="center"/>
        <w:rPr>
          <w:color w:val="auto"/>
          <w:kern w:val="24"/>
          <w:sz w:val="48"/>
          <w:szCs w:val="48"/>
        </w:rPr>
      </w:pPr>
    </w:p>
    <w:p w14:paraId="3481FEF5">
      <w:pPr>
        <w:jc w:val="center"/>
        <w:rPr>
          <w:color w:val="auto"/>
          <w:kern w:val="24"/>
          <w:sz w:val="48"/>
          <w:szCs w:val="48"/>
        </w:rPr>
      </w:pPr>
    </w:p>
    <w:p w14:paraId="7A1ED604">
      <w:pPr>
        <w:jc w:val="center"/>
        <w:rPr>
          <w:color w:val="auto"/>
          <w:kern w:val="24"/>
          <w:sz w:val="48"/>
          <w:szCs w:val="48"/>
        </w:rPr>
      </w:pPr>
    </w:p>
    <w:p w14:paraId="684FC5DF">
      <w:pPr>
        <w:jc w:val="center"/>
        <w:rPr>
          <w:color w:val="auto"/>
          <w:kern w:val="24"/>
          <w:sz w:val="48"/>
          <w:szCs w:val="48"/>
        </w:rPr>
      </w:pPr>
    </w:p>
    <w:p w14:paraId="5766EB34">
      <w:pPr>
        <w:jc w:val="center"/>
        <w:rPr>
          <w:color w:val="auto"/>
          <w:kern w:val="24"/>
          <w:sz w:val="48"/>
          <w:szCs w:val="48"/>
        </w:rPr>
      </w:pPr>
    </w:p>
    <w:p w14:paraId="225A1903">
      <w:pPr>
        <w:jc w:val="center"/>
        <w:rPr>
          <w:color w:val="auto"/>
          <w:kern w:val="24"/>
          <w:sz w:val="48"/>
          <w:szCs w:val="48"/>
        </w:rPr>
      </w:pPr>
    </w:p>
    <w:p w14:paraId="3B04F97B">
      <w:pPr>
        <w:keepNext w:val="0"/>
        <w:keepLines w:val="0"/>
        <w:pageBreakBefore w:val="0"/>
        <w:widowControl w:val="0"/>
        <w:kinsoku/>
        <w:wordWrap/>
        <w:overflowPunct/>
        <w:topLinePunct w:val="0"/>
        <w:autoSpaceDE/>
        <w:autoSpaceDN/>
        <w:bidi w:val="0"/>
        <w:adjustRightInd/>
        <w:snapToGrid/>
        <w:jc w:val="center"/>
        <w:textAlignment w:val="auto"/>
        <w:rPr>
          <w:color w:val="auto"/>
          <w:kern w:val="24"/>
          <w:sz w:val="32"/>
          <w:szCs w:val="32"/>
        </w:rPr>
      </w:pPr>
    </w:p>
    <w:p w14:paraId="1C3CBF95">
      <w:pPr>
        <w:keepNext w:val="0"/>
        <w:keepLines w:val="0"/>
        <w:pageBreakBefore w:val="0"/>
        <w:widowControl w:val="0"/>
        <w:kinsoku/>
        <w:wordWrap/>
        <w:overflowPunct/>
        <w:topLinePunct w:val="0"/>
        <w:autoSpaceDE/>
        <w:autoSpaceDN/>
        <w:bidi w:val="0"/>
        <w:adjustRightInd/>
        <w:snapToGrid/>
        <w:jc w:val="center"/>
        <w:textAlignment w:val="auto"/>
        <w:rPr>
          <w:color w:val="auto"/>
          <w:kern w:val="24"/>
          <w:sz w:val="32"/>
          <w:szCs w:val="32"/>
        </w:rPr>
      </w:pPr>
    </w:p>
    <w:p w14:paraId="091EA7CB">
      <w:pPr>
        <w:keepNext w:val="0"/>
        <w:keepLines w:val="0"/>
        <w:pageBreakBefore w:val="0"/>
        <w:widowControl w:val="0"/>
        <w:kinsoku/>
        <w:wordWrap/>
        <w:overflowPunct/>
        <w:topLinePunct w:val="0"/>
        <w:autoSpaceDE/>
        <w:autoSpaceDN/>
        <w:bidi w:val="0"/>
        <w:adjustRightInd/>
        <w:snapToGrid/>
        <w:jc w:val="center"/>
        <w:textAlignment w:val="auto"/>
        <w:rPr>
          <w:color w:val="auto"/>
          <w:kern w:val="24"/>
          <w:sz w:val="32"/>
          <w:szCs w:val="32"/>
        </w:rPr>
      </w:pPr>
    </w:p>
    <w:p w14:paraId="1C70728A">
      <w:pPr>
        <w:keepNext w:val="0"/>
        <w:keepLines w:val="0"/>
        <w:pageBreakBefore w:val="0"/>
        <w:widowControl w:val="0"/>
        <w:kinsoku/>
        <w:wordWrap/>
        <w:overflowPunct/>
        <w:topLinePunct w:val="0"/>
        <w:autoSpaceDE/>
        <w:autoSpaceDN/>
        <w:bidi w:val="0"/>
        <w:adjustRightInd/>
        <w:snapToGrid/>
        <w:jc w:val="center"/>
        <w:textAlignment w:val="auto"/>
        <w:rPr>
          <w:color w:val="auto"/>
          <w:kern w:val="24"/>
          <w:sz w:val="32"/>
          <w:szCs w:val="32"/>
        </w:rPr>
      </w:pPr>
    </w:p>
    <w:p w14:paraId="757E49E0">
      <w:pPr>
        <w:keepNext w:val="0"/>
        <w:keepLines w:val="0"/>
        <w:pageBreakBefore w:val="0"/>
        <w:widowControl w:val="0"/>
        <w:kinsoku/>
        <w:wordWrap/>
        <w:overflowPunct/>
        <w:topLinePunct w:val="0"/>
        <w:autoSpaceDE/>
        <w:autoSpaceDN/>
        <w:bidi w:val="0"/>
        <w:adjustRightInd/>
        <w:snapToGrid/>
        <w:jc w:val="center"/>
        <w:textAlignment w:val="auto"/>
        <w:rPr>
          <w:color w:val="auto"/>
          <w:kern w:val="24"/>
          <w:sz w:val="32"/>
          <w:szCs w:val="32"/>
        </w:rPr>
      </w:pPr>
      <w:r>
        <w:rPr>
          <w:color w:val="auto"/>
          <w:kern w:val="24"/>
          <w:sz w:val="32"/>
          <w:szCs w:val="32"/>
        </w:rPr>
        <w:t>建设单位：</w:t>
      </w:r>
      <w:r>
        <w:rPr>
          <w:rFonts w:hint="eastAsia"/>
          <w:color w:val="auto"/>
          <w:kern w:val="24"/>
          <w:sz w:val="32"/>
          <w:szCs w:val="32"/>
        </w:rPr>
        <w:t>安徽瑞瑟科金属材料有限公司</w:t>
      </w:r>
    </w:p>
    <w:p w14:paraId="08E502A6">
      <w:pPr>
        <w:keepNext w:val="0"/>
        <w:keepLines w:val="0"/>
        <w:pageBreakBefore w:val="0"/>
        <w:widowControl w:val="0"/>
        <w:kinsoku/>
        <w:wordWrap/>
        <w:overflowPunct/>
        <w:topLinePunct w:val="0"/>
        <w:autoSpaceDE/>
        <w:autoSpaceDN/>
        <w:bidi w:val="0"/>
        <w:adjustRightInd/>
        <w:snapToGrid/>
        <w:jc w:val="center"/>
        <w:textAlignment w:val="auto"/>
        <w:rPr>
          <w:color w:val="auto"/>
          <w:kern w:val="24"/>
          <w:sz w:val="32"/>
          <w:szCs w:val="32"/>
        </w:rPr>
      </w:pPr>
      <w:r>
        <w:rPr>
          <w:color w:val="auto"/>
          <w:spacing w:val="11"/>
          <w:kern w:val="24"/>
          <w:position w:val="0"/>
          <w:sz w:val="32"/>
          <w:szCs w:val="32"/>
        </w:rPr>
        <w:t>编制单位：安徽善宇环保科技有限公司</w:t>
      </w:r>
    </w:p>
    <w:p w14:paraId="1AA36409">
      <w:pPr>
        <w:jc w:val="center"/>
        <w:rPr>
          <w:b/>
          <w:bCs/>
          <w:color w:val="auto"/>
          <w:kern w:val="24"/>
          <w:sz w:val="32"/>
          <w:szCs w:val="32"/>
        </w:rPr>
        <w:sectPr>
          <w:headerReference r:id="rId5" w:type="first"/>
          <w:headerReference r:id="rId3" w:type="default"/>
          <w:footerReference r:id="rId6" w:type="default"/>
          <w:headerReference r:id="rId4" w:type="even"/>
          <w:footerReference r:id="rId7" w:type="even"/>
          <w:pgSz w:w="11906" w:h="16838"/>
          <w:pgMar w:top="1440" w:right="1080" w:bottom="1440" w:left="1080" w:header="1020" w:footer="992" w:gutter="0"/>
          <w:pgBorders>
            <w:top w:val="none" w:sz="0" w:space="0"/>
            <w:left w:val="none" w:sz="0" w:space="0"/>
            <w:bottom w:val="none" w:sz="0" w:space="0"/>
            <w:right w:val="none" w:sz="0" w:space="0"/>
          </w:pgBorders>
          <w:pgNumType w:fmt="numberInDash" w:start="1"/>
          <w:cols w:space="0" w:num="1"/>
          <w:docGrid w:type="lines" w:linePitch="304" w:charSpace="0"/>
        </w:sectPr>
      </w:pPr>
      <w:r>
        <w:rPr>
          <w:b/>
          <w:bCs/>
          <w:color w:val="auto"/>
          <w:kern w:val="24"/>
          <w:sz w:val="32"/>
          <w:szCs w:val="32"/>
        </w:rPr>
        <w:t>二〇二</w:t>
      </w:r>
      <w:r>
        <w:rPr>
          <w:rFonts w:hint="eastAsia"/>
          <w:b/>
          <w:bCs/>
          <w:color w:val="auto"/>
          <w:kern w:val="24"/>
          <w:sz w:val="32"/>
          <w:szCs w:val="32"/>
          <w:lang w:val="en-US" w:eastAsia="zh-CN"/>
        </w:rPr>
        <w:t>六</w:t>
      </w:r>
      <w:r>
        <w:rPr>
          <w:b/>
          <w:bCs/>
          <w:color w:val="auto"/>
          <w:kern w:val="24"/>
          <w:sz w:val="32"/>
          <w:szCs w:val="32"/>
        </w:rPr>
        <w:t>年</w:t>
      </w:r>
      <w:r>
        <w:rPr>
          <w:rFonts w:hint="eastAsia"/>
          <w:b/>
          <w:bCs/>
          <w:color w:val="auto"/>
          <w:kern w:val="24"/>
          <w:sz w:val="32"/>
          <w:szCs w:val="32"/>
          <w:lang w:val="en-US" w:eastAsia="zh-CN"/>
        </w:rPr>
        <w:t>三</w:t>
      </w:r>
      <w:r>
        <w:rPr>
          <w:b/>
          <w:bCs/>
          <w:color w:val="auto"/>
          <w:kern w:val="24"/>
          <w:sz w:val="32"/>
          <w:szCs w:val="32"/>
        </w:rPr>
        <w:t>月</w:t>
      </w:r>
    </w:p>
    <w:sdt>
      <w:sdtPr>
        <w:rPr>
          <w:rFonts w:ascii="宋体" w:hAnsi="宋体" w:eastAsia="宋体" w:cs="Times New Roman"/>
          <w:color w:val="auto"/>
          <w:kern w:val="2"/>
          <w:sz w:val="21"/>
          <w:szCs w:val="24"/>
          <w:lang w:val="en-US" w:eastAsia="zh-CN" w:bidi="ar-SA"/>
        </w:rPr>
        <w:id w:val="147476454"/>
        <w15:color w:val="DBDBDB"/>
        <w:docPartObj>
          <w:docPartGallery w:val="Table of Contents"/>
          <w:docPartUnique/>
        </w:docPartObj>
      </w:sdtPr>
      <w:sdtEndPr>
        <w:rPr>
          <w:rFonts w:ascii="Times New Roman" w:hAnsi="Times New Roman" w:eastAsia="宋体" w:cs="Times New Roman"/>
          <w:bCs/>
          <w:color w:val="auto"/>
          <w:kern w:val="2"/>
          <w:sz w:val="21"/>
          <w:szCs w:val="36"/>
          <w:lang w:val="en-US" w:eastAsia="zh-CN" w:bidi="ar-SA"/>
        </w:rPr>
      </w:sdtEndPr>
      <w:sdtContent>
        <w:p w14:paraId="5D7281D3">
          <w:pPr>
            <w:spacing w:before="0" w:beforeLines="0" w:after="0" w:afterLines="0" w:line="240" w:lineRule="auto"/>
            <w:ind w:left="0" w:leftChars="0" w:right="0" w:rightChars="0" w:firstLine="0" w:firstLineChars="0"/>
            <w:jc w:val="center"/>
            <w:rPr>
              <w:color w:val="auto"/>
            </w:rPr>
          </w:pPr>
          <w:r>
            <w:rPr>
              <w:rFonts w:ascii="宋体" w:hAnsi="宋体" w:eastAsia="宋体"/>
              <w:b/>
              <w:bCs/>
              <w:color w:val="auto"/>
              <w:sz w:val="22"/>
              <w:szCs w:val="28"/>
            </w:rPr>
            <w:t>目录</w:t>
          </w:r>
        </w:p>
        <w:p w14:paraId="68E3F1C2">
          <w:pPr>
            <w:pStyle w:val="23"/>
            <w:tabs>
              <w:tab w:val="right" w:leader="dot" w:pos="9746"/>
            </w:tabs>
            <w:rPr>
              <w:color w:val="auto"/>
            </w:rPr>
          </w:pPr>
          <w:r>
            <w:rPr>
              <w:bCs/>
              <w:color w:val="auto"/>
              <w:szCs w:val="36"/>
            </w:rPr>
            <w:fldChar w:fldCharType="begin"/>
          </w:r>
          <w:r>
            <w:rPr>
              <w:bCs/>
              <w:color w:val="auto"/>
              <w:szCs w:val="36"/>
            </w:rPr>
            <w:instrText xml:space="preserve">TOC \o "1-2" \h \u </w:instrText>
          </w:r>
          <w:r>
            <w:rPr>
              <w:bCs/>
              <w:color w:val="auto"/>
              <w:szCs w:val="36"/>
            </w:rPr>
            <w:fldChar w:fldCharType="separate"/>
          </w:r>
        </w:p>
        <w:p w14:paraId="0A4020D0">
          <w:pPr>
            <w:pStyle w:val="23"/>
            <w:tabs>
              <w:tab w:val="right" w:leader="dot" w:pos="9746"/>
            </w:tabs>
            <w:spacing w:line="240" w:lineRule="auto"/>
            <w:rPr>
              <w:rFonts w:hint="default" w:ascii="Times New Roman" w:hAnsi="Times New Roman" w:eastAsia="宋体" w:cs="Times New Roman"/>
              <w:b/>
              <w:bCs w:val="0"/>
              <w:color w:val="auto"/>
              <w:sz w:val="22"/>
              <w:szCs w:val="22"/>
            </w:rPr>
          </w:pPr>
          <w:r>
            <w:rPr>
              <w:rFonts w:hint="default" w:ascii="Times New Roman" w:hAnsi="Times New Roman" w:eastAsia="宋体" w:cs="Times New Roman"/>
              <w:b/>
              <w:bCs w:val="0"/>
              <w:color w:val="auto"/>
              <w:sz w:val="22"/>
              <w:szCs w:val="40"/>
            </w:rPr>
            <w:fldChar w:fldCharType="begin"/>
          </w:r>
          <w:r>
            <w:rPr>
              <w:rFonts w:hint="default" w:ascii="Times New Roman" w:hAnsi="Times New Roman" w:eastAsia="宋体" w:cs="Times New Roman"/>
              <w:b/>
              <w:bCs w:val="0"/>
              <w:color w:val="auto"/>
              <w:sz w:val="22"/>
              <w:szCs w:val="40"/>
            </w:rPr>
            <w:instrText xml:space="preserve"> HYPERLINK \l _Toc11769 </w:instrText>
          </w:r>
          <w:r>
            <w:rPr>
              <w:rFonts w:hint="default" w:ascii="Times New Roman" w:hAnsi="Times New Roman" w:eastAsia="宋体" w:cs="Times New Roman"/>
              <w:b/>
              <w:bCs w:val="0"/>
              <w:color w:val="auto"/>
              <w:sz w:val="22"/>
              <w:szCs w:val="40"/>
            </w:rPr>
            <w:fldChar w:fldCharType="separate"/>
          </w:r>
          <w:r>
            <w:rPr>
              <w:rFonts w:hint="default" w:ascii="Times New Roman" w:hAnsi="Times New Roman" w:eastAsia="宋体" w:cs="Times New Roman"/>
              <w:b/>
              <w:bCs w:val="0"/>
              <w:color w:val="auto"/>
              <w:sz w:val="22"/>
              <w:szCs w:val="44"/>
            </w:rPr>
            <w:t>1 总论</w:t>
          </w:r>
          <w:r>
            <w:rPr>
              <w:rFonts w:hint="default" w:ascii="Times New Roman" w:hAnsi="Times New Roman" w:eastAsia="宋体" w:cs="Times New Roman"/>
              <w:b/>
              <w:bCs w:val="0"/>
              <w:color w:val="auto"/>
              <w:sz w:val="22"/>
              <w:szCs w:val="22"/>
            </w:rPr>
            <w:tab/>
          </w:r>
          <w:r>
            <w:rPr>
              <w:rFonts w:hint="default" w:ascii="Times New Roman" w:hAnsi="Times New Roman" w:eastAsia="宋体" w:cs="Times New Roman"/>
              <w:b/>
              <w:bCs w:val="0"/>
              <w:color w:val="auto"/>
              <w:sz w:val="22"/>
              <w:szCs w:val="22"/>
            </w:rPr>
            <w:fldChar w:fldCharType="begin"/>
          </w:r>
          <w:r>
            <w:rPr>
              <w:rFonts w:hint="default" w:ascii="Times New Roman" w:hAnsi="Times New Roman" w:eastAsia="宋体" w:cs="Times New Roman"/>
              <w:b/>
              <w:bCs w:val="0"/>
              <w:color w:val="auto"/>
              <w:sz w:val="22"/>
              <w:szCs w:val="22"/>
            </w:rPr>
            <w:instrText xml:space="preserve"> PAGEREF _Toc11769 \h </w:instrText>
          </w:r>
          <w:r>
            <w:rPr>
              <w:rFonts w:hint="default" w:ascii="Times New Roman" w:hAnsi="Times New Roman" w:eastAsia="宋体" w:cs="Times New Roman"/>
              <w:b/>
              <w:bCs w:val="0"/>
              <w:color w:val="auto"/>
              <w:sz w:val="22"/>
              <w:szCs w:val="22"/>
            </w:rPr>
            <w:fldChar w:fldCharType="separate"/>
          </w:r>
          <w:r>
            <w:rPr>
              <w:rFonts w:hint="default" w:ascii="Times New Roman" w:hAnsi="Times New Roman" w:eastAsia="宋体" w:cs="Times New Roman"/>
              <w:b/>
              <w:bCs w:val="0"/>
              <w:color w:val="auto"/>
              <w:sz w:val="22"/>
              <w:szCs w:val="22"/>
            </w:rPr>
            <w:t>- 1 -</w:t>
          </w:r>
          <w:r>
            <w:rPr>
              <w:rFonts w:hint="default" w:ascii="Times New Roman" w:hAnsi="Times New Roman" w:eastAsia="宋体" w:cs="Times New Roman"/>
              <w:b/>
              <w:bCs w:val="0"/>
              <w:color w:val="auto"/>
              <w:sz w:val="22"/>
              <w:szCs w:val="22"/>
            </w:rPr>
            <w:fldChar w:fldCharType="end"/>
          </w:r>
          <w:r>
            <w:rPr>
              <w:rFonts w:hint="default" w:ascii="Times New Roman" w:hAnsi="Times New Roman" w:eastAsia="宋体" w:cs="Times New Roman"/>
              <w:b/>
              <w:bCs w:val="0"/>
              <w:color w:val="auto"/>
              <w:sz w:val="22"/>
              <w:szCs w:val="40"/>
            </w:rPr>
            <w:fldChar w:fldCharType="end"/>
          </w:r>
        </w:p>
        <w:p w14:paraId="5E3E7510">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_Toc12615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1.1任务由来</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_Toc12615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35F7BB6A">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_Toc26544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1.2 评价目的</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_Toc26544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- 2 -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3FD355D">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_Toc30057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1.3评价内容</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_Toc30057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- 5 -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13D5230E">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_Toc9104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1.4评价重点</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_Toc9104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- 6 -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7B184ED4">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_Toc5271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1.5 评价因子</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_Toc5271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- 7 -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FC24A6B">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_Toc2750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1.6 评价标准</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_Toc2750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- 7 -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4BF57ECB">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_Toc22910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1.7政策与规划相符性</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_Toc22910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- 16 -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31DA604B">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_Toc4511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1.8 环境保护目标</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_Toc4511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- 22 -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3135EA6">
          <w:pPr>
            <w:pStyle w:val="23"/>
            <w:tabs>
              <w:tab w:val="right" w:leader="dot" w:pos="9746"/>
            </w:tabs>
            <w:spacing w:line="240" w:lineRule="auto"/>
            <w:rPr>
              <w:rFonts w:hint="default" w:ascii="Times New Roman" w:hAnsi="Times New Roman" w:eastAsia="宋体" w:cs="Times New Roman"/>
              <w:color w:val="auto"/>
              <w:sz w:val="22"/>
              <w:szCs w:val="22"/>
            </w:rPr>
          </w:pPr>
          <w:r>
            <w:rPr>
              <w:rFonts w:hint="default" w:ascii="Times New Roman" w:hAnsi="Times New Roman" w:eastAsia="宋体" w:cs="Times New Roman"/>
              <w:b/>
              <w:bCs w:val="0"/>
              <w:color w:val="auto"/>
              <w:sz w:val="22"/>
              <w:szCs w:val="40"/>
            </w:rPr>
            <w:fldChar w:fldCharType="begin"/>
          </w:r>
          <w:r>
            <w:rPr>
              <w:rFonts w:hint="default" w:ascii="Times New Roman" w:hAnsi="Times New Roman" w:eastAsia="宋体" w:cs="Times New Roman"/>
              <w:b/>
              <w:bCs w:val="0"/>
              <w:color w:val="auto"/>
              <w:sz w:val="22"/>
              <w:szCs w:val="40"/>
            </w:rPr>
            <w:instrText xml:space="preserve"> HYPERLINK \l _Toc32099 </w:instrText>
          </w:r>
          <w:r>
            <w:rPr>
              <w:rFonts w:hint="default" w:ascii="Times New Roman" w:hAnsi="Times New Roman" w:eastAsia="宋体" w:cs="Times New Roman"/>
              <w:b/>
              <w:bCs w:val="0"/>
              <w:color w:val="auto"/>
              <w:sz w:val="22"/>
              <w:szCs w:val="40"/>
            </w:rPr>
            <w:fldChar w:fldCharType="separate"/>
          </w:r>
          <w:r>
            <w:rPr>
              <w:rFonts w:hint="default" w:ascii="Times New Roman" w:hAnsi="Times New Roman" w:eastAsia="宋体" w:cs="Times New Roman"/>
              <w:b/>
              <w:bCs w:val="0"/>
              <w:color w:val="auto"/>
              <w:sz w:val="22"/>
              <w:szCs w:val="44"/>
            </w:rPr>
            <w:t>2 建设项目</w:t>
          </w:r>
          <w:r>
            <w:rPr>
              <w:rFonts w:hint="default" w:ascii="Times New Roman" w:hAnsi="Times New Roman" w:eastAsia="宋体" w:cs="Times New Roman"/>
              <w:b/>
              <w:bCs w:val="0"/>
              <w:color w:val="auto"/>
              <w:sz w:val="22"/>
              <w:szCs w:val="44"/>
              <w:lang w:val="en-US" w:eastAsia="zh-CN"/>
            </w:rPr>
            <w:t>过程</w:t>
          </w:r>
          <w:r>
            <w:rPr>
              <w:rFonts w:hint="default" w:ascii="Times New Roman" w:hAnsi="Times New Roman" w:eastAsia="宋体" w:cs="Times New Roman"/>
              <w:b/>
              <w:bCs w:val="0"/>
              <w:color w:val="auto"/>
              <w:sz w:val="22"/>
              <w:szCs w:val="44"/>
            </w:rPr>
            <w:t>回顾</w:t>
          </w:r>
          <w:r>
            <w:rPr>
              <w:rFonts w:hint="default" w:ascii="Times New Roman" w:hAnsi="Times New Roman" w:eastAsia="宋体" w:cs="Times New Roman"/>
              <w:b/>
              <w:bCs w:val="0"/>
              <w:color w:val="auto"/>
              <w:sz w:val="22"/>
              <w:szCs w:val="22"/>
            </w:rPr>
            <w:tab/>
          </w:r>
          <w:r>
            <w:rPr>
              <w:rFonts w:hint="default" w:ascii="Times New Roman" w:hAnsi="Times New Roman" w:eastAsia="宋体" w:cs="Times New Roman"/>
              <w:b/>
              <w:bCs w:val="0"/>
              <w:color w:val="auto"/>
              <w:sz w:val="22"/>
              <w:szCs w:val="22"/>
            </w:rPr>
            <w:fldChar w:fldCharType="begin"/>
          </w:r>
          <w:r>
            <w:rPr>
              <w:rFonts w:hint="default" w:ascii="Times New Roman" w:hAnsi="Times New Roman" w:eastAsia="宋体" w:cs="Times New Roman"/>
              <w:b/>
              <w:bCs w:val="0"/>
              <w:color w:val="auto"/>
              <w:sz w:val="22"/>
              <w:szCs w:val="22"/>
            </w:rPr>
            <w:instrText xml:space="preserve"> PAGEREF _Toc32099 \h </w:instrText>
          </w:r>
          <w:r>
            <w:rPr>
              <w:rFonts w:hint="default" w:ascii="Times New Roman" w:hAnsi="Times New Roman" w:eastAsia="宋体" w:cs="Times New Roman"/>
              <w:b/>
              <w:bCs w:val="0"/>
              <w:color w:val="auto"/>
              <w:sz w:val="22"/>
              <w:szCs w:val="22"/>
            </w:rPr>
            <w:fldChar w:fldCharType="separate"/>
          </w:r>
          <w:r>
            <w:rPr>
              <w:rFonts w:hint="default" w:ascii="Times New Roman" w:hAnsi="Times New Roman" w:eastAsia="宋体" w:cs="Times New Roman"/>
              <w:b/>
              <w:bCs w:val="0"/>
              <w:color w:val="auto"/>
              <w:sz w:val="22"/>
              <w:szCs w:val="22"/>
            </w:rPr>
            <w:t>- 25 -</w:t>
          </w:r>
          <w:r>
            <w:rPr>
              <w:rFonts w:hint="default" w:ascii="Times New Roman" w:hAnsi="Times New Roman" w:eastAsia="宋体" w:cs="Times New Roman"/>
              <w:b/>
              <w:bCs w:val="0"/>
              <w:color w:val="auto"/>
              <w:sz w:val="22"/>
              <w:szCs w:val="22"/>
            </w:rPr>
            <w:fldChar w:fldCharType="end"/>
          </w:r>
          <w:r>
            <w:rPr>
              <w:rFonts w:hint="default" w:ascii="Times New Roman" w:hAnsi="Times New Roman" w:eastAsia="宋体" w:cs="Times New Roman"/>
              <w:b/>
              <w:bCs w:val="0"/>
              <w:color w:val="auto"/>
              <w:sz w:val="22"/>
              <w:szCs w:val="40"/>
            </w:rPr>
            <w:fldChar w:fldCharType="end"/>
          </w:r>
        </w:p>
        <w:p w14:paraId="216DD886">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_Toc12048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 xml:space="preserve">2.1 </w:t>
          </w:r>
          <w:r>
            <w:rPr>
              <w:rFonts w:hint="default" w:ascii="Times New Roman" w:hAnsi="Times New Roman" w:eastAsia="宋体" w:cs="Times New Roman"/>
              <w:bCs/>
              <w:color w:val="auto"/>
              <w:sz w:val="22"/>
              <w:szCs w:val="40"/>
              <w:lang w:val="en-US" w:eastAsia="zh-CN"/>
            </w:rPr>
            <w:t>环保手续履行情况</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_Toc12048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- 25 -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546443C1">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_Toc27021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2.</w:t>
          </w:r>
          <w:r>
            <w:rPr>
              <w:rFonts w:hint="default" w:ascii="Times New Roman" w:hAnsi="Times New Roman" w:eastAsia="宋体" w:cs="Times New Roman"/>
              <w:bCs/>
              <w:color w:val="auto"/>
              <w:sz w:val="22"/>
              <w:szCs w:val="40"/>
              <w:lang w:val="en-US" w:eastAsia="zh-CN"/>
            </w:rPr>
            <w:t>2</w:t>
          </w:r>
          <w:r>
            <w:rPr>
              <w:rFonts w:hint="default" w:ascii="Times New Roman" w:hAnsi="Times New Roman" w:eastAsia="宋体" w:cs="Times New Roman"/>
              <w:bCs/>
              <w:color w:val="auto"/>
              <w:sz w:val="22"/>
              <w:szCs w:val="40"/>
            </w:rPr>
            <w:t xml:space="preserve"> 环评批复及环保措施落实情况</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_Toc27021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- 26 -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9A1FEC1">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_Toc54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2.</w:t>
          </w:r>
          <w:r>
            <w:rPr>
              <w:rFonts w:hint="default" w:ascii="Times New Roman" w:hAnsi="Times New Roman" w:eastAsia="宋体" w:cs="Times New Roman"/>
              <w:bCs/>
              <w:color w:val="auto"/>
              <w:sz w:val="22"/>
              <w:szCs w:val="40"/>
              <w:lang w:val="en-US" w:eastAsia="zh-CN"/>
            </w:rPr>
            <w:t>3</w:t>
          </w:r>
          <w:r>
            <w:rPr>
              <w:rFonts w:hint="default" w:ascii="Times New Roman" w:hAnsi="Times New Roman" w:eastAsia="宋体" w:cs="Times New Roman"/>
              <w:bCs/>
              <w:color w:val="auto"/>
              <w:sz w:val="22"/>
              <w:szCs w:val="40"/>
            </w:rPr>
            <w:t xml:space="preserve"> 环境监测情况回顾</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_Toc54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- 27 -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2EE73E57">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_Toc3022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2.</w:t>
          </w:r>
          <w:r>
            <w:rPr>
              <w:rFonts w:hint="default" w:ascii="Times New Roman" w:hAnsi="Times New Roman" w:eastAsia="宋体" w:cs="Times New Roman"/>
              <w:bCs/>
              <w:color w:val="auto"/>
              <w:sz w:val="22"/>
              <w:szCs w:val="40"/>
              <w:lang w:val="en-US" w:eastAsia="zh-CN"/>
            </w:rPr>
            <w:t>4</w:t>
          </w:r>
          <w:r>
            <w:rPr>
              <w:rFonts w:hint="default" w:ascii="Times New Roman" w:hAnsi="Times New Roman" w:eastAsia="宋体" w:cs="Times New Roman"/>
              <w:bCs/>
              <w:color w:val="auto"/>
              <w:sz w:val="22"/>
              <w:szCs w:val="40"/>
            </w:rPr>
            <w:t xml:space="preserve"> 公众意见收集调查回顾</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_Toc3022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- 38 -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59A20BD4">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_Toc21635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2.</w:t>
          </w:r>
          <w:r>
            <w:rPr>
              <w:rFonts w:hint="default" w:ascii="Times New Roman" w:hAnsi="Times New Roman" w:eastAsia="宋体" w:cs="Times New Roman"/>
              <w:bCs/>
              <w:color w:val="auto"/>
              <w:sz w:val="22"/>
              <w:szCs w:val="40"/>
              <w:lang w:val="en-US" w:eastAsia="zh-CN"/>
            </w:rPr>
            <w:t>5</w:t>
          </w:r>
          <w:r>
            <w:rPr>
              <w:rFonts w:hint="default" w:ascii="Times New Roman" w:hAnsi="Times New Roman" w:eastAsia="宋体" w:cs="Times New Roman"/>
              <w:bCs/>
              <w:color w:val="auto"/>
              <w:sz w:val="22"/>
              <w:szCs w:val="40"/>
            </w:rPr>
            <w:t xml:space="preserve"> 项目运营期环境污染事故、投诉、处罚等调查</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_Toc21635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- 38 -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67647B6">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_Toc26971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2.</w:t>
          </w:r>
          <w:r>
            <w:rPr>
              <w:rFonts w:hint="default" w:ascii="Times New Roman" w:hAnsi="Times New Roman" w:eastAsia="宋体" w:cs="Times New Roman"/>
              <w:bCs/>
              <w:color w:val="auto"/>
              <w:sz w:val="22"/>
              <w:szCs w:val="40"/>
              <w:lang w:val="en-US" w:eastAsia="zh-CN"/>
            </w:rPr>
            <w:t>6</w:t>
          </w:r>
          <w:r>
            <w:rPr>
              <w:rFonts w:hint="default" w:ascii="Times New Roman" w:hAnsi="Times New Roman" w:eastAsia="宋体" w:cs="Times New Roman"/>
              <w:bCs/>
              <w:color w:val="auto"/>
              <w:sz w:val="22"/>
              <w:szCs w:val="40"/>
            </w:rPr>
            <w:t xml:space="preserve"> 项目排污许可证申请和排污许可制度执行情况</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_Toc26971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- 38 -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0BF49CB8">
          <w:pPr>
            <w:pStyle w:val="23"/>
            <w:tabs>
              <w:tab w:val="right" w:leader="dot" w:pos="9746"/>
            </w:tabs>
            <w:spacing w:line="240" w:lineRule="auto"/>
            <w:rPr>
              <w:rFonts w:hint="default" w:ascii="Times New Roman" w:hAnsi="Times New Roman" w:eastAsia="宋体" w:cs="Times New Roman"/>
              <w:color w:val="auto"/>
              <w:sz w:val="22"/>
              <w:szCs w:val="22"/>
            </w:rPr>
          </w:pPr>
          <w:r>
            <w:rPr>
              <w:rFonts w:hint="default" w:ascii="Times New Roman" w:hAnsi="Times New Roman" w:eastAsia="宋体" w:cs="Times New Roman"/>
              <w:b/>
              <w:bCs w:val="0"/>
              <w:color w:val="auto"/>
              <w:sz w:val="22"/>
              <w:szCs w:val="40"/>
            </w:rPr>
            <w:fldChar w:fldCharType="begin"/>
          </w:r>
          <w:r>
            <w:rPr>
              <w:rFonts w:hint="default" w:ascii="Times New Roman" w:hAnsi="Times New Roman" w:eastAsia="宋体" w:cs="Times New Roman"/>
              <w:b/>
              <w:bCs w:val="0"/>
              <w:color w:val="auto"/>
              <w:sz w:val="22"/>
              <w:szCs w:val="40"/>
            </w:rPr>
            <w:instrText xml:space="preserve"> HYPERLINK \l _Toc2462 </w:instrText>
          </w:r>
          <w:r>
            <w:rPr>
              <w:rFonts w:hint="default" w:ascii="Times New Roman" w:hAnsi="Times New Roman" w:eastAsia="宋体" w:cs="Times New Roman"/>
              <w:b/>
              <w:bCs w:val="0"/>
              <w:color w:val="auto"/>
              <w:sz w:val="22"/>
              <w:szCs w:val="40"/>
            </w:rPr>
            <w:fldChar w:fldCharType="separate"/>
          </w:r>
          <w:r>
            <w:rPr>
              <w:rFonts w:hint="default" w:ascii="Times New Roman" w:hAnsi="Times New Roman" w:eastAsia="宋体" w:cs="Times New Roman"/>
              <w:b/>
              <w:bCs w:val="0"/>
              <w:color w:val="auto"/>
              <w:sz w:val="22"/>
              <w:szCs w:val="44"/>
            </w:rPr>
            <w:t>3 建设项目工程评价</w:t>
          </w:r>
          <w:r>
            <w:rPr>
              <w:rFonts w:hint="default" w:ascii="Times New Roman" w:hAnsi="Times New Roman" w:eastAsia="宋体" w:cs="Times New Roman"/>
              <w:b/>
              <w:bCs w:val="0"/>
              <w:color w:val="auto"/>
              <w:sz w:val="22"/>
              <w:szCs w:val="22"/>
            </w:rPr>
            <w:tab/>
          </w:r>
          <w:r>
            <w:rPr>
              <w:rFonts w:hint="default" w:ascii="Times New Roman" w:hAnsi="Times New Roman" w:eastAsia="宋体" w:cs="Times New Roman"/>
              <w:b/>
              <w:bCs w:val="0"/>
              <w:color w:val="auto"/>
              <w:sz w:val="22"/>
              <w:szCs w:val="22"/>
            </w:rPr>
            <w:fldChar w:fldCharType="begin"/>
          </w:r>
          <w:r>
            <w:rPr>
              <w:rFonts w:hint="default" w:ascii="Times New Roman" w:hAnsi="Times New Roman" w:eastAsia="宋体" w:cs="Times New Roman"/>
              <w:b/>
              <w:bCs w:val="0"/>
              <w:color w:val="auto"/>
              <w:sz w:val="22"/>
              <w:szCs w:val="22"/>
            </w:rPr>
            <w:instrText xml:space="preserve"> PAGEREF _Toc2462 \h </w:instrText>
          </w:r>
          <w:r>
            <w:rPr>
              <w:rFonts w:hint="default" w:ascii="Times New Roman" w:hAnsi="Times New Roman" w:eastAsia="宋体" w:cs="Times New Roman"/>
              <w:b/>
              <w:bCs w:val="0"/>
              <w:color w:val="auto"/>
              <w:sz w:val="22"/>
              <w:szCs w:val="22"/>
            </w:rPr>
            <w:fldChar w:fldCharType="separate"/>
          </w:r>
          <w:r>
            <w:rPr>
              <w:rFonts w:hint="default" w:ascii="Times New Roman" w:hAnsi="Times New Roman" w:eastAsia="宋体" w:cs="Times New Roman"/>
              <w:b/>
              <w:bCs w:val="0"/>
              <w:color w:val="auto"/>
              <w:sz w:val="22"/>
              <w:szCs w:val="22"/>
            </w:rPr>
            <w:t>- 40 -</w:t>
          </w:r>
          <w:r>
            <w:rPr>
              <w:rFonts w:hint="default" w:ascii="Times New Roman" w:hAnsi="Times New Roman" w:eastAsia="宋体" w:cs="Times New Roman"/>
              <w:b/>
              <w:bCs w:val="0"/>
              <w:color w:val="auto"/>
              <w:sz w:val="22"/>
              <w:szCs w:val="22"/>
            </w:rPr>
            <w:fldChar w:fldCharType="end"/>
          </w:r>
          <w:r>
            <w:rPr>
              <w:rFonts w:hint="default" w:ascii="Times New Roman" w:hAnsi="Times New Roman" w:eastAsia="宋体" w:cs="Times New Roman"/>
              <w:b/>
              <w:bCs w:val="0"/>
              <w:color w:val="auto"/>
              <w:sz w:val="22"/>
              <w:szCs w:val="40"/>
            </w:rPr>
            <w:fldChar w:fldCharType="end"/>
          </w:r>
        </w:p>
        <w:p w14:paraId="6D0C84DB">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_Toc18789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3.1 工程建设情况</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_Toc18789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- 40 -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15C9A339">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_Toc9996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32"/>
            </w:rPr>
            <w:t>3.3污染源及其治理措施分析</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_Toc9996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- 54 -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16A6BF0D">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_Toc3935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32"/>
              <w:lang w:val="en-US" w:eastAsia="zh-CN"/>
            </w:rPr>
            <w:t>3.4总量可达性分析</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_Toc3935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- 65 -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5F904F1E">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_Toc17377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32"/>
              <w:highlight w:val="none"/>
              <w:lang w:val="en-US" w:eastAsia="zh-CN"/>
            </w:rPr>
            <w:t>3.5现有工程主要存在的问题及后续整改措施</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_Toc17377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- 66 -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0A33619E">
          <w:pPr>
            <w:pStyle w:val="23"/>
            <w:tabs>
              <w:tab w:val="right" w:leader="dot" w:pos="9746"/>
            </w:tabs>
            <w:spacing w:line="240" w:lineRule="auto"/>
            <w:rPr>
              <w:rFonts w:hint="default" w:ascii="Times New Roman" w:hAnsi="Times New Roman" w:eastAsia="宋体" w:cs="Times New Roman"/>
              <w:color w:val="auto"/>
              <w:sz w:val="22"/>
              <w:szCs w:val="22"/>
            </w:rPr>
          </w:pPr>
          <w:r>
            <w:rPr>
              <w:rFonts w:hint="default" w:ascii="Times New Roman" w:hAnsi="Times New Roman" w:eastAsia="宋体" w:cs="Times New Roman"/>
              <w:b/>
              <w:bCs w:val="0"/>
              <w:color w:val="auto"/>
              <w:sz w:val="22"/>
              <w:szCs w:val="40"/>
            </w:rPr>
            <w:fldChar w:fldCharType="begin"/>
          </w:r>
          <w:r>
            <w:rPr>
              <w:rFonts w:hint="default" w:ascii="Times New Roman" w:hAnsi="Times New Roman" w:eastAsia="宋体" w:cs="Times New Roman"/>
              <w:b/>
              <w:bCs w:val="0"/>
              <w:color w:val="auto"/>
              <w:sz w:val="22"/>
              <w:szCs w:val="40"/>
            </w:rPr>
            <w:instrText xml:space="preserve"> HYPERLINK \l _Toc17944 </w:instrText>
          </w:r>
          <w:r>
            <w:rPr>
              <w:rFonts w:hint="default" w:ascii="Times New Roman" w:hAnsi="Times New Roman" w:eastAsia="宋体" w:cs="Times New Roman"/>
              <w:b/>
              <w:bCs w:val="0"/>
              <w:color w:val="auto"/>
              <w:sz w:val="22"/>
              <w:szCs w:val="40"/>
            </w:rPr>
            <w:fldChar w:fldCharType="separate"/>
          </w:r>
          <w:r>
            <w:rPr>
              <w:rFonts w:hint="default" w:ascii="Times New Roman" w:hAnsi="Times New Roman" w:eastAsia="宋体" w:cs="Times New Roman"/>
              <w:b/>
              <w:bCs w:val="0"/>
              <w:color w:val="auto"/>
              <w:sz w:val="22"/>
              <w:szCs w:val="44"/>
            </w:rPr>
            <w:t>4 区域环境变化评价</w:t>
          </w:r>
          <w:r>
            <w:rPr>
              <w:rFonts w:hint="default" w:ascii="Times New Roman" w:hAnsi="Times New Roman" w:eastAsia="宋体" w:cs="Times New Roman"/>
              <w:b/>
              <w:bCs w:val="0"/>
              <w:color w:val="auto"/>
              <w:sz w:val="22"/>
              <w:szCs w:val="22"/>
            </w:rPr>
            <w:tab/>
          </w:r>
          <w:r>
            <w:rPr>
              <w:rFonts w:hint="default" w:ascii="Times New Roman" w:hAnsi="Times New Roman" w:eastAsia="宋体" w:cs="Times New Roman"/>
              <w:b/>
              <w:bCs w:val="0"/>
              <w:color w:val="auto"/>
              <w:sz w:val="22"/>
              <w:szCs w:val="22"/>
            </w:rPr>
            <w:fldChar w:fldCharType="begin"/>
          </w:r>
          <w:r>
            <w:rPr>
              <w:rFonts w:hint="default" w:ascii="Times New Roman" w:hAnsi="Times New Roman" w:eastAsia="宋体" w:cs="Times New Roman"/>
              <w:b/>
              <w:bCs w:val="0"/>
              <w:color w:val="auto"/>
              <w:sz w:val="22"/>
              <w:szCs w:val="22"/>
            </w:rPr>
            <w:instrText xml:space="preserve"> PAGEREF _Toc17944 \h </w:instrText>
          </w:r>
          <w:r>
            <w:rPr>
              <w:rFonts w:hint="default" w:ascii="Times New Roman" w:hAnsi="Times New Roman" w:eastAsia="宋体" w:cs="Times New Roman"/>
              <w:b/>
              <w:bCs w:val="0"/>
              <w:color w:val="auto"/>
              <w:sz w:val="22"/>
              <w:szCs w:val="22"/>
            </w:rPr>
            <w:fldChar w:fldCharType="separate"/>
          </w:r>
          <w:r>
            <w:rPr>
              <w:rFonts w:hint="default" w:ascii="Times New Roman" w:hAnsi="Times New Roman" w:eastAsia="宋体" w:cs="Times New Roman"/>
              <w:b/>
              <w:bCs w:val="0"/>
              <w:color w:val="auto"/>
              <w:sz w:val="22"/>
              <w:szCs w:val="22"/>
            </w:rPr>
            <w:t>- 72 -</w:t>
          </w:r>
          <w:r>
            <w:rPr>
              <w:rFonts w:hint="default" w:ascii="Times New Roman" w:hAnsi="Times New Roman" w:eastAsia="宋体" w:cs="Times New Roman"/>
              <w:b/>
              <w:bCs w:val="0"/>
              <w:color w:val="auto"/>
              <w:sz w:val="22"/>
              <w:szCs w:val="22"/>
            </w:rPr>
            <w:fldChar w:fldCharType="end"/>
          </w:r>
          <w:r>
            <w:rPr>
              <w:rFonts w:hint="default" w:ascii="Times New Roman" w:hAnsi="Times New Roman" w:eastAsia="宋体" w:cs="Times New Roman"/>
              <w:b/>
              <w:bCs w:val="0"/>
              <w:color w:val="auto"/>
              <w:sz w:val="22"/>
              <w:szCs w:val="40"/>
            </w:rPr>
            <w:fldChar w:fldCharType="end"/>
          </w:r>
        </w:p>
        <w:p w14:paraId="065FD0CD">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_Toc13278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4.1周边区域环境敏感目标变化情况</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_Toc13278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- 72 -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320B682">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_Toc32616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4.2污染源或其他影响源变化</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_Toc32616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- 72 -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0FE53A9">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_Toc957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4.3环境质量现状</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_Toc957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- 73 -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06F4806E">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_Toc7249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4.</w:t>
          </w:r>
          <w:r>
            <w:rPr>
              <w:rFonts w:hint="default" w:ascii="Times New Roman" w:hAnsi="Times New Roman" w:eastAsia="宋体" w:cs="Times New Roman"/>
              <w:bCs/>
              <w:color w:val="auto"/>
              <w:sz w:val="22"/>
              <w:szCs w:val="40"/>
              <w:lang w:val="en-US" w:eastAsia="zh-CN"/>
            </w:rPr>
            <w:t>4变化趋势</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_Toc7249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- 89 -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BB8E9EC">
          <w:pPr>
            <w:pStyle w:val="23"/>
            <w:tabs>
              <w:tab w:val="right" w:leader="dot" w:pos="9746"/>
            </w:tabs>
            <w:spacing w:line="240" w:lineRule="auto"/>
            <w:rPr>
              <w:rFonts w:hint="default" w:ascii="Times New Roman" w:hAnsi="Times New Roman" w:eastAsia="宋体" w:cs="Times New Roman"/>
              <w:color w:val="auto"/>
              <w:sz w:val="22"/>
              <w:szCs w:val="22"/>
            </w:rPr>
          </w:pPr>
          <w:r>
            <w:rPr>
              <w:rFonts w:hint="default" w:ascii="Times New Roman" w:hAnsi="Times New Roman" w:eastAsia="宋体" w:cs="Times New Roman"/>
              <w:b/>
              <w:bCs w:val="0"/>
              <w:color w:val="auto"/>
              <w:sz w:val="22"/>
              <w:szCs w:val="40"/>
            </w:rPr>
            <w:fldChar w:fldCharType="begin"/>
          </w:r>
          <w:r>
            <w:rPr>
              <w:rFonts w:hint="default" w:ascii="Times New Roman" w:hAnsi="Times New Roman" w:eastAsia="宋体" w:cs="Times New Roman"/>
              <w:b/>
              <w:bCs w:val="0"/>
              <w:color w:val="auto"/>
              <w:sz w:val="22"/>
              <w:szCs w:val="40"/>
            </w:rPr>
            <w:instrText xml:space="preserve"> HYPERLINK \l _Toc4745 </w:instrText>
          </w:r>
          <w:r>
            <w:rPr>
              <w:rFonts w:hint="default" w:ascii="Times New Roman" w:hAnsi="Times New Roman" w:eastAsia="宋体" w:cs="Times New Roman"/>
              <w:b/>
              <w:bCs w:val="0"/>
              <w:color w:val="auto"/>
              <w:sz w:val="22"/>
              <w:szCs w:val="40"/>
            </w:rPr>
            <w:fldChar w:fldCharType="separate"/>
          </w:r>
          <w:r>
            <w:rPr>
              <w:rFonts w:hint="default" w:ascii="Times New Roman" w:hAnsi="Times New Roman" w:eastAsia="宋体" w:cs="Times New Roman"/>
              <w:b/>
              <w:bCs w:val="0"/>
              <w:color w:val="auto"/>
              <w:sz w:val="22"/>
              <w:szCs w:val="44"/>
            </w:rPr>
            <w:t>5 环境保护措施有效性评估</w:t>
          </w:r>
          <w:r>
            <w:rPr>
              <w:rFonts w:hint="default" w:ascii="Times New Roman" w:hAnsi="Times New Roman" w:eastAsia="宋体" w:cs="Times New Roman"/>
              <w:b/>
              <w:bCs w:val="0"/>
              <w:color w:val="auto"/>
              <w:sz w:val="22"/>
              <w:szCs w:val="22"/>
            </w:rPr>
            <w:tab/>
          </w:r>
          <w:r>
            <w:rPr>
              <w:rFonts w:hint="default" w:ascii="Times New Roman" w:hAnsi="Times New Roman" w:eastAsia="宋体" w:cs="Times New Roman"/>
              <w:b/>
              <w:bCs w:val="0"/>
              <w:color w:val="auto"/>
              <w:sz w:val="22"/>
              <w:szCs w:val="22"/>
            </w:rPr>
            <w:fldChar w:fldCharType="begin"/>
          </w:r>
          <w:r>
            <w:rPr>
              <w:rFonts w:hint="default" w:ascii="Times New Roman" w:hAnsi="Times New Roman" w:eastAsia="宋体" w:cs="Times New Roman"/>
              <w:b/>
              <w:bCs w:val="0"/>
              <w:color w:val="auto"/>
              <w:sz w:val="22"/>
              <w:szCs w:val="22"/>
            </w:rPr>
            <w:instrText xml:space="preserve"> PAGEREF _Toc4745 \h </w:instrText>
          </w:r>
          <w:r>
            <w:rPr>
              <w:rFonts w:hint="default" w:ascii="Times New Roman" w:hAnsi="Times New Roman" w:eastAsia="宋体" w:cs="Times New Roman"/>
              <w:b/>
              <w:bCs w:val="0"/>
              <w:color w:val="auto"/>
              <w:sz w:val="22"/>
              <w:szCs w:val="22"/>
            </w:rPr>
            <w:fldChar w:fldCharType="separate"/>
          </w:r>
          <w:r>
            <w:rPr>
              <w:rFonts w:hint="default" w:ascii="Times New Roman" w:hAnsi="Times New Roman" w:eastAsia="宋体" w:cs="Times New Roman"/>
              <w:b/>
              <w:bCs w:val="0"/>
              <w:color w:val="auto"/>
              <w:sz w:val="22"/>
              <w:szCs w:val="22"/>
            </w:rPr>
            <w:t>- 94 -</w:t>
          </w:r>
          <w:r>
            <w:rPr>
              <w:rFonts w:hint="default" w:ascii="Times New Roman" w:hAnsi="Times New Roman" w:eastAsia="宋体" w:cs="Times New Roman"/>
              <w:b/>
              <w:bCs w:val="0"/>
              <w:color w:val="auto"/>
              <w:sz w:val="22"/>
              <w:szCs w:val="22"/>
            </w:rPr>
            <w:fldChar w:fldCharType="end"/>
          </w:r>
          <w:r>
            <w:rPr>
              <w:rFonts w:hint="default" w:ascii="Times New Roman" w:hAnsi="Times New Roman" w:eastAsia="宋体" w:cs="Times New Roman"/>
              <w:b/>
              <w:bCs w:val="0"/>
              <w:color w:val="auto"/>
              <w:sz w:val="22"/>
              <w:szCs w:val="40"/>
            </w:rPr>
            <w:fldChar w:fldCharType="end"/>
          </w:r>
        </w:p>
        <w:p w14:paraId="6ECD7921">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_Toc7672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5.1废气污染防治措施有效性评估</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_Toc7672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- 94 -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5A1F15D0">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_Toc26515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28"/>
            </w:rPr>
            <w:t>5.2废水污染防治措施有效性评估</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_Toc26515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- 98 -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485EBE64">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_Toc25721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5.3噪声防治措施有效性评估</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_Toc25721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- 99 -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2742B6BE">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_Toc18517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5.4固废防治措施有效性评估</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_Toc18517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- 100 -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42E6C53E">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_Toc5641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5.5风险防范措施有效性评估</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_Toc5641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- 100 -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330FFC6B">
          <w:pPr>
            <w:pStyle w:val="23"/>
            <w:tabs>
              <w:tab w:val="right" w:leader="dot" w:pos="9746"/>
            </w:tabs>
            <w:spacing w:line="240" w:lineRule="auto"/>
            <w:rPr>
              <w:rFonts w:hint="default" w:ascii="Times New Roman" w:hAnsi="Times New Roman" w:eastAsia="宋体" w:cs="Times New Roman"/>
              <w:color w:val="auto"/>
              <w:sz w:val="22"/>
              <w:szCs w:val="22"/>
            </w:rPr>
          </w:pPr>
          <w:r>
            <w:rPr>
              <w:rFonts w:hint="default" w:ascii="Times New Roman" w:hAnsi="Times New Roman" w:eastAsia="宋体" w:cs="Times New Roman"/>
              <w:b/>
              <w:bCs w:val="0"/>
              <w:color w:val="auto"/>
              <w:sz w:val="22"/>
              <w:szCs w:val="40"/>
            </w:rPr>
            <w:fldChar w:fldCharType="begin"/>
          </w:r>
          <w:r>
            <w:rPr>
              <w:rFonts w:hint="default" w:ascii="Times New Roman" w:hAnsi="Times New Roman" w:eastAsia="宋体" w:cs="Times New Roman"/>
              <w:b/>
              <w:bCs w:val="0"/>
              <w:color w:val="auto"/>
              <w:sz w:val="22"/>
              <w:szCs w:val="40"/>
            </w:rPr>
            <w:instrText xml:space="preserve"> HYPERLINK \l _Toc26181 </w:instrText>
          </w:r>
          <w:r>
            <w:rPr>
              <w:rFonts w:hint="default" w:ascii="Times New Roman" w:hAnsi="Times New Roman" w:eastAsia="宋体" w:cs="Times New Roman"/>
              <w:b/>
              <w:bCs w:val="0"/>
              <w:color w:val="auto"/>
              <w:sz w:val="22"/>
              <w:szCs w:val="40"/>
            </w:rPr>
            <w:fldChar w:fldCharType="separate"/>
          </w:r>
          <w:r>
            <w:rPr>
              <w:rFonts w:hint="default" w:ascii="Times New Roman" w:hAnsi="Times New Roman" w:eastAsia="宋体" w:cs="Times New Roman"/>
              <w:b/>
              <w:bCs w:val="0"/>
              <w:color w:val="auto"/>
              <w:sz w:val="22"/>
              <w:szCs w:val="44"/>
            </w:rPr>
            <w:t>6 环境影响预测验证</w:t>
          </w:r>
          <w:r>
            <w:rPr>
              <w:rFonts w:hint="default" w:ascii="Times New Roman" w:hAnsi="Times New Roman" w:eastAsia="宋体" w:cs="Times New Roman"/>
              <w:b/>
              <w:bCs w:val="0"/>
              <w:color w:val="auto"/>
              <w:sz w:val="22"/>
              <w:szCs w:val="22"/>
            </w:rPr>
            <w:tab/>
          </w:r>
          <w:r>
            <w:rPr>
              <w:rFonts w:hint="default" w:ascii="Times New Roman" w:hAnsi="Times New Roman" w:eastAsia="宋体" w:cs="Times New Roman"/>
              <w:b/>
              <w:bCs w:val="0"/>
              <w:color w:val="auto"/>
              <w:sz w:val="22"/>
              <w:szCs w:val="22"/>
            </w:rPr>
            <w:fldChar w:fldCharType="begin"/>
          </w:r>
          <w:r>
            <w:rPr>
              <w:rFonts w:hint="default" w:ascii="Times New Roman" w:hAnsi="Times New Roman" w:eastAsia="宋体" w:cs="Times New Roman"/>
              <w:b/>
              <w:bCs w:val="0"/>
              <w:color w:val="auto"/>
              <w:sz w:val="22"/>
              <w:szCs w:val="22"/>
            </w:rPr>
            <w:instrText xml:space="preserve"> PAGEREF _Toc26181 \h </w:instrText>
          </w:r>
          <w:r>
            <w:rPr>
              <w:rFonts w:hint="default" w:ascii="Times New Roman" w:hAnsi="Times New Roman" w:eastAsia="宋体" w:cs="Times New Roman"/>
              <w:b/>
              <w:bCs w:val="0"/>
              <w:color w:val="auto"/>
              <w:sz w:val="22"/>
              <w:szCs w:val="22"/>
            </w:rPr>
            <w:fldChar w:fldCharType="separate"/>
          </w:r>
          <w:r>
            <w:rPr>
              <w:rFonts w:hint="default" w:ascii="Times New Roman" w:hAnsi="Times New Roman" w:eastAsia="宋体" w:cs="Times New Roman"/>
              <w:b/>
              <w:bCs w:val="0"/>
              <w:color w:val="auto"/>
              <w:sz w:val="22"/>
              <w:szCs w:val="22"/>
            </w:rPr>
            <w:t>- 103 -</w:t>
          </w:r>
          <w:r>
            <w:rPr>
              <w:rFonts w:hint="default" w:ascii="Times New Roman" w:hAnsi="Times New Roman" w:eastAsia="宋体" w:cs="Times New Roman"/>
              <w:b/>
              <w:bCs w:val="0"/>
              <w:color w:val="auto"/>
              <w:sz w:val="22"/>
              <w:szCs w:val="22"/>
            </w:rPr>
            <w:fldChar w:fldCharType="end"/>
          </w:r>
          <w:r>
            <w:rPr>
              <w:rFonts w:hint="default" w:ascii="Times New Roman" w:hAnsi="Times New Roman" w:eastAsia="宋体" w:cs="Times New Roman"/>
              <w:b/>
              <w:bCs w:val="0"/>
              <w:color w:val="auto"/>
              <w:sz w:val="22"/>
              <w:szCs w:val="40"/>
            </w:rPr>
            <w:fldChar w:fldCharType="end"/>
          </w:r>
        </w:p>
        <w:p w14:paraId="1BD8CCE0">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_Toc6645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6.1大气预测影响差异分析</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_Toc6645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- 103 -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0039642E">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_Toc24682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6.2废水影响和实际影响差异性分析</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_Toc24682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- 103 -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14B0C048">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_Toc15470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6.3固废预测影响差异分析</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_Toc15470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- 103 -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32974FC5">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_Toc24168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40"/>
            </w:rPr>
            <w:t>6.4噪声预测影响差异分析</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_Toc24168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- 104 -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4C18D9AB">
          <w:pPr>
            <w:pStyle w:val="23"/>
            <w:tabs>
              <w:tab w:val="right" w:leader="dot" w:pos="9746"/>
            </w:tabs>
            <w:spacing w:line="240" w:lineRule="auto"/>
            <w:rPr>
              <w:rFonts w:hint="default" w:ascii="Times New Roman" w:hAnsi="Times New Roman" w:eastAsia="宋体" w:cs="Times New Roman"/>
              <w:color w:val="auto"/>
              <w:sz w:val="22"/>
              <w:szCs w:val="22"/>
            </w:rPr>
          </w:pPr>
          <w:r>
            <w:rPr>
              <w:rFonts w:hint="default" w:ascii="Times New Roman" w:hAnsi="Times New Roman" w:eastAsia="宋体" w:cs="Times New Roman"/>
              <w:b/>
              <w:bCs w:val="0"/>
              <w:color w:val="auto"/>
              <w:sz w:val="22"/>
              <w:szCs w:val="40"/>
            </w:rPr>
            <w:fldChar w:fldCharType="begin"/>
          </w:r>
          <w:r>
            <w:rPr>
              <w:rFonts w:hint="default" w:ascii="Times New Roman" w:hAnsi="Times New Roman" w:eastAsia="宋体" w:cs="Times New Roman"/>
              <w:b/>
              <w:bCs w:val="0"/>
              <w:color w:val="auto"/>
              <w:sz w:val="22"/>
              <w:szCs w:val="40"/>
            </w:rPr>
            <w:instrText xml:space="preserve"> HYPERLINK \l _Toc18905 </w:instrText>
          </w:r>
          <w:r>
            <w:rPr>
              <w:rFonts w:hint="default" w:ascii="Times New Roman" w:hAnsi="Times New Roman" w:eastAsia="宋体" w:cs="Times New Roman"/>
              <w:b/>
              <w:bCs w:val="0"/>
              <w:color w:val="auto"/>
              <w:sz w:val="22"/>
              <w:szCs w:val="40"/>
            </w:rPr>
            <w:fldChar w:fldCharType="separate"/>
          </w:r>
          <w:r>
            <w:rPr>
              <w:rFonts w:hint="default" w:ascii="Times New Roman" w:hAnsi="Times New Roman" w:eastAsia="宋体" w:cs="Times New Roman"/>
              <w:b/>
              <w:bCs w:val="0"/>
              <w:color w:val="auto"/>
              <w:sz w:val="22"/>
              <w:szCs w:val="44"/>
            </w:rPr>
            <w:t>7 环境保护措施补救方案和改进措施</w:t>
          </w:r>
          <w:r>
            <w:rPr>
              <w:rFonts w:hint="default" w:ascii="Times New Roman" w:hAnsi="Times New Roman" w:eastAsia="宋体" w:cs="Times New Roman"/>
              <w:b/>
              <w:bCs w:val="0"/>
              <w:color w:val="auto"/>
              <w:sz w:val="22"/>
              <w:szCs w:val="22"/>
            </w:rPr>
            <w:tab/>
          </w:r>
          <w:r>
            <w:rPr>
              <w:rFonts w:hint="default" w:ascii="Times New Roman" w:hAnsi="Times New Roman" w:eastAsia="宋体" w:cs="Times New Roman"/>
              <w:b/>
              <w:bCs w:val="0"/>
              <w:color w:val="auto"/>
              <w:sz w:val="22"/>
              <w:szCs w:val="22"/>
            </w:rPr>
            <w:fldChar w:fldCharType="begin"/>
          </w:r>
          <w:r>
            <w:rPr>
              <w:rFonts w:hint="default" w:ascii="Times New Roman" w:hAnsi="Times New Roman" w:eastAsia="宋体" w:cs="Times New Roman"/>
              <w:b/>
              <w:bCs w:val="0"/>
              <w:color w:val="auto"/>
              <w:sz w:val="22"/>
              <w:szCs w:val="22"/>
            </w:rPr>
            <w:instrText xml:space="preserve"> PAGEREF _Toc18905 \h </w:instrText>
          </w:r>
          <w:r>
            <w:rPr>
              <w:rFonts w:hint="default" w:ascii="Times New Roman" w:hAnsi="Times New Roman" w:eastAsia="宋体" w:cs="Times New Roman"/>
              <w:b/>
              <w:bCs w:val="0"/>
              <w:color w:val="auto"/>
              <w:sz w:val="22"/>
              <w:szCs w:val="22"/>
            </w:rPr>
            <w:fldChar w:fldCharType="separate"/>
          </w:r>
          <w:r>
            <w:rPr>
              <w:rFonts w:hint="default" w:ascii="Times New Roman" w:hAnsi="Times New Roman" w:eastAsia="宋体" w:cs="Times New Roman"/>
              <w:b/>
              <w:bCs w:val="0"/>
              <w:color w:val="auto"/>
              <w:sz w:val="22"/>
              <w:szCs w:val="22"/>
            </w:rPr>
            <w:t>- 105 -</w:t>
          </w:r>
          <w:r>
            <w:rPr>
              <w:rFonts w:hint="default" w:ascii="Times New Roman" w:hAnsi="Times New Roman" w:eastAsia="宋体" w:cs="Times New Roman"/>
              <w:b/>
              <w:bCs w:val="0"/>
              <w:color w:val="auto"/>
              <w:sz w:val="22"/>
              <w:szCs w:val="22"/>
            </w:rPr>
            <w:fldChar w:fldCharType="end"/>
          </w:r>
          <w:r>
            <w:rPr>
              <w:rFonts w:hint="default" w:ascii="Times New Roman" w:hAnsi="Times New Roman" w:eastAsia="宋体" w:cs="Times New Roman"/>
              <w:b/>
              <w:bCs w:val="0"/>
              <w:color w:val="auto"/>
              <w:sz w:val="22"/>
              <w:szCs w:val="40"/>
            </w:rPr>
            <w:fldChar w:fldCharType="end"/>
          </w:r>
        </w:p>
        <w:p w14:paraId="46C76706">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_Toc31004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32"/>
              <w:lang w:val="en-US" w:eastAsia="zh-CN"/>
            </w:rPr>
            <w:t>7.1 现存的主要环境问题及整改措施</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_Toc31004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- 105 -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33F05D18">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_Toc9597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32"/>
            </w:rPr>
            <w:t>7.</w:t>
          </w:r>
          <w:r>
            <w:rPr>
              <w:rFonts w:hint="default" w:ascii="Times New Roman" w:hAnsi="Times New Roman" w:eastAsia="宋体" w:cs="Times New Roman"/>
              <w:bCs/>
              <w:color w:val="auto"/>
              <w:sz w:val="22"/>
              <w:szCs w:val="32"/>
              <w:lang w:val="en-US" w:eastAsia="zh-CN"/>
            </w:rPr>
            <w:t>2</w:t>
          </w:r>
          <w:r>
            <w:rPr>
              <w:rFonts w:hint="default" w:ascii="Times New Roman" w:hAnsi="Times New Roman" w:eastAsia="宋体" w:cs="Times New Roman"/>
              <w:bCs/>
              <w:color w:val="auto"/>
              <w:sz w:val="22"/>
              <w:szCs w:val="32"/>
            </w:rPr>
            <w:t xml:space="preserve"> 其他补救及改进措施</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_Toc9597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- 105 -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628D9EA2">
          <w:pPr>
            <w:pStyle w:val="26"/>
            <w:tabs>
              <w:tab w:val="right" w:leader="dot" w:pos="9746"/>
            </w:tabs>
            <w:spacing w:line="240" w:lineRule="auto"/>
            <w:rPr>
              <w:rFonts w:hint="default" w:ascii="Times New Roman" w:hAnsi="Times New Roman" w:eastAsia="宋体" w:cs="Times New Roman"/>
              <w:color w:val="auto"/>
              <w:sz w:val="22"/>
              <w:szCs w:val="28"/>
            </w:rPr>
          </w:pPr>
          <w:r>
            <w:rPr>
              <w:rFonts w:hint="default" w:ascii="Times New Roman" w:hAnsi="Times New Roman" w:eastAsia="宋体" w:cs="Times New Roman"/>
              <w:bCs/>
              <w:color w:val="auto"/>
              <w:sz w:val="22"/>
              <w:szCs w:val="40"/>
            </w:rPr>
            <w:fldChar w:fldCharType="begin"/>
          </w:r>
          <w:r>
            <w:rPr>
              <w:rFonts w:hint="default" w:ascii="Times New Roman" w:hAnsi="Times New Roman" w:eastAsia="宋体" w:cs="Times New Roman"/>
              <w:bCs/>
              <w:color w:val="auto"/>
              <w:sz w:val="22"/>
              <w:szCs w:val="40"/>
            </w:rPr>
            <w:instrText xml:space="preserve"> HYPERLINK \l _Toc1291 </w:instrText>
          </w:r>
          <w:r>
            <w:rPr>
              <w:rFonts w:hint="default" w:ascii="Times New Roman" w:hAnsi="Times New Roman" w:eastAsia="宋体" w:cs="Times New Roman"/>
              <w:bCs/>
              <w:color w:val="auto"/>
              <w:sz w:val="22"/>
              <w:szCs w:val="40"/>
            </w:rPr>
            <w:fldChar w:fldCharType="separate"/>
          </w:r>
          <w:r>
            <w:rPr>
              <w:rFonts w:hint="default" w:ascii="Times New Roman" w:hAnsi="Times New Roman" w:eastAsia="宋体" w:cs="Times New Roman"/>
              <w:bCs/>
              <w:color w:val="auto"/>
              <w:sz w:val="22"/>
              <w:szCs w:val="32"/>
              <w:lang w:val="en-US" w:eastAsia="zh-CN"/>
            </w:rPr>
            <w:t>7.3 排污许可证证后管理要求</w:t>
          </w:r>
          <w:r>
            <w:rPr>
              <w:rFonts w:hint="default" w:ascii="Times New Roman" w:hAnsi="Times New Roman" w:eastAsia="宋体" w:cs="Times New Roman"/>
              <w:color w:val="auto"/>
              <w:sz w:val="22"/>
              <w:szCs w:val="28"/>
            </w:rPr>
            <w:tab/>
          </w:r>
          <w:r>
            <w:rPr>
              <w:rFonts w:hint="default" w:ascii="Times New Roman" w:hAnsi="Times New Roman" w:eastAsia="宋体" w:cs="Times New Roman"/>
              <w:color w:val="auto"/>
              <w:sz w:val="22"/>
              <w:szCs w:val="28"/>
            </w:rPr>
            <w:fldChar w:fldCharType="begin"/>
          </w:r>
          <w:r>
            <w:rPr>
              <w:rFonts w:hint="default" w:ascii="Times New Roman" w:hAnsi="Times New Roman" w:eastAsia="宋体" w:cs="Times New Roman"/>
              <w:color w:val="auto"/>
              <w:sz w:val="22"/>
              <w:szCs w:val="28"/>
            </w:rPr>
            <w:instrText xml:space="preserve"> PAGEREF _Toc1291 \h </w:instrText>
          </w:r>
          <w:r>
            <w:rPr>
              <w:rFonts w:hint="default" w:ascii="Times New Roman" w:hAnsi="Times New Roman" w:eastAsia="宋体" w:cs="Times New Roman"/>
              <w:color w:val="auto"/>
              <w:sz w:val="22"/>
              <w:szCs w:val="28"/>
            </w:rPr>
            <w:fldChar w:fldCharType="separate"/>
          </w:r>
          <w:r>
            <w:rPr>
              <w:rFonts w:hint="default" w:ascii="Times New Roman" w:hAnsi="Times New Roman" w:eastAsia="宋体" w:cs="Times New Roman"/>
              <w:color w:val="auto"/>
              <w:sz w:val="22"/>
              <w:szCs w:val="28"/>
            </w:rPr>
            <w:t>- 106 -</w:t>
          </w:r>
          <w:r>
            <w:rPr>
              <w:rFonts w:hint="default" w:ascii="Times New Roman" w:hAnsi="Times New Roman" w:eastAsia="宋体" w:cs="Times New Roman"/>
              <w:color w:val="auto"/>
              <w:sz w:val="22"/>
              <w:szCs w:val="28"/>
            </w:rPr>
            <w:fldChar w:fldCharType="end"/>
          </w:r>
          <w:r>
            <w:rPr>
              <w:rFonts w:hint="default" w:ascii="Times New Roman" w:hAnsi="Times New Roman" w:eastAsia="宋体" w:cs="Times New Roman"/>
              <w:bCs/>
              <w:color w:val="auto"/>
              <w:sz w:val="22"/>
              <w:szCs w:val="40"/>
            </w:rPr>
            <w:fldChar w:fldCharType="end"/>
          </w:r>
        </w:p>
        <w:p w14:paraId="1B28FD72">
          <w:pPr>
            <w:pStyle w:val="23"/>
            <w:tabs>
              <w:tab w:val="right" w:leader="dot" w:pos="9746"/>
            </w:tabs>
            <w:spacing w:line="240" w:lineRule="auto"/>
            <w:rPr>
              <w:color w:val="auto"/>
              <w:sz w:val="20"/>
              <w:szCs w:val="20"/>
            </w:rPr>
          </w:pPr>
          <w:r>
            <w:rPr>
              <w:rFonts w:hint="default" w:ascii="Times New Roman" w:hAnsi="Times New Roman" w:eastAsia="宋体" w:cs="Times New Roman"/>
              <w:b/>
              <w:bCs w:val="0"/>
              <w:color w:val="auto"/>
              <w:sz w:val="22"/>
              <w:szCs w:val="40"/>
            </w:rPr>
            <w:fldChar w:fldCharType="begin"/>
          </w:r>
          <w:r>
            <w:rPr>
              <w:rFonts w:hint="default" w:ascii="Times New Roman" w:hAnsi="Times New Roman" w:eastAsia="宋体" w:cs="Times New Roman"/>
              <w:b/>
              <w:bCs w:val="0"/>
              <w:color w:val="auto"/>
              <w:sz w:val="22"/>
              <w:szCs w:val="40"/>
            </w:rPr>
            <w:instrText xml:space="preserve"> HYPERLINK \l _Toc16068 </w:instrText>
          </w:r>
          <w:r>
            <w:rPr>
              <w:rFonts w:hint="default" w:ascii="Times New Roman" w:hAnsi="Times New Roman" w:eastAsia="宋体" w:cs="Times New Roman"/>
              <w:b/>
              <w:bCs w:val="0"/>
              <w:color w:val="auto"/>
              <w:sz w:val="22"/>
              <w:szCs w:val="40"/>
            </w:rPr>
            <w:fldChar w:fldCharType="separate"/>
          </w:r>
          <w:r>
            <w:rPr>
              <w:rFonts w:hint="default" w:ascii="Times New Roman" w:hAnsi="Times New Roman" w:eastAsia="宋体" w:cs="Times New Roman"/>
              <w:b/>
              <w:bCs w:val="0"/>
              <w:color w:val="auto"/>
              <w:sz w:val="22"/>
              <w:szCs w:val="44"/>
              <w:lang w:val="en-US" w:eastAsia="zh-CN"/>
            </w:rPr>
            <w:t xml:space="preserve">8 </w:t>
          </w:r>
          <w:r>
            <w:rPr>
              <w:rFonts w:hint="default" w:ascii="Times New Roman" w:hAnsi="Times New Roman" w:eastAsia="宋体" w:cs="Times New Roman"/>
              <w:b/>
              <w:bCs w:val="0"/>
              <w:color w:val="auto"/>
              <w:sz w:val="22"/>
              <w:szCs w:val="44"/>
            </w:rPr>
            <w:t>评价结论</w:t>
          </w:r>
          <w:r>
            <w:rPr>
              <w:rFonts w:hint="default" w:ascii="Times New Roman" w:hAnsi="Times New Roman" w:eastAsia="宋体" w:cs="Times New Roman"/>
              <w:b/>
              <w:bCs w:val="0"/>
              <w:color w:val="auto"/>
              <w:sz w:val="22"/>
              <w:szCs w:val="22"/>
            </w:rPr>
            <w:tab/>
          </w:r>
          <w:r>
            <w:rPr>
              <w:rFonts w:hint="default" w:ascii="Times New Roman" w:hAnsi="Times New Roman" w:eastAsia="宋体" w:cs="Times New Roman"/>
              <w:b/>
              <w:bCs w:val="0"/>
              <w:color w:val="auto"/>
              <w:sz w:val="22"/>
              <w:szCs w:val="22"/>
            </w:rPr>
            <w:fldChar w:fldCharType="begin"/>
          </w:r>
          <w:r>
            <w:rPr>
              <w:rFonts w:hint="default" w:ascii="Times New Roman" w:hAnsi="Times New Roman" w:eastAsia="宋体" w:cs="Times New Roman"/>
              <w:b/>
              <w:bCs w:val="0"/>
              <w:color w:val="auto"/>
              <w:sz w:val="22"/>
              <w:szCs w:val="22"/>
            </w:rPr>
            <w:instrText xml:space="preserve"> PAGEREF _Toc16068 \h </w:instrText>
          </w:r>
          <w:r>
            <w:rPr>
              <w:rFonts w:hint="default" w:ascii="Times New Roman" w:hAnsi="Times New Roman" w:eastAsia="宋体" w:cs="Times New Roman"/>
              <w:b/>
              <w:bCs w:val="0"/>
              <w:color w:val="auto"/>
              <w:sz w:val="22"/>
              <w:szCs w:val="22"/>
            </w:rPr>
            <w:fldChar w:fldCharType="separate"/>
          </w:r>
          <w:r>
            <w:rPr>
              <w:rFonts w:hint="default" w:ascii="Times New Roman" w:hAnsi="Times New Roman" w:eastAsia="宋体" w:cs="Times New Roman"/>
              <w:b/>
              <w:bCs w:val="0"/>
              <w:color w:val="auto"/>
              <w:sz w:val="22"/>
              <w:szCs w:val="22"/>
            </w:rPr>
            <w:t>- 108 -</w:t>
          </w:r>
          <w:r>
            <w:rPr>
              <w:rFonts w:hint="default" w:ascii="Times New Roman" w:hAnsi="Times New Roman" w:eastAsia="宋体" w:cs="Times New Roman"/>
              <w:b/>
              <w:bCs w:val="0"/>
              <w:color w:val="auto"/>
              <w:sz w:val="22"/>
              <w:szCs w:val="22"/>
            </w:rPr>
            <w:fldChar w:fldCharType="end"/>
          </w:r>
          <w:r>
            <w:rPr>
              <w:rFonts w:hint="default" w:ascii="Times New Roman" w:hAnsi="Times New Roman" w:eastAsia="宋体" w:cs="Times New Roman"/>
              <w:b/>
              <w:bCs w:val="0"/>
              <w:color w:val="auto"/>
              <w:sz w:val="22"/>
              <w:szCs w:val="40"/>
            </w:rPr>
            <w:fldChar w:fldCharType="end"/>
          </w:r>
        </w:p>
        <w:p w14:paraId="69E4BE9A">
          <w:pPr>
            <w:adjustRightInd w:val="0"/>
            <w:snapToGrid w:val="0"/>
            <w:spacing w:line="360" w:lineRule="auto"/>
            <w:rPr>
              <w:rFonts w:ascii="Times New Roman" w:hAnsi="Times New Roman" w:eastAsia="宋体" w:cs="Times New Roman"/>
              <w:bCs/>
              <w:color w:val="auto"/>
              <w:kern w:val="2"/>
              <w:sz w:val="21"/>
              <w:szCs w:val="36"/>
              <w:lang w:val="en-US" w:eastAsia="zh-CN" w:bidi="ar-SA"/>
            </w:rPr>
          </w:pPr>
          <w:r>
            <w:rPr>
              <w:bCs/>
              <w:color w:val="auto"/>
              <w:szCs w:val="36"/>
            </w:rPr>
            <w:fldChar w:fldCharType="end"/>
          </w:r>
        </w:p>
      </w:sdtContent>
    </w:sdt>
    <w:p w14:paraId="69A2CD23">
      <w:pPr>
        <w:adjustRightInd w:val="0"/>
        <w:snapToGrid w:val="0"/>
        <w:spacing w:line="360" w:lineRule="auto"/>
        <w:rPr>
          <w:rFonts w:ascii="Times New Roman" w:hAnsi="Times New Roman" w:eastAsia="宋体" w:cs="Times New Roman"/>
          <w:bCs/>
          <w:color w:val="auto"/>
          <w:kern w:val="2"/>
          <w:sz w:val="21"/>
          <w:szCs w:val="36"/>
          <w:lang w:val="en-US" w:eastAsia="zh-CN" w:bidi="ar-SA"/>
        </w:rPr>
        <w:sectPr>
          <w:footerReference r:id="rId8" w:type="default"/>
          <w:pgSz w:w="11906" w:h="16838"/>
          <w:pgMar w:top="1440" w:right="1080" w:bottom="1440" w:left="1080" w:header="1020" w:footer="992" w:gutter="0"/>
          <w:pgBorders>
            <w:top w:val="none" w:sz="0" w:space="0"/>
            <w:left w:val="none" w:sz="0" w:space="0"/>
            <w:bottom w:val="none" w:sz="0" w:space="0"/>
            <w:right w:val="none" w:sz="0" w:space="0"/>
          </w:pgBorders>
          <w:pgNumType w:fmt="numberInDash" w:start="1"/>
          <w:cols w:space="0" w:num="1"/>
          <w:docGrid w:type="lines" w:linePitch="304" w:charSpace="0"/>
        </w:sectPr>
      </w:pPr>
    </w:p>
    <w:p w14:paraId="7C171320">
      <w:pPr>
        <w:adjustRightInd w:val="0"/>
        <w:snapToGrid w:val="0"/>
        <w:spacing w:line="360" w:lineRule="auto"/>
        <w:rPr>
          <w:rFonts w:ascii="Times New Roman" w:hAnsi="Times New Roman" w:eastAsia="宋体" w:cs="Times New Roman"/>
          <w:bCs/>
          <w:color w:val="auto"/>
          <w:kern w:val="2"/>
          <w:sz w:val="21"/>
          <w:szCs w:val="36"/>
          <w:lang w:val="en-US" w:eastAsia="zh-CN" w:bidi="ar-SA"/>
        </w:rPr>
      </w:pPr>
    </w:p>
    <w:p w14:paraId="1D70073E">
      <w:pPr>
        <w:adjustRightInd w:val="0"/>
        <w:snapToGrid w:val="0"/>
        <w:spacing w:line="360" w:lineRule="auto"/>
        <w:rPr>
          <w:b/>
          <w:bCs/>
          <w:color w:val="auto"/>
          <w:sz w:val="28"/>
          <w:szCs w:val="36"/>
        </w:rPr>
      </w:pPr>
    </w:p>
    <w:p w14:paraId="22844C61">
      <w:pPr>
        <w:adjustRightInd w:val="0"/>
        <w:snapToGrid w:val="0"/>
        <w:spacing w:line="360" w:lineRule="auto"/>
        <w:rPr>
          <w:b/>
          <w:bCs/>
          <w:color w:val="auto"/>
          <w:sz w:val="28"/>
          <w:szCs w:val="36"/>
        </w:rPr>
      </w:pPr>
    </w:p>
    <w:p w14:paraId="162AD654">
      <w:pPr>
        <w:adjustRightInd w:val="0"/>
        <w:snapToGrid w:val="0"/>
        <w:spacing w:line="360" w:lineRule="auto"/>
        <w:rPr>
          <w:b/>
          <w:bCs/>
          <w:color w:val="auto"/>
          <w:sz w:val="28"/>
          <w:szCs w:val="36"/>
        </w:rPr>
      </w:pPr>
      <w:r>
        <w:rPr>
          <w:b/>
          <w:bCs/>
          <w:color w:val="auto"/>
          <w:sz w:val="28"/>
          <w:szCs w:val="36"/>
        </w:rPr>
        <w:t>附件：</w:t>
      </w:r>
    </w:p>
    <w:p w14:paraId="046D127C">
      <w:pPr>
        <w:adjustRightInd w:val="0"/>
        <w:snapToGrid w:val="0"/>
        <w:spacing w:line="360" w:lineRule="auto"/>
        <w:ind w:firstLine="480" w:firstLineChars="200"/>
        <w:outlineLvl w:val="0"/>
        <w:rPr>
          <w:rFonts w:hint="default" w:eastAsia="宋体"/>
          <w:color w:val="auto"/>
          <w:sz w:val="24"/>
          <w:szCs w:val="32"/>
          <w:lang w:val="en-US" w:eastAsia="zh-CN"/>
        </w:rPr>
      </w:pPr>
      <w:bookmarkStart w:id="0" w:name="_Toc19564"/>
      <w:bookmarkStart w:id="1" w:name="_Toc26610"/>
      <w:bookmarkStart w:id="2" w:name="_Toc19631"/>
      <w:bookmarkStart w:id="3" w:name="_Toc29737"/>
      <w:bookmarkStart w:id="4" w:name="_Toc31206"/>
      <w:bookmarkStart w:id="5" w:name="_Toc19091"/>
      <w:bookmarkStart w:id="6" w:name="_Toc19667"/>
      <w:r>
        <w:rPr>
          <w:color w:val="auto"/>
          <w:sz w:val="24"/>
          <w:szCs w:val="32"/>
        </w:rPr>
        <w:t xml:space="preserve">附件1 </w:t>
      </w:r>
      <w:bookmarkEnd w:id="0"/>
      <w:bookmarkEnd w:id="1"/>
      <w:bookmarkEnd w:id="2"/>
      <w:bookmarkEnd w:id="3"/>
      <w:bookmarkEnd w:id="4"/>
      <w:bookmarkEnd w:id="5"/>
      <w:bookmarkEnd w:id="6"/>
      <w:r>
        <w:rPr>
          <w:rFonts w:hint="eastAsia"/>
          <w:color w:val="auto"/>
          <w:sz w:val="24"/>
          <w:szCs w:val="32"/>
          <w:lang w:val="en-US" w:eastAsia="zh-CN"/>
        </w:rPr>
        <w:t>年产11万吨再生铝项目环评批复</w:t>
      </w:r>
    </w:p>
    <w:p w14:paraId="676ADAD6">
      <w:pPr>
        <w:adjustRightInd w:val="0"/>
        <w:snapToGrid w:val="0"/>
        <w:spacing w:line="360" w:lineRule="auto"/>
        <w:ind w:firstLine="480" w:firstLineChars="200"/>
        <w:outlineLvl w:val="0"/>
        <w:rPr>
          <w:rFonts w:hint="default" w:eastAsia="宋体"/>
          <w:color w:val="auto"/>
          <w:sz w:val="24"/>
          <w:szCs w:val="32"/>
          <w:lang w:val="en-US" w:eastAsia="zh-CN"/>
        </w:rPr>
      </w:pPr>
      <w:bookmarkStart w:id="7" w:name="_Toc8897"/>
      <w:bookmarkStart w:id="8" w:name="_Toc31010"/>
      <w:bookmarkStart w:id="9" w:name="_Toc26391"/>
      <w:bookmarkStart w:id="10" w:name="_Toc25859"/>
      <w:bookmarkStart w:id="11" w:name="_Toc18840"/>
      <w:bookmarkStart w:id="12" w:name="_Toc32757"/>
      <w:bookmarkStart w:id="13" w:name="_Toc22508"/>
      <w:r>
        <w:rPr>
          <w:color w:val="auto"/>
          <w:sz w:val="24"/>
          <w:szCs w:val="32"/>
        </w:rPr>
        <w:t xml:space="preserve">附件2 </w:t>
      </w:r>
      <w:bookmarkEnd w:id="7"/>
      <w:bookmarkEnd w:id="8"/>
      <w:bookmarkEnd w:id="9"/>
      <w:bookmarkEnd w:id="10"/>
      <w:bookmarkEnd w:id="11"/>
      <w:bookmarkEnd w:id="12"/>
      <w:bookmarkEnd w:id="13"/>
      <w:r>
        <w:rPr>
          <w:rFonts w:hint="eastAsia"/>
          <w:color w:val="auto"/>
          <w:sz w:val="24"/>
          <w:szCs w:val="32"/>
          <w:lang w:val="en-US" w:eastAsia="zh-CN"/>
        </w:rPr>
        <w:t>厂房租赁合同</w:t>
      </w:r>
    </w:p>
    <w:p w14:paraId="095A4200">
      <w:pPr>
        <w:adjustRightInd w:val="0"/>
        <w:snapToGrid w:val="0"/>
        <w:spacing w:line="360" w:lineRule="auto"/>
        <w:ind w:firstLine="480" w:firstLineChars="200"/>
        <w:outlineLvl w:val="0"/>
        <w:rPr>
          <w:color w:val="auto"/>
          <w:sz w:val="24"/>
          <w:szCs w:val="32"/>
        </w:rPr>
      </w:pPr>
      <w:bookmarkStart w:id="14" w:name="_Toc3785"/>
      <w:bookmarkStart w:id="15" w:name="_Toc19837"/>
      <w:bookmarkStart w:id="16" w:name="_Toc18530"/>
      <w:bookmarkStart w:id="17" w:name="_Toc16383"/>
      <w:bookmarkStart w:id="18" w:name="_Toc10473"/>
      <w:bookmarkStart w:id="19" w:name="_Toc31567"/>
      <w:bookmarkStart w:id="20" w:name="_Toc12212"/>
      <w:r>
        <w:rPr>
          <w:color w:val="auto"/>
          <w:sz w:val="24"/>
          <w:szCs w:val="32"/>
        </w:rPr>
        <w:t>附件3</w:t>
      </w:r>
      <w:r>
        <w:rPr>
          <w:rFonts w:hint="eastAsia"/>
          <w:color w:val="auto"/>
          <w:sz w:val="24"/>
          <w:szCs w:val="32"/>
          <w:lang w:val="en-US" w:eastAsia="zh-CN"/>
        </w:rPr>
        <w:t xml:space="preserve"> 项目产权变更情况说明</w:t>
      </w:r>
      <w:bookmarkEnd w:id="14"/>
      <w:bookmarkEnd w:id="15"/>
      <w:bookmarkEnd w:id="16"/>
      <w:bookmarkEnd w:id="17"/>
      <w:bookmarkEnd w:id="18"/>
      <w:bookmarkEnd w:id="19"/>
      <w:bookmarkEnd w:id="20"/>
    </w:p>
    <w:p w14:paraId="66A2AFF2">
      <w:pPr>
        <w:adjustRightInd w:val="0"/>
        <w:snapToGrid w:val="0"/>
        <w:spacing w:line="360" w:lineRule="auto"/>
        <w:ind w:firstLine="480" w:firstLineChars="200"/>
        <w:outlineLvl w:val="0"/>
        <w:rPr>
          <w:color w:val="auto"/>
          <w:sz w:val="24"/>
          <w:szCs w:val="32"/>
        </w:rPr>
      </w:pPr>
      <w:bookmarkStart w:id="21" w:name="_Toc17810"/>
      <w:bookmarkStart w:id="22" w:name="_Toc23900"/>
      <w:bookmarkStart w:id="23" w:name="_Toc16236"/>
      <w:bookmarkStart w:id="24" w:name="_Toc31391"/>
      <w:bookmarkStart w:id="25" w:name="_Toc24773"/>
      <w:bookmarkStart w:id="26" w:name="_Toc28703"/>
      <w:bookmarkStart w:id="27" w:name="_Toc32500"/>
      <w:r>
        <w:rPr>
          <w:color w:val="auto"/>
          <w:sz w:val="24"/>
          <w:szCs w:val="32"/>
        </w:rPr>
        <w:t>附件</w:t>
      </w:r>
      <w:r>
        <w:rPr>
          <w:rFonts w:hint="eastAsia"/>
          <w:color w:val="auto"/>
          <w:sz w:val="24"/>
          <w:szCs w:val="32"/>
        </w:rPr>
        <w:t>4</w:t>
      </w:r>
      <w:r>
        <w:rPr>
          <w:rFonts w:hint="eastAsia"/>
          <w:color w:val="auto"/>
          <w:sz w:val="24"/>
          <w:szCs w:val="32"/>
          <w:lang w:val="en-US" w:eastAsia="zh-CN"/>
        </w:rPr>
        <w:t xml:space="preserve"> 项目产权变更后项目备案表</w:t>
      </w:r>
      <w:r>
        <w:rPr>
          <w:color w:val="auto"/>
          <w:sz w:val="24"/>
          <w:szCs w:val="32"/>
        </w:rPr>
        <w:t xml:space="preserve"> </w:t>
      </w:r>
      <w:bookmarkEnd w:id="21"/>
      <w:bookmarkEnd w:id="22"/>
      <w:bookmarkEnd w:id="23"/>
      <w:bookmarkEnd w:id="24"/>
      <w:bookmarkEnd w:id="25"/>
      <w:bookmarkEnd w:id="26"/>
      <w:bookmarkEnd w:id="27"/>
    </w:p>
    <w:p w14:paraId="0A8D43C1">
      <w:pPr>
        <w:adjustRightInd w:val="0"/>
        <w:snapToGrid w:val="0"/>
        <w:spacing w:line="360" w:lineRule="auto"/>
        <w:ind w:firstLine="480" w:firstLineChars="200"/>
        <w:outlineLvl w:val="0"/>
        <w:rPr>
          <w:rFonts w:hint="default" w:eastAsia="宋体"/>
          <w:color w:val="auto"/>
          <w:sz w:val="24"/>
          <w:szCs w:val="32"/>
          <w:lang w:val="en-US" w:eastAsia="zh-CN"/>
        </w:rPr>
      </w:pPr>
      <w:bookmarkStart w:id="28" w:name="_Toc4876"/>
      <w:r>
        <w:rPr>
          <w:rFonts w:hint="eastAsia"/>
          <w:color w:val="auto"/>
          <w:sz w:val="24"/>
          <w:szCs w:val="32"/>
          <w:lang w:val="en-US" w:eastAsia="zh-CN"/>
        </w:rPr>
        <w:t xml:space="preserve">附件5 </w:t>
      </w:r>
      <w:bookmarkEnd w:id="28"/>
      <w:r>
        <w:rPr>
          <w:rFonts w:hint="eastAsia"/>
          <w:color w:val="auto"/>
          <w:sz w:val="24"/>
          <w:szCs w:val="32"/>
          <w:lang w:val="en-US" w:eastAsia="zh-CN"/>
        </w:rPr>
        <w:t>排污权交易鉴证书</w:t>
      </w:r>
    </w:p>
    <w:p w14:paraId="0A44CEBA">
      <w:pPr>
        <w:adjustRightInd w:val="0"/>
        <w:snapToGrid w:val="0"/>
        <w:spacing w:line="360" w:lineRule="auto"/>
        <w:ind w:firstLine="480" w:firstLineChars="200"/>
        <w:outlineLvl w:val="0"/>
        <w:rPr>
          <w:rFonts w:hint="default" w:eastAsia="宋体"/>
          <w:color w:val="auto"/>
          <w:sz w:val="24"/>
          <w:szCs w:val="32"/>
          <w:lang w:val="en-US" w:eastAsia="zh-CN"/>
        </w:rPr>
      </w:pPr>
      <w:bookmarkStart w:id="29" w:name="_Toc13812"/>
      <w:bookmarkStart w:id="30" w:name="_Toc29620"/>
      <w:bookmarkStart w:id="31" w:name="_Toc5404"/>
      <w:bookmarkStart w:id="32" w:name="_Toc8337"/>
      <w:bookmarkStart w:id="33" w:name="_Toc19962"/>
      <w:bookmarkStart w:id="34" w:name="_Toc16944"/>
      <w:bookmarkStart w:id="35" w:name="_Toc19425"/>
      <w:r>
        <w:rPr>
          <w:color w:val="auto"/>
          <w:sz w:val="24"/>
          <w:szCs w:val="32"/>
        </w:rPr>
        <w:t>附件</w:t>
      </w:r>
      <w:r>
        <w:rPr>
          <w:rFonts w:hint="eastAsia"/>
          <w:color w:val="auto"/>
          <w:sz w:val="24"/>
          <w:szCs w:val="32"/>
          <w:lang w:val="en-US" w:eastAsia="zh-CN"/>
        </w:rPr>
        <w:t>6</w:t>
      </w:r>
      <w:r>
        <w:rPr>
          <w:color w:val="auto"/>
          <w:sz w:val="24"/>
          <w:szCs w:val="32"/>
        </w:rPr>
        <w:t xml:space="preserve"> </w:t>
      </w:r>
      <w:bookmarkEnd w:id="29"/>
      <w:bookmarkEnd w:id="30"/>
      <w:bookmarkEnd w:id="31"/>
      <w:bookmarkEnd w:id="32"/>
      <w:bookmarkEnd w:id="33"/>
      <w:bookmarkEnd w:id="34"/>
      <w:bookmarkEnd w:id="35"/>
      <w:r>
        <w:rPr>
          <w:rFonts w:hint="eastAsia"/>
          <w:color w:val="auto"/>
          <w:sz w:val="24"/>
          <w:szCs w:val="32"/>
          <w:lang w:val="en-US" w:eastAsia="zh-CN"/>
        </w:rPr>
        <w:t>废气、废水例行监测报告</w:t>
      </w:r>
    </w:p>
    <w:p w14:paraId="5CA2EE8B">
      <w:pPr>
        <w:adjustRightInd w:val="0"/>
        <w:snapToGrid w:val="0"/>
        <w:spacing w:line="360" w:lineRule="auto"/>
        <w:ind w:firstLine="480" w:firstLineChars="200"/>
        <w:rPr>
          <w:rFonts w:hint="eastAsia"/>
          <w:color w:val="auto"/>
          <w:sz w:val="24"/>
          <w:szCs w:val="32"/>
          <w:lang w:val="en-US" w:eastAsia="zh-CN"/>
        </w:rPr>
      </w:pPr>
      <w:r>
        <w:rPr>
          <w:color w:val="auto"/>
          <w:sz w:val="24"/>
          <w:szCs w:val="32"/>
        </w:rPr>
        <w:t>附件</w:t>
      </w:r>
      <w:r>
        <w:rPr>
          <w:rFonts w:hint="eastAsia"/>
          <w:color w:val="auto"/>
          <w:sz w:val="24"/>
          <w:szCs w:val="32"/>
          <w:lang w:val="en-US" w:eastAsia="zh-CN"/>
        </w:rPr>
        <w:t>7</w:t>
      </w:r>
      <w:r>
        <w:rPr>
          <w:color w:val="auto"/>
          <w:sz w:val="24"/>
          <w:szCs w:val="32"/>
        </w:rPr>
        <w:t xml:space="preserve"> </w:t>
      </w:r>
      <w:r>
        <w:rPr>
          <w:rFonts w:hint="eastAsia"/>
          <w:color w:val="auto"/>
          <w:sz w:val="24"/>
          <w:szCs w:val="32"/>
          <w:lang w:val="en-US" w:eastAsia="zh-CN"/>
        </w:rPr>
        <w:t>厂界噪声例行监测报告</w:t>
      </w:r>
    </w:p>
    <w:p w14:paraId="0CBB7A0F">
      <w:pPr>
        <w:adjustRightInd w:val="0"/>
        <w:snapToGrid w:val="0"/>
        <w:spacing w:line="360" w:lineRule="auto"/>
        <w:ind w:firstLine="480" w:firstLineChars="200"/>
        <w:rPr>
          <w:rFonts w:hint="default" w:eastAsia="宋体"/>
          <w:color w:val="auto"/>
          <w:sz w:val="24"/>
          <w:szCs w:val="32"/>
          <w:lang w:val="en-US" w:eastAsia="zh-CN"/>
        </w:rPr>
      </w:pPr>
      <w:r>
        <w:rPr>
          <w:rFonts w:hint="eastAsia"/>
          <w:color w:val="auto"/>
          <w:sz w:val="24"/>
          <w:szCs w:val="32"/>
          <w:lang w:val="en-US" w:eastAsia="zh-CN"/>
        </w:rPr>
        <w:t>附件8 环境现状补充监测报告</w:t>
      </w:r>
    </w:p>
    <w:p w14:paraId="2939CE55">
      <w:pPr>
        <w:adjustRightInd w:val="0"/>
        <w:snapToGrid w:val="0"/>
        <w:spacing w:line="360" w:lineRule="auto"/>
        <w:ind w:firstLine="480" w:firstLineChars="200"/>
        <w:outlineLvl w:val="0"/>
        <w:rPr>
          <w:rFonts w:hint="default"/>
          <w:color w:val="auto"/>
          <w:sz w:val="24"/>
          <w:szCs w:val="32"/>
          <w:lang w:val="en-US" w:eastAsia="zh-CN"/>
        </w:rPr>
      </w:pPr>
    </w:p>
    <w:p w14:paraId="6CD658E0">
      <w:pPr>
        <w:adjustRightInd w:val="0"/>
        <w:snapToGrid w:val="0"/>
        <w:spacing w:line="360" w:lineRule="auto"/>
        <w:rPr>
          <w:b/>
          <w:bCs/>
          <w:color w:val="auto"/>
          <w:sz w:val="28"/>
          <w:szCs w:val="36"/>
        </w:rPr>
      </w:pPr>
    </w:p>
    <w:p w14:paraId="761C6D7A">
      <w:pPr>
        <w:adjustRightInd w:val="0"/>
        <w:snapToGrid w:val="0"/>
        <w:spacing w:line="360" w:lineRule="auto"/>
        <w:rPr>
          <w:color w:val="auto"/>
          <w:sz w:val="24"/>
          <w:szCs w:val="32"/>
        </w:rPr>
      </w:pPr>
      <w:r>
        <w:rPr>
          <w:b/>
          <w:bCs/>
          <w:color w:val="auto"/>
          <w:sz w:val="28"/>
          <w:szCs w:val="36"/>
        </w:rPr>
        <w:t>附图：</w:t>
      </w:r>
    </w:p>
    <w:p w14:paraId="34E488F8">
      <w:pPr>
        <w:adjustRightInd w:val="0"/>
        <w:snapToGrid w:val="0"/>
        <w:spacing w:line="360" w:lineRule="auto"/>
        <w:ind w:firstLine="480" w:firstLineChars="200"/>
        <w:rPr>
          <w:rFonts w:hint="default" w:eastAsia="宋体"/>
          <w:color w:val="auto"/>
          <w:sz w:val="24"/>
          <w:szCs w:val="32"/>
          <w:lang w:val="en-US" w:eastAsia="zh-CN"/>
        </w:rPr>
      </w:pPr>
      <w:r>
        <w:rPr>
          <w:color w:val="auto"/>
          <w:sz w:val="24"/>
          <w:szCs w:val="32"/>
        </w:rPr>
        <w:t xml:space="preserve">附图1 </w:t>
      </w:r>
      <w:r>
        <w:rPr>
          <w:rFonts w:hint="eastAsia"/>
          <w:color w:val="auto"/>
          <w:sz w:val="24"/>
          <w:szCs w:val="32"/>
          <w:lang w:val="en-US" w:eastAsia="zh-CN"/>
        </w:rPr>
        <w:t>项目地理位置图</w:t>
      </w:r>
    </w:p>
    <w:p w14:paraId="3BA0D4EF">
      <w:pPr>
        <w:adjustRightInd w:val="0"/>
        <w:snapToGrid w:val="0"/>
        <w:spacing w:line="360" w:lineRule="auto"/>
        <w:ind w:firstLine="480" w:firstLineChars="200"/>
        <w:rPr>
          <w:color w:val="auto"/>
          <w:sz w:val="24"/>
          <w:szCs w:val="32"/>
        </w:rPr>
      </w:pPr>
      <w:r>
        <w:rPr>
          <w:rFonts w:hint="eastAsia"/>
          <w:color w:val="auto"/>
          <w:sz w:val="24"/>
          <w:szCs w:val="32"/>
          <w:lang w:val="en-US" w:eastAsia="zh-CN"/>
        </w:rPr>
        <w:t xml:space="preserve">附图2 </w:t>
      </w:r>
      <w:r>
        <w:rPr>
          <w:color w:val="auto"/>
          <w:sz w:val="24"/>
          <w:szCs w:val="32"/>
        </w:rPr>
        <w:t>厂区平面布置图</w:t>
      </w:r>
    </w:p>
    <w:p w14:paraId="750A7107">
      <w:pPr>
        <w:adjustRightInd w:val="0"/>
        <w:snapToGrid w:val="0"/>
        <w:spacing w:line="360" w:lineRule="auto"/>
        <w:ind w:firstLine="480" w:firstLineChars="200"/>
        <w:rPr>
          <w:rFonts w:hint="default" w:eastAsia="宋体"/>
          <w:color w:val="auto"/>
          <w:sz w:val="24"/>
          <w:szCs w:val="32"/>
          <w:lang w:val="en-US" w:eastAsia="zh-CN"/>
        </w:rPr>
      </w:pPr>
      <w:r>
        <w:rPr>
          <w:rFonts w:hint="eastAsia"/>
          <w:color w:val="auto"/>
          <w:sz w:val="24"/>
          <w:szCs w:val="32"/>
          <w:lang w:val="en-US" w:eastAsia="zh-CN"/>
        </w:rPr>
        <w:t>附图3 车间布局图</w:t>
      </w:r>
    </w:p>
    <w:p w14:paraId="2415B928">
      <w:pPr>
        <w:adjustRightInd w:val="0"/>
        <w:snapToGrid w:val="0"/>
        <w:spacing w:line="360" w:lineRule="auto"/>
        <w:ind w:firstLine="420" w:firstLineChars="200"/>
        <w:rPr>
          <w:color w:val="auto"/>
        </w:rPr>
        <w:sectPr>
          <w:footerReference r:id="rId9" w:type="default"/>
          <w:pgSz w:w="11906" w:h="16838"/>
          <w:pgMar w:top="1440" w:right="1080" w:bottom="1440" w:left="1080" w:header="1020" w:footer="992" w:gutter="0"/>
          <w:pgBorders>
            <w:top w:val="none" w:sz="0" w:space="0"/>
            <w:left w:val="none" w:sz="0" w:space="0"/>
            <w:bottom w:val="none" w:sz="0" w:space="0"/>
            <w:right w:val="none" w:sz="0" w:space="0"/>
          </w:pgBorders>
          <w:pgNumType w:fmt="numberInDash" w:start="1"/>
          <w:cols w:space="0" w:num="1"/>
          <w:docGrid w:type="lines" w:linePitch="304" w:charSpace="0"/>
        </w:sectPr>
      </w:pPr>
    </w:p>
    <w:p w14:paraId="706CEF52">
      <w:pPr>
        <w:jc w:val="center"/>
        <w:outlineLvl w:val="0"/>
        <w:rPr>
          <w:b/>
          <w:bCs/>
          <w:color w:val="auto"/>
          <w:sz w:val="32"/>
          <w:szCs w:val="40"/>
        </w:rPr>
      </w:pPr>
      <w:bookmarkStart w:id="36" w:name="_Toc11769"/>
      <w:bookmarkStart w:id="37" w:name="_Toc28150"/>
      <w:r>
        <w:rPr>
          <w:b/>
          <w:bCs/>
          <w:color w:val="auto"/>
          <w:sz w:val="32"/>
          <w:szCs w:val="40"/>
        </w:rPr>
        <w:t>1 总论</w:t>
      </w:r>
      <w:bookmarkEnd w:id="36"/>
      <w:bookmarkEnd w:id="37"/>
    </w:p>
    <w:p w14:paraId="1E261B0C">
      <w:pPr>
        <w:spacing w:line="360" w:lineRule="auto"/>
        <w:outlineLvl w:val="1"/>
        <w:rPr>
          <w:b/>
          <w:bCs/>
          <w:color w:val="auto"/>
          <w:sz w:val="28"/>
          <w:szCs w:val="36"/>
        </w:rPr>
      </w:pPr>
      <w:bookmarkStart w:id="38" w:name="_Toc12615"/>
      <w:r>
        <w:rPr>
          <w:b/>
          <w:bCs/>
          <w:color w:val="auto"/>
          <w:sz w:val="28"/>
          <w:szCs w:val="36"/>
        </w:rPr>
        <w:t>1.1任务由来</w:t>
      </w:r>
      <w:bookmarkEnd w:id="38"/>
    </w:p>
    <w:p w14:paraId="5F6984E4">
      <w:pPr>
        <w:adjustRightInd w:val="0"/>
        <w:snapToGrid w:val="0"/>
        <w:spacing w:line="360" w:lineRule="auto"/>
        <w:ind w:firstLine="480" w:firstLineChars="200"/>
        <w:rPr>
          <w:rFonts w:hint="eastAsia"/>
          <w:color w:val="auto"/>
          <w:kern w:val="24"/>
          <w:sz w:val="24"/>
          <w:lang w:val="en-US" w:eastAsia="zh-CN"/>
        </w:rPr>
      </w:pPr>
      <w:r>
        <w:rPr>
          <w:rFonts w:hint="eastAsia"/>
          <w:color w:val="auto"/>
          <w:kern w:val="24"/>
          <w:sz w:val="24"/>
        </w:rPr>
        <w:t>安徽华中天力铝业有限公司年产11万吨再生铝建设项目</w:t>
      </w:r>
      <w:r>
        <w:rPr>
          <w:rFonts w:hint="eastAsia"/>
          <w:color w:val="auto"/>
          <w:kern w:val="24"/>
          <w:sz w:val="24"/>
          <w:lang w:eastAsia="zh-CN"/>
        </w:rPr>
        <w:t>（</w:t>
      </w:r>
      <w:r>
        <w:rPr>
          <w:rFonts w:hint="eastAsia"/>
          <w:color w:val="auto"/>
          <w:kern w:val="24"/>
          <w:sz w:val="24"/>
          <w:lang w:val="en-US" w:eastAsia="zh-CN"/>
        </w:rPr>
        <w:t>以下简称“本项目”</w:t>
      </w:r>
      <w:r>
        <w:rPr>
          <w:rFonts w:hint="eastAsia"/>
          <w:color w:val="auto"/>
          <w:kern w:val="24"/>
          <w:sz w:val="24"/>
          <w:lang w:eastAsia="zh-CN"/>
        </w:rPr>
        <w:t>）</w:t>
      </w:r>
      <w:r>
        <w:rPr>
          <w:rFonts w:hint="eastAsia"/>
          <w:color w:val="auto"/>
          <w:kern w:val="24"/>
          <w:sz w:val="24"/>
        </w:rPr>
        <w:t>于2016年6月30日取得原淮北市环境保护局环评批复，批复文号</w:t>
      </w:r>
      <w:r>
        <w:rPr>
          <w:rFonts w:hint="eastAsia"/>
          <w:color w:val="auto"/>
          <w:kern w:val="24"/>
          <w:sz w:val="24"/>
          <w:lang w:eastAsia="zh-CN"/>
        </w:rPr>
        <w:t>：</w:t>
      </w:r>
      <w:r>
        <w:rPr>
          <w:rFonts w:hint="eastAsia"/>
          <w:color w:val="auto"/>
          <w:kern w:val="24"/>
          <w:sz w:val="24"/>
          <w:lang w:val="en-US" w:eastAsia="zh-CN"/>
        </w:rPr>
        <w:t>淮环行【2016】27号，一期产能5.05万吨/年，二期产能5.95万吨/年；一期于2018年建成，主要生产设备为</w:t>
      </w:r>
      <w:r>
        <w:rPr>
          <w:rFonts w:hint="eastAsia"/>
          <w:color w:val="auto"/>
          <w:kern w:val="24"/>
          <w:sz w:val="24"/>
          <w:highlight w:val="none"/>
          <w:lang w:val="en-US" w:eastAsia="zh-CN"/>
        </w:rPr>
        <w:t>1台40t熔炼炉、1台30t熔炼炉、1台10t熔炼精炼两用炉、1台30t精炼炉、1台20t精炼炉及2条260模铸锭叠锭生产线，</w:t>
      </w:r>
      <w:r>
        <w:rPr>
          <w:rFonts w:hint="eastAsia"/>
          <w:color w:val="auto"/>
          <w:kern w:val="24"/>
          <w:sz w:val="24"/>
          <w:lang w:val="en-US" w:eastAsia="zh-CN"/>
        </w:rPr>
        <w:t>由于项目资金问题一期一直处于停产状态，2020年10月开始进行设备调试工作，于2021年9月通过自主竣工环境保护验收。</w:t>
      </w:r>
    </w:p>
    <w:p w14:paraId="15A09CEB">
      <w:pPr>
        <w:adjustRightInd w:val="0"/>
        <w:snapToGrid w:val="0"/>
        <w:spacing w:line="360" w:lineRule="auto"/>
        <w:ind w:firstLine="480" w:firstLineChars="200"/>
        <w:rPr>
          <w:rFonts w:hint="eastAsia"/>
          <w:color w:val="auto"/>
          <w:kern w:val="24"/>
          <w:sz w:val="24"/>
          <w:lang w:val="en-US" w:eastAsia="zh-CN"/>
        </w:rPr>
      </w:pPr>
      <w:r>
        <w:rPr>
          <w:rFonts w:hint="eastAsia"/>
          <w:color w:val="auto"/>
          <w:kern w:val="24"/>
          <w:sz w:val="24"/>
          <w:lang w:val="en-US" w:eastAsia="zh-CN"/>
        </w:rPr>
        <w:t>2022年12月由于原华中天力公司破产，濉溪经开区投资发展有限公司经濉溪县人民法院司法拍卖取得濉溪经济开发区玉兰西路8号原华中天力公司的所有土地、厂房、设备及配套物资等资产，并于2023年1月1日起委托给安徽力幕新材料科技有限公司进行生产经营及日常管理，安徽力幕新材料科技有限公司将“年产11万吨再生铝建设项目一期工程”的厂房、设备及配套物资转租给安徽省裕康铝业有限公司，由安徽省裕康铝业有限公司进行生产经营及日常管理。2025年由于经营问题，安徽省裕康铝业有限公司生产经营的“年产11万吨再生铝建设项目一期工程”7月12日开始停产。</w:t>
      </w:r>
    </w:p>
    <w:p w14:paraId="7FD628B5">
      <w:pPr>
        <w:adjustRightInd w:val="0"/>
        <w:snapToGrid w:val="0"/>
        <w:spacing w:line="360" w:lineRule="auto"/>
        <w:ind w:firstLine="480" w:firstLineChars="200"/>
        <w:rPr>
          <w:rFonts w:hint="eastAsia"/>
          <w:color w:val="auto"/>
          <w:kern w:val="24"/>
          <w:sz w:val="24"/>
          <w:lang w:val="en-US" w:eastAsia="zh-CN"/>
        </w:rPr>
      </w:pPr>
      <w:r>
        <w:rPr>
          <w:rFonts w:hint="eastAsia"/>
          <w:color w:val="auto"/>
          <w:kern w:val="24"/>
          <w:sz w:val="24"/>
        </w:rPr>
        <w:t>2025年9月，</w:t>
      </w:r>
      <w:r>
        <w:rPr>
          <w:rFonts w:hint="eastAsia"/>
          <w:color w:val="auto"/>
          <w:kern w:val="24"/>
          <w:sz w:val="24"/>
          <w:lang w:val="en-US" w:eastAsia="zh-CN"/>
        </w:rPr>
        <w:t>由安徽瑞瑟科金属材料有限公司接手“安徽华中天力铝业有限公司年产11万吨再生铝建设项目”进行生产。因此前实际建成运行的是项目的一期工程，本次安徽瑞瑟科金属材料有限公司接手的也仅为安徽华中天力铝业有限公司年产11万吨再生铝建设项目的一期工程（即产能为5.05万吨/年）。</w:t>
      </w:r>
    </w:p>
    <w:p w14:paraId="7D0F4EA9">
      <w:pPr>
        <w:adjustRightInd w:val="0"/>
        <w:snapToGrid w:val="0"/>
        <w:spacing w:line="360" w:lineRule="auto"/>
        <w:ind w:firstLine="480" w:firstLineChars="200"/>
        <w:rPr>
          <w:rFonts w:hint="eastAsia" w:cs="Times New Roman"/>
          <w:color w:val="auto"/>
          <w:sz w:val="24"/>
          <w:szCs w:val="24"/>
          <w:lang w:eastAsia="zh-CN"/>
        </w:rPr>
      </w:pPr>
      <w:r>
        <w:rPr>
          <w:rFonts w:hint="eastAsia"/>
          <w:color w:val="auto"/>
          <w:kern w:val="24"/>
          <w:sz w:val="24"/>
          <w:lang w:val="en-US" w:eastAsia="zh-CN"/>
        </w:rPr>
        <w:t>安徽华中天力铝业有限公司年产11万吨再生铝建设项目的一期工程涉及“</w:t>
      </w:r>
      <w:r>
        <w:rPr>
          <w:rFonts w:hint="default" w:ascii="Times New Roman" w:hAnsi="Times New Roman" w:eastAsia="宋体" w:cs="Times New Roman"/>
          <w:color w:val="auto"/>
          <w:sz w:val="24"/>
          <w:szCs w:val="24"/>
        </w:rPr>
        <w:t>产业结构调整指导目录（2024年本）》</w:t>
      </w:r>
      <w:r>
        <w:rPr>
          <w:rFonts w:hint="eastAsia" w:ascii="宋体" w:hAnsi="宋体" w:eastAsia="宋体" w:cs="宋体"/>
          <w:color w:val="auto"/>
          <w:sz w:val="24"/>
          <w:szCs w:val="24"/>
        </w:rPr>
        <w:t>“</w:t>
      </w:r>
      <w:r>
        <w:rPr>
          <w:rFonts w:hint="default" w:ascii="Times New Roman" w:hAnsi="Times New Roman" w:eastAsia="宋体" w:cs="Times New Roman"/>
          <w:color w:val="auto"/>
          <w:sz w:val="24"/>
          <w:szCs w:val="24"/>
        </w:rPr>
        <w:t>第三类淘汰类</w:t>
      </w:r>
      <w:r>
        <w:rPr>
          <w:rFonts w:hint="eastAsia" w:ascii="宋体" w:hAnsi="宋体" w:eastAsia="宋体" w:cs="宋体"/>
          <w:color w:val="auto"/>
          <w:sz w:val="24"/>
          <w:szCs w:val="24"/>
        </w:rPr>
        <w:t>”</w:t>
      </w:r>
      <w:r>
        <w:rPr>
          <w:rFonts w:hint="default" w:ascii="Times New Roman" w:hAnsi="Times New Roman" w:eastAsia="宋体" w:cs="Times New Roman"/>
          <w:color w:val="auto"/>
          <w:sz w:val="24"/>
          <w:szCs w:val="24"/>
        </w:rPr>
        <w:t>中</w:t>
      </w:r>
      <w:r>
        <w:rPr>
          <w:rFonts w:hint="eastAsia" w:ascii="宋体" w:hAnsi="宋体" w:eastAsia="宋体" w:cs="宋体"/>
          <w:color w:val="auto"/>
          <w:sz w:val="24"/>
          <w:szCs w:val="24"/>
        </w:rPr>
        <w:t>“</w:t>
      </w:r>
      <w:r>
        <w:rPr>
          <w:rFonts w:hint="default" w:ascii="Times New Roman" w:hAnsi="Times New Roman" w:eastAsia="宋体" w:cs="Times New Roman"/>
          <w:color w:val="auto"/>
          <w:sz w:val="24"/>
          <w:szCs w:val="24"/>
        </w:rPr>
        <w:t>一、落后生产工艺装备</w:t>
      </w:r>
      <w:r>
        <w:rPr>
          <w:rFonts w:hint="eastAsia" w:ascii="宋体" w:hAnsi="宋体" w:eastAsia="宋体" w:cs="宋体"/>
          <w:color w:val="auto"/>
          <w:sz w:val="24"/>
          <w:szCs w:val="24"/>
        </w:rPr>
        <w:t>”</w:t>
      </w:r>
      <w:r>
        <w:rPr>
          <w:rFonts w:hint="default" w:ascii="Times New Roman" w:hAnsi="Times New Roman" w:eastAsia="宋体" w:cs="Times New Roman"/>
          <w:color w:val="auto"/>
          <w:sz w:val="24"/>
          <w:szCs w:val="24"/>
        </w:rPr>
        <w:t>（六）有色金属第18条</w:t>
      </w:r>
      <w:r>
        <w:rPr>
          <w:rFonts w:hint="eastAsia" w:ascii="宋体" w:hAnsi="宋体" w:eastAsia="宋体" w:cs="宋体"/>
          <w:color w:val="auto"/>
          <w:sz w:val="24"/>
          <w:szCs w:val="24"/>
        </w:rPr>
        <w:t>“</w:t>
      </w:r>
      <w:r>
        <w:rPr>
          <w:rFonts w:hint="default" w:ascii="Times New Roman" w:hAnsi="Times New Roman" w:eastAsia="宋体" w:cs="Times New Roman"/>
          <w:color w:val="auto"/>
          <w:sz w:val="24"/>
          <w:szCs w:val="24"/>
        </w:rPr>
        <w:t>15吨以下再生铝用熔炼炉</w:t>
      </w:r>
      <w:r>
        <w:rPr>
          <w:rFonts w:hint="eastAsia" w:ascii="宋体" w:hAnsi="宋体" w:eastAsia="宋体" w:cs="宋体"/>
          <w:color w:val="auto"/>
          <w:sz w:val="24"/>
          <w:szCs w:val="24"/>
        </w:rPr>
        <w:t>”</w:t>
      </w:r>
      <w:r>
        <w:rPr>
          <w:rFonts w:hint="eastAsia"/>
          <w:color w:val="auto"/>
          <w:kern w:val="24"/>
          <w:sz w:val="24"/>
          <w:lang w:val="en-US" w:eastAsia="zh-CN"/>
        </w:rPr>
        <w:t>”中的淘汰设备，具体为</w:t>
      </w:r>
      <w:r>
        <w:rPr>
          <w:rFonts w:hint="default" w:ascii="Times New Roman" w:hAnsi="Times New Roman" w:eastAsia="宋体" w:cs="Times New Roman"/>
          <w:color w:val="auto"/>
          <w:sz w:val="24"/>
          <w:szCs w:val="24"/>
        </w:rPr>
        <w:t>1台10吨再生铝用熔炼精炼两用炉</w:t>
      </w:r>
      <w:r>
        <w:rPr>
          <w:rFonts w:hint="eastAsia" w:cs="Times New Roman"/>
          <w:color w:val="auto"/>
          <w:sz w:val="24"/>
          <w:szCs w:val="24"/>
          <w:lang w:eastAsia="zh-CN"/>
        </w:rPr>
        <w:t>。</w:t>
      </w:r>
      <w:r>
        <w:rPr>
          <w:rFonts w:hint="eastAsia"/>
          <w:color w:val="auto"/>
          <w:kern w:val="24"/>
          <w:sz w:val="24"/>
          <w:lang w:val="en-US" w:eastAsia="zh-CN"/>
        </w:rPr>
        <w:t>安徽瑞瑟科金属材料有限公司接手了“安徽华中天力铝业有限公司年产11万吨再生铝建设项目的一期工程”后，对生产设备进行升级，</w:t>
      </w:r>
      <w:r>
        <w:rPr>
          <w:rFonts w:hint="eastAsia" w:cs="Times New Roman"/>
          <w:color w:val="auto"/>
          <w:sz w:val="24"/>
          <w:szCs w:val="24"/>
          <w:lang w:eastAsia="zh-CN"/>
        </w:rPr>
        <w:t>优化生产布局、提升装备水平、降低能耗与污染物排放，</w:t>
      </w:r>
      <w:r>
        <w:rPr>
          <w:rFonts w:hint="default" w:ascii="Times New Roman" w:hAnsi="Times New Roman" w:eastAsia="宋体" w:cs="Times New Roman"/>
          <w:color w:val="auto"/>
          <w:sz w:val="24"/>
          <w:szCs w:val="24"/>
        </w:rPr>
        <w:t>将淘汰并拆除现有1台10吨再生铝用熔炼精炼两用炉</w:t>
      </w:r>
      <w:r>
        <w:rPr>
          <w:rFonts w:hint="eastAsia" w:cs="Times New Roman"/>
          <w:color w:val="auto"/>
          <w:sz w:val="24"/>
          <w:szCs w:val="24"/>
          <w:lang w:eastAsia="zh-CN"/>
        </w:rPr>
        <w:t>、</w:t>
      </w:r>
      <w:r>
        <w:rPr>
          <w:rFonts w:hint="eastAsia" w:cs="Times New Roman"/>
          <w:color w:val="auto"/>
          <w:sz w:val="24"/>
          <w:szCs w:val="24"/>
          <w:lang w:val="en-US" w:eastAsia="zh-CN"/>
        </w:rPr>
        <w:t>1台20吨精炼炉。</w:t>
      </w:r>
      <w:r>
        <w:rPr>
          <w:rFonts w:hint="default" w:ascii="Times New Roman" w:hAnsi="Times New Roman" w:eastAsia="宋体" w:cs="Times New Roman"/>
          <w:color w:val="auto"/>
          <w:sz w:val="24"/>
          <w:szCs w:val="24"/>
        </w:rPr>
        <w:t>对现有1台40吨</w:t>
      </w:r>
      <w:r>
        <w:rPr>
          <w:rFonts w:hint="eastAsia" w:cs="Times New Roman"/>
          <w:color w:val="auto"/>
          <w:sz w:val="24"/>
          <w:szCs w:val="24"/>
          <w:lang w:eastAsia="zh-CN"/>
        </w:rPr>
        <w:t>、</w:t>
      </w:r>
      <w:r>
        <w:rPr>
          <w:rFonts w:hint="default" w:ascii="Times New Roman" w:hAnsi="Times New Roman" w:eastAsia="宋体" w:cs="Times New Roman"/>
          <w:color w:val="auto"/>
          <w:sz w:val="24"/>
          <w:szCs w:val="24"/>
        </w:rPr>
        <w:t>1台30吨熔炼炉</w:t>
      </w:r>
      <w:r>
        <w:rPr>
          <w:rFonts w:hint="eastAsia" w:cs="Times New Roman"/>
          <w:color w:val="auto"/>
          <w:sz w:val="24"/>
          <w:szCs w:val="24"/>
          <w:lang w:val="en-US" w:eastAsia="zh-CN"/>
        </w:rPr>
        <w:t>和1台30t精炼炉</w:t>
      </w:r>
      <w:r>
        <w:rPr>
          <w:rFonts w:hint="default" w:ascii="Times New Roman" w:hAnsi="Times New Roman" w:eastAsia="宋体" w:cs="Times New Roman"/>
          <w:color w:val="auto"/>
          <w:sz w:val="24"/>
          <w:szCs w:val="24"/>
        </w:rPr>
        <w:t>实施设备更新与升级，</w:t>
      </w:r>
      <w:r>
        <w:rPr>
          <w:rFonts w:hint="eastAsia" w:ascii="Times New Roman" w:hAnsi="Times New Roman" w:eastAsia="宋体" w:cs="Times New Roman"/>
          <w:color w:val="auto"/>
          <w:sz w:val="24"/>
          <w:szCs w:val="24"/>
          <w:lang w:val="en-US" w:eastAsia="zh-CN"/>
        </w:rPr>
        <w:t>以</w:t>
      </w:r>
      <w:r>
        <w:rPr>
          <w:rFonts w:hint="default" w:ascii="Times New Roman" w:hAnsi="Times New Roman" w:eastAsia="宋体" w:cs="Times New Roman"/>
          <w:color w:val="auto"/>
          <w:sz w:val="24"/>
          <w:szCs w:val="24"/>
        </w:rPr>
        <w:t>提升能效水平和生产效率，推动绿色低碳转型</w:t>
      </w:r>
      <w:r>
        <w:rPr>
          <w:rFonts w:hint="eastAsia" w:cs="Times New Roman"/>
          <w:color w:val="auto"/>
          <w:sz w:val="24"/>
          <w:szCs w:val="24"/>
          <w:lang w:eastAsia="zh-CN"/>
        </w:rPr>
        <w:t>。</w:t>
      </w:r>
    </w:p>
    <w:p w14:paraId="33CA1423">
      <w:pPr>
        <w:adjustRightInd w:val="0"/>
        <w:snapToGrid w:val="0"/>
        <w:spacing w:line="360" w:lineRule="auto"/>
        <w:ind w:firstLine="480" w:firstLineChars="200"/>
        <w:rPr>
          <w:rFonts w:hint="eastAsia" w:cs="Times New Roman"/>
          <w:color w:val="auto"/>
          <w:sz w:val="24"/>
          <w:szCs w:val="24"/>
          <w:lang w:val="en-US" w:eastAsia="zh-CN"/>
        </w:rPr>
      </w:pPr>
      <w:r>
        <w:rPr>
          <w:rFonts w:hint="eastAsia"/>
          <w:color w:val="auto"/>
          <w:kern w:val="24"/>
          <w:sz w:val="24"/>
          <w:lang w:val="en-US" w:eastAsia="zh-CN"/>
        </w:rPr>
        <w:t>安徽瑞瑟科金属材料有限公司</w:t>
      </w:r>
      <w:r>
        <w:rPr>
          <w:rFonts w:hint="eastAsia" w:ascii="宋体" w:hAnsi="宋体" w:eastAsia="宋体" w:cs="宋体"/>
          <w:sz w:val="24"/>
          <w:szCs w:val="24"/>
          <w:lang w:val="en-US" w:eastAsia="zh-CN"/>
        </w:rPr>
        <w:t>为</w:t>
      </w:r>
      <w:r>
        <w:rPr>
          <w:rFonts w:ascii="宋体" w:hAnsi="宋体" w:eastAsia="宋体" w:cs="宋体"/>
          <w:sz w:val="24"/>
          <w:szCs w:val="24"/>
        </w:rPr>
        <w:t>满足</w:t>
      </w:r>
      <w:r>
        <w:rPr>
          <w:rFonts w:hint="eastAsia" w:ascii="宋体" w:hAnsi="宋体" w:cs="宋体"/>
          <w:sz w:val="24"/>
          <w:szCs w:val="24"/>
          <w:lang w:val="en-US" w:eastAsia="zh-CN"/>
        </w:rPr>
        <w:t>市场</w:t>
      </w:r>
      <w:r>
        <w:rPr>
          <w:rFonts w:ascii="宋体" w:hAnsi="宋体" w:eastAsia="宋体" w:cs="宋体"/>
          <w:sz w:val="24"/>
          <w:szCs w:val="24"/>
        </w:rPr>
        <w:t>高端化、</w:t>
      </w:r>
      <w:r>
        <w:rPr>
          <w:rFonts w:hint="eastAsia" w:ascii="宋体" w:hAnsi="宋体" w:cs="宋体"/>
          <w:sz w:val="24"/>
          <w:szCs w:val="24"/>
          <w:lang w:eastAsia="zh-CN"/>
        </w:rPr>
        <w:t>高效</w:t>
      </w:r>
      <w:r>
        <w:rPr>
          <w:rFonts w:ascii="宋体" w:hAnsi="宋体" w:eastAsia="宋体" w:cs="宋体"/>
          <w:sz w:val="24"/>
          <w:szCs w:val="24"/>
        </w:rPr>
        <w:t>铸锭</w:t>
      </w:r>
      <w:r>
        <w:rPr>
          <w:rFonts w:hint="eastAsia" w:ascii="宋体" w:hAnsi="宋体" w:eastAsia="宋体" w:cs="宋体"/>
          <w:sz w:val="24"/>
          <w:szCs w:val="24"/>
          <w:lang w:val="en-US" w:eastAsia="zh-CN"/>
        </w:rPr>
        <w:t>的生产</w:t>
      </w:r>
      <w:r>
        <w:rPr>
          <w:rFonts w:ascii="宋体" w:hAnsi="宋体" w:eastAsia="宋体" w:cs="宋体"/>
          <w:sz w:val="24"/>
          <w:szCs w:val="24"/>
        </w:rPr>
        <w:t>需求</w:t>
      </w:r>
      <w:r>
        <w:rPr>
          <w:rFonts w:hint="eastAsia" w:ascii="宋体" w:hAnsi="宋体" w:eastAsia="宋体" w:cs="宋体"/>
          <w:sz w:val="24"/>
          <w:szCs w:val="24"/>
          <w:lang w:eastAsia="zh-CN"/>
        </w:rPr>
        <w:t>，</w:t>
      </w:r>
      <w:r>
        <w:rPr>
          <w:rFonts w:hint="default" w:ascii="Times New Roman" w:hAnsi="Times New Roman" w:eastAsia="宋体" w:cs="Times New Roman"/>
          <w:sz w:val="24"/>
          <w:szCs w:val="24"/>
          <w:lang w:val="en-US" w:eastAsia="zh-CN"/>
        </w:rPr>
        <w:t>将</w:t>
      </w:r>
      <w:r>
        <w:rPr>
          <w:rFonts w:hint="eastAsia" w:cs="Times New Roman"/>
          <w:sz w:val="24"/>
          <w:szCs w:val="24"/>
          <w:lang w:val="en-US" w:eastAsia="zh-CN"/>
        </w:rPr>
        <w:t>原项目中的</w:t>
      </w:r>
      <w:r>
        <w:rPr>
          <w:rFonts w:hint="default" w:ascii="Times New Roman" w:hAnsi="Times New Roman" w:eastAsia="宋体" w:cs="Times New Roman"/>
          <w:sz w:val="24"/>
          <w:szCs w:val="24"/>
          <w:lang w:val="en-US" w:eastAsia="zh-CN"/>
        </w:rPr>
        <w:t>2条</w:t>
      </w:r>
      <w:r>
        <w:rPr>
          <w:rFonts w:hint="eastAsia" w:ascii="Times New Roman" w:hAnsi="Times New Roman" w:eastAsia="宋体" w:cs="Times New Roman"/>
          <w:sz w:val="24"/>
          <w:szCs w:val="24"/>
          <w:lang w:val="en-US" w:eastAsia="zh-CN"/>
        </w:rPr>
        <w:t>260</w:t>
      </w:r>
      <w:r>
        <w:rPr>
          <w:rFonts w:hint="default" w:ascii="Times New Roman" w:hAnsi="Times New Roman" w:eastAsia="宋体" w:cs="Times New Roman"/>
          <w:sz w:val="24"/>
          <w:szCs w:val="24"/>
          <w:lang w:val="en-US" w:eastAsia="zh-CN"/>
        </w:rPr>
        <w:t>模铸锭叠锭</w:t>
      </w:r>
      <w:r>
        <w:rPr>
          <w:rFonts w:hint="eastAsia" w:ascii="Times New Roman" w:hAnsi="Times New Roman" w:eastAsia="宋体" w:cs="Times New Roman"/>
          <w:sz w:val="24"/>
          <w:szCs w:val="24"/>
          <w:lang w:val="en-US" w:eastAsia="zh-CN"/>
        </w:rPr>
        <w:t>生产</w:t>
      </w:r>
      <w:r>
        <w:rPr>
          <w:rFonts w:hint="default" w:ascii="Times New Roman" w:hAnsi="Times New Roman" w:eastAsia="宋体" w:cs="Times New Roman"/>
          <w:sz w:val="24"/>
          <w:szCs w:val="24"/>
          <w:lang w:val="en-US" w:eastAsia="zh-CN"/>
        </w:rPr>
        <w:t>线</w:t>
      </w:r>
      <w:r>
        <w:rPr>
          <w:rFonts w:hint="eastAsia" w:cs="Times New Roman"/>
          <w:sz w:val="24"/>
          <w:szCs w:val="24"/>
          <w:lang w:val="en-US" w:eastAsia="zh-CN"/>
        </w:rPr>
        <w:t>设备更新为</w:t>
      </w:r>
      <w:r>
        <w:rPr>
          <w:rFonts w:hint="eastAsia" w:ascii="Times New Roman" w:hAnsi="Times New Roman" w:eastAsia="宋体" w:cs="Times New Roman"/>
          <w:sz w:val="24"/>
          <w:szCs w:val="24"/>
          <w:lang w:val="en-US" w:eastAsia="zh-CN"/>
        </w:rPr>
        <w:t>2条</w:t>
      </w:r>
      <w:r>
        <w:rPr>
          <w:rFonts w:hint="eastAsia" w:cs="Times New Roman"/>
          <w:color w:val="auto"/>
          <w:sz w:val="24"/>
          <w:szCs w:val="24"/>
          <w:lang w:val="en-US" w:eastAsia="zh-CN"/>
        </w:rPr>
        <w:t>500模铸锭叠锭生产线。</w:t>
      </w:r>
    </w:p>
    <w:p w14:paraId="1077A406">
      <w:pPr>
        <w:adjustRightInd w:val="0"/>
        <w:snapToGrid w:val="0"/>
        <w:spacing w:line="360" w:lineRule="auto"/>
        <w:ind w:firstLine="480" w:firstLineChars="200"/>
        <w:rPr>
          <w:rFonts w:hint="default" w:eastAsia="宋体"/>
          <w:color w:val="auto"/>
          <w:kern w:val="24"/>
          <w:sz w:val="24"/>
          <w:lang w:val="en-US" w:eastAsia="zh-CN"/>
        </w:rPr>
      </w:pPr>
      <w:r>
        <w:rPr>
          <w:rFonts w:hint="eastAsia" w:cs="Times New Roman"/>
          <w:color w:val="auto"/>
          <w:sz w:val="24"/>
          <w:szCs w:val="24"/>
          <w:lang w:val="en-US" w:eastAsia="zh-CN"/>
        </w:rPr>
        <w:t>目前厂区主要生产设备</w:t>
      </w:r>
      <w:r>
        <w:rPr>
          <w:rFonts w:hint="default" w:ascii="Times New Roman" w:hAnsi="Times New Roman" w:eastAsia="宋体" w:cs="Times New Roman"/>
          <w:color w:val="auto"/>
          <w:sz w:val="24"/>
          <w:szCs w:val="24"/>
        </w:rPr>
        <w:t>1台40吨熔炼炉</w:t>
      </w:r>
      <w:r>
        <w:rPr>
          <w:rFonts w:hint="eastAsia" w:cs="Times New Roman"/>
          <w:color w:val="auto"/>
          <w:sz w:val="24"/>
          <w:szCs w:val="24"/>
          <w:lang w:eastAsia="zh-CN"/>
        </w:rPr>
        <w:t>、</w:t>
      </w:r>
      <w:r>
        <w:rPr>
          <w:rFonts w:hint="default" w:ascii="Times New Roman" w:hAnsi="Times New Roman" w:eastAsia="宋体" w:cs="Times New Roman"/>
          <w:color w:val="auto"/>
          <w:sz w:val="24"/>
          <w:szCs w:val="24"/>
        </w:rPr>
        <w:t>1台30吨熔炼炉</w:t>
      </w:r>
      <w:r>
        <w:rPr>
          <w:rFonts w:hint="eastAsia" w:cs="Times New Roman"/>
          <w:color w:val="auto"/>
          <w:sz w:val="24"/>
          <w:szCs w:val="24"/>
          <w:lang w:eastAsia="zh-CN"/>
        </w:rPr>
        <w:t>、</w:t>
      </w:r>
      <w:r>
        <w:rPr>
          <w:rFonts w:hint="eastAsia" w:cs="Times New Roman"/>
          <w:color w:val="auto"/>
          <w:sz w:val="24"/>
          <w:szCs w:val="24"/>
          <w:lang w:val="en-US" w:eastAsia="zh-CN"/>
        </w:rPr>
        <w:t>1台30吨精炼炉和2条500模铸锭叠锭生产线已升级更新完成，通过“炉组轮换、错峰熔炼”的方式，项目产能不突破</w:t>
      </w:r>
      <w:r>
        <w:rPr>
          <w:rFonts w:hint="eastAsia"/>
          <w:color w:val="auto"/>
          <w:kern w:val="24"/>
          <w:sz w:val="24"/>
          <w:lang w:val="en-US" w:eastAsia="zh-CN"/>
        </w:rPr>
        <w:t>“安徽华中天力铝业有限公司年产11万吨再生铝建设项目的一期工程”产能（即5.05万吨/年）。</w:t>
      </w:r>
    </w:p>
    <w:p w14:paraId="44692735">
      <w:pPr>
        <w:adjustRightInd w:val="0"/>
        <w:snapToGrid w:val="0"/>
        <w:spacing w:line="360" w:lineRule="auto"/>
        <w:ind w:firstLine="480" w:firstLineChars="200"/>
        <w:rPr>
          <w:rFonts w:hint="default" w:eastAsia="宋体"/>
          <w:snapToGrid w:val="0"/>
          <w:color w:val="auto"/>
          <w:sz w:val="24"/>
          <w:szCs w:val="32"/>
          <w:lang w:val="en-US" w:eastAsia="zh-CN"/>
        </w:rPr>
      </w:pPr>
      <w:r>
        <w:rPr>
          <w:rFonts w:hint="eastAsia" w:ascii="Times New Roman" w:hAnsi="Times New Roman" w:eastAsia="宋体" w:cs="Times New Roman"/>
          <w:color w:val="0000FF"/>
          <w:sz w:val="24"/>
          <w:szCs w:val="24"/>
          <w:lang w:val="en-US" w:eastAsia="zh-CN"/>
        </w:rPr>
        <w:t>企业</w:t>
      </w:r>
      <w:r>
        <w:rPr>
          <w:rFonts w:hint="eastAsia" w:cs="Times New Roman"/>
          <w:color w:val="0000FF"/>
          <w:sz w:val="24"/>
          <w:szCs w:val="24"/>
          <w:lang w:val="en-US" w:eastAsia="zh-CN"/>
        </w:rPr>
        <w:t>在保持产能不变，升级更新设备的同时，还升级更新原项目的污染防治措施，具体为</w:t>
      </w:r>
      <w:r>
        <w:rPr>
          <w:rFonts w:hint="eastAsia" w:cs="Times New Roman"/>
          <w:color w:val="0000FF"/>
          <w:sz w:val="24"/>
          <w:lang w:val="en-US" w:eastAsia="zh-CN"/>
        </w:rPr>
        <w:t>将</w:t>
      </w:r>
      <w:r>
        <w:rPr>
          <w:rFonts w:hint="default" w:ascii="Times New Roman" w:hAnsi="Times New Roman" w:eastAsia="宋体" w:cs="Times New Roman"/>
          <w:color w:val="0000FF"/>
          <w:sz w:val="24"/>
          <w:lang w:val="en-US" w:eastAsia="zh-CN"/>
        </w:rPr>
        <w:t>两套独立</w:t>
      </w:r>
      <w:r>
        <w:rPr>
          <w:rFonts w:hint="eastAsia" w:cs="Times New Roman"/>
          <w:color w:val="0000FF"/>
          <w:sz w:val="24"/>
          <w:lang w:val="en-US" w:eastAsia="zh-CN"/>
        </w:rPr>
        <w:t>“</w:t>
      </w:r>
      <w:r>
        <w:rPr>
          <w:rFonts w:hint="default" w:ascii="Times New Roman" w:hAnsi="Times New Roman" w:eastAsia="宋体" w:cs="Times New Roman"/>
          <w:color w:val="0000FF"/>
          <w:sz w:val="24"/>
          <w:lang w:val="en-US" w:eastAsia="zh-CN"/>
        </w:rPr>
        <w:t>旋风+布袋+碱喷淋</w:t>
      </w:r>
      <w:r>
        <w:rPr>
          <w:rFonts w:hint="eastAsia" w:cs="Times New Roman"/>
          <w:color w:val="0000FF"/>
          <w:sz w:val="24"/>
          <w:lang w:val="en-US" w:eastAsia="zh-CN"/>
        </w:rPr>
        <w:t>”装置</w:t>
      </w:r>
      <w:r>
        <w:rPr>
          <w:rFonts w:hint="default" w:ascii="Times New Roman" w:hAnsi="Times New Roman" w:eastAsia="宋体" w:cs="Times New Roman"/>
          <w:color w:val="0000FF"/>
          <w:sz w:val="24"/>
          <w:lang w:val="en-US" w:eastAsia="zh-CN"/>
        </w:rPr>
        <w:t>整合为一套分质预处理+集中后处理</w:t>
      </w:r>
      <w:r>
        <w:rPr>
          <w:rFonts w:hint="eastAsia" w:cs="Times New Roman"/>
          <w:color w:val="0000FF"/>
          <w:sz w:val="24"/>
          <w:lang w:val="en-US" w:eastAsia="zh-CN"/>
        </w:rPr>
        <w:t>装置，同时</w:t>
      </w:r>
      <w:r>
        <w:rPr>
          <w:rFonts w:hint="eastAsia" w:ascii="Times New Roman" w:hAnsi="Times New Roman" w:eastAsia="宋体" w:cs="Times New Roman"/>
          <w:color w:val="0000FF"/>
          <w:sz w:val="24"/>
          <w:szCs w:val="24"/>
          <w:lang w:val="en-US" w:eastAsia="zh-CN"/>
        </w:rPr>
        <w:t>新增SNCR废气处理设施，</w:t>
      </w:r>
      <w:r>
        <w:rPr>
          <w:rFonts w:ascii="宋体" w:hAnsi="宋体" w:eastAsia="宋体" w:cs="宋体"/>
          <w:color w:val="0000FF"/>
          <w:sz w:val="24"/>
          <w:szCs w:val="24"/>
        </w:rPr>
        <w:t>强化</w:t>
      </w:r>
      <w:r>
        <w:rPr>
          <w:rFonts w:hint="eastAsia" w:ascii="Times New Roman" w:hAnsi="Times New Roman" w:eastAsia="宋体" w:cs="Times New Roman"/>
          <w:color w:val="0000FF"/>
          <w:sz w:val="24"/>
          <w:szCs w:val="24"/>
          <w:lang w:val="en-US" w:eastAsia="zh-CN"/>
        </w:rPr>
        <w:t>氮氧化物</w:t>
      </w:r>
      <w:r>
        <w:rPr>
          <w:rFonts w:ascii="宋体" w:hAnsi="宋体" w:eastAsia="宋体" w:cs="宋体"/>
          <w:color w:val="0000FF"/>
          <w:sz w:val="24"/>
          <w:szCs w:val="24"/>
        </w:rPr>
        <w:t>废气治理能力</w:t>
      </w:r>
      <w:r>
        <w:rPr>
          <w:rFonts w:hint="eastAsia" w:ascii="宋体" w:hAnsi="宋体" w:cs="宋体"/>
          <w:color w:val="0000FF"/>
          <w:sz w:val="24"/>
          <w:szCs w:val="24"/>
          <w:lang w:eastAsia="zh-CN"/>
        </w:rPr>
        <w:t>；</w:t>
      </w:r>
      <w:r>
        <w:rPr>
          <w:rFonts w:hint="eastAsia" w:ascii="宋体" w:hAnsi="宋体" w:cs="宋体"/>
          <w:color w:val="0000FF"/>
          <w:sz w:val="24"/>
          <w:szCs w:val="24"/>
          <w:lang w:val="en-US" w:eastAsia="zh-CN"/>
        </w:rPr>
        <w:t>新增活性炭喷粉措施以处理二噁英废气，调整后废气处理措施为“</w:t>
      </w:r>
      <w:r>
        <w:rPr>
          <w:rFonts w:hint="default" w:ascii="Times New Roman" w:hAnsi="Times New Roman" w:cs="Times New Roman"/>
          <w:color w:val="0000FF"/>
          <w:sz w:val="24"/>
          <w:szCs w:val="24"/>
          <w:lang w:val="en-US" w:eastAsia="zh-CN"/>
        </w:rPr>
        <w:t>SNCR +</w:t>
      </w:r>
      <w:r>
        <w:rPr>
          <w:rFonts w:hint="eastAsia" w:cs="Times New Roman"/>
          <w:color w:val="0000FF"/>
          <w:sz w:val="24"/>
          <w:szCs w:val="24"/>
          <w:lang w:val="en-US" w:eastAsia="zh-CN"/>
        </w:rPr>
        <w:t>烟气</w:t>
      </w:r>
      <w:r>
        <w:rPr>
          <w:rFonts w:hint="default" w:ascii="Times New Roman" w:hAnsi="Times New Roman" w:cs="Times New Roman"/>
          <w:color w:val="0000FF"/>
          <w:sz w:val="24"/>
          <w:szCs w:val="24"/>
          <w:lang w:val="en-US" w:eastAsia="zh-CN"/>
        </w:rPr>
        <w:t>急冷</w:t>
      </w:r>
      <w:r>
        <w:rPr>
          <w:rFonts w:hint="eastAsia" w:cs="Times New Roman"/>
          <w:color w:val="0000FF"/>
          <w:sz w:val="24"/>
          <w:szCs w:val="24"/>
          <w:lang w:val="en-US" w:eastAsia="zh-CN"/>
        </w:rPr>
        <w:t>+</w:t>
      </w:r>
      <w:r>
        <w:rPr>
          <w:rFonts w:hint="default" w:ascii="Times New Roman" w:hAnsi="Times New Roman" w:cs="Times New Roman"/>
          <w:color w:val="0000FF"/>
          <w:sz w:val="24"/>
          <w:szCs w:val="24"/>
          <w:lang w:val="en-US" w:eastAsia="zh-CN"/>
        </w:rPr>
        <w:t>活性炭喷粉+重力沉降</w:t>
      </w:r>
      <w:r>
        <w:rPr>
          <w:rFonts w:hint="eastAsia" w:ascii="Times New Roman" w:hAnsi="Times New Roman" w:cs="Times New Roman"/>
          <w:color w:val="0000FF"/>
          <w:sz w:val="24"/>
          <w:szCs w:val="24"/>
          <w:lang w:val="en-US" w:eastAsia="zh-CN"/>
        </w:rPr>
        <w:t>除尘</w:t>
      </w:r>
      <w:r>
        <w:rPr>
          <w:rFonts w:hint="default" w:ascii="Times New Roman" w:hAnsi="Times New Roman" w:cs="Times New Roman"/>
          <w:color w:val="0000FF"/>
          <w:sz w:val="24"/>
          <w:szCs w:val="24"/>
          <w:lang w:val="en-US" w:eastAsia="zh-CN"/>
        </w:rPr>
        <w:t>+布袋</w:t>
      </w:r>
      <w:r>
        <w:rPr>
          <w:rFonts w:hint="eastAsia" w:ascii="Times New Roman" w:hAnsi="Times New Roman" w:cs="Times New Roman"/>
          <w:color w:val="0000FF"/>
          <w:sz w:val="24"/>
          <w:szCs w:val="24"/>
          <w:lang w:val="en-US" w:eastAsia="zh-CN"/>
        </w:rPr>
        <w:t>除尘</w:t>
      </w:r>
      <w:r>
        <w:rPr>
          <w:rFonts w:hint="default" w:ascii="Times New Roman" w:hAnsi="Times New Roman" w:cs="Times New Roman"/>
          <w:color w:val="0000FF"/>
          <w:sz w:val="24"/>
          <w:szCs w:val="24"/>
          <w:lang w:val="en-US" w:eastAsia="zh-CN"/>
        </w:rPr>
        <w:t>+碱喷淋</w:t>
      </w:r>
      <w:r>
        <w:rPr>
          <w:rFonts w:hint="eastAsia" w:ascii="宋体" w:hAnsi="宋体" w:cs="宋体"/>
          <w:color w:val="0000FF"/>
          <w:sz w:val="24"/>
          <w:szCs w:val="24"/>
          <w:lang w:val="en-US" w:eastAsia="zh-CN"/>
        </w:rPr>
        <w:t>”</w:t>
      </w:r>
      <w:r>
        <w:rPr>
          <w:rFonts w:hint="eastAsia" w:ascii="宋体" w:hAnsi="宋体" w:cs="宋体"/>
          <w:color w:val="0000FF"/>
          <w:sz w:val="24"/>
          <w:szCs w:val="24"/>
          <w:lang w:eastAsia="zh-CN"/>
        </w:rPr>
        <w:t>。</w:t>
      </w:r>
      <w:r>
        <w:rPr>
          <w:rFonts w:hint="eastAsia" w:ascii="宋体" w:hAnsi="宋体" w:cs="宋体"/>
          <w:color w:val="auto"/>
          <w:sz w:val="24"/>
          <w:szCs w:val="24"/>
          <w:lang w:val="en-US" w:eastAsia="zh-CN"/>
        </w:rPr>
        <w:t>并且将</w:t>
      </w:r>
      <w:r>
        <w:rPr>
          <w:rFonts w:hint="default" w:ascii="Times New Roman" w:hAnsi="Times New Roman" w:eastAsia="宋体" w:cs="Times New Roman"/>
          <w:color w:val="auto"/>
          <w:sz w:val="24"/>
          <w:szCs w:val="24"/>
          <w:lang w:val="en-US" w:eastAsia="zh-CN"/>
        </w:rPr>
        <w:t>铝灰暂存废气由无组织排放改为有组织排放</w:t>
      </w:r>
      <w:r>
        <w:rPr>
          <w:rFonts w:hint="eastAsia" w:ascii="Times New Roman" w:hAnsi="Times New Roman" w:eastAsia="宋体" w:cs="Times New Roman"/>
          <w:color w:val="auto"/>
          <w:sz w:val="24"/>
          <w:szCs w:val="24"/>
          <w:lang w:val="en-US" w:eastAsia="zh-CN"/>
        </w:rPr>
        <w:t>，新增一套</w:t>
      </w:r>
      <w:r>
        <w:rPr>
          <w:rFonts w:hint="eastAsia" w:cs="Times New Roman"/>
          <w:color w:val="auto"/>
          <w:sz w:val="24"/>
          <w:highlight w:val="none"/>
          <w:lang w:val="en-US" w:eastAsia="zh-CN"/>
        </w:rPr>
        <w:t>“一级水喷淋装置”用于处理</w:t>
      </w:r>
      <w:r>
        <w:rPr>
          <w:rFonts w:hint="eastAsia" w:cs="Times New Roman"/>
          <w:b w:val="0"/>
          <w:bCs w:val="0"/>
          <w:color w:val="auto"/>
          <w:sz w:val="24"/>
          <w:szCs w:val="24"/>
          <w:lang w:val="en-US" w:eastAsia="zh-CN"/>
        </w:rPr>
        <w:t>铝灰暂存时</w:t>
      </w:r>
      <w:r>
        <w:rPr>
          <w:rFonts w:hint="default" w:ascii="Times New Roman" w:hAnsi="Times New Roman" w:eastAsia="宋体" w:cs="Times New Roman"/>
          <w:color w:val="auto"/>
          <w:sz w:val="24"/>
          <w:highlight w:val="none"/>
          <w:lang w:val="en-US" w:eastAsia="zh-CN"/>
        </w:rPr>
        <w:t>铝灰渣中的氮化铝与空气中的水蒸气反应生成氨气</w:t>
      </w:r>
      <w:r>
        <w:rPr>
          <w:rFonts w:hint="eastAsia" w:cs="Times New Roman"/>
          <w:color w:val="auto"/>
          <w:sz w:val="24"/>
          <w:highlight w:val="none"/>
          <w:lang w:val="en-US" w:eastAsia="zh-CN"/>
        </w:rPr>
        <w:t>，目前，污染防治措施的升级更新正在建设中。</w:t>
      </w:r>
    </w:p>
    <w:p w14:paraId="55D3F81A">
      <w:pPr>
        <w:adjustRightInd w:val="0"/>
        <w:snapToGrid w:val="0"/>
        <w:spacing w:line="360" w:lineRule="auto"/>
        <w:ind w:firstLine="480" w:firstLineChars="200"/>
        <w:rPr>
          <w:rFonts w:hint="eastAsia"/>
          <w:snapToGrid w:val="0"/>
          <w:color w:val="0000FF"/>
          <w:sz w:val="24"/>
          <w:szCs w:val="32"/>
          <w:lang w:val="en-US" w:eastAsia="zh-CN"/>
        </w:rPr>
      </w:pPr>
      <w:r>
        <w:rPr>
          <w:rFonts w:hint="eastAsia"/>
          <w:snapToGrid w:val="0"/>
          <w:color w:val="0000FF"/>
          <w:sz w:val="24"/>
          <w:szCs w:val="32"/>
          <w:lang w:val="en-US" w:eastAsia="zh-CN"/>
        </w:rPr>
        <w:t>对照</w:t>
      </w:r>
      <w:r>
        <w:rPr>
          <w:rFonts w:hint="eastAsia" w:ascii="Times New Roman" w:hAnsi="Times New Roman" w:cs="Times New Roman"/>
          <w:color w:val="0000FF"/>
          <w:sz w:val="24"/>
          <w:highlight w:val="none"/>
          <w:u w:val="none"/>
          <w:lang w:val="en-US" w:eastAsia="zh-CN"/>
        </w:rPr>
        <w:t>《污染影响类建设项目重大变动清单（试行）的通知》（环办环评函（2020）688号），</w:t>
      </w:r>
      <w:r>
        <w:rPr>
          <w:rFonts w:hint="eastAsia"/>
          <w:snapToGrid w:val="0"/>
          <w:color w:val="0000FF"/>
          <w:sz w:val="24"/>
          <w:szCs w:val="32"/>
          <w:lang w:val="en-US" w:eastAsia="zh-CN"/>
        </w:rPr>
        <w:t>企业本次实施的生产设备升级更新，</w:t>
      </w:r>
      <w:r>
        <w:rPr>
          <w:rFonts w:hint="eastAsia"/>
          <w:b w:val="0"/>
          <w:bCs w:val="0"/>
          <w:color w:val="0000FF"/>
          <w:sz w:val="24"/>
          <w:szCs w:val="32"/>
          <w:highlight w:val="none"/>
          <w:lang w:val="en-US" w:eastAsia="zh-CN"/>
        </w:rPr>
        <w:t>仅对原有设备进行功能整合、低效设备淘汰和铸锭设备规格替换</w:t>
      </w:r>
      <w:r>
        <w:rPr>
          <w:rFonts w:hint="eastAsia"/>
          <w:snapToGrid w:val="0"/>
          <w:color w:val="0000FF"/>
          <w:sz w:val="24"/>
          <w:szCs w:val="32"/>
          <w:lang w:val="en-US" w:eastAsia="zh-CN"/>
        </w:rPr>
        <w:t>（不涉及设备数量大幅增加、生产能力显著扩大、生产工艺发生根本性改变），升级后设备的生产规模、产品方案、污染物产生环节及产生量均未发生实质性变化，未达到《清单》中关于生产设备重大变动的认定条件；废气处理设施的升级更新，主要为现有处理设施的升级改造、效率提升，未改变废气处理工艺类型、处理规模，未降低废气处理效率，更新后废气污染物排放量均未发生改变，亦未达到《清单》中关于废气处理设施重大变动的认定标准。</w:t>
      </w:r>
    </w:p>
    <w:p w14:paraId="04BB0922">
      <w:pPr>
        <w:adjustRightInd w:val="0"/>
        <w:snapToGrid w:val="0"/>
        <w:spacing w:line="360" w:lineRule="auto"/>
        <w:ind w:firstLine="480" w:firstLineChars="200"/>
        <w:rPr>
          <w:snapToGrid w:val="0"/>
          <w:color w:val="auto"/>
          <w:sz w:val="24"/>
          <w:szCs w:val="32"/>
        </w:rPr>
      </w:pPr>
      <w:r>
        <w:rPr>
          <w:snapToGrid w:val="0"/>
          <w:color w:val="auto"/>
          <w:sz w:val="24"/>
          <w:szCs w:val="32"/>
        </w:rPr>
        <w:t>依据《中华人民共和国环境影响评价法》第二十七条及《建设项目环境影响后评价管理办法（试行）》的相关规定，</w:t>
      </w:r>
      <w:r>
        <w:rPr>
          <w:rFonts w:hint="eastAsia"/>
          <w:snapToGrid w:val="0"/>
          <w:color w:val="auto"/>
          <w:sz w:val="24"/>
          <w:szCs w:val="32"/>
        </w:rPr>
        <w:t>公司结合实际变化情况依法组织开展环境影响后评价，委托安徽善宇环保科技有限公司开展环境影响后评价工作。</w:t>
      </w:r>
    </w:p>
    <w:p w14:paraId="1E802066">
      <w:pPr>
        <w:adjustRightInd w:val="0"/>
        <w:snapToGrid w:val="0"/>
        <w:spacing w:line="360" w:lineRule="auto"/>
        <w:ind w:firstLine="480" w:firstLineChars="200"/>
        <w:rPr>
          <w:color w:val="auto"/>
          <w:sz w:val="24"/>
          <w:szCs w:val="32"/>
        </w:rPr>
      </w:pPr>
      <w:r>
        <w:rPr>
          <w:color w:val="auto"/>
          <w:sz w:val="24"/>
          <w:szCs w:val="32"/>
        </w:rPr>
        <w:t>安徽善宇环保科技有限公司技术人员在现场踏勘和完成资料收集的基础上，根据项目所在地的环境特点和工程建设、运行可能对环境造成的影响和范围，依据国家和地方有关环保法规及评价技术规定，编制完成本环境影响后评价报告，上报生态环境主管部门备案。</w:t>
      </w:r>
    </w:p>
    <w:p w14:paraId="3467A659">
      <w:pPr>
        <w:adjustRightInd w:val="0"/>
        <w:snapToGrid w:val="0"/>
        <w:spacing w:line="360" w:lineRule="auto"/>
        <w:outlineLvl w:val="1"/>
        <w:rPr>
          <w:b/>
          <w:bCs/>
          <w:color w:val="auto"/>
          <w:sz w:val="28"/>
          <w:szCs w:val="36"/>
        </w:rPr>
      </w:pPr>
      <w:bookmarkStart w:id="39" w:name="_Toc26544"/>
      <w:r>
        <w:rPr>
          <w:b/>
          <w:bCs/>
          <w:color w:val="auto"/>
          <w:sz w:val="28"/>
          <w:szCs w:val="36"/>
        </w:rPr>
        <w:t>1.2 评价目的</w:t>
      </w:r>
      <w:bookmarkEnd w:id="39"/>
    </w:p>
    <w:p w14:paraId="07656E24">
      <w:pPr>
        <w:adjustRightInd w:val="0"/>
        <w:snapToGrid w:val="0"/>
        <w:spacing w:line="360" w:lineRule="auto"/>
        <w:ind w:firstLine="480" w:firstLineChars="200"/>
        <w:rPr>
          <w:color w:val="auto"/>
          <w:sz w:val="24"/>
          <w:szCs w:val="32"/>
        </w:rPr>
      </w:pPr>
      <w:r>
        <w:rPr>
          <w:color w:val="auto"/>
          <w:sz w:val="24"/>
          <w:szCs w:val="32"/>
        </w:rPr>
        <w:t>本次评价的目的是依据该项目原环境影响报告书、环评批复、竣工环境保护验收监测报告和竣工环保验收意见等，通过收集资料和必要的对比分析，对项目建设变动内容实际产生的环境影响以及污染防治、生态保护和风险防范措施的有效性进行跟踪监测和验证评价，并提出补救方案或者改进措施，为项目的完善、优化和环境管理决策提供技术支持。</w:t>
      </w:r>
    </w:p>
    <w:p w14:paraId="593F0B55">
      <w:pPr>
        <w:adjustRightInd w:val="0"/>
        <w:snapToGrid w:val="0"/>
        <w:spacing w:line="360" w:lineRule="auto"/>
        <w:outlineLvl w:val="2"/>
        <w:rPr>
          <w:b/>
          <w:bCs/>
          <w:color w:val="auto"/>
          <w:sz w:val="24"/>
          <w:szCs w:val="32"/>
        </w:rPr>
      </w:pPr>
      <w:r>
        <w:rPr>
          <w:b/>
          <w:bCs/>
          <w:color w:val="auto"/>
          <w:sz w:val="24"/>
          <w:szCs w:val="32"/>
        </w:rPr>
        <w:t>1.2.1国家法律法规</w:t>
      </w:r>
    </w:p>
    <w:p w14:paraId="62A294D1">
      <w:pPr>
        <w:adjustRightInd w:val="0"/>
        <w:snapToGrid w:val="0"/>
        <w:spacing w:line="360" w:lineRule="auto"/>
        <w:ind w:firstLine="240" w:firstLineChars="100"/>
        <w:rPr>
          <w:color w:val="auto"/>
          <w:sz w:val="24"/>
          <w:szCs w:val="32"/>
        </w:rPr>
      </w:pPr>
      <w:bookmarkStart w:id="40" w:name="_Toc32398"/>
      <w:bookmarkStart w:id="41" w:name="_Toc18911"/>
      <w:bookmarkStart w:id="42" w:name="_Toc30485"/>
      <w:bookmarkStart w:id="43" w:name="_Toc20564"/>
      <w:r>
        <w:rPr>
          <w:color w:val="auto"/>
          <w:sz w:val="24"/>
          <w:szCs w:val="32"/>
        </w:rPr>
        <w:t>1、《中华人民共和国环境保护法》，2015年1月1日；</w:t>
      </w:r>
      <w:bookmarkEnd w:id="40"/>
      <w:bookmarkEnd w:id="41"/>
      <w:bookmarkEnd w:id="42"/>
      <w:bookmarkEnd w:id="43"/>
    </w:p>
    <w:p w14:paraId="12340712">
      <w:pPr>
        <w:adjustRightInd w:val="0"/>
        <w:snapToGrid w:val="0"/>
        <w:spacing w:line="360" w:lineRule="auto"/>
        <w:ind w:firstLine="240" w:firstLineChars="100"/>
        <w:rPr>
          <w:color w:val="auto"/>
          <w:sz w:val="24"/>
          <w:szCs w:val="32"/>
        </w:rPr>
      </w:pPr>
      <w:r>
        <w:rPr>
          <w:color w:val="auto"/>
          <w:sz w:val="24"/>
          <w:szCs w:val="32"/>
        </w:rPr>
        <w:t>2、《中华人民共和国环境影响评价法》，2016年9月1日施行；</w:t>
      </w:r>
    </w:p>
    <w:p w14:paraId="70FFFBA7">
      <w:pPr>
        <w:adjustRightInd w:val="0"/>
        <w:snapToGrid w:val="0"/>
        <w:spacing w:line="360" w:lineRule="auto"/>
        <w:ind w:firstLine="240" w:firstLineChars="100"/>
        <w:rPr>
          <w:color w:val="auto"/>
          <w:sz w:val="24"/>
          <w:szCs w:val="32"/>
        </w:rPr>
      </w:pPr>
      <w:bookmarkStart w:id="44" w:name="_Toc23842"/>
      <w:bookmarkStart w:id="45" w:name="_Toc15174"/>
      <w:bookmarkStart w:id="46" w:name="_Toc26293"/>
      <w:bookmarkStart w:id="47" w:name="_Toc25417"/>
      <w:r>
        <w:rPr>
          <w:color w:val="auto"/>
          <w:sz w:val="24"/>
          <w:szCs w:val="32"/>
        </w:rPr>
        <w:t>3、《中华人民共和国水污染防治法》，2018年1月1日施行；</w:t>
      </w:r>
      <w:bookmarkEnd w:id="44"/>
      <w:bookmarkEnd w:id="45"/>
      <w:bookmarkEnd w:id="46"/>
      <w:bookmarkEnd w:id="47"/>
    </w:p>
    <w:p w14:paraId="276625C3">
      <w:pPr>
        <w:adjustRightInd w:val="0"/>
        <w:snapToGrid w:val="0"/>
        <w:spacing w:line="360" w:lineRule="auto"/>
        <w:ind w:firstLine="240" w:firstLineChars="100"/>
        <w:rPr>
          <w:color w:val="auto"/>
          <w:sz w:val="24"/>
        </w:rPr>
      </w:pPr>
      <w:r>
        <w:rPr>
          <w:color w:val="auto"/>
          <w:sz w:val="24"/>
          <w:szCs w:val="32"/>
        </w:rPr>
        <w:t>4、</w:t>
      </w:r>
      <w:r>
        <w:rPr>
          <w:color w:val="auto"/>
          <w:sz w:val="24"/>
        </w:rPr>
        <w:t>《中华人民共和国环境噪声防治法》，2022年6月5日施行；</w:t>
      </w:r>
    </w:p>
    <w:p w14:paraId="14C3797E">
      <w:pPr>
        <w:adjustRightInd w:val="0"/>
        <w:snapToGrid w:val="0"/>
        <w:spacing w:line="360" w:lineRule="auto"/>
        <w:ind w:firstLine="240" w:firstLineChars="100"/>
        <w:rPr>
          <w:color w:val="auto"/>
          <w:sz w:val="24"/>
          <w:szCs w:val="32"/>
        </w:rPr>
      </w:pPr>
      <w:r>
        <w:rPr>
          <w:color w:val="auto"/>
          <w:sz w:val="24"/>
          <w:szCs w:val="32"/>
        </w:rPr>
        <w:t>5、《中华人民共和国固体废物污染环境防治法》，2020年9月1日施行；</w:t>
      </w:r>
    </w:p>
    <w:p w14:paraId="0AF8255D">
      <w:pPr>
        <w:adjustRightInd w:val="0"/>
        <w:snapToGrid w:val="0"/>
        <w:spacing w:line="360" w:lineRule="auto"/>
        <w:ind w:firstLine="240" w:firstLineChars="100"/>
        <w:rPr>
          <w:color w:val="auto"/>
          <w:sz w:val="24"/>
          <w:szCs w:val="32"/>
        </w:rPr>
      </w:pPr>
      <w:r>
        <w:rPr>
          <w:rFonts w:hint="eastAsia"/>
          <w:color w:val="auto"/>
          <w:sz w:val="24"/>
          <w:szCs w:val="32"/>
          <w:lang w:val="en-US" w:eastAsia="zh-CN"/>
        </w:rPr>
        <w:t>6</w:t>
      </w:r>
      <w:r>
        <w:rPr>
          <w:color w:val="auto"/>
          <w:sz w:val="24"/>
          <w:szCs w:val="32"/>
        </w:rPr>
        <w:t>、《中华人民共和国土壤污染防治法》，2019年1月1日实施；</w:t>
      </w:r>
    </w:p>
    <w:p w14:paraId="6CBE226C">
      <w:pPr>
        <w:adjustRightInd w:val="0"/>
        <w:snapToGrid w:val="0"/>
        <w:spacing w:line="360" w:lineRule="auto"/>
        <w:ind w:firstLine="240" w:firstLineChars="100"/>
        <w:rPr>
          <w:color w:val="auto"/>
          <w:sz w:val="24"/>
          <w:szCs w:val="32"/>
        </w:rPr>
      </w:pPr>
      <w:r>
        <w:rPr>
          <w:rFonts w:hint="eastAsia"/>
          <w:color w:val="auto"/>
          <w:sz w:val="24"/>
          <w:szCs w:val="32"/>
          <w:lang w:val="en-US" w:eastAsia="zh-CN"/>
        </w:rPr>
        <w:t>7</w:t>
      </w:r>
      <w:r>
        <w:rPr>
          <w:color w:val="auto"/>
          <w:sz w:val="24"/>
          <w:szCs w:val="32"/>
        </w:rPr>
        <w:t>、《中华人民共和国大气污染防治法》，2018年10月26日修订；</w:t>
      </w:r>
    </w:p>
    <w:p w14:paraId="553B6791">
      <w:pPr>
        <w:adjustRightInd w:val="0"/>
        <w:snapToGrid w:val="0"/>
        <w:spacing w:line="360" w:lineRule="auto"/>
        <w:ind w:firstLine="240" w:firstLineChars="100"/>
        <w:rPr>
          <w:color w:val="auto"/>
          <w:sz w:val="24"/>
          <w:szCs w:val="32"/>
        </w:rPr>
      </w:pPr>
      <w:bookmarkStart w:id="48" w:name="_Toc11085"/>
      <w:bookmarkStart w:id="49" w:name="_Toc19432"/>
      <w:bookmarkStart w:id="50" w:name="_Toc13970"/>
      <w:bookmarkStart w:id="51" w:name="_Toc2706"/>
      <w:r>
        <w:rPr>
          <w:rFonts w:hint="eastAsia"/>
          <w:color w:val="auto"/>
          <w:sz w:val="24"/>
          <w:szCs w:val="32"/>
          <w:lang w:val="en-US" w:eastAsia="zh-CN"/>
        </w:rPr>
        <w:t>8</w:t>
      </w:r>
      <w:r>
        <w:rPr>
          <w:color w:val="auto"/>
          <w:sz w:val="24"/>
          <w:szCs w:val="32"/>
        </w:rPr>
        <w:t>、《中华人民共和国清洁生产促进法》，2016年修订；</w:t>
      </w:r>
      <w:bookmarkEnd w:id="48"/>
      <w:bookmarkEnd w:id="49"/>
      <w:bookmarkEnd w:id="50"/>
      <w:bookmarkEnd w:id="51"/>
    </w:p>
    <w:p w14:paraId="630119E3">
      <w:pPr>
        <w:adjustRightInd w:val="0"/>
        <w:snapToGrid w:val="0"/>
        <w:spacing w:line="360" w:lineRule="auto"/>
        <w:ind w:firstLine="240" w:firstLineChars="100"/>
        <w:rPr>
          <w:color w:val="auto"/>
          <w:sz w:val="24"/>
          <w:szCs w:val="32"/>
        </w:rPr>
      </w:pPr>
      <w:r>
        <w:rPr>
          <w:rFonts w:hint="eastAsia"/>
          <w:color w:val="auto"/>
          <w:sz w:val="24"/>
          <w:szCs w:val="32"/>
          <w:lang w:val="en-US" w:eastAsia="zh-CN"/>
        </w:rPr>
        <w:t>9</w:t>
      </w:r>
      <w:r>
        <w:rPr>
          <w:color w:val="auto"/>
          <w:sz w:val="24"/>
          <w:szCs w:val="32"/>
        </w:rPr>
        <w:t>、《中华人民共和国循环经济促进法》，2018年10月26日修订；</w:t>
      </w:r>
    </w:p>
    <w:p w14:paraId="3C4B0F1A">
      <w:pPr>
        <w:adjustRightInd w:val="0"/>
        <w:snapToGrid w:val="0"/>
        <w:spacing w:line="360" w:lineRule="auto"/>
        <w:ind w:firstLine="240" w:firstLineChars="100"/>
        <w:rPr>
          <w:color w:val="auto"/>
          <w:sz w:val="24"/>
          <w:szCs w:val="32"/>
        </w:rPr>
      </w:pPr>
      <w:r>
        <w:rPr>
          <w:color w:val="auto"/>
          <w:sz w:val="24"/>
          <w:szCs w:val="32"/>
        </w:rPr>
        <w:t>1</w:t>
      </w:r>
      <w:r>
        <w:rPr>
          <w:rFonts w:hint="eastAsia"/>
          <w:color w:val="auto"/>
          <w:sz w:val="24"/>
          <w:szCs w:val="32"/>
          <w:lang w:val="en-US" w:eastAsia="zh-CN"/>
        </w:rPr>
        <w:t>0</w:t>
      </w:r>
      <w:r>
        <w:rPr>
          <w:color w:val="auto"/>
          <w:sz w:val="24"/>
          <w:szCs w:val="32"/>
        </w:rPr>
        <w:t>、《建设项目环境保护管理条例》（修订）2017年10月1日施行；</w:t>
      </w:r>
    </w:p>
    <w:p w14:paraId="5F8BA08D">
      <w:pPr>
        <w:adjustRightInd w:val="0"/>
        <w:snapToGrid w:val="0"/>
        <w:spacing w:line="360" w:lineRule="auto"/>
        <w:ind w:firstLine="240" w:firstLineChars="100"/>
        <w:rPr>
          <w:color w:val="auto"/>
          <w:sz w:val="24"/>
          <w:szCs w:val="32"/>
        </w:rPr>
      </w:pPr>
      <w:r>
        <w:rPr>
          <w:color w:val="auto"/>
          <w:sz w:val="24"/>
          <w:szCs w:val="32"/>
        </w:rPr>
        <w:t>1</w:t>
      </w:r>
      <w:r>
        <w:rPr>
          <w:rFonts w:hint="eastAsia"/>
          <w:color w:val="auto"/>
          <w:sz w:val="24"/>
          <w:szCs w:val="32"/>
          <w:lang w:val="en-US" w:eastAsia="zh-CN"/>
        </w:rPr>
        <w:t>1</w:t>
      </w:r>
      <w:r>
        <w:rPr>
          <w:color w:val="auto"/>
          <w:sz w:val="24"/>
          <w:szCs w:val="32"/>
        </w:rPr>
        <w:t>、《国务院关于印发水污染防治行动计划的通知》国发[2015]17号文，2015年4月2日；</w:t>
      </w:r>
    </w:p>
    <w:p w14:paraId="0A9B275A">
      <w:pPr>
        <w:adjustRightInd w:val="0"/>
        <w:snapToGrid w:val="0"/>
        <w:spacing w:line="360" w:lineRule="auto"/>
        <w:ind w:firstLine="240" w:firstLineChars="100"/>
        <w:rPr>
          <w:color w:val="auto"/>
          <w:sz w:val="24"/>
          <w:szCs w:val="32"/>
        </w:rPr>
      </w:pPr>
      <w:r>
        <w:rPr>
          <w:color w:val="auto"/>
          <w:sz w:val="24"/>
          <w:szCs w:val="32"/>
        </w:rPr>
        <w:t>1</w:t>
      </w:r>
      <w:r>
        <w:rPr>
          <w:rFonts w:hint="eastAsia"/>
          <w:color w:val="auto"/>
          <w:sz w:val="24"/>
          <w:szCs w:val="32"/>
          <w:lang w:val="en-US" w:eastAsia="zh-CN"/>
        </w:rPr>
        <w:t>2</w:t>
      </w:r>
      <w:r>
        <w:rPr>
          <w:color w:val="auto"/>
          <w:sz w:val="24"/>
          <w:szCs w:val="32"/>
        </w:rPr>
        <w:t>、《国务院关于印发土壤污染防治行动计划的通知》国发[2016]31号文，2016年5月28日；</w:t>
      </w:r>
    </w:p>
    <w:p w14:paraId="7D417145">
      <w:pPr>
        <w:adjustRightInd w:val="0"/>
        <w:snapToGrid w:val="0"/>
        <w:spacing w:line="360" w:lineRule="auto"/>
        <w:ind w:firstLine="240" w:firstLineChars="100"/>
        <w:rPr>
          <w:color w:val="auto"/>
          <w:sz w:val="24"/>
          <w:szCs w:val="32"/>
        </w:rPr>
      </w:pPr>
      <w:r>
        <w:rPr>
          <w:color w:val="auto"/>
          <w:sz w:val="24"/>
          <w:szCs w:val="32"/>
        </w:rPr>
        <w:t>1</w:t>
      </w:r>
      <w:r>
        <w:rPr>
          <w:rFonts w:hint="eastAsia"/>
          <w:color w:val="auto"/>
          <w:sz w:val="24"/>
          <w:szCs w:val="32"/>
          <w:lang w:val="en-US" w:eastAsia="zh-CN"/>
        </w:rPr>
        <w:t>3</w:t>
      </w:r>
      <w:r>
        <w:rPr>
          <w:color w:val="auto"/>
          <w:sz w:val="24"/>
          <w:szCs w:val="32"/>
        </w:rPr>
        <w:t>、国务院645号令《危险化学品安全管理条例》（2013年修正本），2013年12月7日；</w:t>
      </w:r>
    </w:p>
    <w:p w14:paraId="52A37281">
      <w:pPr>
        <w:adjustRightInd w:val="0"/>
        <w:snapToGrid w:val="0"/>
        <w:spacing w:line="360" w:lineRule="auto"/>
        <w:ind w:firstLine="240" w:firstLineChars="100"/>
        <w:rPr>
          <w:color w:val="auto"/>
          <w:sz w:val="24"/>
          <w:szCs w:val="32"/>
        </w:rPr>
      </w:pPr>
      <w:r>
        <w:rPr>
          <w:color w:val="auto"/>
          <w:sz w:val="24"/>
          <w:szCs w:val="32"/>
        </w:rPr>
        <w:t>1</w:t>
      </w:r>
      <w:r>
        <w:rPr>
          <w:rFonts w:hint="eastAsia"/>
          <w:color w:val="auto"/>
          <w:sz w:val="24"/>
          <w:szCs w:val="32"/>
          <w:lang w:val="en-US" w:eastAsia="zh-CN"/>
        </w:rPr>
        <w:t>4</w:t>
      </w:r>
      <w:r>
        <w:rPr>
          <w:color w:val="auto"/>
          <w:sz w:val="24"/>
          <w:szCs w:val="32"/>
        </w:rPr>
        <w:t>、中共中央国务院关于深入打好污染防治</w:t>
      </w:r>
      <w:r>
        <w:rPr>
          <w:rFonts w:hint="eastAsia"/>
          <w:color w:val="auto"/>
          <w:sz w:val="24"/>
          <w:szCs w:val="32"/>
          <w:lang w:eastAsia="zh-CN"/>
        </w:rPr>
        <w:t>攻坚战</w:t>
      </w:r>
      <w:r>
        <w:rPr>
          <w:color w:val="auto"/>
          <w:sz w:val="24"/>
          <w:szCs w:val="32"/>
        </w:rPr>
        <w:t>的意见，2021年11月2日；</w:t>
      </w:r>
    </w:p>
    <w:p w14:paraId="636CA43D">
      <w:pPr>
        <w:adjustRightInd w:val="0"/>
        <w:snapToGrid w:val="0"/>
        <w:spacing w:line="360" w:lineRule="auto"/>
        <w:ind w:firstLine="240" w:firstLineChars="100"/>
        <w:rPr>
          <w:color w:val="auto"/>
          <w:sz w:val="24"/>
          <w:szCs w:val="32"/>
        </w:rPr>
      </w:pPr>
      <w:r>
        <w:rPr>
          <w:color w:val="auto"/>
          <w:sz w:val="24"/>
          <w:szCs w:val="32"/>
        </w:rPr>
        <w:t>1</w:t>
      </w:r>
      <w:r>
        <w:rPr>
          <w:rFonts w:hint="eastAsia"/>
          <w:color w:val="auto"/>
          <w:sz w:val="24"/>
          <w:szCs w:val="32"/>
          <w:lang w:val="en-US" w:eastAsia="zh-CN"/>
        </w:rPr>
        <w:t>5</w:t>
      </w:r>
      <w:r>
        <w:rPr>
          <w:color w:val="auto"/>
          <w:sz w:val="24"/>
          <w:szCs w:val="32"/>
        </w:rPr>
        <w:t>、</w:t>
      </w:r>
      <w:r>
        <w:rPr>
          <w:rFonts w:hint="eastAsia"/>
          <w:color w:val="auto"/>
          <w:sz w:val="24"/>
          <w:szCs w:val="32"/>
        </w:rPr>
        <w:t>中华人民共和国国家发展和改革委员会令第7号（《产业结构调整指导目录（2024年本）》）</w:t>
      </w:r>
      <w:r>
        <w:rPr>
          <w:color w:val="auto"/>
          <w:sz w:val="24"/>
          <w:szCs w:val="32"/>
        </w:rPr>
        <w:t>；</w:t>
      </w:r>
    </w:p>
    <w:p w14:paraId="59E5AF25">
      <w:pPr>
        <w:adjustRightInd w:val="0"/>
        <w:snapToGrid w:val="0"/>
        <w:spacing w:line="360" w:lineRule="auto"/>
        <w:ind w:firstLine="240" w:firstLineChars="100"/>
        <w:rPr>
          <w:color w:val="auto"/>
          <w:sz w:val="24"/>
          <w:szCs w:val="32"/>
        </w:rPr>
      </w:pPr>
      <w:r>
        <w:rPr>
          <w:color w:val="auto"/>
          <w:sz w:val="24"/>
          <w:szCs w:val="32"/>
        </w:rPr>
        <w:t>1</w:t>
      </w:r>
      <w:r>
        <w:rPr>
          <w:rFonts w:hint="eastAsia"/>
          <w:color w:val="auto"/>
          <w:sz w:val="24"/>
          <w:szCs w:val="32"/>
          <w:lang w:val="en-US" w:eastAsia="zh-CN"/>
        </w:rPr>
        <w:t>6</w:t>
      </w:r>
      <w:r>
        <w:rPr>
          <w:color w:val="auto"/>
          <w:sz w:val="24"/>
          <w:szCs w:val="32"/>
        </w:rPr>
        <w:t>、生态环境部令第16号《建设项目环境影响评价分类管理名录（2021版）》</w:t>
      </w:r>
      <w:r>
        <w:rPr>
          <w:rFonts w:hint="eastAsia"/>
          <w:color w:val="auto"/>
          <w:sz w:val="24"/>
          <w:szCs w:val="32"/>
          <w:lang w:eastAsia="zh-CN"/>
        </w:rPr>
        <w:t>，</w:t>
      </w:r>
      <w:r>
        <w:rPr>
          <w:rFonts w:hint="eastAsia"/>
          <w:color w:val="auto"/>
          <w:sz w:val="24"/>
          <w:szCs w:val="32"/>
        </w:rPr>
        <w:t>2021年1月1日</w:t>
      </w:r>
      <w:r>
        <w:rPr>
          <w:color w:val="auto"/>
          <w:sz w:val="24"/>
          <w:szCs w:val="32"/>
        </w:rPr>
        <w:t>；</w:t>
      </w:r>
    </w:p>
    <w:p w14:paraId="5B7D095D">
      <w:pPr>
        <w:adjustRightInd w:val="0"/>
        <w:snapToGrid w:val="0"/>
        <w:spacing w:line="360" w:lineRule="auto"/>
        <w:ind w:firstLine="240" w:firstLineChars="100"/>
        <w:rPr>
          <w:color w:val="auto"/>
          <w:sz w:val="24"/>
          <w:szCs w:val="32"/>
        </w:rPr>
      </w:pPr>
      <w:r>
        <w:rPr>
          <w:color w:val="auto"/>
          <w:sz w:val="24"/>
          <w:szCs w:val="32"/>
        </w:rPr>
        <w:t>1</w:t>
      </w:r>
      <w:r>
        <w:rPr>
          <w:rFonts w:hint="eastAsia"/>
          <w:color w:val="auto"/>
          <w:sz w:val="24"/>
          <w:szCs w:val="32"/>
          <w:lang w:val="en-US" w:eastAsia="zh-CN"/>
        </w:rPr>
        <w:t>7</w:t>
      </w:r>
      <w:r>
        <w:rPr>
          <w:color w:val="auto"/>
          <w:sz w:val="24"/>
          <w:szCs w:val="32"/>
        </w:rPr>
        <w:t>、《环境影响评价公众参与办法》，生态环境部令第4号以及关于发布《环境影响评价公众参与办法》配套文件的公告，生态环境部公告 2018年第48号；</w:t>
      </w:r>
    </w:p>
    <w:p w14:paraId="01712765">
      <w:pPr>
        <w:adjustRightInd w:val="0"/>
        <w:snapToGrid w:val="0"/>
        <w:spacing w:line="360" w:lineRule="auto"/>
        <w:ind w:firstLine="240" w:firstLineChars="100"/>
        <w:rPr>
          <w:rFonts w:hint="eastAsia" w:eastAsia="宋体"/>
          <w:color w:val="auto"/>
          <w:sz w:val="24"/>
          <w:szCs w:val="32"/>
          <w:lang w:eastAsia="zh-CN"/>
        </w:rPr>
      </w:pPr>
      <w:r>
        <w:rPr>
          <w:rFonts w:hint="eastAsia"/>
          <w:color w:val="auto"/>
          <w:sz w:val="24"/>
          <w:szCs w:val="32"/>
          <w:lang w:val="en-US" w:eastAsia="zh-CN"/>
        </w:rPr>
        <w:t>18</w:t>
      </w:r>
      <w:r>
        <w:rPr>
          <w:color w:val="auto"/>
          <w:sz w:val="24"/>
          <w:szCs w:val="32"/>
        </w:rPr>
        <w:t>、</w:t>
      </w:r>
      <w:r>
        <w:rPr>
          <w:rFonts w:hint="eastAsia"/>
          <w:color w:val="auto"/>
          <w:sz w:val="24"/>
          <w:szCs w:val="32"/>
        </w:rPr>
        <w:t>生态环境部令</w:t>
      </w:r>
      <w:r>
        <w:rPr>
          <w:rFonts w:hint="eastAsia"/>
          <w:color w:val="auto"/>
          <w:sz w:val="24"/>
          <w:szCs w:val="32"/>
          <w:lang w:val="en-US" w:eastAsia="zh-CN"/>
        </w:rPr>
        <w:t>15</w:t>
      </w:r>
      <w:r>
        <w:rPr>
          <w:rFonts w:hint="eastAsia"/>
          <w:color w:val="auto"/>
          <w:sz w:val="24"/>
          <w:szCs w:val="32"/>
        </w:rPr>
        <w:t>号《国家危险废物名录（202</w:t>
      </w:r>
      <w:r>
        <w:rPr>
          <w:rFonts w:hint="eastAsia"/>
          <w:color w:val="auto"/>
          <w:sz w:val="24"/>
          <w:szCs w:val="32"/>
          <w:lang w:val="en-US" w:eastAsia="zh-CN"/>
        </w:rPr>
        <w:t>5</w:t>
      </w:r>
      <w:r>
        <w:rPr>
          <w:rFonts w:hint="eastAsia"/>
          <w:color w:val="auto"/>
          <w:sz w:val="24"/>
          <w:szCs w:val="32"/>
        </w:rPr>
        <w:t>年版）》</w:t>
      </w:r>
      <w:r>
        <w:rPr>
          <w:rFonts w:hint="eastAsia"/>
          <w:color w:val="auto"/>
          <w:sz w:val="24"/>
          <w:szCs w:val="32"/>
          <w:lang w:eastAsia="zh-CN"/>
        </w:rPr>
        <w:t>；</w:t>
      </w:r>
    </w:p>
    <w:p w14:paraId="5C514C60">
      <w:pPr>
        <w:adjustRightInd w:val="0"/>
        <w:snapToGrid w:val="0"/>
        <w:spacing w:line="360" w:lineRule="auto"/>
        <w:ind w:firstLine="240" w:firstLineChars="100"/>
        <w:rPr>
          <w:rFonts w:hint="eastAsia" w:eastAsia="宋体"/>
          <w:color w:val="auto"/>
          <w:sz w:val="24"/>
          <w:szCs w:val="32"/>
          <w:lang w:eastAsia="zh-CN"/>
        </w:rPr>
      </w:pPr>
      <w:r>
        <w:rPr>
          <w:rFonts w:hint="eastAsia"/>
          <w:color w:val="auto"/>
          <w:sz w:val="24"/>
          <w:szCs w:val="32"/>
          <w:lang w:val="en-US" w:eastAsia="zh-CN"/>
        </w:rPr>
        <w:t>19</w:t>
      </w:r>
      <w:r>
        <w:rPr>
          <w:color w:val="auto"/>
          <w:sz w:val="24"/>
          <w:szCs w:val="32"/>
        </w:rPr>
        <w:t>、《关于加强建设项目环境影响评价事中事后监管的实施意见》（环环评[2018]11号），2018年1月25日</w:t>
      </w:r>
      <w:r>
        <w:rPr>
          <w:rFonts w:hint="eastAsia"/>
          <w:color w:val="auto"/>
          <w:sz w:val="24"/>
          <w:szCs w:val="32"/>
          <w:lang w:eastAsia="zh-CN"/>
        </w:rPr>
        <w:t>；</w:t>
      </w:r>
    </w:p>
    <w:p w14:paraId="382FC4C0">
      <w:pPr>
        <w:adjustRightInd w:val="0"/>
        <w:snapToGrid w:val="0"/>
        <w:spacing w:line="360" w:lineRule="auto"/>
        <w:ind w:firstLine="240" w:firstLineChars="100"/>
        <w:rPr>
          <w:rFonts w:hint="eastAsia" w:eastAsia="宋体"/>
          <w:color w:val="auto"/>
          <w:sz w:val="24"/>
          <w:szCs w:val="32"/>
          <w:lang w:eastAsia="zh-CN"/>
        </w:rPr>
      </w:pPr>
      <w:r>
        <w:rPr>
          <w:rFonts w:hint="eastAsia"/>
          <w:color w:val="auto"/>
          <w:sz w:val="24"/>
          <w:szCs w:val="32"/>
          <w:lang w:val="en-US" w:eastAsia="zh-CN"/>
        </w:rPr>
        <w:t>20</w:t>
      </w:r>
      <w:r>
        <w:rPr>
          <w:color w:val="auto"/>
          <w:sz w:val="24"/>
          <w:szCs w:val="32"/>
        </w:rPr>
        <w:t>、中华人民共和国生态环境部环办环评（2020）36号文《关于加强重点行业建设项目区域削减措施监督管理的通知》，2020年12月30日</w:t>
      </w:r>
      <w:r>
        <w:rPr>
          <w:rFonts w:hint="eastAsia"/>
          <w:color w:val="auto"/>
          <w:sz w:val="24"/>
          <w:szCs w:val="32"/>
          <w:lang w:eastAsia="zh-CN"/>
        </w:rPr>
        <w:t>；</w:t>
      </w:r>
    </w:p>
    <w:p w14:paraId="1B9BD1CB">
      <w:pPr>
        <w:adjustRightInd w:val="0"/>
        <w:snapToGrid w:val="0"/>
        <w:spacing w:line="360" w:lineRule="auto"/>
        <w:ind w:firstLine="240" w:firstLineChars="100"/>
        <w:rPr>
          <w:rFonts w:hint="eastAsia" w:eastAsia="宋体"/>
          <w:color w:val="auto"/>
          <w:sz w:val="24"/>
          <w:szCs w:val="32"/>
          <w:lang w:eastAsia="zh-CN"/>
        </w:rPr>
      </w:pPr>
      <w:r>
        <w:rPr>
          <w:rFonts w:hint="eastAsia"/>
          <w:color w:val="auto"/>
          <w:sz w:val="24"/>
          <w:szCs w:val="32"/>
          <w:lang w:val="en-US" w:eastAsia="zh-CN"/>
        </w:rPr>
        <w:t>21</w:t>
      </w:r>
      <w:r>
        <w:rPr>
          <w:color w:val="auto"/>
          <w:sz w:val="24"/>
          <w:szCs w:val="32"/>
        </w:rPr>
        <w:t>、环境保护部令[2015]第37号令《建设项目环境影响后评价管理办法（试行）》，2015年12月10日</w:t>
      </w:r>
      <w:r>
        <w:rPr>
          <w:rFonts w:hint="eastAsia"/>
          <w:color w:val="auto"/>
          <w:sz w:val="24"/>
          <w:szCs w:val="32"/>
          <w:lang w:eastAsia="zh-CN"/>
        </w:rPr>
        <w:t>。</w:t>
      </w:r>
    </w:p>
    <w:p w14:paraId="43CC1CA2">
      <w:pPr>
        <w:adjustRightInd w:val="0"/>
        <w:snapToGrid w:val="0"/>
        <w:spacing w:line="360" w:lineRule="auto"/>
        <w:outlineLvl w:val="2"/>
        <w:rPr>
          <w:b/>
          <w:bCs/>
          <w:color w:val="auto"/>
          <w:sz w:val="24"/>
          <w:szCs w:val="32"/>
        </w:rPr>
      </w:pPr>
      <w:bookmarkStart w:id="52" w:name="_Toc16069"/>
      <w:bookmarkStart w:id="53" w:name="_Toc8661"/>
      <w:r>
        <w:rPr>
          <w:b/>
          <w:bCs/>
          <w:color w:val="auto"/>
          <w:sz w:val="24"/>
          <w:szCs w:val="32"/>
        </w:rPr>
        <w:t>1.2.2 地方法规政策</w:t>
      </w:r>
      <w:bookmarkEnd w:id="52"/>
      <w:bookmarkEnd w:id="53"/>
    </w:p>
    <w:p w14:paraId="08733C0F">
      <w:pPr>
        <w:adjustRightInd w:val="0"/>
        <w:snapToGrid w:val="0"/>
        <w:spacing w:line="360" w:lineRule="auto"/>
        <w:ind w:firstLine="480" w:firstLineChars="200"/>
        <w:rPr>
          <w:color w:val="auto"/>
          <w:sz w:val="24"/>
          <w:szCs w:val="32"/>
        </w:rPr>
      </w:pPr>
      <w:r>
        <w:rPr>
          <w:color w:val="auto"/>
          <w:sz w:val="24"/>
          <w:szCs w:val="32"/>
        </w:rPr>
        <w:t>1、《安徽省环境保护条例》，2010年11月1日施行；</w:t>
      </w:r>
    </w:p>
    <w:p w14:paraId="47D3D0AF">
      <w:pPr>
        <w:adjustRightInd w:val="0"/>
        <w:snapToGrid w:val="0"/>
        <w:spacing w:line="360" w:lineRule="auto"/>
        <w:ind w:firstLine="480" w:firstLineChars="200"/>
        <w:rPr>
          <w:color w:val="auto"/>
          <w:sz w:val="24"/>
          <w:szCs w:val="32"/>
        </w:rPr>
      </w:pPr>
      <w:r>
        <w:rPr>
          <w:color w:val="auto"/>
          <w:sz w:val="24"/>
          <w:szCs w:val="32"/>
        </w:rPr>
        <w:t>2、《安徽省大气污染防治条例》，安徽省人民代表大会常务委员会，2015年3月1日施行；</w:t>
      </w:r>
    </w:p>
    <w:p w14:paraId="23F99D1F">
      <w:pPr>
        <w:adjustRightInd w:val="0"/>
        <w:snapToGrid w:val="0"/>
        <w:spacing w:line="360" w:lineRule="auto"/>
        <w:ind w:firstLine="480" w:firstLineChars="200"/>
        <w:rPr>
          <w:color w:val="auto"/>
          <w:sz w:val="24"/>
          <w:szCs w:val="32"/>
        </w:rPr>
      </w:pPr>
      <w:r>
        <w:rPr>
          <w:color w:val="auto"/>
          <w:sz w:val="24"/>
          <w:szCs w:val="32"/>
        </w:rPr>
        <w:t>3、安徽省人民政府办公厅《安徽省人民政府办公厅关于加强建设项目环境影响评价工作的通知》(皖政办[2011]27号，2011年4月)；</w:t>
      </w:r>
    </w:p>
    <w:p w14:paraId="3A0D760B">
      <w:pPr>
        <w:adjustRightInd w:val="0"/>
        <w:snapToGrid w:val="0"/>
        <w:spacing w:line="360" w:lineRule="auto"/>
        <w:ind w:firstLine="480" w:firstLineChars="200"/>
        <w:rPr>
          <w:color w:val="auto"/>
          <w:sz w:val="24"/>
          <w:szCs w:val="32"/>
        </w:rPr>
      </w:pPr>
      <w:r>
        <w:rPr>
          <w:color w:val="auto"/>
          <w:sz w:val="24"/>
          <w:szCs w:val="32"/>
        </w:rPr>
        <w:t>4、安徽省人民政府办公厅《关于促进我省化工产业健康发展的意见》（皖政办[2012]57号文），2012年10月10日；</w:t>
      </w:r>
    </w:p>
    <w:p w14:paraId="39F821FF">
      <w:pPr>
        <w:adjustRightInd w:val="0"/>
        <w:snapToGrid w:val="0"/>
        <w:spacing w:line="360" w:lineRule="auto"/>
        <w:ind w:firstLine="480" w:firstLineChars="200"/>
        <w:rPr>
          <w:color w:val="auto"/>
          <w:sz w:val="24"/>
          <w:szCs w:val="32"/>
        </w:rPr>
      </w:pPr>
      <w:r>
        <w:rPr>
          <w:rFonts w:hint="eastAsia"/>
          <w:color w:val="auto"/>
          <w:sz w:val="24"/>
          <w:szCs w:val="32"/>
          <w:lang w:val="en-US" w:eastAsia="zh-CN"/>
        </w:rPr>
        <w:t>5</w:t>
      </w:r>
      <w:r>
        <w:rPr>
          <w:color w:val="auto"/>
          <w:sz w:val="24"/>
          <w:szCs w:val="32"/>
        </w:rPr>
        <w:t>、安徽省环保厅环评函[2012]946号文《关于进一步加强建设项目影响评价公众参与工作的通知》；</w:t>
      </w:r>
    </w:p>
    <w:p w14:paraId="7F3D109F">
      <w:pPr>
        <w:adjustRightInd w:val="0"/>
        <w:snapToGrid w:val="0"/>
        <w:spacing w:line="360" w:lineRule="auto"/>
        <w:ind w:firstLine="480" w:firstLineChars="200"/>
        <w:rPr>
          <w:rFonts w:hint="eastAsia" w:eastAsia="宋体"/>
          <w:color w:val="auto"/>
          <w:sz w:val="24"/>
          <w:szCs w:val="32"/>
          <w:lang w:eastAsia="zh-CN"/>
        </w:rPr>
      </w:pPr>
      <w:r>
        <w:rPr>
          <w:rFonts w:hint="eastAsia"/>
          <w:color w:val="auto"/>
          <w:sz w:val="24"/>
          <w:szCs w:val="32"/>
          <w:lang w:val="en-US" w:eastAsia="zh-CN"/>
        </w:rPr>
        <w:t>6</w:t>
      </w:r>
      <w:r>
        <w:rPr>
          <w:color w:val="auto"/>
          <w:sz w:val="24"/>
          <w:szCs w:val="32"/>
        </w:rPr>
        <w:t>、</w:t>
      </w:r>
      <w:r>
        <w:rPr>
          <w:rFonts w:hint="eastAsia"/>
          <w:color w:val="auto"/>
          <w:sz w:val="24"/>
          <w:szCs w:val="32"/>
        </w:rPr>
        <w:t>生态环境部《环境影响评价公众参与办法》（部令第4号）</w:t>
      </w:r>
      <w:r>
        <w:rPr>
          <w:rFonts w:hint="eastAsia"/>
          <w:color w:val="auto"/>
          <w:sz w:val="24"/>
          <w:szCs w:val="32"/>
          <w:lang w:eastAsia="zh-CN"/>
        </w:rPr>
        <w:t>，</w:t>
      </w:r>
      <w:r>
        <w:rPr>
          <w:rFonts w:hint="eastAsia"/>
          <w:color w:val="auto"/>
          <w:sz w:val="24"/>
          <w:szCs w:val="32"/>
        </w:rPr>
        <w:t>2019年1月1日施行</w:t>
      </w:r>
      <w:r>
        <w:rPr>
          <w:rFonts w:hint="eastAsia"/>
          <w:color w:val="auto"/>
          <w:sz w:val="24"/>
          <w:szCs w:val="32"/>
          <w:lang w:eastAsia="zh-CN"/>
        </w:rPr>
        <w:t>；</w:t>
      </w:r>
    </w:p>
    <w:p w14:paraId="574A9312">
      <w:pPr>
        <w:adjustRightInd w:val="0"/>
        <w:snapToGrid w:val="0"/>
        <w:spacing w:line="360" w:lineRule="auto"/>
        <w:ind w:firstLine="480" w:firstLineChars="200"/>
        <w:rPr>
          <w:color w:val="auto"/>
          <w:sz w:val="24"/>
          <w:szCs w:val="32"/>
        </w:rPr>
      </w:pPr>
      <w:r>
        <w:rPr>
          <w:rFonts w:hint="eastAsia"/>
          <w:color w:val="auto"/>
          <w:sz w:val="24"/>
          <w:szCs w:val="32"/>
          <w:lang w:val="en-US" w:eastAsia="zh-CN"/>
        </w:rPr>
        <w:t>7</w:t>
      </w:r>
      <w:r>
        <w:rPr>
          <w:color w:val="auto"/>
          <w:sz w:val="24"/>
          <w:szCs w:val="32"/>
        </w:rPr>
        <w:t>、《安徽省生态环境厅关于全面执行大气污染物特别排放限值的通知》，安徽省生态环境厅 皖环函〔2019〕1120号，2019年12月24日；</w:t>
      </w:r>
    </w:p>
    <w:p w14:paraId="64C4BBF1">
      <w:pPr>
        <w:adjustRightInd w:val="0"/>
        <w:snapToGrid w:val="0"/>
        <w:spacing w:line="360" w:lineRule="auto"/>
        <w:ind w:firstLine="480" w:firstLineChars="200"/>
        <w:rPr>
          <w:rFonts w:hint="eastAsia"/>
          <w:color w:val="auto"/>
          <w:sz w:val="24"/>
          <w:szCs w:val="32"/>
          <w:lang w:eastAsia="zh-CN"/>
        </w:rPr>
      </w:pPr>
      <w:r>
        <w:rPr>
          <w:rFonts w:hint="eastAsia"/>
          <w:color w:val="auto"/>
          <w:sz w:val="24"/>
          <w:szCs w:val="32"/>
          <w:lang w:val="en-US" w:eastAsia="zh-CN"/>
        </w:rPr>
        <w:t>8</w:t>
      </w:r>
      <w:r>
        <w:rPr>
          <w:color w:val="auto"/>
          <w:sz w:val="24"/>
          <w:szCs w:val="32"/>
        </w:rPr>
        <w:t>、淮北市人民政府关于印发淮北市大气污染防治行动计划的通知</w:t>
      </w:r>
      <w:r>
        <w:rPr>
          <w:rFonts w:hint="eastAsia"/>
          <w:color w:val="auto"/>
          <w:sz w:val="24"/>
          <w:szCs w:val="32"/>
          <w:lang w:eastAsia="zh-CN"/>
        </w:rPr>
        <w:t>；</w:t>
      </w:r>
    </w:p>
    <w:p w14:paraId="72CE129F">
      <w:pPr>
        <w:adjustRightInd w:val="0"/>
        <w:snapToGrid w:val="0"/>
        <w:spacing w:line="360" w:lineRule="auto"/>
        <w:ind w:firstLine="480" w:firstLineChars="200"/>
        <w:rPr>
          <w:rFonts w:hint="eastAsia"/>
          <w:color w:val="auto"/>
          <w:sz w:val="24"/>
          <w:szCs w:val="32"/>
          <w:lang w:val="en-US" w:eastAsia="zh-CN"/>
        </w:rPr>
      </w:pPr>
      <w:r>
        <w:rPr>
          <w:rFonts w:hint="eastAsia"/>
          <w:color w:val="auto"/>
          <w:sz w:val="24"/>
          <w:szCs w:val="32"/>
          <w:lang w:val="en-US" w:eastAsia="zh-CN"/>
        </w:rPr>
        <w:t>9、《淮北市水生态环境保护“十四五”规划》（2022年6月2日）；</w:t>
      </w:r>
    </w:p>
    <w:p w14:paraId="027A0106">
      <w:pPr>
        <w:adjustRightInd w:val="0"/>
        <w:snapToGrid w:val="0"/>
        <w:spacing w:line="360" w:lineRule="auto"/>
        <w:ind w:firstLine="480" w:firstLineChars="200"/>
        <w:rPr>
          <w:color w:val="auto"/>
          <w:sz w:val="24"/>
          <w:szCs w:val="32"/>
        </w:rPr>
      </w:pPr>
      <w:r>
        <w:rPr>
          <w:rFonts w:hint="eastAsia"/>
          <w:color w:val="auto"/>
          <w:sz w:val="24"/>
          <w:szCs w:val="32"/>
          <w:lang w:val="en-US" w:eastAsia="zh-CN"/>
        </w:rPr>
        <w:t>10、《淮北市重点建设用地土壤污染状况调查实施细则（试行）》（2022年9月22日）</w:t>
      </w:r>
      <w:r>
        <w:rPr>
          <w:color w:val="auto"/>
          <w:sz w:val="24"/>
          <w:szCs w:val="32"/>
        </w:rPr>
        <w:t>。</w:t>
      </w:r>
    </w:p>
    <w:p w14:paraId="1D85FFA6">
      <w:pPr>
        <w:adjustRightInd w:val="0"/>
        <w:snapToGrid w:val="0"/>
        <w:spacing w:line="360" w:lineRule="auto"/>
        <w:outlineLvl w:val="2"/>
        <w:rPr>
          <w:b/>
          <w:bCs/>
          <w:color w:val="auto"/>
          <w:sz w:val="24"/>
          <w:szCs w:val="32"/>
        </w:rPr>
      </w:pPr>
      <w:bookmarkStart w:id="54" w:name="_Toc19878"/>
      <w:bookmarkStart w:id="55" w:name="_Toc13313"/>
      <w:r>
        <w:rPr>
          <w:b/>
          <w:bCs/>
          <w:color w:val="auto"/>
          <w:sz w:val="24"/>
          <w:szCs w:val="32"/>
        </w:rPr>
        <w:t>1.2.3 技术导则及技术规范</w:t>
      </w:r>
      <w:bookmarkEnd w:id="54"/>
      <w:bookmarkEnd w:id="55"/>
    </w:p>
    <w:p w14:paraId="38AD4D30">
      <w:pPr>
        <w:adjustRightInd w:val="0"/>
        <w:snapToGrid w:val="0"/>
        <w:spacing w:line="360" w:lineRule="auto"/>
        <w:ind w:firstLine="480" w:firstLineChars="200"/>
        <w:rPr>
          <w:color w:val="auto"/>
          <w:sz w:val="24"/>
          <w:szCs w:val="32"/>
        </w:rPr>
      </w:pPr>
      <w:r>
        <w:rPr>
          <w:color w:val="auto"/>
          <w:sz w:val="24"/>
          <w:szCs w:val="32"/>
        </w:rPr>
        <w:t>1、《建设项目环境影响评价技术导则  总纲》（HJ2.1-2016）；</w:t>
      </w:r>
    </w:p>
    <w:p w14:paraId="6B76F8A9">
      <w:pPr>
        <w:adjustRightInd w:val="0"/>
        <w:snapToGrid w:val="0"/>
        <w:spacing w:line="360" w:lineRule="auto"/>
        <w:ind w:firstLine="480" w:firstLineChars="200"/>
        <w:rPr>
          <w:color w:val="auto"/>
          <w:sz w:val="24"/>
          <w:szCs w:val="32"/>
        </w:rPr>
      </w:pPr>
      <w:r>
        <w:rPr>
          <w:color w:val="auto"/>
          <w:sz w:val="24"/>
          <w:szCs w:val="32"/>
        </w:rPr>
        <w:t>2、《环境影响评价技术导则  大气环境》（HJ2.2-2018）；</w:t>
      </w:r>
    </w:p>
    <w:p w14:paraId="4E2E5D83">
      <w:pPr>
        <w:adjustRightInd w:val="0"/>
        <w:snapToGrid w:val="0"/>
        <w:spacing w:line="360" w:lineRule="auto"/>
        <w:ind w:firstLine="480" w:firstLineChars="200"/>
        <w:rPr>
          <w:color w:val="auto"/>
          <w:sz w:val="24"/>
          <w:szCs w:val="32"/>
        </w:rPr>
      </w:pPr>
      <w:r>
        <w:rPr>
          <w:color w:val="auto"/>
          <w:sz w:val="24"/>
          <w:szCs w:val="32"/>
        </w:rPr>
        <w:t>3、《环境影响评价技术导则  声环境》（HJ2.4-2021）；</w:t>
      </w:r>
    </w:p>
    <w:p w14:paraId="63C636A4">
      <w:pPr>
        <w:adjustRightInd w:val="0"/>
        <w:snapToGrid w:val="0"/>
        <w:spacing w:line="360" w:lineRule="auto"/>
        <w:ind w:firstLine="480" w:firstLineChars="200"/>
        <w:rPr>
          <w:color w:val="auto"/>
          <w:sz w:val="24"/>
          <w:szCs w:val="32"/>
        </w:rPr>
      </w:pPr>
      <w:r>
        <w:rPr>
          <w:color w:val="auto"/>
          <w:sz w:val="24"/>
          <w:szCs w:val="32"/>
        </w:rPr>
        <w:t>4、《环境影响评价技术导则  地下水环境》（HJ610-2016）；</w:t>
      </w:r>
    </w:p>
    <w:p w14:paraId="462B196E">
      <w:pPr>
        <w:adjustRightInd w:val="0"/>
        <w:snapToGrid w:val="0"/>
        <w:spacing w:line="360" w:lineRule="auto"/>
        <w:ind w:firstLine="480" w:firstLineChars="200"/>
        <w:rPr>
          <w:color w:val="auto"/>
          <w:sz w:val="24"/>
          <w:szCs w:val="32"/>
        </w:rPr>
      </w:pPr>
      <w:r>
        <w:rPr>
          <w:color w:val="auto"/>
          <w:sz w:val="24"/>
          <w:szCs w:val="32"/>
        </w:rPr>
        <w:t>5、《环境影响评价技术导则  地表水环境》（HJ2.3-2018）；</w:t>
      </w:r>
    </w:p>
    <w:p w14:paraId="7E7B615B">
      <w:pPr>
        <w:adjustRightInd w:val="0"/>
        <w:snapToGrid w:val="0"/>
        <w:spacing w:line="360" w:lineRule="auto"/>
        <w:ind w:firstLine="480" w:firstLineChars="200"/>
        <w:rPr>
          <w:color w:val="auto"/>
          <w:sz w:val="24"/>
          <w:szCs w:val="32"/>
        </w:rPr>
      </w:pPr>
      <w:r>
        <w:rPr>
          <w:color w:val="auto"/>
          <w:sz w:val="24"/>
          <w:szCs w:val="32"/>
        </w:rPr>
        <w:t>6、《建设项目环境风险评价技术导则》（HJ169-201</w:t>
      </w:r>
      <w:r>
        <w:rPr>
          <w:rFonts w:hint="eastAsia"/>
          <w:color w:val="auto"/>
          <w:sz w:val="24"/>
          <w:szCs w:val="32"/>
          <w:lang w:val="en-US" w:eastAsia="zh-CN"/>
        </w:rPr>
        <w:t>8</w:t>
      </w:r>
      <w:r>
        <w:rPr>
          <w:color w:val="auto"/>
          <w:sz w:val="24"/>
          <w:szCs w:val="32"/>
        </w:rPr>
        <w:t>）；</w:t>
      </w:r>
    </w:p>
    <w:p w14:paraId="3D6E000E">
      <w:pPr>
        <w:adjustRightInd w:val="0"/>
        <w:snapToGrid w:val="0"/>
        <w:spacing w:line="360" w:lineRule="auto"/>
        <w:ind w:firstLine="480" w:firstLineChars="200"/>
        <w:rPr>
          <w:color w:val="auto"/>
          <w:sz w:val="24"/>
          <w:szCs w:val="32"/>
        </w:rPr>
      </w:pPr>
      <w:r>
        <w:rPr>
          <w:color w:val="auto"/>
          <w:sz w:val="24"/>
          <w:szCs w:val="32"/>
        </w:rPr>
        <w:t>7、</w:t>
      </w:r>
      <w:r>
        <w:rPr>
          <w:rFonts w:hint="eastAsia"/>
          <w:color w:val="auto"/>
          <w:sz w:val="24"/>
          <w:szCs w:val="32"/>
        </w:rPr>
        <w:t>《危险废物收集 贮存 运输技术规范》（HJ 2025-2012）</w:t>
      </w:r>
      <w:r>
        <w:rPr>
          <w:color w:val="auto"/>
          <w:sz w:val="24"/>
          <w:szCs w:val="32"/>
        </w:rPr>
        <w:t>；</w:t>
      </w:r>
    </w:p>
    <w:p w14:paraId="4004FA91">
      <w:pPr>
        <w:adjustRightInd w:val="0"/>
        <w:snapToGrid w:val="0"/>
        <w:spacing w:line="360" w:lineRule="auto"/>
        <w:ind w:firstLine="480" w:firstLineChars="200"/>
        <w:rPr>
          <w:color w:val="auto"/>
          <w:sz w:val="24"/>
          <w:szCs w:val="32"/>
        </w:rPr>
      </w:pPr>
      <w:r>
        <w:rPr>
          <w:rFonts w:hint="eastAsia"/>
          <w:color w:val="auto"/>
          <w:sz w:val="24"/>
          <w:szCs w:val="32"/>
          <w:lang w:val="en-US" w:eastAsia="zh-CN"/>
        </w:rPr>
        <w:t>8</w:t>
      </w:r>
      <w:r>
        <w:rPr>
          <w:color w:val="auto"/>
          <w:sz w:val="24"/>
          <w:szCs w:val="32"/>
        </w:rPr>
        <w:t>、《危险废物贮存污染控制标准》（GB18597-2023）；</w:t>
      </w:r>
    </w:p>
    <w:p w14:paraId="296F350B">
      <w:pPr>
        <w:adjustRightInd w:val="0"/>
        <w:snapToGrid w:val="0"/>
        <w:spacing w:line="360" w:lineRule="auto"/>
        <w:ind w:firstLine="480" w:firstLineChars="200"/>
        <w:rPr>
          <w:rFonts w:hint="eastAsia"/>
          <w:color w:val="auto"/>
          <w:sz w:val="24"/>
          <w:lang w:val="en-US" w:eastAsia="zh-CN"/>
        </w:rPr>
      </w:pPr>
      <w:r>
        <w:rPr>
          <w:rFonts w:hint="eastAsia"/>
          <w:color w:val="auto"/>
          <w:sz w:val="24"/>
          <w:szCs w:val="32"/>
          <w:lang w:val="en-US" w:eastAsia="zh-CN"/>
        </w:rPr>
        <w:t>9</w:t>
      </w:r>
      <w:r>
        <w:rPr>
          <w:color w:val="auto"/>
          <w:sz w:val="24"/>
          <w:szCs w:val="32"/>
        </w:rPr>
        <w:t>、</w:t>
      </w:r>
      <w:r>
        <w:rPr>
          <w:rFonts w:hint="eastAsia"/>
          <w:color w:val="auto"/>
          <w:sz w:val="24"/>
          <w:lang w:val="en-US" w:eastAsia="zh-CN"/>
        </w:rPr>
        <w:t>《一般工业固体废物贮存和填埋污染控制标准》（GB18599-2020）</w:t>
      </w:r>
    </w:p>
    <w:p w14:paraId="7CB61A3E">
      <w:pPr>
        <w:spacing w:line="360" w:lineRule="auto"/>
        <w:ind w:firstLine="480" w:firstLineChars="200"/>
        <w:jc w:val="left"/>
        <w:rPr>
          <w:rFonts w:hint="eastAsia" w:ascii="Times New Roman" w:hAnsi="Times New Roman" w:eastAsia="宋体" w:cs="Times New Roman"/>
          <w:b w:val="0"/>
          <w:bCs w:val="0"/>
          <w:color w:val="auto"/>
          <w:sz w:val="24"/>
          <w:szCs w:val="24"/>
          <w:highlight w:val="none"/>
          <w:lang w:val="en-US" w:eastAsia="zh-CN"/>
        </w:rPr>
      </w:pPr>
      <w:r>
        <w:rPr>
          <w:rFonts w:hint="eastAsia"/>
          <w:color w:val="auto"/>
          <w:sz w:val="24"/>
          <w:lang w:val="en-US" w:eastAsia="zh-CN"/>
        </w:rPr>
        <w:t>10、</w:t>
      </w:r>
      <w:r>
        <w:rPr>
          <w:rFonts w:hint="eastAsia" w:ascii="Times New Roman" w:hAnsi="Times New Roman" w:eastAsia="宋体" w:cs="Times New Roman"/>
          <w:b w:val="0"/>
          <w:bCs w:val="0"/>
          <w:color w:val="auto"/>
          <w:sz w:val="24"/>
          <w:szCs w:val="24"/>
          <w:lang w:val="en-US" w:eastAsia="zh-CN"/>
        </w:rPr>
        <w:t>《排污许可证申请与核发技术规范 总则》（HJ942-2018）</w:t>
      </w:r>
      <w:r>
        <w:rPr>
          <w:rFonts w:hint="eastAsia" w:ascii="Times New Roman" w:hAnsi="Times New Roman" w:eastAsia="宋体" w:cs="Times New Roman"/>
          <w:b w:val="0"/>
          <w:bCs w:val="0"/>
          <w:color w:val="auto"/>
          <w:sz w:val="24"/>
          <w:szCs w:val="24"/>
          <w:highlight w:val="none"/>
          <w:lang w:val="en-US" w:eastAsia="zh-CN"/>
        </w:rPr>
        <w:t>；</w:t>
      </w:r>
    </w:p>
    <w:p w14:paraId="10F172CF">
      <w:pPr>
        <w:adjustRightInd w:val="0"/>
        <w:snapToGrid w:val="0"/>
        <w:spacing w:line="360" w:lineRule="auto"/>
        <w:ind w:firstLine="480" w:firstLineChars="200"/>
        <w:rPr>
          <w:color w:val="auto"/>
          <w:sz w:val="24"/>
          <w:szCs w:val="32"/>
        </w:rPr>
      </w:pPr>
      <w:r>
        <w:rPr>
          <w:rFonts w:hint="eastAsia" w:cs="Times New Roman"/>
          <w:b w:val="0"/>
          <w:bCs w:val="0"/>
          <w:color w:val="auto"/>
          <w:sz w:val="24"/>
          <w:szCs w:val="24"/>
          <w:highlight w:val="none"/>
          <w:lang w:val="en-US" w:eastAsia="zh-CN"/>
        </w:rPr>
        <w:t>11、</w:t>
      </w:r>
      <w:r>
        <w:rPr>
          <w:rFonts w:hint="eastAsia" w:ascii="Times New Roman" w:hAnsi="Times New Roman" w:eastAsia="宋体" w:cs="Times New Roman"/>
          <w:b w:val="0"/>
          <w:bCs w:val="0"/>
          <w:color w:val="auto"/>
          <w:sz w:val="24"/>
          <w:szCs w:val="24"/>
          <w:highlight w:val="none"/>
          <w:lang w:val="en-US" w:eastAsia="zh-CN"/>
        </w:rPr>
        <w:t>《排污许可证申请与核发技术规范 有色金属工业—再生金属》（ HJ863.4-2018）</w:t>
      </w:r>
      <w:r>
        <w:rPr>
          <w:color w:val="auto"/>
          <w:sz w:val="24"/>
          <w:szCs w:val="32"/>
        </w:rPr>
        <w:t>。</w:t>
      </w:r>
    </w:p>
    <w:p w14:paraId="19CE16EA">
      <w:pPr>
        <w:adjustRightInd w:val="0"/>
        <w:snapToGrid w:val="0"/>
        <w:spacing w:line="360" w:lineRule="auto"/>
        <w:outlineLvl w:val="2"/>
        <w:rPr>
          <w:b/>
          <w:bCs/>
          <w:color w:val="auto"/>
          <w:sz w:val="24"/>
          <w:szCs w:val="32"/>
        </w:rPr>
      </w:pPr>
      <w:bookmarkStart w:id="56" w:name="_Toc15251"/>
      <w:bookmarkStart w:id="57" w:name="_Toc32594"/>
      <w:r>
        <w:rPr>
          <w:b/>
          <w:bCs/>
          <w:color w:val="auto"/>
          <w:sz w:val="24"/>
          <w:szCs w:val="32"/>
        </w:rPr>
        <w:t>1.2.4项目依据</w:t>
      </w:r>
      <w:bookmarkEnd w:id="56"/>
      <w:bookmarkEnd w:id="57"/>
    </w:p>
    <w:p w14:paraId="45010FF3">
      <w:pPr>
        <w:adjustRightInd w:val="0"/>
        <w:snapToGrid w:val="0"/>
        <w:spacing w:line="360" w:lineRule="auto"/>
        <w:ind w:firstLine="480" w:firstLineChars="200"/>
        <w:rPr>
          <w:rFonts w:hint="eastAsia" w:eastAsia="宋体"/>
          <w:color w:val="auto"/>
          <w:sz w:val="24"/>
          <w:szCs w:val="32"/>
          <w:lang w:eastAsia="zh-CN"/>
        </w:rPr>
      </w:pPr>
      <w:r>
        <w:rPr>
          <w:color w:val="auto"/>
          <w:sz w:val="24"/>
          <w:szCs w:val="32"/>
        </w:rPr>
        <w:t>1、</w:t>
      </w:r>
      <w:r>
        <w:rPr>
          <w:rFonts w:hint="eastAsia"/>
          <w:color w:val="auto"/>
          <w:sz w:val="24"/>
          <w:szCs w:val="32"/>
          <w:lang w:val="en-US" w:eastAsia="zh-CN"/>
        </w:rPr>
        <w:t>《安徽濉溪经济开发区总体发展规划（2023-2035年）环境影响报告书》及审查意见（皖环函[</w:t>
      </w:r>
      <w:r>
        <w:rPr>
          <w:rFonts w:hint="default"/>
          <w:color w:val="auto"/>
          <w:sz w:val="24"/>
          <w:szCs w:val="32"/>
          <w:lang w:val="en-US" w:eastAsia="zh-CN"/>
        </w:rPr>
        <w:t>20</w:t>
      </w:r>
      <w:r>
        <w:rPr>
          <w:rFonts w:hint="eastAsia"/>
          <w:color w:val="auto"/>
          <w:sz w:val="24"/>
          <w:szCs w:val="32"/>
          <w:lang w:val="en-US" w:eastAsia="zh-CN"/>
        </w:rPr>
        <w:t>23]1028号）</w:t>
      </w:r>
      <w:r>
        <w:rPr>
          <w:rFonts w:hint="eastAsia" w:cs="Times New Roman"/>
          <w:color w:val="auto"/>
          <w:sz w:val="24"/>
          <w:szCs w:val="20"/>
          <w:lang w:eastAsia="zh-CN"/>
        </w:rPr>
        <w:t>；</w:t>
      </w:r>
    </w:p>
    <w:p w14:paraId="1766E2CC">
      <w:pPr>
        <w:adjustRightInd w:val="0"/>
        <w:snapToGrid w:val="0"/>
        <w:spacing w:line="360" w:lineRule="auto"/>
        <w:ind w:firstLine="480" w:firstLineChars="200"/>
        <w:rPr>
          <w:rFonts w:hint="eastAsia" w:eastAsia="宋体"/>
          <w:color w:val="auto"/>
          <w:sz w:val="24"/>
          <w:szCs w:val="32"/>
          <w:lang w:eastAsia="zh-CN"/>
        </w:rPr>
      </w:pPr>
      <w:r>
        <w:rPr>
          <w:color w:val="auto"/>
          <w:sz w:val="24"/>
          <w:szCs w:val="32"/>
        </w:rPr>
        <w:t>2、</w:t>
      </w:r>
      <w:r>
        <w:rPr>
          <w:rFonts w:hint="default"/>
          <w:color w:val="auto"/>
          <w:sz w:val="24"/>
          <w:szCs w:val="32"/>
        </w:rPr>
        <w:t>《安徽濉溪经济开发区扩展区总体规划（2020-2035）</w:t>
      </w:r>
      <w:r>
        <w:rPr>
          <w:rFonts w:hint="eastAsia"/>
          <w:color w:val="auto"/>
          <w:sz w:val="24"/>
          <w:szCs w:val="32"/>
          <w:lang w:val="en-US" w:eastAsia="zh-CN"/>
        </w:rPr>
        <w:t>环境影响报告书</w:t>
      </w:r>
      <w:r>
        <w:rPr>
          <w:rFonts w:hint="default"/>
          <w:color w:val="auto"/>
          <w:sz w:val="24"/>
          <w:szCs w:val="32"/>
        </w:rPr>
        <w:t>》</w:t>
      </w:r>
      <w:r>
        <w:rPr>
          <w:rFonts w:hint="eastAsia"/>
          <w:color w:val="auto"/>
          <w:sz w:val="24"/>
          <w:szCs w:val="32"/>
          <w:lang w:val="en-US" w:eastAsia="zh-CN"/>
        </w:rPr>
        <w:t>及审查意见</w:t>
      </w:r>
      <w:r>
        <w:rPr>
          <w:color w:val="auto"/>
          <w:sz w:val="24"/>
          <w:szCs w:val="32"/>
        </w:rPr>
        <w:t>；</w:t>
      </w:r>
    </w:p>
    <w:p w14:paraId="672B8EDF">
      <w:pPr>
        <w:adjustRightInd w:val="0"/>
        <w:snapToGrid w:val="0"/>
        <w:spacing w:line="360" w:lineRule="auto"/>
        <w:ind w:firstLine="480" w:firstLineChars="200"/>
        <w:rPr>
          <w:color w:val="auto"/>
          <w:sz w:val="24"/>
          <w:szCs w:val="32"/>
        </w:rPr>
      </w:pPr>
      <w:r>
        <w:rPr>
          <w:rFonts w:hint="eastAsia"/>
          <w:color w:val="auto"/>
          <w:sz w:val="24"/>
          <w:szCs w:val="32"/>
          <w:lang w:val="en-US" w:eastAsia="zh-CN"/>
        </w:rPr>
        <w:t>3、《安徽华中天力铝业有限公司年产11万吨再生铝建设项目环境影响报告书》，中冶华天工程技术有限公司，2016年2月；</w:t>
      </w:r>
    </w:p>
    <w:p w14:paraId="0D14E126">
      <w:pPr>
        <w:adjustRightInd w:val="0"/>
        <w:snapToGrid w:val="0"/>
        <w:spacing w:line="360" w:lineRule="auto"/>
        <w:ind w:firstLine="480" w:firstLineChars="200"/>
        <w:rPr>
          <w:color w:val="auto"/>
          <w:sz w:val="24"/>
          <w:szCs w:val="32"/>
        </w:rPr>
      </w:pPr>
      <w:r>
        <w:rPr>
          <w:color w:val="auto"/>
          <w:sz w:val="24"/>
          <w:szCs w:val="32"/>
        </w:rPr>
        <w:t>3、《</w:t>
      </w:r>
      <w:r>
        <w:rPr>
          <w:rFonts w:hint="eastAsia"/>
          <w:color w:val="auto"/>
          <w:sz w:val="24"/>
          <w:szCs w:val="32"/>
          <w:lang w:val="en-US" w:eastAsia="zh-CN"/>
        </w:rPr>
        <w:t>安徽华中天力铝业有限公司年产11万吨再生铝建设项目</w:t>
      </w:r>
      <w:r>
        <w:rPr>
          <w:color w:val="auto"/>
          <w:sz w:val="24"/>
          <w:szCs w:val="32"/>
        </w:rPr>
        <w:t>环境影响报告书的批复》，淮环行[201</w:t>
      </w:r>
      <w:r>
        <w:rPr>
          <w:rFonts w:hint="eastAsia"/>
          <w:color w:val="auto"/>
          <w:sz w:val="24"/>
          <w:szCs w:val="32"/>
          <w:lang w:val="en-US" w:eastAsia="zh-CN"/>
        </w:rPr>
        <w:t>6</w:t>
      </w:r>
      <w:r>
        <w:rPr>
          <w:color w:val="auto"/>
          <w:sz w:val="24"/>
          <w:szCs w:val="32"/>
        </w:rPr>
        <w:t>]</w:t>
      </w:r>
      <w:r>
        <w:rPr>
          <w:rFonts w:hint="eastAsia"/>
          <w:color w:val="auto"/>
          <w:sz w:val="24"/>
          <w:szCs w:val="32"/>
          <w:lang w:val="en-US" w:eastAsia="zh-CN"/>
        </w:rPr>
        <w:t>27</w:t>
      </w:r>
      <w:r>
        <w:rPr>
          <w:color w:val="auto"/>
          <w:sz w:val="24"/>
          <w:szCs w:val="32"/>
        </w:rPr>
        <w:t>号，20</w:t>
      </w:r>
      <w:r>
        <w:rPr>
          <w:rFonts w:hint="eastAsia"/>
          <w:color w:val="auto"/>
          <w:sz w:val="24"/>
          <w:szCs w:val="32"/>
          <w:lang w:val="en-US" w:eastAsia="zh-CN"/>
        </w:rPr>
        <w:t>16</w:t>
      </w:r>
      <w:r>
        <w:rPr>
          <w:color w:val="auto"/>
          <w:sz w:val="24"/>
          <w:szCs w:val="32"/>
        </w:rPr>
        <w:t>年</w:t>
      </w:r>
      <w:r>
        <w:rPr>
          <w:rFonts w:hint="eastAsia"/>
          <w:color w:val="auto"/>
          <w:sz w:val="24"/>
          <w:szCs w:val="32"/>
          <w:lang w:val="en-US" w:eastAsia="zh-CN"/>
        </w:rPr>
        <w:t>6</w:t>
      </w:r>
      <w:r>
        <w:rPr>
          <w:color w:val="auto"/>
          <w:sz w:val="24"/>
          <w:szCs w:val="32"/>
        </w:rPr>
        <w:t>月</w:t>
      </w:r>
      <w:r>
        <w:rPr>
          <w:rFonts w:hint="eastAsia"/>
          <w:color w:val="auto"/>
          <w:sz w:val="24"/>
          <w:szCs w:val="32"/>
          <w:lang w:val="en-US" w:eastAsia="zh-CN"/>
        </w:rPr>
        <w:t>30</w:t>
      </w:r>
      <w:r>
        <w:rPr>
          <w:color w:val="auto"/>
          <w:sz w:val="24"/>
          <w:szCs w:val="32"/>
        </w:rPr>
        <w:t>日；</w:t>
      </w:r>
    </w:p>
    <w:p w14:paraId="750E2400">
      <w:pPr>
        <w:adjustRightInd w:val="0"/>
        <w:snapToGrid w:val="0"/>
        <w:spacing w:line="360" w:lineRule="auto"/>
        <w:ind w:firstLine="480" w:firstLineChars="200"/>
        <w:rPr>
          <w:color w:val="auto"/>
          <w:sz w:val="24"/>
          <w:szCs w:val="32"/>
        </w:rPr>
      </w:pPr>
      <w:r>
        <w:rPr>
          <w:color w:val="auto"/>
          <w:sz w:val="24"/>
          <w:szCs w:val="32"/>
        </w:rPr>
        <w:t>4、《</w:t>
      </w:r>
      <w:r>
        <w:rPr>
          <w:rFonts w:hint="eastAsia"/>
          <w:color w:val="auto"/>
          <w:sz w:val="24"/>
          <w:szCs w:val="32"/>
          <w:lang w:val="en-US" w:eastAsia="zh-CN"/>
        </w:rPr>
        <w:t>安徽华中天力铝业有限公司年产11万吨再生铝建设项目竣工环境保护(阶段性)验收监测报告</w:t>
      </w:r>
      <w:r>
        <w:rPr>
          <w:color w:val="auto"/>
          <w:sz w:val="24"/>
          <w:szCs w:val="32"/>
        </w:rPr>
        <w:t>》，202</w:t>
      </w:r>
      <w:r>
        <w:rPr>
          <w:rFonts w:hint="eastAsia"/>
          <w:color w:val="auto"/>
          <w:sz w:val="24"/>
          <w:szCs w:val="32"/>
          <w:lang w:val="en-US" w:eastAsia="zh-CN"/>
        </w:rPr>
        <w:t>1</w:t>
      </w:r>
      <w:r>
        <w:rPr>
          <w:color w:val="auto"/>
          <w:sz w:val="24"/>
          <w:szCs w:val="32"/>
        </w:rPr>
        <w:t>年</w:t>
      </w:r>
      <w:r>
        <w:rPr>
          <w:rFonts w:hint="eastAsia"/>
          <w:color w:val="auto"/>
          <w:sz w:val="24"/>
          <w:szCs w:val="32"/>
          <w:lang w:val="en-US" w:eastAsia="zh-CN"/>
        </w:rPr>
        <w:t>9</w:t>
      </w:r>
      <w:r>
        <w:rPr>
          <w:color w:val="auto"/>
          <w:sz w:val="24"/>
          <w:szCs w:val="32"/>
        </w:rPr>
        <w:t>月；</w:t>
      </w:r>
    </w:p>
    <w:p w14:paraId="3A8812D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9"/>
        <w:rPr>
          <w:color w:val="auto"/>
          <w:sz w:val="24"/>
          <w:szCs w:val="32"/>
        </w:rPr>
      </w:pPr>
      <w:r>
        <w:rPr>
          <w:rFonts w:hint="eastAsia"/>
          <w:color w:val="auto"/>
          <w:sz w:val="24"/>
          <w:szCs w:val="32"/>
          <w:lang w:val="en-US" w:eastAsia="zh-CN"/>
        </w:rPr>
        <w:t>5</w:t>
      </w:r>
      <w:r>
        <w:rPr>
          <w:color w:val="auto"/>
          <w:sz w:val="24"/>
          <w:szCs w:val="32"/>
        </w:rPr>
        <w:t>、</w:t>
      </w:r>
      <w:r>
        <w:rPr>
          <w:rFonts w:hint="eastAsia"/>
          <w:color w:val="auto"/>
          <w:sz w:val="24"/>
          <w:szCs w:val="32"/>
        </w:rPr>
        <w:t>安徽瑞瑟科金属材料有限公司</w:t>
      </w:r>
      <w:r>
        <w:rPr>
          <w:rFonts w:hint="eastAsia"/>
          <w:color w:val="auto"/>
          <w:sz w:val="24"/>
          <w:szCs w:val="32"/>
          <w:lang w:eastAsia="zh-CN"/>
        </w:rPr>
        <w:t>（</w:t>
      </w:r>
      <w:r>
        <w:rPr>
          <w:rFonts w:hint="eastAsia"/>
          <w:color w:val="auto"/>
          <w:sz w:val="24"/>
          <w:szCs w:val="32"/>
        </w:rPr>
        <w:t>原安徽华中天力铝业有限公司</w:t>
      </w:r>
      <w:r>
        <w:rPr>
          <w:rFonts w:hint="eastAsia"/>
          <w:color w:val="auto"/>
          <w:sz w:val="24"/>
          <w:szCs w:val="32"/>
          <w:lang w:eastAsia="zh-CN"/>
        </w:rPr>
        <w:t>）</w:t>
      </w:r>
      <w:r>
        <w:rPr>
          <w:rFonts w:hint="eastAsia"/>
          <w:color w:val="auto"/>
          <w:sz w:val="24"/>
          <w:szCs w:val="32"/>
        </w:rPr>
        <w:t>年产11万吨再生铝建设项目</w:t>
      </w:r>
      <w:r>
        <w:rPr>
          <w:color w:val="auto"/>
          <w:sz w:val="24"/>
          <w:szCs w:val="32"/>
        </w:rPr>
        <w:t>环境影响后评价</w:t>
      </w:r>
      <w:r>
        <w:rPr>
          <w:rFonts w:hint="eastAsia"/>
          <w:color w:val="auto"/>
          <w:sz w:val="24"/>
          <w:szCs w:val="32"/>
          <w:lang w:val="en-US" w:eastAsia="zh-CN"/>
        </w:rPr>
        <w:t>现状监测报告</w:t>
      </w:r>
      <w:r>
        <w:rPr>
          <w:color w:val="auto"/>
          <w:sz w:val="24"/>
          <w:szCs w:val="32"/>
        </w:rPr>
        <w:t>，</w:t>
      </w:r>
      <w:bookmarkStart w:id="58" w:name="_Toc7995"/>
      <w:bookmarkStart w:id="59" w:name="_Toc7889"/>
      <w:bookmarkStart w:id="60" w:name="_Toc32461"/>
      <w:r>
        <w:rPr>
          <w:rFonts w:hint="eastAsia"/>
          <w:color w:val="auto"/>
          <w:sz w:val="24"/>
          <w:szCs w:val="32"/>
        </w:rPr>
        <w:t>安徽圆规检测技术有限公司</w:t>
      </w:r>
      <w:r>
        <w:rPr>
          <w:color w:val="auto"/>
          <w:sz w:val="24"/>
          <w:szCs w:val="32"/>
        </w:rPr>
        <w:t>；</w:t>
      </w:r>
    </w:p>
    <w:p w14:paraId="114822F8">
      <w:pPr>
        <w:adjustRightInd w:val="0"/>
        <w:snapToGrid w:val="0"/>
        <w:spacing w:line="360" w:lineRule="auto"/>
        <w:ind w:firstLine="480" w:firstLineChars="200"/>
        <w:rPr>
          <w:color w:val="auto"/>
          <w:sz w:val="24"/>
          <w:szCs w:val="32"/>
        </w:rPr>
      </w:pPr>
      <w:bookmarkStart w:id="61" w:name="_Toc10167"/>
      <w:r>
        <w:rPr>
          <w:rFonts w:hint="eastAsia"/>
          <w:color w:val="auto"/>
          <w:sz w:val="24"/>
          <w:szCs w:val="32"/>
          <w:lang w:val="en-US" w:eastAsia="zh-CN"/>
        </w:rPr>
        <w:t>6</w:t>
      </w:r>
      <w:r>
        <w:rPr>
          <w:color w:val="auto"/>
          <w:sz w:val="24"/>
          <w:szCs w:val="32"/>
        </w:rPr>
        <w:t>、有关工程基础资料。</w:t>
      </w:r>
      <w:bookmarkEnd w:id="58"/>
      <w:bookmarkEnd w:id="59"/>
      <w:bookmarkEnd w:id="60"/>
      <w:bookmarkEnd w:id="61"/>
      <w:bookmarkStart w:id="62" w:name="_Toc449101411"/>
      <w:bookmarkStart w:id="63" w:name="_Toc406680655"/>
    </w:p>
    <w:p w14:paraId="17723B8B">
      <w:pPr>
        <w:adjustRightInd w:val="0"/>
        <w:snapToGrid w:val="0"/>
        <w:spacing w:line="360" w:lineRule="auto"/>
        <w:outlineLvl w:val="1"/>
        <w:rPr>
          <w:b/>
          <w:bCs/>
          <w:color w:val="auto"/>
          <w:sz w:val="28"/>
          <w:szCs w:val="36"/>
        </w:rPr>
      </w:pPr>
      <w:bookmarkStart w:id="64" w:name="_Toc30057"/>
      <w:r>
        <w:rPr>
          <w:b/>
          <w:bCs/>
          <w:color w:val="auto"/>
          <w:sz w:val="28"/>
          <w:szCs w:val="36"/>
        </w:rPr>
        <w:t>1.3评价内容</w:t>
      </w:r>
      <w:bookmarkEnd w:id="62"/>
      <w:bookmarkEnd w:id="63"/>
      <w:bookmarkEnd w:id="64"/>
    </w:p>
    <w:p w14:paraId="146306DC">
      <w:pPr>
        <w:adjustRightInd w:val="0"/>
        <w:snapToGrid w:val="0"/>
        <w:spacing w:line="360" w:lineRule="auto"/>
        <w:ind w:firstLine="480" w:firstLineChars="200"/>
        <w:rPr>
          <w:color w:val="auto"/>
          <w:sz w:val="24"/>
          <w:szCs w:val="32"/>
        </w:rPr>
      </w:pPr>
      <w:r>
        <w:rPr>
          <w:color w:val="auto"/>
          <w:sz w:val="24"/>
          <w:szCs w:val="32"/>
        </w:rPr>
        <w:t>本次评价内容如下：</w:t>
      </w:r>
      <w:bookmarkStart w:id="65" w:name="_Toc12157"/>
      <w:bookmarkStart w:id="66" w:name="_Toc406680656"/>
      <w:bookmarkStart w:id="67" w:name="_Toc449101412"/>
    </w:p>
    <w:p w14:paraId="360AE4B6">
      <w:pPr>
        <w:adjustRightInd w:val="0"/>
        <w:snapToGrid w:val="0"/>
        <w:spacing w:line="360" w:lineRule="auto"/>
        <w:ind w:firstLine="480" w:firstLineChars="200"/>
        <w:rPr>
          <w:color w:val="auto"/>
          <w:sz w:val="24"/>
          <w:szCs w:val="32"/>
        </w:rPr>
      </w:pPr>
      <w:bookmarkStart w:id="68" w:name="_Toc18827"/>
      <w:r>
        <w:rPr>
          <w:color w:val="auto"/>
          <w:sz w:val="24"/>
          <w:szCs w:val="32"/>
        </w:rPr>
        <w:t>（1）建设项目过程回顾</w:t>
      </w:r>
      <w:bookmarkEnd w:id="65"/>
      <w:bookmarkEnd w:id="68"/>
    </w:p>
    <w:p w14:paraId="5AF4FC32">
      <w:pPr>
        <w:adjustRightInd w:val="0"/>
        <w:snapToGrid w:val="0"/>
        <w:spacing w:line="360" w:lineRule="auto"/>
        <w:ind w:firstLine="480" w:firstLineChars="200"/>
        <w:rPr>
          <w:color w:val="auto"/>
          <w:sz w:val="24"/>
          <w:szCs w:val="32"/>
        </w:rPr>
      </w:pPr>
      <w:r>
        <w:rPr>
          <w:color w:val="auto"/>
          <w:sz w:val="24"/>
          <w:szCs w:val="32"/>
        </w:rPr>
        <w:t>包括环境影响评价、环境保护措施落实、环境保护措施竣工验收、环境监测情况，以及公众意见收集调查情况等。</w:t>
      </w:r>
    </w:p>
    <w:p w14:paraId="037C0174">
      <w:pPr>
        <w:adjustRightInd w:val="0"/>
        <w:snapToGrid w:val="0"/>
        <w:spacing w:line="360" w:lineRule="auto"/>
        <w:ind w:firstLine="480" w:firstLineChars="200"/>
        <w:rPr>
          <w:color w:val="auto"/>
          <w:sz w:val="24"/>
          <w:szCs w:val="32"/>
        </w:rPr>
      </w:pPr>
      <w:r>
        <w:rPr>
          <w:color w:val="auto"/>
          <w:sz w:val="24"/>
          <w:szCs w:val="32"/>
        </w:rPr>
        <w:t>环境影响评价回顾：回顾项目建设历程，工程内容变化过程及具体变化内容，各类工程内容变化是否履行了相关环保手续，各环境影响评价文件主要结论和批复要求。</w:t>
      </w:r>
    </w:p>
    <w:p w14:paraId="47507936">
      <w:pPr>
        <w:adjustRightInd w:val="0"/>
        <w:snapToGrid w:val="0"/>
        <w:spacing w:line="360" w:lineRule="auto"/>
        <w:ind w:firstLine="480" w:firstLineChars="200"/>
        <w:rPr>
          <w:color w:val="auto"/>
          <w:sz w:val="24"/>
          <w:szCs w:val="32"/>
        </w:rPr>
      </w:pPr>
      <w:r>
        <w:rPr>
          <w:color w:val="auto"/>
          <w:sz w:val="24"/>
          <w:szCs w:val="32"/>
        </w:rPr>
        <w:t xml:space="preserve">环境保护措施落实回顾：以环境影响评价文件、环境影响评价批复文件及环境保护设计文件为依据，全面、深入回顾环境保护措施的建设落实情况，并注意调查新增的环境保护措施。    </w:t>
      </w:r>
    </w:p>
    <w:p w14:paraId="7546DDB0">
      <w:pPr>
        <w:adjustRightInd w:val="0"/>
        <w:snapToGrid w:val="0"/>
        <w:spacing w:line="360" w:lineRule="auto"/>
        <w:ind w:firstLine="480" w:firstLineChars="200"/>
        <w:rPr>
          <w:color w:val="auto"/>
          <w:sz w:val="24"/>
          <w:szCs w:val="32"/>
        </w:rPr>
      </w:pPr>
      <w:r>
        <w:rPr>
          <w:color w:val="auto"/>
          <w:sz w:val="24"/>
          <w:szCs w:val="32"/>
        </w:rPr>
        <w:t>环境保护措施竣工验收回顾：回顾建设项目是否已进行了竣工环境保护验收，验收内容是否全面、程序是否合法合规，并给出竣工环境保护验收主要结论、有关遗留问题的整改情况。</w:t>
      </w:r>
    </w:p>
    <w:p w14:paraId="3AB3974F">
      <w:pPr>
        <w:adjustRightInd w:val="0"/>
        <w:snapToGrid w:val="0"/>
        <w:spacing w:line="360" w:lineRule="auto"/>
        <w:ind w:firstLine="480" w:firstLineChars="200"/>
        <w:rPr>
          <w:color w:val="auto"/>
          <w:sz w:val="24"/>
          <w:szCs w:val="32"/>
        </w:rPr>
      </w:pPr>
      <w:r>
        <w:rPr>
          <w:color w:val="auto"/>
          <w:sz w:val="24"/>
          <w:szCs w:val="32"/>
        </w:rPr>
        <w:t>环境监测情况回顾：回顾环境影响评价文件和竣工环保设施验收文件中要求的环境监测计划的落实情况。对工程有关突发性环境事件，应回顾跟踪监测调查情况。</w:t>
      </w:r>
    </w:p>
    <w:p w14:paraId="16C07A9B">
      <w:pPr>
        <w:adjustRightInd w:val="0"/>
        <w:snapToGrid w:val="0"/>
        <w:spacing w:line="360" w:lineRule="auto"/>
        <w:ind w:firstLine="480" w:firstLineChars="200"/>
        <w:rPr>
          <w:color w:val="auto"/>
          <w:sz w:val="24"/>
          <w:szCs w:val="32"/>
        </w:rPr>
      </w:pPr>
      <w:r>
        <w:rPr>
          <w:color w:val="auto"/>
          <w:sz w:val="24"/>
          <w:szCs w:val="32"/>
        </w:rPr>
        <w:t>公众意见收集调查回顾：回顾环境影响评价文件公众意见处理情况；回顾环保投诉及处理情况。</w:t>
      </w:r>
      <w:bookmarkStart w:id="69" w:name="_Toc29650"/>
    </w:p>
    <w:p w14:paraId="712C5C08">
      <w:pPr>
        <w:adjustRightInd w:val="0"/>
        <w:snapToGrid w:val="0"/>
        <w:spacing w:line="360" w:lineRule="auto"/>
        <w:ind w:firstLine="480" w:firstLineChars="200"/>
        <w:rPr>
          <w:color w:val="auto"/>
          <w:sz w:val="24"/>
          <w:szCs w:val="32"/>
        </w:rPr>
      </w:pPr>
      <w:bookmarkStart w:id="70" w:name="_Toc12114"/>
      <w:r>
        <w:rPr>
          <w:color w:val="auto"/>
          <w:sz w:val="24"/>
          <w:szCs w:val="32"/>
        </w:rPr>
        <w:t>（2）建设项目工程评价</w:t>
      </w:r>
      <w:bookmarkEnd w:id="69"/>
      <w:bookmarkEnd w:id="70"/>
    </w:p>
    <w:p w14:paraId="4DD382EF">
      <w:pPr>
        <w:adjustRightInd w:val="0"/>
        <w:snapToGrid w:val="0"/>
        <w:spacing w:line="360" w:lineRule="auto"/>
        <w:ind w:firstLine="480" w:firstLineChars="200"/>
        <w:rPr>
          <w:color w:val="auto"/>
          <w:sz w:val="24"/>
          <w:szCs w:val="32"/>
        </w:rPr>
      </w:pPr>
      <w:r>
        <w:rPr>
          <w:color w:val="auto"/>
          <w:sz w:val="24"/>
          <w:szCs w:val="32"/>
        </w:rPr>
        <w:t>项目基本情况：地理位置、企业概况、建设规模、总平面布置等；按主体工程、辅助工程、储运工程、公用工程、环保工程分别列出实际工程建设内容，对照环境影响评价文件及其批复文件，竣工环境保护验收及批复文件说明项目变更及实施情况。</w:t>
      </w:r>
    </w:p>
    <w:p w14:paraId="4652F78C">
      <w:pPr>
        <w:adjustRightInd w:val="0"/>
        <w:snapToGrid w:val="0"/>
        <w:spacing w:line="360" w:lineRule="auto"/>
        <w:ind w:firstLine="480" w:firstLineChars="200"/>
        <w:rPr>
          <w:color w:val="auto"/>
          <w:sz w:val="24"/>
          <w:szCs w:val="32"/>
        </w:rPr>
      </w:pPr>
      <w:r>
        <w:rPr>
          <w:color w:val="auto"/>
          <w:sz w:val="24"/>
          <w:szCs w:val="32"/>
        </w:rPr>
        <w:t>环保措施建设及运行情况：给出工程运行环境影响工艺环节及实际环境影响评价范围；分析建设项目污染防治设施建设及运行情况、生态恢复治理措施情况、地下水环境保护措施情况；核算污染物“三废”排放，并分析是否满足污染物排放总量指标要求。</w:t>
      </w:r>
      <w:bookmarkStart w:id="71" w:name="_Toc5593"/>
    </w:p>
    <w:p w14:paraId="77EF7ED6">
      <w:pPr>
        <w:adjustRightInd w:val="0"/>
        <w:snapToGrid w:val="0"/>
        <w:spacing w:line="360" w:lineRule="auto"/>
        <w:ind w:firstLine="480" w:firstLineChars="200"/>
        <w:rPr>
          <w:color w:val="auto"/>
          <w:sz w:val="24"/>
          <w:szCs w:val="32"/>
        </w:rPr>
      </w:pPr>
      <w:bookmarkStart w:id="72" w:name="_Toc18918"/>
      <w:r>
        <w:rPr>
          <w:color w:val="auto"/>
          <w:sz w:val="24"/>
          <w:szCs w:val="32"/>
        </w:rPr>
        <w:t>（3）区域环境变化评价</w:t>
      </w:r>
      <w:bookmarkEnd w:id="71"/>
      <w:bookmarkEnd w:id="72"/>
    </w:p>
    <w:p w14:paraId="39E1D4CC">
      <w:pPr>
        <w:adjustRightInd w:val="0"/>
        <w:snapToGrid w:val="0"/>
        <w:spacing w:line="360" w:lineRule="auto"/>
        <w:ind w:firstLine="480" w:firstLineChars="200"/>
        <w:rPr>
          <w:color w:val="auto"/>
          <w:sz w:val="24"/>
          <w:szCs w:val="32"/>
        </w:rPr>
      </w:pPr>
      <w:r>
        <w:rPr>
          <w:color w:val="auto"/>
          <w:sz w:val="24"/>
          <w:szCs w:val="32"/>
        </w:rPr>
        <w:t>包括建设项目周围区域环境敏感目标变化、污染源或者其他影响源变化、环境质量现状和变化趋势分析等。</w:t>
      </w:r>
    </w:p>
    <w:p w14:paraId="27AD7618">
      <w:pPr>
        <w:adjustRightInd w:val="0"/>
        <w:snapToGrid w:val="0"/>
        <w:spacing w:line="360" w:lineRule="auto"/>
        <w:ind w:firstLine="480" w:firstLineChars="200"/>
        <w:rPr>
          <w:color w:val="auto"/>
          <w:sz w:val="24"/>
          <w:szCs w:val="32"/>
        </w:rPr>
      </w:pPr>
      <w:r>
        <w:rPr>
          <w:color w:val="auto"/>
          <w:sz w:val="24"/>
          <w:szCs w:val="32"/>
        </w:rPr>
        <w:t>环境保护目标变化：利用现场调查、资料收集等方法，分析项目评价范围内的环境保护目标分布，并与环境影响评价文件和竣工环境保护验收时相比，说明评价范围内环境保护目标的变化情况及采取的保护措施。</w:t>
      </w:r>
    </w:p>
    <w:p w14:paraId="44984458">
      <w:pPr>
        <w:adjustRightInd w:val="0"/>
        <w:snapToGrid w:val="0"/>
        <w:spacing w:line="360" w:lineRule="auto"/>
        <w:ind w:firstLine="480" w:firstLineChars="200"/>
        <w:rPr>
          <w:color w:val="auto"/>
          <w:sz w:val="24"/>
          <w:szCs w:val="32"/>
        </w:rPr>
      </w:pPr>
      <w:r>
        <w:rPr>
          <w:color w:val="auto"/>
          <w:sz w:val="24"/>
          <w:szCs w:val="32"/>
        </w:rPr>
        <w:t>污染源或者其他影响源变化：利用现场调查、资料收集等方法，分析项目评价范围内的污染源分布，并与环境影响评价文件和竣工环境保护验收文件相比，说明评价范围内污染源、其它影响源的变化情况及防治措施。</w:t>
      </w:r>
    </w:p>
    <w:p w14:paraId="2082C4B4">
      <w:pPr>
        <w:adjustRightInd w:val="0"/>
        <w:snapToGrid w:val="0"/>
        <w:spacing w:line="360" w:lineRule="auto"/>
        <w:ind w:firstLine="480" w:firstLineChars="200"/>
        <w:rPr>
          <w:color w:val="auto"/>
          <w:sz w:val="24"/>
          <w:szCs w:val="32"/>
        </w:rPr>
      </w:pPr>
      <w:r>
        <w:rPr>
          <w:color w:val="auto"/>
          <w:sz w:val="24"/>
          <w:szCs w:val="32"/>
        </w:rPr>
        <w:t>环境质量现状和变化趋势分析：区域环境质量现状及变化趋势分析对象包括地下水环境、地表水环境、大气环境、声环境和其它环境等，环境要素的调查内容及方法应符合HJ2.1、HJ619等相关规定。</w:t>
      </w:r>
      <w:bookmarkStart w:id="73" w:name="_Toc26722"/>
    </w:p>
    <w:p w14:paraId="53C0F3F9">
      <w:pPr>
        <w:adjustRightInd w:val="0"/>
        <w:snapToGrid w:val="0"/>
        <w:spacing w:line="360" w:lineRule="auto"/>
        <w:ind w:firstLine="480" w:firstLineChars="200"/>
        <w:rPr>
          <w:color w:val="auto"/>
          <w:sz w:val="24"/>
          <w:szCs w:val="32"/>
        </w:rPr>
      </w:pPr>
      <w:bookmarkStart w:id="74" w:name="_Toc19939"/>
      <w:r>
        <w:rPr>
          <w:color w:val="auto"/>
          <w:sz w:val="24"/>
          <w:szCs w:val="32"/>
        </w:rPr>
        <w:t>（4）环境保护措施有效性评估及影响预测验证</w:t>
      </w:r>
      <w:bookmarkEnd w:id="73"/>
      <w:bookmarkEnd w:id="74"/>
    </w:p>
    <w:p w14:paraId="2C5C7558">
      <w:pPr>
        <w:adjustRightInd w:val="0"/>
        <w:snapToGrid w:val="0"/>
        <w:spacing w:line="360" w:lineRule="auto"/>
        <w:ind w:firstLine="480" w:firstLineChars="200"/>
        <w:rPr>
          <w:color w:val="auto"/>
          <w:sz w:val="24"/>
          <w:szCs w:val="32"/>
        </w:rPr>
      </w:pPr>
      <w:r>
        <w:rPr>
          <w:color w:val="auto"/>
          <w:sz w:val="24"/>
          <w:szCs w:val="32"/>
        </w:rPr>
        <w:t>环境保护措施有效性评估：包括环境影响报告书规定的污染防治、生态保护和风险防范措施是否适用、有效，能否达到国家或者地方相关法律、法规、标准的要求等。环境影响预测验证：包括主要环境要素的预测影响与实际影响差异，原环境影响报告书内容和结论有无重大漏项或者明显错误，持久性、累积性和不确定性环境影响的表现等。</w:t>
      </w:r>
      <w:bookmarkStart w:id="75" w:name="_Toc30170"/>
    </w:p>
    <w:p w14:paraId="720E7B4B">
      <w:pPr>
        <w:adjustRightInd w:val="0"/>
        <w:snapToGrid w:val="0"/>
        <w:spacing w:line="360" w:lineRule="auto"/>
        <w:ind w:firstLine="480" w:firstLineChars="200"/>
        <w:rPr>
          <w:color w:val="auto"/>
          <w:sz w:val="24"/>
          <w:szCs w:val="32"/>
        </w:rPr>
      </w:pPr>
      <w:bookmarkStart w:id="76" w:name="_Toc24684"/>
      <w:r>
        <w:rPr>
          <w:color w:val="auto"/>
          <w:sz w:val="24"/>
          <w:szCs w:val="32"/>
        </w:rPr>
        <w:t>（5）环境保护补救方案和改进措施</w:t>
      </w:r>
      <w:bookmarkEnd w:id="75"/>
      <w:bookmarkEnd w:id="76"/>
    </w:p>
    <w:p w14:paraId="309CF3A5">
      <w:pPr>
        <w:adjustRightInd w:val="0"/>
        <w:snapToGrid w:val="0"/>
        <w:spacing w:line="360" w:lineRule="auto"/>
        <w:ind w:firstLine="480" w:firstLineChars="200"/>
        <w:rPr>
          <w:color w:val="auto"/>
          <w:sz w:val="24"/>
          <w:szCs w:val="32"/>
        </w:rPr>
      </w:pPr>
      <w:r>
        <w:rPr>
          <w:color w:val="auto"/>
          <w:sz w:val="24"/>
          <w:szCs w:val="32"/>
        </w:rPr>
        <w:t>根据建设项目运行后环境影响和环境保护措施有效性评价结果，以区域环境质量改善为目标，提出环境保护补救方案和改进措施。补救方案或改进措施应包括生态保护、地下水保护、水污染防治、大气污染防治、噪声污染防治、固体废物污染防治、环境风险防范等，并满足现行环境保护管理要求，技术、经济可行。明确补救方案或改进措施的实施进度安排、投资估算和环境保护效果等。</w:t>
      </w:r>
    </w:p>
    <w:p w14:paraId="103BBD1D">
      <w:pPr>
        <w:adjustRightInd w:val="0"/>
        <w:snapToGrid w:val="0"/>
        <w:spacing w:line="360" w:lineRule="auto"/>
        <w:outlineLvl w:val="1"/>
        <w:rPr>
          <w:b/>
          <w:bCs/>
          <w:color w:val="auto"/>
          <w:sz w:val="28"/>
          <w:szCs w:val="36"/>
        </w:rPr>
      </w:pPr>
      <w:bookmarkStart w:id="77" w:name="_Toc9104"/>
      <w:r>
        <w:rPr>
          <w:b/>
          <w:bCs/>
          <w:color w:val="auto"/>
          <w:sz w:val="28"/>
          <w:szCs w:val="36"/>
        </w:rPr>
        <w:t>1.4评价重点</w:t>
      </w:r>
      <w:bookmarkEnd w:id="66"/>
      <w:bookmarkEnd w:id="67"/>
      <w:bookmarkEnd w:id="77"/>
    </w:p>
    <w:p w14:paraId="5ED2AF8A">
      <w:pPr>
        <w:adjustRightInd w:val="0"/>
        <w:snapToGrid w:val="0"/>
        <w:spacing w:line="360" w:lineRule="auto"/>
        <w:ind w:firstLine="480" w:firstLineChars="200"/>
        <w:rPr>
          <w:color w:val="auto"/>
          <w:sz w:val="24"/>
          <w:szCs w:val="32"/>
        </w:rPr>
      </w:pPr>
      <w:r>
        <w:rPr>
          <w:color w:val="auto"/>
          <w:sz w:val="24"/>
          <w:szCs w:val="32"/>
        </w:rPr>
        <w:t>（1）项目建设及运行现状调查；</w:t>
      </w:r>
    </w:p>
    <w:p w14:paraId="53A52F34">
      <w:pPr>
        <w:adjustRightInd w:val="0"/>
        <w:snapToGrid w:val="0"/>
        <w:spacing w:line="360" w:lineRule="auto"/>
        <w:ind w:firstLine="480" w:firstLineChars="200"/>
        <w:rPr>
          <w:color w:val="auto"/>
          <w:sz w:val="24"/>
          <w:szCs w:val="32"/>
        </w:rPr>
      </w:pPr>
      <w:r>
        <w:rPr>
          <w:color w:val="auto"/>
          <w:sz w:val="24"/>
          <w:szCs w:val="32"/>
        </w:rPr>
        <w:t>（2）工程建设内容与项目环评批复相符性评价；</w:t>
      </w:r>
    </w:p>
    <w:p w14:paraId="0310B137">
      <w:pPr>
        <w:adjustRightInd w:val="0"/>
        <w:snapToGrid w:val="0"/>
        <w:spacing w:line="360" w:lineRule="auto"/>
        <w:ind w:firstLine="480" w:firstLineChars="200"/>
        <w:rPr>
          <w:color w:val="auto"/>
          <w:sz w:val="24"/>
          <w:szCs w:val="32"/>
        </w:rPr>
      </w:pPr>
      <w:r>
        <w:rPr>
          <w:color w:val="auto"/>
          <w:sz w:val="24"/>
          <w:szCs w:val="32"/>
        </w:rPr>
        <w:t>（3）分析已建环保措施有效性和存在的主要环境问题；</w:t>
      </w:r>
    </w:p>
    <w:p w14:paraId="326B3DDC">
      <w:pPr>
        <w:adjustRightInd w:val="0"/>
        <w:snapToGrid w:val="0"/>
        <w:spacing w:line="360" w:lineRule="auto"/>
        <w:ind w:firstLine="480" w:firstLineChars="200"/>
        <w:rPr>
          <w:color w:val="auto"/>
          <w:sz w:val="24"/>
          <w:szCs w:val="32"/>
        </w:rPr>
      </w:pPr>
      <w:r>
        <w:rPr>
          <w:color w:val="auto"/>
          <w:sz w:val="24"/>
          <w:szCs w:val="32"/>
        </w:rPr>
        <w:t>（4）对项目运行中存在的环境问题提出切实可行的补救或整改措施并分析其可行性。</w:t>
      </w:r>
    </w:p>
    <w:p w14:paraId="5730E136">
      <w:pPr>
        <w:adjustRightInd w:val="0"/>
        <w:snapToGrid w:val="0"/>
        <w:spacing w:line="360" w:lineRule="auto"/>
        <w:outlineLvl w:val="1"/>
        <w:rPr>
          <w:b/>
          <w:bCs/>
          <w:color w:val="auto"/>
          <w:sz w:val="28"/>
          <w:szCs w:val="36"/>
        </w:rPr>
      </w:pPr>
      <w:bookmarkStart w:id="78" w:name="_Toc426556291"/>
      <w:bookmarkStart w:id="79" w:name="_Toc449101413"/>
      <w:bookmarkStart w:id="80" w:name="_Toc5271"/>
      <w:bookmarkStart w:id="81" w:name="_Toc421106908"/>
      <w:bookmarkStart w:id="82" w:name="_Toc421106907"/>
      <w:r>
        <w:rPr>
          <w:b/>
          <w:bCs/>
          <w:color w:val="auto"/>
          <w:sz w:val="28"/>
          <w:szCs w:val="36"/>
        </w:rPr>
        <w:t>1.5 评价因子</w:t>
      </w:r>
      <w:bookmarkEnd w:id="78"/>
      <w:bookmarkEnd w:id="79"/>
      <w:bookmarkEnd w:id="80"/>
      <w:bookmarkEnd w:id="81"/>
    </w:p>
    <w:p w14:paraId="093CBF9E">
      <w:pPr>
        <w:adjustRightInd w:val="0"/>
        <w:snapToGrid w:val="0"/>
        <w:spacing w:line="360" w:lineRule="auto"/>
        <w:outlineLvl w:val="2"/>
        <w:rPr>
          <w:b/>
          <w:bCs/>
          <w:color w:val="auto"/>
          <w:sz w:val="24"/>
          <w:szCs w:val="32"/>
        </w:rPr>
      </w:pPr>
      <w:r>
        <w:rPr>
          <w:b/>
          <w:bCs/>
          <w:color w:val="auto"/>
          <w:sz w:val="24"/>
          <w:szCs w:val="32"/>
        </w:rPr>
        <w:t>1.5.1 大气评价因子</w:t>
      </w:r>
    </w:p>
    <w:p w14:paraId="7A8FD28F">
      <w:pPr>
        <w:adjustRightInd w:val="0"/>
        <w:snapToGrid w:val="0"/>
        <w:spacing w:line="360" w:lineRule="auto"/>
        <w:ind w:firstLine="480" w:firstLineChars="200"/>
        <w:rPr>
          <w:rFonts w:hint="eastAsia" w:eastAsia="宋体"/>
          <w:color w:val="auto"/>
          <w:sz w:val="24"/>
          <w:szCs w:val="32"/>
          <w:lang w:val="en-US" w:eastAsia="zh-CN"/>
        </w:rPr>
      </w:pPr>
      <w:r>
        <w:rPr>
          <w:color w:val="auto"/>
          <w:sz w:val="24"/>
          <w:szCs w:val="32"/>
        </w:rPr>
        <w:t>现状评价因子为：SO</w:t>
      </w:r>
      <w:r>
        <w:rPr>
          <w:color w:val="auto"/>
          <w:sz w:val="24"/>
          <w:szCs w:val="32"/>
          <w:vertAlign w:val="subscript"/>
        </w:rPr>
        <w:t>2</w:t>
      </w:r>
      <w:r>
        <w:rPr>
          <w:color w:val="auto"/>
          <w:sz w:val="24"/>
          <w:szCs w:val="32"/>
        </w:rPr>
        <w:t>、NO</w:t>
      </w:r>
      <w:r>
        <w:rPr>
          <w:color w:val="auto"/>
          <w:sz w:val="24"/>
          <w:szCs w:val="32"/>
          <w:vertAlign w:val="subscript"/>
        </w:rPr>
        <w:t>2</w:t>
      </w:r>
      <w:r>
        <w:rPr>
          <w:color w:val="auto"/>
          <w:sz w:val="24"/>
          <w:szCs w:val="32"/>
        </w:rPr>
        <w:t xml:space="preserve"> 、PM</w:t>
      </w:r>
      <w:r>
        <w:rPr>
          <w:color w:val="auto"/>
          <w:sz w:val="24"/>
          <w:szCs w:val="32"/>
          <w:vertAlign w:val="subscript"/>
        </w:rPr>
        <w:t>10</w:t>
      </w:r>
      <w:r>
        <w:rPr>
          <w:color w:val="auto"/>
          <w:sz w:val="24"/>
          <w:szCs w:val="32"/>
        </w:rPr>
        <w:t>、氟化物、HCl、二噁英类</w:t>
      </w:r>
      <w:r>
        <w:rPr>
          <w:rFonts w:hint="eastAsia"/>
          <w:color w:val="auto"/>
          <w:sz w:val="24"/>
          <w:szCs w:val="32"/>
          <w:lang w:eastAsia="zh-CN"/>
        </w:rPr>
        <w:t>。</w:t>
      </w:r>
    </w:p>
    <w:p w14:paraId="7A8DA0B2">
      <w:pPr>
        <w:adjustRightInd w:val="0"/>
        <w:snapToGrid w:val="0"/>
        <w:spacing w:line="360" w:lineRule="auto"/>
        <w:outlineLvl w:val="2"/>
        <w:rPr>
          <w:b/>
          <w:bCs/>
          <w:color w:val="auto"/>
          <w:sz w:val="24"/>
          <w:szCs w:val="32"/>
        </w:rPr>
      </w:pPr>
      <w:r>
        <w:rPr>
          <w:b/>
          <w:bCs/>
          <w:color w:val="auto"/>
          <w:sz w:val="24"/>
          <w:szCs w:val="32"/>
        </w:rPr>
        <w:t>1.5.2 地表水评价因子</w:t>
      </w:r>
    </w:p>
    <w:p w14:paraId="265ACA78">
      <w:pPr>
        <w:adjustRightInd w:val="0"/>
        <w:snapToGrid w:val="0"/>
        <w:spacing w:line="360" w:lineRule="auto"/>
        <w:ind w:firstLine="480" w:firstLineChars="200"/>
        <w:rPr>
          <w:color w:val="auto"/>
          <w:sz w:val="24"/>
          <w:szCs w:val="32"/>
        </w:rPr>
      </w:pPr>
      <w:r>
        <w:rPr>
          <w:color w:val="auto"/>
          <w:sz w:val="24"/>
          <w:szCs w:val="32"/>
        </w:rPr>
        <w:t>现状评价因子为：</w:t>
      </w:r>
      <w:r>
        <w:rPr>
          <w:color w:val="auto"/>
          <w:sz w:val="24"/>
          <w:szCs w:val="21"/>
        </w:rPr>
        <w:t>pH、DO、COD、BOD</w:t>
      </w:r>
      <w:r>
        <w:rPr>
          <w:color w:val="auto"/>
          <w:sz w:val="24"/>
          <w:szCs w:val="21"/>
          <w:vertAlign w:val="subscript"/>
        </w:rPr>
        <w:t>5</w:t>
      </w:r>
      <w:r>
        <w:rPr>
          <w:color w:val="auto"/>
          <w:sz w:val="24"/>
          <w:szCs w:val="21"/>
        </w:rPr>
        <w:t>、NH</w:t>
      </w:r>
      <w:r>
        <w:rPr>
          <w:color w:val="auto"/>
          <w:sz w:val="24"/>
          <w:szCs w:val="21"/>
          <w:vertAlign w:val="subscript"/>
        </w:rPr>
        <w:t>3</w:t>
      </w:r>
      <w:r>
        <w:rPr>
          <w:color w:val="auto"/>
          <w:sz w:val="24"/>
          <w:szCs w:val="21"/>
        </w:rPr>
        <w:t>-N、TP</w:t>
      </w:r>
      <w:r>
        <w:rPr>
          <w:color w:val="auto"/>
          <w:sz w:val="24"/>
          <w:szCs w:val="32"/>
        </w:rPr>
        <w:t>。</w:t>
      </w:r>
    </w:p>
    <w:p w14:paraId="0416368A">
      <w:pPr>
        <w:adjustRightInd w:val="0"/>
        <w:snapToGrid w:val="0"/>
        <w:spacing w:line="360" w:lineRule="auto"/>
        <w:outlineLvl w:val="2"/>
        <w:rPr>
          <w:b/>
          <w:bCs/>
          <w:color w:val="auto"/>
          <w:sz w:val="24"/>
          <w:szCs w:val="32"/>
        </w:rPr>
      </w:pPr>
      <w:r>
        <w:rPr>
          <w:b/>
          <w:bCs/>
          <w:color w:val="auto"/>
          <w:sz w:val="24"/>
          <w:szCs w:val="32"/>
        </w:rPr>
        <w:t>1.5.3 地下水评价因子</w:t>
      </w:r>
    </w:p>
    <w:p w14:paraId="4DB70F56">
      <w:pPr>
        <w:adjustRightInd w:val="0"/>
        <w:snapToGrid w:val="0"/>
        <w:spacing w:line="360" w:lineRule="auto"/>
        <w:ind w:firstLine="480" w:firstLineChars="200"/>
        <w:rPr>
          <w:color w:val="auto"/>
          <w:sz w:val="24"/>
          <w:szCs w:val="32"/>
        </w:rPr>
      </w:pPr>
      <w:r>
        <w:rPr>
          <w:color w:val="auto"/>
          <w:sz w:val="24"/>
          <w:szCs w:val="32"/>
        </w:rPr>
        <w:t>现状评价因子为：pH、氟化物、氯化物、高锰酸盐指数、硬度、溶解性总固体、铅、铬、砷、汞。</w:t>
      </w:r>
    </w:p>
    <w:p w14:paraId="02D44657">
      <w:pPr>
        <w:adjustRightInd w:val="0"/>
        <w:snapToGrid w:val="0"/>
        <w:spacing w:line="360" w:lineRule="auto"/>
        <w:outlineLvl w:val="2"/>
        <w:rPr>
          <w:b/>
          <w:bCs/>
          <w:color w:val="auto"/>
          <w:sz w:val="24"/>
          <w:szCs w:val="32"/>
        </w:rPr>
      </w:pPr>
      <w:r>
        <w:rPr>
          <w:b/>
          <w:bCs/>
          <w:color w:val="auto"/>
          <w:sz w:val="24"/>
          <w:szCs w:val="32"/>
        </w:rPr>
        <w:t>1.5.4 噪声评价因子</w:t>
      </w:r>
    </w:p>
    <w:p w14:paraId="249B20E5">
      <w:pPr>
        <w:adjustRightInd w:val="0"/>
        <w:snapToGrid w:val="0"/>
        <w:spacing w:line="360" w:lineRule="auto"/>
        <w:ind w:firstLine="480" w:firstLineChars="200"/>
        <w:rPr>
          <w:color w:val="auto"/>
          <w:sz w:val="24"/>
          <w:szCs w:val="32"/>
        </w:rPr>
      </w:pPr>
      <w:r>
        <w:rPr>
          <w:color w:val="auto"/>
          <w:sz w:val="24"/>
          <w:szCs w:val="32"/>
        </w:rPr>
        <w:t>现状评价因子为：等效连续A声级Leq dB（A）；</w:t>
      </w:r>
    </w:p>
    <w:p w14:paraId="081457BC">
      <w:pPr>
        <w:adjustRightInd w:val="0"/>
        <w:snapToGrid w:val="0"/>
        <w:spacing w:line="360" w:lineRule="auto"/>
        <w:outlineLvl w:val="1"/>
        <w:rPr>
          <w:b/>
          <w:bCs/>
          <w:color w:val="auto"/>
          <w:sz w:val="28"/>
          <w:szCs w:val="36"/>
        </w:rPr>
      </w:pPr>
      <w:bookmarkStart w:id="83" w:name="_Toc426556292"/>
      <w:bookmarkStart w:id="84" w:name="_Toc2750"/>
      <w:bookmarkStart w:id="85" w:name="_Toc421106909"/>
      <w:r>
        <w:rPr>
          <w:b/>
          <w:bCs/>
          <w:color w:val="auto"/>
          <w:sz w:val="28"/>
          <w:szCs w:val="36"/>
        </w:rPr>
        <w:t>1.6 评价标准</w:t>
      </w:r>
      <w:bookmarkEnd w:id="83"/>
      <w:bookmarkEnd w:id="84"/>
      <w:bookmarkEnd w:id="85"/>
    </w:p>
    <w:p w14:paraId="54A3D6B2">
      <w:pPr>
        <w:adjustRightInd w:val="0"/>
        <w:snapToGrid w:val="0"/>
        <w:spacing w:line="360" w:lineRule="auto"/>
        <w:outlineLvl w:val="2"/>
        <w:rPr>
          <w:b/>
          <w:bCs/>
          <w:color w:val="auto"/>
          <w:sz w:val="24"/>
          <w:szCs w:val="32"/>
        </w:rPr>
      </w:pPr>
      <w:r>
        <w:rPr>
          <w:b/>
          <w:bCs/>
          <w:color w:val="auto"/>
          <w:sz w:val="24"/>
          <w:szCs w:val="32"/>
        </w:rPr>
        <w:t>1.5.5 土壤评价因子</w:t>
      </w:r>
    </w:p>
    <w:p w14:paraId="5795483B">
      <w:pPr>
        <w:adjustRightInd w:val="0"/>
        <w:snapToGrid w:val="0"/>
        <w:spacing w:line="360" w:lineRule="auto"/>
        <w:ind w:firstLine="480" w:firstLineChars="200"/>
        <w:rPr>
          <w:color w:val="auto"/>
          <w:sz w:val="24"/>
          <w:szCs w:val="32"/>
        </w:rPr>
      </w:pPr>
      <w:r>
        <w:rPr>
          <w:color w:val="auto"/>
          <w:sz w:val="24"/>
          <w:szCs w:val="32"/>
        </w:rPr>
        <w:t>现状评价因子为：</w:t>
      </w:r>
      <w:r>
        <w:rPr>
          <w:color w:val="auto"/>
          <w:sz w:val="24"/>
        </w:rPr>
        <w:t>pH、镉、铅、铬、砷、汞、二噁英</w:t>
      </w:r>
      <w:r>
        <w:rPr>
          <w:color w:val="auto"/>
          <w:sz w:val="24"/>
          <w:szCs w:val="32"/>
        </w:rPr>
        <w:t>。</w:t>
      </w:r>
    </w:p>
    <w:p w14:paraId="0F768019">
      <w:pPr>
        <w:adjustRightInd w:val="0"/>
        <w:snapToGrid w:val="0"/>
        <w:spacing w:line="360" w:lineRule="auto"/>
        <w:outlineLvl w:val="2"/>
        <w:rPr>
          <w:b/>
          <w:bCs/>
          <w:color w:val="auto"/>
          <w:sz w:val="24"/>
          <w:szCs w:val="32"/>
        </w:rPr>
      </w:pPr>
      <w:r>
        <w:rPr>
          <w:b/>
          <w:bCs/>
          <w:color w:val="auto"/>
          <w:sz w:val="24"/>
          <w:szCs w:val="32"/>
        </w:rPr>
        <w:t>1.6.1 环境质量标准</w:t>
      </w:r>
    </w:p>
    <w:p w14:paraId="501CE66B">
      <w:pPr>
        <w:adjustRightInd w:val="0"/>
        <w:snapToGrid w:val="0"/>
        <w:spacing w:line="360" w:lineRule="auto"/>
        <w:ind w:firstLine="480" w:firstLineChars="200"/>
        <w:rPr>
          <w:color w:val="auto"/>
          <w:sz w:val="24"/>
          <w:szCs w:val="32"/>
        </w:rPr>
      </w:pPr>
      <w:r>
        <w:rPr>
          <w:color w:val="auto"/>
          <w:sz w:val="24"/>
          <w:szCs w:val="32"/>
        </w:rPr>
        <w:t>环境质量标准内容本评价分为原环评评价阶段执行的环境质量标准和后评价阶段执行的环境质量标准。</w:t>
      </w:r>
    </w:p>
    <w:p w14:paraId="7FC07E91">
      <w:pPr>
        <w:adjustRightInd w:val="0"/>
        <w:snapToGrid w:val="0"/>
        <w:spacing w:line="360" w:lineRule="auto"/>
        <w:ind w:firstLine="480" w:firstLineChars="200"/>
        <w:rPr>
          <w:color w:val="auto"/>
          <w:sz w:val="24"/>
          <w:szCs w:val="32"/>
        </w:rPr>
      </w:pPr>
      <w:bookmarkStart w:id="86" w:name="_Toc9795"/>
      <w:bookmarkStart w:id="87" w:name="_Toc23407"/>
      <w:bookmarkStart w:id="88" w:name="_Toc26993"/>
      <w:bookmarkStart w:id="89" w:name="_Toc23672"/>
      <w:r>
        <w:rPr>
          <w:color w:val="auto"/>
          <w:sz w:val="24"/>
          <w:szCs w:val="32"/>
        </w:rPr>
        <w:t>1、大气环境质量评价标准</w:t>
      </w:r>
      <w:bookmarkEnd w:id="86"/>
      <w:bookmarkEnd w:id="87"/>
      <w:bookmarkEnd w:id="88"/>
      <w:bookmarkEnd w:id="89"/>
    </w:p>
    <w:p w14:paraId="16C48FDE">
      <w:pPr>
        <w:adjustRightInd w:val="0"/>
        <w:snapToGrid w:val="0"/>
        <w:spacing w:line="360" w:lineRule="auto"/>
        <w:ind w:firstLine="482" w:firstLineChars="200"/>
        <w:rPr>
          <w:color w:val="auto"/>
          <w:sz w:val="24"/>
          <w:szCs w:val="32"/>
        </w:rPr>
      </w:pPr>
      <w:r>
        <w:rPr>
          <w:b/>
          <w:bCs/>
          <w:color w:val="auto"/>
          <w:sz w:val="24"/>
        </w:rPr>
        <w:t>原环评评价阶段：</w:t>
      </w:r>
      <w:r>
        <w:rPr>
          <w:color w:val="auto"/>
          <w:sz w:val="24"/>
          <w:szCs w:val="32"/>
        </w:rPr>
        <w:t>项目区域环境空气质量SO</w:t>
      </w:r>
      <w:r>
        <w:rPr>
          <w:color w:val="auto"/>
          <w:sz w:val="24"/>
          <w:szCs w:val="32"/>
          <w:vertAlign w:val="subscript"/>
        </w:rPr>
        <w:t>2</w:t>
      </w:r>
      <w:r>
        <w:rPr>
          <w:color w:val="auto"/>
          <w:sz w:val="24"/>
          <w:szCs w:val="32"/>
        </w:rPr>
        <w:t>、NO</w:t>
      </w:r>
      <w:r>
        <w:rPr>
          <w:color w:val="auto"/>
          <w:sz w:val="24"/>
          <w:szCs w:val="32"/>
          <w:vertAlign w:val="subscript"/>
        </w:rPr>
        <w:t>2</w:t>
      </w:r>
      <w:r>
        <w:rPr>
          <w:color w:val="auto"/>
          <w:sz w:val="24"/>
          <w:szCs w:val="32"/>
        </w:rPr>
        <w:t>、PM</w:t>
      </w:r>
      <w:r>
        <w:rPr>
          <w:color w:val="auto"/>
          <w:sz w:val="24"/>
          <w:szCs w:val="32"/>
          <w:vertAlign w:val="subscript"/>
        </w:rPr>
        <w:t>10</w:t>
      </w:r>
      <w:r>
        <w:rPr>
          <w:color w:val="auto"/>
          <w:sz w:val="24"/>
          <w:szCs w:val="32"/>
        </w:rPr>
        <w:t>、</w:t>
      </w:r>
      <w:r>
        <w:rPr>
          <w:rFonts w:hint="eastAsia"/>
          <w:color w:val="auto"/>
          <w:sz w:val="24"/>
          <w:szCs w:val="32"/>
          <w:lang w:val="en-US" w:eastAsia="zh-CN"/>
        </w:rPr>
        <w:t>氟化物</w:t>
      </w:r>
      <w:r>
        <w:rPr>
          <w:color w:val="auto"/>
          <w:sz w:val="24"/>
          <w:szCs w:val="32"/>
        </w:rPr>
        <w:t>执行《环境空气质量标准》（GB3095－2012）中二级标准；</w:t>
      </w:r>
      <w:r>
        <w:rPr>
          <w:rFonts w:hint="eastAsia"/>
          <w:color w:val="auto"/>
          <w:sz w:val="24"/>
          <w:szCs w:val="32"/>
          <w:lang w:val="en-US" w:eastAsia="zh-CN"/>
        </w:rPr>
        <w:t>氯化氢执行《工业企业设计卫生标准》（TJ36-79）；二噁英参照执行《日本环境厅中央环境审议会制定的环境标准》。</w:t>
      </w:r>
      <w:r>
        <w:rPr>
          <w:color w:val="auto"/>
          <w:sz w:val="24"/>
          <w:szCs w:val="32"/>
        </w:rPr>
        <w:t>具体限值详见下表：</w:t>
      </w:r>
    </w:p>
    <w:p w14:paraId="10627DD6">
      <w:pPr>
        <w:adjustRightInd w:val="0"/>
        <w:snapToGrid w:val="0"/>
        <w:spacing w:line="360" w:lineRule="auto"/>
        <w:jc w:val="center"/>
        <w:rPr>
          <w:b/>
          <w:bCs/>
          <w:color w:val="auto"/>
          <w:sz w:val="24"/>
          <w:szCs w:val="32"/>
        </w:rPr>
      </w:pPr>
      <w:r>
        <w:rPr>
          <w:b/>
          <w:bCs/>
          <w:color w:val="auto"/>
          <w:sz w:val="24"/>
          <w:szCs w:val="32"/>
        </w:rPr>
        <w:t>表1-1</w:t>
      </w:r>
      <w:r>
        <w:rPr>
          <w:b/>
          <w:bCs/>
          <w:color w:val="auto"/>
          <w:sz w:val="24"/>
        </w:rPr>
        <w:t>原环评评价阶段</w:t>
      </w:r>
      <w:r>
        <w:rPr>
          <w:b/>
          <w:bCs/>
          <w:color w:val="auto"/>
          <w:sz w:val="24"/>
          <w:szCs w:val="32"/>
        </w:rPr>
        <w:t>环境空气质量标准一览表</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autofit"/>
        <w:tblCellMar>
          <w:top w:w="0" w:type="dxa"/>
          <w:left w:w="108" w:type="dxa"/>
          <w:bottom w:w="0" w:type="dxa"/>
          <w:right w:w="108" w:type="dxa"/>
        </w:tblCellMar>
      </w:tblPr>
      <w:tblGrid>
        <w:gridCol w:w="1219"/>
        <w:gridCol w:w="1896"/>
        <w:gridCol w:w="3359"/>
        <w:gridCol w:w="3488"/>
      </w:tblGrid>
      <w:tr w14:paraId="1AF2F1DA">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rHeight w:val="349" w:hRule="atLeast"/>
          <w:tblHeader/>
        </w:trPr>
        <w:tc>
          <w:tcPr>
            <w:tcW w:w="612" w:type="pct"/>
            <w:vMerge w:val="restart"/>
            <w:tcBorders>
              <w:tl2br w:val="nil"/>
              <w:tr2bl w:val="nil"/>
            </w:tcBorders>
            <w:shd w:val="clear" w:color="auto" w:fill="auto"/>
            <w:noWrap w:val="0"/>
            <w:vAlign w:val="center"/>
          </w:tcPr>
          <w:p w14:paraId="3A944D1B">
            <w:pPr>
              <w:spacing w:before="31" w:beforeLines="10" w:line="264" w:lineRule="auto"/>
              <w:jc w:val="center"/>
              <w:rPr>
                <w:b/>
                <w:color w:val="auto"/>
              </w:rPr>
            </w:pPr>
            <w:r>
              <w:rPr>
                <w:b/>
                <w:color w:val="auto"/>
              </w:rPr>
              <w:t>污染物</w:t>
            </w:r>
          </w:p>
        </w:tc>
        <w:tc>
          <w:tcPr>
            <w:tcW w:w="951" w:type="pct"/>
            <w:tcBorders>
              <w:tl2br w:val="nil"/>
              <w:tr2bl w:val="nil"/>
            </w:tcBorders>
            <w:shd w:val="clear" w:color="auto" w:fill="auto"/>
            <w:noWrap w:val="0"/>
            <w:vAlign w:val="center"/>
          </w:tcPr>
          <w:p w14:paraId="4EBFD24D">
            <w:pPr>
              <w:spacing w:before="31" w:beforeLines="10" w:line="264" w:lineRule="auto"/>
              <w:jc w:val="center"/>
              <w:rPr>
                <w:b/>
                <w:color w:val="auto"/>
              </w:rPr>
            </w:pPr>
            <w:r>
              <w:rPr>
                <w:b/>
                <w:color w:val="auto"/>
              </w:rPr>
              <w:t>取值时间</w:t>
            </w:r>
          </w:p>
        </w:tc>
        <w:tc>
          <w:tcPr>
            <w:tcW w:w="1685" w:type="pct"/>
            <w:tcBorders>
              <w:tl2br w:val="nil"/>
              <w:tr2bl w:val="nil"/>
            </w:tcBorders>
            <w:shd w:val="clear" w:color="auto" w:fill="auto"/>
            <w:noWrap w:val="0"/>
            <w:vAlign w:val="center"/>
          </w:tcPr>
          <w:p w14:paraId="568D36FB">
            <w:pPr>
              <w:spacing w:before="31" w:beforeLines="10" w:line="264" w:lineRule="auto"/>
              <w:jc w:val="center"/>
              <w:rPr>
                <w:rFonts w:hint="eastAsia" w:eastAsia="宋体"/>
                <w:b/>
                <w:color w:val="auto"/>
                <w:lang w:eastAsia="zh-CN"/>
              </w:rPr>
            </w:pPr>
            <w:r>
              <w:rPr>
                <w:b/>
                <w:color w:val="auto"/>
              </w:rPr>
              <w:t>浓度限值</w:t>
            </w:r>
          </w:p>
        </w:tc>
        <w:tc>
          <w:tcPr>
            <w:tcW w:w="1750" w:type="pct"/>
            <w:vMerge w:val="restart"/>
            <w:tcBorders>
              <w:tl2br w:val="nil"/>
              <w:tr2bl w:val="nil"/>
            </w:tcBorders>
            <w:shd w:val="clear" w:color="auto" w:fill="auto"/>
            <w:noWrap w:val="0"/>
            <w:vAlign w:val="center"/>
          </w:tcPr>
          <w:p w14:paraId="1ABFA988">
            <w:pPr>
              <w:spacing w:before="31" w:beforeLines="10" w:line="264" w:lineRule="auto"/>
              <w:jc w:val="center"/>
              <w:rPr>
                <w:b/>
                <w:color w:val="auto"/>
              </w:rPr>
            </w:pPr>
            <w:r>
              <w:rPr>
                <w:b/>
                <w:color w:val="auto"/>
              </w:rPr>
              <w:t>标准来源</w:t>
            </w:r>
          </w:p>
        </w:tc>
      </w:tr>
      <w:tr w14:paraId="649A4369">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177BBA87">
            <w:pPr>
              <w:spacing w:before="15" w:beforeLines="5" w:line="252" w:lineRule="auto"/>
              <w:jc w:val="center"/>
              <w:rPr>
                <w:color w:val="auto"/>
              </w:rPr>
            </w:pPr>
            <w:r>
              <w:rPr>
                <w:color w:val="auto"/>
              </w:rPr>
              <w:t>PM</w:t>
            </w:r>
            <w:r>
              <w:rPr>
                <w:color w:val="auto"/>
                <w:vertAlign w:val="subscript"/>
              </w:rPr>
              <w:t>10</w:t>
            </w:r>
          </w:p>
        </w:tc>
        <w:tc>
          <w:tcPr>
            <w:tcW w:w="951" w:type="pct"/>
            <w:tcBorders>
              <w:tl2br w:val="nil"/>
              <w:tr2bl w:val="nil"/>
            </w:tcBorders>
            <w:shd w:val="clear" w:color="auto" w:fill="auto"/>
            <w:noWrap w:val="0"/>
            <w:vAlign w:val="center"/>
          </w:tcPr>
          <w:p w14:paraId="0194D005">
            <w:pPr>
              <w:spacing w:before="15" w:beforeLines="5" w:line="252" w:lineRule="auto"/>
              <w:jc w:val="center"/>
              <w:rPr>
                <w:color w:val="auto"/>
              </w:rPr>
            </w:pPr>
            <w:r>
              <w:rPr>
                <w:color w:val="auto"/>
              </w:rPr>
              <w:t>年平均</w:t>
            </w:r>
          </w:p>
        </w:tc>
        <w:tc>
          <w:tcPr>
            <w:tcW w:w="1685" w:type="pct"/>
            <w:tcBorders>
              <w:tl2br w:val="nil"/>
              <w:tr2bl w:val="nil"/>
            </w:tcBorders>
            <w:shd w:val="clear" w:color="auto" w:fill="auto"/>
            <w:noWrap w:val="0"/>
            <w:vAlign w:val="center"/>
          </w:tcPr>
          <w:p w14:paraId="1459CE3B">
            <w:pPr>
              <w:spacing w:before="15" w:beforeLines="5" w:line="252" w:lineRule="auto"/>
              <w:jc w:val="center"/>
              <w:rPr>
                <w:color w:val="auto"/>
              </w:rPr>
            </w:pPr>
            <w:r>
              <w:rPr>
                <w:rFonts w:hint="eastAsia"/>
                <w:color w:val="auto"/>
              </w:rPr>
              <w:t>70</w:t>
            </w:r>
          </w:p>
        </w:tc>
        <w:tc>
          <w:tcPr>
            <w:tcW w:w="1750" w:type="pct"/>
            <w:vMerge w:val="restart"/>
            <w:tcBorders>
              <w:tl2br w:val="nil"/>
              <w:tr2bl w:val="nil"/>
            </w:tcBorders>
            <w:shd w:val="clear" w:color="auto" w:fill="auto"/>
            <w:noWrap w:val="0"/>
            <w:vAlign w:val="center"/>
          </w:tcPr>
          <w:p w14:paraId="5C4256D2">
            <w:pPr>
              <w:spacing w:before="15" w:beforeLines="5" w:line="252" w:lineRule="auto"/>
              <w:jc w:val="center"/>
              <w:rPr>
                <w:color w:val="auto"/>
              </w:rPr>
            </w:pPr>
            <w:r>
              <w:rPr>
                <w:color w:val="auto"/>
              </w:rPr>
              <w:t>《环境空气质量标准》（GB3095-2012）</w:t>
            </w:r>
          </w:p>
          <w:p w14:paraId="2A20786D">
            <w:pPr>
              <w:spacing w:before="15" w:beforeLines="5" w:line="252" w:lineRule="auto"/>
              <w:jc w:val="center"/>
              <w:rPr>
                <w:color w:val="auto"/>
              </w:rPr>
            </w:pPr>
            <w:r>
              <w:rPr>
                <w:color w:val="auto"/>
              </w:rPr>
              <w:t>中的二级标准</w:t>
            </w:r>
          </w:p>
        </w:tc>
      </w:tr>
      <w:tr w14:paraId="3C5FF888">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000AE26C">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0CC6FCCC">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3205888D">
            <w:pPr>
              <w:spacing w:before="15" w:beforeLines="5" w:line="252" w:lineRule="auto"/>
              <w:jc w:val="center"/>
              <w:rPr>
                <w:color w:val="auto"/>
              </w:rPr>
            </w:pPr>
            <w:r>
              <w:rPr>
                <w:rFonts w:hint="eastAsia"/>
                <w:color w:val="auto"/>
              </w:rPr>
              <w:t>150</w:t>
            </w:r>
          </w:p>
        </w:tc>
        <w:tc>
          <w:tcPr>
            <w:tcW w:w="1750" w:type="pct"/>
            <w:vMerge w:val="continue"/>
            <w:tcBorders>
              <w:tl2br w:val="nil"/>
              <w:tr2bl w:val="nil"/>
            </w:tcBorders>
            <w:shd w:val="clear" w:color="auto" w:fill="auto"/>
            <w:noWrap w:val="0"/>
            <w:vAlign w:val="center"/>
          </w:tcPr>
          <w:p w14:paraId="4B044B4A">
            <w:pPr>
              <w:spacing w:before="15" w:beforeLines="5" w:line="252" w:lineRule="auto"/>
              <w:jc w:val="center"/>
              <w:rPr>
                <w:color w:val="auto"/>
              </w:rPr>
            </w:pPr>
          </w:p>
        </w:tc>
      </w:tr>
      <w:tr w14:paraId="1D059CB8">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333569FA">
            <w:pPr>
              <w:spacing w:before="15" w:beforeLines="5" w:line="252" w:lineRule="auto"/>
              <w:jc w:val="center"/>
              <w:rPr>
                <w:color w:val="auto"/>
              </w:rPr>
            </w:pPr>
            <w:r>
              <w:rPr>
                <w:color w:val="auto"/>
              </w:rPr>
              <w:t>SO</w:t>
            </w:r>
            <w:r>
              <w:rPr>
                <w:color w:val="auto"/>
                <w:vertAlign w:val="subscript"/>
              </w:rPr>
              <w:t>2</w:t>
            </w:r>
          </w:p>
        </w:tc>
        <w:tc>
          <w:tcPr>
            <w:tcW w:w="951" w:type="pct"/>
            <w:tcBorders>
              <w:tl2br w:val="nil"/>
              <w:tr2bl w:val="nil"/>
            </w:tcBorders>
            <w:shd w:val="clear" w:color="auto" w:fill="auto"/>
            <w:noWrap w:val="0"/>
            <w:vAlign w:val="center"/>
          </w:tcPr>
          <w:p w14:paraId="14405067">
            <w:pPr>
              <w:spacing w:before="15" w:beforeLines="5" w:line="252" w:lineRule="auto"/>
              <w:jc w:val="center"/>
              <w:rPr>
                <w:color w:val="auto"/>
              </w:rPr>
            </w:pPr>
            <w:r>
              <w:rPr>
                <w:color w:val="auto"/>
              </w:rPr>
              <w:t>年平均</w:t>
            </w:r>
          </w:p>
        </w:tc>
        <w:tc>
          <w:tcPr>
            <w:tcW w:w="1685" w:type="pct"/>
            <w:tcBorders>
              <w:tl2br w:val="nil"/>
              <w:tr2bl w:val="nil"/>
            </w:tcBorders>
            <w:shd w:val="clear" w:color="auto" w:fill="auto"/>
            <w:noWrap w:val="0"/>
            <w:vAlign w:val="center"/>
          </w:tcPr>
          <w:p w14:paraId="0C1F5AFF">
            <w:pPr>
              <w:spacing w:before="15" w:beforeLines="5" w:line="252" w:lineRule="auto"/>
              <w:jc w:val="center"/>
              <w:rPr>
                <w:color w:val="auto"/>
              </w:rPr>
            </w:pPr>
            <w:r>
              <w:rPr>
                <w:rFonts w:hint="eastAsia"/>
                <w:color w:val="auto"/>
              </w:rPr>
              <w:t>60</w:t>
            </w:r>
          </w:p>
        </w:tc>
        <w:tc>
          <w:tcPr>
            <w:tcW w:w="1750" w:type="pct"/>
            <w:vMerge w:val="continue"/>
            <w:tcBorders>
              <w:tl2br w:val="nil"/>
              <w:tr2bl w:val="nil"/>
            </w:tcBorders>
            <w:shd w:val="clear" w:color="auto" w:fill="auto"/>
            <w:noWrap w:val="0"/>
            <w:vAlign w:val="center"/>
          </w:tcPr>
          <w:p w14:paraId="09E34C69">
            <w:pPr>
              <w:spacing w:before="15" w:beforeLines="5" w:line="252" w:lineRule="auto"/>
              <w:jc w:val="center"/>
              <w:rPr>
                <w:color w:val="auto"/>
              </w:rPr>
            </w:pPr>
          </w:p>
        </w:tc>
      </w:tr>
      <w:tr w14:paraId="46F46A20">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103E6A9D">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1E8EBB80">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315FF818">
            <w:pPr>
              <w:spacing w:before="15" w:beforeLines="5" w:line="252" w:lineRule="auto"/>
              <w:jc w:val="center"/>
              <w:rPr>
                <w:color w:val="auto"/>
              </w:rPr>
            </w:pPr>
            <w:r>
              <w:rPr>
                <w:rFonts w:hint="eastAsia"/>
                <w:color w:val="auto"/>
              </w:rPr>
              <w:t>150</w:t>
            </w:r>
          </w:p>
        </w:tc>
        <w:tc>
          <w:tcPr>
            <w:tcW w:w="1750" w:type="pct"/>
            <w:vMerge w:val="continue"/>
            <w:tcBorders>
              <w:tl2br w:val="nil"/>
              <w:tr2bl w:val="nil"/>
            </w:tcBorders>
            <w:shd w:val="clear" w:color="auto" w:fill="auto"/>
            <w:noWrap w:val="0"/>
            <w:vAlign w:val="center"/>
          </w:tcPr>
          <w:p w14:paraId="18F2BCB9">
            <w:pPr>
              <w:spacing w:before="15" w:beforeLines="5" w:line="252" w:lineRule="auto"/>
              <w:jc w:val="center"/>
              <w:rPr>
                <w:color w:val="auto"/>
              </w:rPr>
            </w:pPr>
          </w:p>
        </w:tc>
      </w:tr>
      <w:tr w14:paraId="53CA818A">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6B5AF8A5">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373F43DE">
            <w:pPr>
              <w:spacing w:before="15" w:beforeLines="5" w:line="252" w:lineRule="auto"/>
              <w:jc w:val="center"/>
              <w:rPr>
                <w:color w:val="auto"/>
              </w:rPr>
            </w:pPr>
            <w:r>
              <w:rPr>
                <w:color w:val="auto"/>
              </w:rPr>
              <w:t>1小时平均</w:t>
            </w:r>
          </w:p>
        </w:tc>
        <w:tc>
          <w:tcPr>
            <w:tcW w:w="1685" w:type="pct"/>
            <w:tcBorders>
              <w:tl2br w:val="nil"/>
              <w:tr2bl w:val="nil"/>
            </w:tcBorders>
            <w:shd w:val="clear" w:color="auto" w:fill="auto"/>
            <w:noWrap w:val="0"/>
            <w:vAlign w:val="center"/>
          </w:tcPr>
          <w:p w14:paraId="0BEA2D11">
            <w:pPr>
              <w:spacing w:before="15" w:beforeLines="5" w:line="252" w:lineRule="auto"/>
              <w:jc w:val="center"/>
              <w:rPr>
                <w:color w:val="auto"/>
              </w:rPr>
            </w:pPr>
            <w:r>
              <w:rPr>
                <w:rFonts w:hint="eastAsia"/>
                <w:color w:val="auto"/>
              </w:rPr>
              <w:t>500</w:t>
            </w:r>
          </w:p>
        </w:tc>
        <w:tc>
          <w:tcPr>
            <w:tcW w:w="1750" w:type="pct"/>
            <w:vMerge w:val="continue"/>
            <w:tcBorders>
              <w:tl2br w:val="nil"/>
              <w:tr2bl w:val="nil"/>
            </w:tcBorders>
            <w:shd w:val="clear" w:color="auto" w:fill="auto"/>
            <w:noWrap w:val="0"/>
            <w:vAlign w:val="center"/>
          </w:tcPr>
          <w:p w14:paraId="2859F491">
            <w:pPr>
              <w:spacing w:before="15" w:beforeLines="5" w:line="252" w:lineRule="auto"/>
              <w:jc w:val="center"/>
              <w:rPr>
                <w:color w:val="auto"/>
              </w:rPr>
            </w:pPr>
          </w:p>
        </w:tc>
      </w:tr>
      <w:tr w14:paraId="48D7F89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31FE6A19">
            <w:pPr>
              <w:spacing w:before="15" w:beforeLines="5" w:line="252" w:lineRule="auto"/>
              <w:jc w:val="center"/>
              <w:rPr>
                <w:color w:val="auto"/>
              </w:rPr>
            </w:pPr>
            <w:r>
              <w:rPr>
                <w:color w:val="auto"/>
              </w:rPr>
              <w:t>NO</w:t>
            </w:r>
            <w:r>
              <w:rPr>
                <w:color w:val="auto"/>
                <w:vertAlign w:val="subscript"/>
              </w:rPr>
              <w:t>2</w:t>
            </w:r>
          </w:p>
        </w:tc>
        <w:tc>
          <w:tcPr>
            <w:tcW w:w="951" w:type="pct"/>
            <w:tcBorders>
              <w:tl2br w:val="nil"/>
              <w:tr2bl w:val="nil"/>
            </w:tcBorders>
            <w:shd w:val="clear" w:color="auto" w:fill="auto"/>
            <w:noWrap w:val="0"/>
            <w:vAlign w:val="center"/>
          </w:tcPr>
          <w:p w14:paraId="3C593306">
            <w:pPr>
              <w:spacing w:before="15" w:beforeLines="5" w:line="252" w:lineRule="auto"/>
              <w:jc w:val="center"/>
              <w:rPr>
                <w:color w:val="auto"/>
              </w:rPr>
            </w:pPr>
            <w:r>
              <w:rPr>
                <w:color w:val="auto"/>
              </w:rPr>
              <w:t>年平均</w:t>
            </w:r>
          </w:p>
        </w:tc>
        <w:tc>
          <w:tcPr>
            <w:tcW w:w="1685" w:type="pct"/>
            <w:tcBorders>
              <w:tl2br w:val="nil"/>
              <w:tr2bl w:val="nil"/>
            </w:tcBorders>
            <w:shd w:val="clear" w:color="auto" w:fill="auto"/>
            <w:noWrap w:val="0"/>
            <w:vAlign w:val="center"/>
          </w:tcPr>
          <w:p w14:paraId="1E14EA26">
            <w:pPr>
              <w:spacing w:before="15" w:beforeLines="5" w:line="252" w:lineRule="auto"/>
              <w:jc w:val="center"/>
              <w:rPr>
                <w:color w:val="auto"/>
              </w:rPr>
            </w:pPr>
            <w:r>
              <w:rPr>
                <w:rFonts w:hint="eastAsia"/>
                <w:color w:val="auto"/>
              </w:rPr>
              <w:t>40</w:t>
            </w:r>
          </w:p>
        </w:tc>
        <w:tc>
          <w:tcPr>
            <w:tcW w:w="1750" w:type="pct"/>
            <w:vMerge w:val="continue"/>
            <w:tcBorders>
              <w:tl2br w:val="nil"/>
              <w:tr2bl w:val="nil"/>
            </w:tcBorders>
            <w:shd w:val="clear" w:color="auto" w:fill="auto"/>
            <w:noWrap w:val="0"/>
            <w:vAlign w:val="center"/>
          </w:tcPr>
          <w:p w14:paraId="310CC0A2">
            <w:pPr>
              <w:spacing w:before="15" w:beforeLines="5" w:line="252" w:lineRule="auto"/>
              <w:jc w:val="center"/>
              <w:rPr>
                <w:color w:val="auto"/>
              </w:rPr>
            </w:pPr>
          </w:p>
        </w:tc>
      </w:tr>
      <w:tr w14:paraId="518837A8">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5CE60D15">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235F36EA">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4A539034">
            <w:pPr>
              <w:spacing w:before="15" w:beforeLines="5" w:line="252" w:lineRule="auto"/>
              <w:jc w:val="center"/>
              <w:rPr>
                <w:color w:val="auto"/>
              </w:rPr>
            </w:pPr>
            <w:r>
              <w:rPr>
                <w:rFonts w:hint="eastAsia"/>
                <w:color w:val="auto"/>
              </w:rPr>
              <w:t>80</w:t>
            </w:r>
          </w:p>
        </w:tc>
        <w:tc>
          <w:tcPr>
            <w:tcW w:w="1750" w:type="pct"/>
            <w:vMerge w:val="continue"/>
            <w:tcBorders>
              <w:tl2br w:val="nil"/>
              <w:tr2bl w:val="nil"/>
            </w:tcBorders>
            <w:shd w:val="clear" w:color="auto" w:fill="auto"/>
            <w:noWrap w:val="0"/>
            <w:vAlign w:val="center"/>
          </w:tcPr>
          <w:p w14:paraId="30DFFB1B">
            <w:pPr>
              <w:spacing w:before="15" w:beforeLines="5" w:line="252" w:lineRule="auto"/>
              <w:jc w:val="center"/>
              <w:rPr>
                <w:color w:val="auto"/>
              </w:rPr>
            </w:pPr>
          </w:p>
        </w:tc>
      </w:tr>
      <w:tr w14:paraId="004C344F">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50BE9FDB">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366CE863">
            <w:pPr>
              <w:spacing w:before="15" w:beforeLines="5" w:line="252" w:lineRule="auto"/>
              <w:jc w:val="center"/>
              <w:rPr>
                <w:color w:val="auto"/>
              </w:rPr>
            </w:pPr>
            <w:r>
              <w:rPr>
                <w:color w:val="auto"/>
              </w:rPr>
              <w:t>1小时平均</w:t>
            </w:r>
          </w:p>
        </w:tc>
        <w:tc>
          <w:tcPr>
            <w:tcW w:w="1685" w:type="pct"/>
            <w:tcBorders>
              <w:tl2br w:val="nil"/>
              <w:tr2bl w:val="nil"/>
            </w:tcBorders>
            <w:shd w:val="clear" w:color="auto" w:fill="auto"/>
            <w:noWrap w:val="0"/>
            <w:vAlign w:val="center"/>
          </w:tcPr>
          <w:p w14:paraId="72EC75F5">
            <w:pPr>
              <w:spacing w:before="15" w:beforeLines="5" w:line="252" w:lineRule="auto"/>
              <w:jc w:val="center"/>
              <w:rPr>
                <w:color w:val="auto"/>
              </w:rPr>
            </w:pPr>
            <w:r>
              <w:rPr>
                <w:rFonts w:hint="eastAsia"/>
                <w:color w:val="auto"/>
              </w:rPr>
              <w:t>200</w:t>
            </w:r>
          </w:p>
        </w:tc>
        <w:tc>
          <w:tcPr>
            <w:tcW w:w="1750" w:type="pct"/>
            <w:vMerge w:val="continue"/>
            <w:tcBorders>
              <w:tl2br w:val="nil"/>
              <w:tr2bl w:val="nil"/>
            </w:tcBorders>
            <w:shd w:val="clear" w:color="auto" w:fill="auto"/>
            <w:noWrap w:val="0"/>
            <w:vAlign w:val="center"/>
          </w:tcPr>
          <w:p w14:paraId="74CF9238">
            <w:pPr>
              <w:spacing w:before="15" w:beforeLines="5" w:line="252" w:lineRule="auto"/>
              <w:jc w:val="center"/>
              <w:rPr>
                <w:color w:val="auto"/>
              </w:rPr>
            </w:pPr>
          </w:p>
        </w:tc>
      </w:tr>
      <w:tr w14:paraId="28F84A58">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3C5AF784">
            <w:pPr>
              <w:spacing w:before="15" w:beforeLines="5" w:line="252" w:lineRule="auto"/>
              <w:jc w:val="center"/>
              <w:rPr>
                <w:color w:val="auto"/>
              </w:rPr>
            </w:pPr>
            <w:r>
              <w:rPr>
                <w:color w:val="auto"/>
              </w:rPr>
              <w:t>氟化物</w:t>
            </w:r>
          </w:p>
        </w:tc>
        <w:tc>
          <w:tcPr>
            <w:tcW w:w="951" w:type="pct"/>
            <w:tcBorders>
              <w:tl2br w:val="nil"/>
              <w:tr2bl w:val="nil"/>
            </w:tcBorders>
            <w:shd w:val="clear" w:color="auto" w:fill="auto"/>
            <w:noWrap w:val="0"/>
            <w:vAlign w:val="center"/>
          </w:tcPr>
          <w:p w14:paraId="7B202BCF">
            <w:pPr>
              <w:spacing w:before="15" w:beforeLines="5" w:line="252" w:lineRule="auto"/>
              <w:jc w:val="center"/>
              <w:rPr>
                <w:color w:val="auto"/>
              </w:rPr>
            </w:pPr>
            <w:r>
              <w:rPr>
                <w:color w:val="auto"/>
              </w:rPr>
              <w:t>1小时平均</w:t>
            </w:r>
          </w:p>
        </w:tc>
        <w:tc>
          <w:tcPr>
            <w:tcW w:w="1685" w:type="pct"/>
            <w:tcBorders>
              <w:tl2br w:val="nil"/>
              <w:tr2bl w:val="nil"/>
            </w:tcBorders>
            <w:shd w:val="clear" w:color="auto" w:fill="auto"/>
            <w:noWrap w:val="0"/>
            <w:vAlign w:val="center"/>
          </w:tcPr>
          <w:p w14:paraId="753EF176">
            <w:pPr>
              <w:spacing w:before="15" w:beforeLines="5" w:line="252" w:lineRule="auto"/>
              <w:jc w:val="center"/>
              <w:rPr>
                <w:color w:val="auto"/>
              </w:rPr>
            </w:pPr>
            <w:r>
              <w:rPr>
                <w:color w:val="auto"/>
              </w:rPr>
              <w:t>20</w:t>
            </w:r>
          </w:p>
        </w:tc>
        <w:tc>
          <w:tcPr>
            <w:tcW w:w="1750" w:type="pct"/>
            <w:vMerge w:val="continue"/>
            <w:tcBorders>
              <w:tl2br w:val="nil"/>
              <w:tr2bl w:val="nil"/>
            </w:tcBorders>
            <w:shd w:val="clear" w:color="auto" w:fill="auto"/>
            <w:noWrap w:val="0"/>
            <w:vAlign w:val="center"/>
          </w:tcPr>
          <w:p w14:paraId="366D48D9">
            <w:pPr>
              <w:spacing w:before="15" w:beforeLines="5" w:line="252" w:lineRule="auto"/>
              <w:jc w:val="center"/>
              <w:rPr>
                <w:color w:val="auto"/>
              </w:rPr>
            </w:pPr>
          </w:p>
        </w:tc>
      </w:tr>
      <w:tr w14:paraId="47700000">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rHeight w:val="90" w:hRule="atLeast"/>
        </w:trPr>
        <w:tc>
          <w:tcPr>
            <w:tcW w:w="612" w:type="pct"/>
            <w:vMerge w:val="continue"/>
            <w:tcBorders>
              <w:tl2br w:val="nil"/>
              <w:tr2bl w:val="nil"/>
            </w:tcBorders>
            <w:shd w:val="clear" w:color="auto" w:fill="auto"/>
            <w:noWrap w:val="0"/>
            <w:vAlign w:val="center"/>
          </w:tcPr>
          <w:p w14:paraId="4A23702C">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24C5FC6F">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5A7B17F8">
            <w:pPr>
              <w:spacing w:before="15" w:beforeLines="5" w:line="252" w:lineRule="auto"/>
              <w:jc w:val="center"/>
              <w:rPr>
                <w:color w:val="auto"/>
              </w:rPr>
            </w:pPr>
            <w:r>
              <w:rPr>
                <w:color w:val="auto"/>
              </w:rPr>
              <w:t>7</w:t>
            </w:r>
          </w:p>
        </w:tc>
        <w:tc>
          <w:tcPr>
            <w:tcW w:w="1750" w:type="pct"/>
            <w:vMerge w:val="continue"/>
            <w:tcBorders>
              <w:tl2br w:val="nil"/>
              <w:tr2bl w:val="nil"/>
            </w:tcBorders>
            <w:shd w:val="clear" w:color="auto" w:fill="auto"/>
            <w:noWrap w:val="0"/>
            <w:vAlign w:val="center"/>
          </w:tcPr>
          <w:p w14:paraId="7EAFD738">
            <w:pPr>
              <w:spacing w:before="15" w:beforeLines="5" w:line="252" w:lineRule="auto"/>
              <w:jc w:val="center"/>
              <w:rPr>
                <w:color w:val="auto"/>
              </w:rPr>
            </w:pPr>
          </w:p>
        </w:tc>
      </w:tr>
      <w:tr w14:paraId="643FB4B3">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053B440C">
            <w:pPr>
              <w:spacing w:before="15" w:beforeLines="5" w:line="252" w:lineRule="auto"/>
              <w:jc w:val="center"/>
              <w:rPr>
                <w:color w:val="auto"/>
              </w:rPr>
            </w:pPr>
            <w:r>
              <w:rPr>
                <w:color w:val="auto"/>
              </w:rPr>
              <w:t>HCl</w:t>
            </w:r>
          </w:p>
        </w:tc>
        <w:tc>
          <w:tcPr>
            <w:tcW w:w="951" w:type="pct"/>
            <w:tcBorders>
              <w:tl2br w:val="nil"/>
              <w:tr2bl w:val="nil"/>
            </w:tcBorders>
            <w:shd w:val="clear" w:color="auto" w:fill="auto"/>
            <w:noWrap w:val="0"/>
            <w:vAlign w:val="center"/>
          </w:tcPr>
          <w:p w14:paraId="76F035FE">
            <w:pPr>
              <w:spacing w:before="15" w:beforeLines="5" w:line="252" w:lineRule="auto"/>
              <w:jc w:val="center"/>
              <w:rPr>
                <w:color w:val="auto"/>
              </w:rPr>
            </w:pPr>
            <w:r>
              <w:rPr>
                <w:color w:val="auto"/>
              </w:rPr>
              <w:t>一次值</w:t>
            </w:r>
          </w:p>
        </w:tc>
        <w:tc>
          <w:tcPr>
            <w:tcW w:w="1685" w:type="pct"/>
            <w:tcBorders>
              <w:tl2br w:val="nil"/>
              <w:tr2bl w:val="nil"/>
            </w:tcBorders>
            <w:shd w:val="clear" w:color="auto" w:fill="auto"/>
            <w:noWrap w:val="0"/>
            <w:vAlign w:val="center"/>
          </w:tcPr>
          <w:p w14:paraId="7408DF7D">
            <w:pPr>
              <w:spacing w:before="15" w:beforeLines="5" w:line="252" w:lineRule="auto"/>
              <w:jc w:val="center"/>
              <w:rPr>
                <w:color w:val="auto"/>
              </w:rPr>
            </w:pPr>
            <w:r>
              <w:rPr>
                <w:rFonts w:hint="eastAsia"/>
                <w:color w:val="auto"/>
              </w:rPr>
              <w:t>50</w:t>
            </w:r>
          </w:p>
        </w:tc>
        <w:tc>
          <w:tcPr>
            <w:tcW w:w="1750" w:type="pct"/>
            <w:vMerge w:val="restart"/>
            <w:tcBorders>
              <w:tl2br w:val="nil"/>
              <w:tr2bl w:val="nil"/>
            </w:tcBorders>
            <w:shd w:val="clear" w:color="auto" w:fill="auto"/>
            <w:noWrap w:val="0"/>
            <w:vAlign w:val="center"/>
          </w:tcPr>
          <w:p w14:paraId="0CF065F0">
            <w:pPr>
              <w:spacing w:before="15" w:beforeLines="5" w:line="252" w:lineRule="auto"/>
              <w:jc w:val="center"/>
              <w:rPr>
                <w:color w:val="auto"/>
              </w:rPr>
            </w:pPr>
            <w:r>
              <w:rPr>
                <w:color w:val="auto"/>
              </w:rPr>
              <w:t>《工业企业设计卫生标准》（TJ36-79）</w:t>
            </w:r>
          </w:p>
        </w:tc>
      </w:tr>
      <w:tr w14:paraId="4378592A">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70D0534E">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599780D4">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080E606D">
            <w:pPr>
              <w:spacing w:before="15" w:beforeLines="5" w:line="252" w:lineRule="auto"/>
              <w:jc w:val="center"/>
              <w:rPr>
                <w:color w:val="auto"/>
              </w:rPr>
            </w:pPr>
            <w:r>
              <w:rPr>
                <w:rFonts w:hint="eastAsia"/>
                <w:color w:val="auto"/>
              </w:rPr>
              <w:t>15</w:t>
            </w:r>
          </w:p>
        </w:tc>
        <w:tc>
          <w:tcPr>
            <w:tcW w:w="1750" w:type="pct"/>
            <w:vMerge w:val="continue"/>
            <w:tcBorders>
              <w:tl2br w:val="nil"/>
              <w:tr2bl w:val="nil"/>
            </w:tcBorders>
            <w:shd w:val="clear" w:color="auto" w:fill="auto"/>
            <w:noWrap w:val="0"/>
            <w:vAlign w:val="center"/>
          </w:tcPr>
          <w:p w14:paraId="11790D26">
            <w:pPr>
              <w:spacing w:before="15" w:beforeLines="5" w:line="252" w:lineRule="auto"/>
              <w:jc w:val="center"/>
              <w:rPr>
                <w:color w:val="auto"/>
              </w:rPr>
            </w:pPr>
          </w:p>
        </w:tc>
      </w:tr>
      <w:tr w14:paraId="166AD970">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tcBorders>
              <w:tl2br w:val="nil"/>
              <w:tr2bl w:val="nil"/>
            </w:tcBorders>
            <w:shd w:val="clear" w:color="auto" w:fill="auto"/>
            <w:noWrap w:val="0"/>
            <w:vAlign w:val="center"/>
          </w:tcPr>
          <w:p w14:paraId="4573476A">
            <w:pPr>
              <w:spacing w:before="31" w:beforeLines="10" w:line="264" w:lineRule="auto"/>
              <w:jc w:val="center"/>
              <w:rPr>
                <w:color w:val="auto"/>
              </w:rPr>
            </w:pPr>
            <w:r>
              <w:rPr>
                <w:color w:val="auto"/>
              </w:rPr>
              <w:t>二噁英类</w:t>
            </w:r>
          </w:p>
        </w:tc>
        <w:tc>
          <w:tcPr>
            <w:tcW w:w="951" w:type="pct"/>
            <w:tcBorders>
              <w:tl2br w:val="nil"/>
              <w:tr2bl w:val="nil"/>
            </w:tcBorders>
            <w:shd w:val="clear" w:color="auto" w:fill="auto"/>
            <w:noWrap w:val="0"/>
            <w:vAlign w:val="center"/>
          </w:tcPr>
          <w:p w14:paraId="67E7834F">
            <w:pPr>
              <w:spacing w:before="31" w:beforeLines="10" w:line="264" w:lineRule="auto"/>
              <w:jc w:val="center"/>
              <w:rPr>
                <w:color w:val="auto"/>
              </w:rPr>
            </w:pPr>
            <w:r>
              <w:rPr>
                <w:color w:val="auto"/>
              </w:rPr>
              <w:t>年平均</w:t>
            </w:r>
          </w:p>
        </w:tc>
        <w:tc>
          <w:tcPr>
            <w:tcW w:w="1685" w:type="pct"/>
            <w:tcBorders>
              <w:tl2br w:val="nil"/>
              <w:tr2bl w:val="nil"/>
            </w:tcBorders>
            <w:shd w:val="clear" w:color="auto" w:fill="auto"/>
            <w:noWrap w:val="0"/>
            <w:vAlign w:val="center"/>
          </w:tcPr>
          <w:p w14:paraId="6529369F">
            <w:pPr>
              <w:spacing w:before="31" w:beforeLines="10" w:line="264" w:lineRule="auto"/>
              <w:jc w:val="center"/>
              <w:rPr>
                <w:color w:val="auto"/>
              </w:rPr>
            </w:pPr>
            <w:r>
              <w:rPr>
                <w:color w:val="auto"/>
              </w:rPr>
              <w:t>0.6（pg-</w:t>
            </w:r>
            <w:r>
              <w:rPr>
                <w:color w:val="auto"/>
                <w:sz w:val="24"/>
              </w:rPr>
              <w:t>TEQ</w:t>
            </w:r>
            <w:r>
              <w:rPr>
                <w:color w:val="auto"/>
              </w:rPr>
              <w:t>/m</w:t>
            </w:r>
            <w:r>
              <w:rPr>
                <w:color w:val="auto"/>
                <w:vertAlign w:val="superscript"/>
              </w:rPr>
              <w:t>3</w:t>
            </w:r>
            <w:r>
              <w:rPr>
                <w:color w:val="auto"/>
              </w:rPr>
              <w:t>）</w:t>
            </w:r>
          </w:p>
        </w:tc>
        <w:tc>
          <w:tcPr>
            <w:tcW w:w="1750" w:type="pct"/>
            <w:tcBorders>
              <w:tl2br w:val="nil"/>
              <w:tr2bl w:val="nil"/>
            </w:tcBorders>
            <w:shd w:val="clear" w:color="auto" w:fill="auto"/>
            <w:noWrap w:val="0"/>
            <w:vAlign w:val="center"/>
          </w:tcPr>
          <w:p w14:paraId="79B098BF">
            <w:pPr>
              <w:spacing w:before="31" w:beforeLines="10" w:line="264" w:lineRule="auto"/>
              <w:jc w:val="center"/>
              <w:rPr>
                <w:color w:val="auto"/>
              </w:rPr>
            </w:pPr>
            <w:r>
              <w:rPr>
                <w:color w:val="auto"/>
              </w:rPr>
              <w:t>日本环境厅中央环境审议会制定</w:t>
            </w:r>
          </w:p>
          <w:p w14:paraId="10B3DC49">
            <w:pPr>
              <w:spacing w:before="31" w:beforeLines="10" w:line="264" w:lineRule="auto"/>
              <w:jc w:val="center"/>
              <w:rPr>
                <w:color w:val="auto"/>
              </w:rPr>
            </w:pPr>
            <w:r>
              <w:rPr>
                <w:color w:val="auto"/>
              </w:rPr>
              <w:t>的环境标准</w:t>
            </w:r>
          </w:p>
        </w:tc>
      </w:tr>
    </w:tbl>
    <w:p w14:paraId="02EB2CBB">
      <w:pPr>
        <w:adjustRightInd w:val="0"/>
        <w:snapToGrid w:val="0"/>
        <w:spacing w:line="360" w:lineRule="auto"/>
        <w:ind w:firstLine="420" w:firstLineChars="200"/>
        <w:rPr>
          <w:b/>
          <w:bCs/>
          <w:color w:val="auto"/>
          <w:sz w:val="24"/>
        </w:rPr>
      </w:pPr>
      <w:r>
        <w:rPr>
          <w:rFonts w:hint="eastAsia"/>
          <w:b w:val="0"/>
          <w:bCs w:val="0"/>
          <w:color w:val="auto"/>
          <w:sz w:val="21"/>
          <w:szCs w:val="24"/>
          <w:lang w:val="en-US" w:eastAsia="zh-CN"/>
        </w:rPr>
        <w:t>注：</w:t>
      </w:r>
      <w:r>
        <w:rPr>
          <w:rFonts w:hint="default" w:ascii="Times New Roman" w:hAnsi="Times New Roman" w:cs="Times New Roman"/>
          <w:color w:val="auto"/>
          <w:szCs w:val="21"/>
        </w:rPr>
        <w:t>二噁英类小时、日均浓度标准按照《环境影响评价技术导则 大气环境》日均、年均浓度值按 0.33:0.12比例换算，日均浓度取1.65 pg-TEQ/m</w:t>
      </w:r>
      <w:r>
        <w:rPr>
          <w:rFonts w:hint="default" w:ascii="Times New Roman" w:hAnsi="Times New Roman" w:cs="Times New Roman"/>
          <w:color w:val="auto"/>
          <w:szCs w:val="21"/>
          <w:vertAlign w:val="superscript"/>
        </w:rPr>
        <w:t>3</w:t>
      </w:r>
      <w:r>
        <w:rPr>
          <w:rFonts w:hint="default" w:ascii="Times New Roman" w:hAnsi="Times New Roman" w:cs="Times New Roman"/>
          <w:color w:val="auto"/>
          <w:szCs w:val="21"/>
        </w:rPr>
        <w:t>。</w:t>
      </w:r>
    </w:p>
    <w:p w14:paraId="5FAA81C8">
      <w:pPr>
        <w:adjustRightInd w:val="0"/>
        <w:snapToGrid w:val="0"/>
        <w:spacing w:line="360" w:lineRule="auto"/>
        <w:ind w:firstLine="482" w:firstLineChars="200"/>
        <w:rPr>
          <w:color w:val="auto"/>
          <w:sz w:val="24"/>
          <w:szCs w:val="32"/>
        </w:rPr>
      </w:pPr>
      <w:r>
        <w:rPr>
          <w:b/>
          <w:bCs/>
          <w:color w:val="auto"/>
          <w:sz w:val="24"/>
        </w:rPr>
        <w:t>后评价阶段：</w:t>
      </w:r>
      <w:r>
        <w:rPr>
          <w:color w:val="auto"/>
          <w:sz w:val="24"/>
          <w:szCs w:val="32"/>
        </w:rPr>
        <w:t>本项目位于</w:t>
      </w:r>
      <w:r>
        <w:rPr>
          <w:rFonts w:hint="eastAsia"/>
          <w:color w:val="auto"/>
          <w:sz w:val="24"/>
          <w:szCs w:val="32"/>
          <w:lang w:val="en-US" w:eastAsia="zh-CN"/>
        </w:rPr>
        <w:t>安徽濉溪经济开发区</w:t>
      </w:r>
      <w:r>
        <w:rPr>
          <w:color w:val="auto"/>
          <w:sz w:val="24"/>
          <w:szCs w:val="32"/>
        </w:rPr>
        <w:t>内，</w:t>
      </w:r>
      <w:r>
        <w:rPr>
          <w:rFonts w:hint="eastAsia"/>
          <w:color w:val="auto"/>
          <w:sz w:val="24"/>
          <w:szCs w:val="32"/>
        </w:rPr>
        <w:t>环境空气功能区划为二类环境空气质量功能区</w:t>
      </w:r>
      <w:r>
        <w:rPr>
          <w:color w:val="auto"/>
          <w:sz w:val="24"/>
          <w:szCs w:val="32"/>
        </w:rPr>
        <w:t>。项目区域环境空气功能区划未发生改变，仍为二类区，因此</w:t>
      </w:r>
      <w:bookmarkStart w:id="90" w:name="OLE_LINK438"/>
      <w:r>
        <w:rPr>
          <w:rFonts w:hint="eastAsia" w:ascii="Times New Roman" w:hAnsi="Times New Roman" w:eastAsia="宋体" w:cs="Times New Roman"/>
          <w:b w:val="0"/>
          <w:bCs w:val="0"/>
          <w:color w:val="auto"/>
          <w:sz w:val="24"/>
          <w:szCs w:val="24"/>
          <w:lang w:val="en-US" w:eastAsia="zh-CN"/>
        </w:rPr>
        <w:t>SO</w:t>
      </w:r>
      <w:r>
        <w:rPr>
          <w:rFonts w:hint="eastAsia" w:ascii="Times New Roman" w:hAnsi="Times New Roman" w:eastAsia="宋体" w:cs="Times New Roman"/>
          <w:b w:val="0"/>
          <w:bCs w:val="0"/>
          <w:color w:val="auto"/>
          <w:sz w:val="24"/>
          <w:szCs w:val="24"/>
          <w:vertAlign w:val="subscript"/>
          <w:lang w:val="en-US" w:eastAsia="zh-CN"/>
        </w:rPr>
        <w:t>2</w:t>
      </w:r>
      <w:r>
        <w:rPr>
          <w:rFonts w:hint="eastAsia" w:ascii="Times New Roman" w:hAnsi="Times New Roman" w:eastAsia="宋体" w:cs="Times New Roman"/>
          <w:b w:val="0"/>
          <w:bCs w:val="0"/>
          <w:color w:val="auto"/>
          <w:sz w:val="24"/>
          <w:szCs w:val="24"/>
          <w:lang w:val="en-US" w:eastAsia="zh-CN"/>
        </w:rPr>
        <w:t>、NO</w:t>
      </w:r>
      <w:r>
        <w:rPr>
          <w:rFonts w:hint="eastAsia" w:ascii="Times New Roman" w:hAnsi="Times New Roman" w:eastAsia="宋体" w:cs="Times New Roman"/>
          <w:b w:val="0"/>
          <w:bCs w:val="0"/>
          <w:color w:val="auto"/>
          <w:sz w:val="24"/>
          <w:szCs w:val="24"/>
          <w:vertAlign w:val="subscript"/>
          <w:lang w:val="en-US" w:eastAsia="zh-CN"/>
        </w:rPr>
        <w:t>2</w:t>
      </w:r>
      <w:r>
        <w:rPr>
          <w:rFonts w:hint="eastAsia" w:ascii="Times New Roman" w:hAnsi="Times New Roman" w:eastAsia="宋体" w:cs="Times New Roman"/>
          <w:b w:val="0"/>
          <w:bCs w:val="0"/>
          <w:color w:val="auto"/>
          <w:sz w:val="24"/>
          <w:szCs w:val="24"/>
          <w:lang w:val="en-US" w:eastAsia="zh-CN"/>
        </w:rPr>
        <w:t>、PM</w:t>
      </w:r>
      <w:r>
        <w:rPr>
          <w:rFonts w:hint="eastAsia" w:ascii="Times New Roman" w:hAnsi="Times New Roman" w:eastAsia="宋体" w:cs="Times New Roman"/>
          <w:b w:val="0"/>
          <w:bCs w:val="0"/>
          <w:color w:val="auto"/>
          <w:sz w:val="24"/>
          <w:szCs w:val="24"/>
          <w:vertAlign w:val="subscript"/>
          <w:lang w:val="en-US" w:eastAsia="zh-CN"/>
        </w:rPr>
        <w:t>10</w:t>
      </w:r>
      <w:r>
        <w:rPr>
          <w:rFonts w:hint="eastAsia" w:ascii="Times New Roman" w:hAnsi="Times New Roman" w:eastAsia="宋体" w:cs="Times New Roman"/>
          <w:b w:val="0"/>
          <w:bCs w:val="0"/>
          <w:color w:val="auto"/>
          <w:sz w:val="24"/>
          <w:szCs w:val="24"/>
          <w:lang w:val="en-US" w:eastAsia="zh-CN"/>
        </w:rPr>
        <w:t>、CO、O</w:t>
      </w:r>
      <w:r>
        <w:rPr>
          <w:rFonts w:hint="eastAsia" w:ascii="Times New Roman" w:hAnsi="Times New Roman" w:eastAsia="宋体" w:cs="Times New Roman"/>
          <w:b w:val="0"/>
          <w:bCs w:val="0"/>
          <w:color w:val="auto"/>
          <w:sz w:val="24"/>
          <w:szCs w:val="24"/>
          <w:vertAlign w:val="subscript"/>
          <w:lang w:val="en-US" w:eastAsia="zh-CN"/>
        </w:rPr>
        <w:t>3</w:t>
      </w:r>
      <w:r>
        <w:rPr>
          <w:rFonts w:hint="eastAsia" w:ascii="Times New Roman" w:hAnsi="Times New Roman" w:eastAsia="宋体" w:cs="Times New Roman"/>
          <w:b w:val="0"/>
          <w:bCs w:val="0"/>
          <w:color w:val="auto"/>
          <w:sz w:val="24"/>
          <w:szCs w:val="24"/>
          <w:lang w:val="en-US" w:eastAsia="zh-CN"/>
        </w:rPr>
        <w:t>、PM</w:t>
      </w:r>
      <w:r>
        <w:rPr>
          <w:rFonts w:hint="eastAsia" w:ascii="Times New Roman" w:hAnsi="Times New Roman" w:eastAsia="宋体" w:cs="Times New Roman"/>
          <w:b w:val="0"/>
          <w:bCs w:val="0"/>
          <w:color w:val="auto"/>
          <w:sz w:val="24"/>
          <w:szCs w:val="24"/>
          <w:vertAlign w:val="subscript"/>
          <w:lang w:val="en-US" w:eastAsia="zh-CN"/>
        </w:rPr>
        <w:t>2.5</w:t>
      </w:r>
      <w:r>
        <w:rPr>
          <w:rFonts w:hint="eastAsia" w:ascii="Times New Roman" w:hAnsi="Times New Roman" w:eastAsia="宋体" w:cs="Times New Roman"/>
          <w:b w:val="0"/>
          <w:bCs w:val="0"/>
          <w:color w:val="auto"/>
          <w:sz w:val="24"/>
          <w:szCs w:val="24"/>
          <w:lang w:val="en-US" w:eastAsia="zh-CN"/>
        </w:rPr>
        <w:t>、PM</w:t>
      </w:r>
      <w:r>
        <w:rPr>
          <w:rFonts w:hint="eastAsia" w:ascii="Times New Roman" w:hAnsi="Times New Roman" w:eastAsia="宋体" w:cs="Times New Roman"/>
          <w:b w:val="0"/>
          <w:bCs w:val="0"/>
          <w:color w:val="auto"/>
          <w:sz w:val="24"/>
          <w:szCs w:val="24"/>
          <w:vertAlign w:val="subscript"/>
          <w:lang w:val="en-US" w:eastAsia="zh-CN"/>
        </w:rPr>
        <w:t>10</w:t>
      </w:r>
      <w:r>
        <w:rPr>
          <w:rFonts w:hint="eastAsia" w:ascii="Times New Roman" w:hAnsi="Times New Roman" w:eastAsia="宋体" w:cs="Times New Roman"/>
          <w:b w:val="0"/>
          <w:bCs w:val="0"/>
          <w:color w:val="auto"/>
          <w:sz w:val="24"/>
          <w:szCs w:val="24"/>
          <w:lang w:val="en-US" w:eastAsia="zh-CN"/>
        </w:rPr>
        <w:t>、TSP、铅</w:t>
      </w:r>
      <w:bookmarkEnd w:id="90"/>
      <w:r>
        <w:rPr>
          <w:rFonts w:hint="eastAsia" w:ascii="Times New Roman" w:hAnsi="Times New Roman" w:eastAsia="宋体" w:cs="Times New Roman"/>
          <w:b w:val="0"/>
          <w:bCs w:val="0"/>
          <w:color w:val="auto"/>
          <w:sz w:val="24"/>
          <w:szCs w:val="24"/>
          <w:lang w:val="en-US" w:eastAsia="zh-CN"/>
        </w:rPr>
        <w:t>浓度限值执行《环境空气质量标准》（GB3095-20</w:t>
      </w:r>
      <w:r>
        <w:rPr>
          <w:rFonts w:hint="eastAsia" w:cs="Times New Roman"/>
          <w:b w:val="0"/>
          <w:bCs w:val="0"/>
          <w:color w:val="auto"/>
          <w:sz w:val="24"/>
          <w:szCs w:val="24"/>
          <w:lang w:val="en-US" w:eastAsia="zh-CN"/>
        </w:rPr>
        <w:t>26</w:t>
      </w:r>
      <w:r>
        <w:rPr>
          <w:rFonts w:hint="eastAsia" w:ascii="Times New Roman" w:hAnsi="Times New Roman" w:eastAsia="宋体" w:cs="Times New Roman"/>
          <w:b w:val="0"/>
          <w:bCs w:val="0"/>
          <w:color w:val="auto"/>
          <w:sz w:val="24"/>
          <w:szCs w:val="24"/>
          <w:lang w:val="en-US" w:eastAsia="zh-CN"/>
        </w:rPr>
        <w:t>）中的二级标准；</w:t>
      </w:r>
      <w:bookmarkStart w:id="91" w:name="OLE_LINK468"/>
      <w:r>
        <w:rPr>
          <w:rFonts w:hint="eastAsia" w:ascii="Times New Roman" w:hAnsi="Times New Roman" w:eastAsia="宋体" w:cs="Times New Roman"/>
          <w:b w:val="0"/>
          <w:bCs w:val="0"/>
          <w:color w:val="auto"/>
          <w:sz w:val="24"/>
          <w:szCs w:val="24"/>
          <w:lang w:val="en-US" w:eastAsia="zh-CN"/>
        </w:rPr>
        <w:t>氯化氢</w:t>
      </w:r>
      <w:bookmarkEnd w:id="91"/>
      <w:r>
        <w:rPr>
          <w:rFonts w:hint="eastAsia" w:cs="Times New Roman"/>
          <w:b w:val="0"/>
          <w:bCs w:val="0"/>
          <w:color w:val="auto"/>
          <w:sz w:val="24"/>
          <w:szCs w:val="24"/>
          <w:lang w:val="en-US" w:eastAsia="zh-CN"/>
        </w:rPr>
        <w:t>、氨</w:t>
      </w:r>
      <w:r>
        <w:rPr>
          <w:rFonts w:hint="eastAsia" w:ascii="Times New Roman" w:hAnsi="Times New Roman" w:eastAsia="宋体" w:cs="Times New Roman"/>
          <w:b w:val="0"/>
          <w:bCs w:val="0"/>
          <w:color w:val="auto"/>
          <w:sz w:val="24"/>
          <w:szCs w:val="24"/>
          <w:lang w:val="en-US" w:eastAsia="zh-CN"/>
        </w:rPr>
        <w:t>执行《环境影响评价技术导则 大气环境》（HJ 2.2-2018）“表D. 1其他污染物空气质量浓度参考限值”；砷、铬（六价）、镉、氟化物浓度限值执行</w:t>
      </w:r>
      <w:bookmarkStart w:id="92" w:name="OLE_LINK469"/>
      <w:r>
        <w:rPr>
          <w:rFonts w:hint="eastAsia" w:ascii="Times New Roman" w:hAnsi="Times New Roman" w:eastAsia="宋体" w:cs="Times New Roman"/>
          <w:b w:val="0"/>
          <w:bCs w:val="0"/>
          <w:color w:val="auto"/>
          <w:sz w:val="24"/>
          <w:szCs w:val="24"/>
          <w:lang w:val="en-US" w:eastAsia="zh-CN"/>
        </w:rPr>
        <w:t>《环境空气质量标准》（GB3095-20</w:t>
      </w:r>
      <w:r>
        <w:rPr>
          <w:rFonts w:hint="eastAsia" w:cs="Times New Roman"/>
          <w:b w:val="0"/>
          <w:bCs w:val="0"/>
          <w:color w:val="auto"/>
          <w:sz w:val="24"/>
          <w:szCs w:val="24"/>
          <w:lang w:val="en-US" w:eastAsia="zh-CN"/>
        </w:rPr>
        <w:t>26</w:t>
      </w:r>
      <w:r>
        <w:rPr>
          <w:rFonts w:hint="eastAsia" w:ascii="Times New Roman" w:hAnsi="Times New Roman" w:eastAsia="宋体" w:cs="Times New Roman"/>
          <w:b w:val="0"/>
          <w:bCs w:val="0"/>
          <w:color w:val="auto"/>
          <w:sz w:val="24"/>
          <w:szCs w:val="24"/>
          <w:lang w:val="en-US" w:eastAsia="zh-CN"/>
        </w:rPr>
        <w:t>）附录A 标准</w:t>
      </w:r>
      <w:bookmarkEnd w:id="92"/>
      <w:r>
        <w:rPr>
          <w:rFonts w:hint="eastAsia" w:ascii="Times New Roman" w:hAnsi="Times New Roman" w:eastAsia="宋体" w:cs="Times New Roman"/>
          <w:b w:val="0"/>
          <w:bCs w:val="0"/>
          <w:color w:val="auto"/>
          <w:sz w:val="24"/>
          <w:szCs w:val="24"/>
          <w:lang w:val="en-US" w:eastAsia="zh-CN"/>
        </w:rPr>
        <w:t>；二噁英类参照执行</w:t>
      </w:r>
      <w:bookmarkStart w:id="93" w:name="OLE_LINK486"/>
      <w:r>
        <w:rPr>
          <w:rFonts w:hint="eastAsia" w:ascii="Times New Roman" w:hAnsi="Times New Roman" w:eastAsia="宋体" w:cs="Times New Roman"/>
          <w:b w:val="0"/>
          <w:bCs w:val="0"/>
          <w:color w:val="auto"/>
          <w:sz w:val="24"/>
          <w:szCs w:val="24"/>
          <w:lang w:val="en-US" w:eastAsia="zh-CN"/>
        </w:rPr>
        <w:t>日本环境厅中央环境审议会制定的环境标准</w:t>
      </w:r>
      <w:bookmarkEnd w:id="93"/>
      <w:r>
        <w:rPr>
          <w:rFonts w:hint="eastAsia" w:ascii="Times New Roman" w:hAnsi="Times New Roman" w:eastAsia="宋体" w:cs="Times New Roman"/>
          <w:b w:val="0"/>
          <w:bCs w:val="0"/>
          <w:color w:val="auto"/>
          <w:sz w:val="24"/>
          <w:szCs w:val="24"/>
          <w:lang w:val="en-US" w:eastAsia="zh-CN"/>
        </w:rPr>
        <w:t>。</w:t>
      </w:r>
      <w:r>
        <w:rPr>
          <w:color w:val="auto"/>
          <w:sz w:val="24"/>
          <w:szCs w:val="32"/>
        </w:rPr>
        <w:t>具体限值详见下表：</w:t>
      </w:r>
    </w:p>
    <w:p w14:paraId="2B41B44B">
      <w:pPr>
        <w:adjustRightInd w:val="0"/>
        <w:snapToGrid w:val="0"/>
        <w:spacing w:line="360" w:lineRule="auto"/>
        <w:jc w:val="center"/>
        <w:rPr>
          <w:b/>
          <w:bCs/>
          <w:color w:val="auto"/>
          <w:sz w:val="24"/>
          <w:szCs w:val="32"/>
        </w:rPr>
      </w:pPr>
      <w:r>
        <w:rPr>
          <w:b/>
          <w:bCs/>
          <w:color w:val="auto"/>
          <w:sz w:val="24"/>
          <w:szCs w:val="32"/>
        </w:rPr>
        <w:t xml:space="preserve">表1-2 </w:t>
      </w:r>
      <w:r>
        <w:rPr>
          <w:rFonts w:hint="eastAsia"/>
          <w:b/>
          <w:bCs/>
          <w:color w:val="auto"/>
          <w:sz w:val="24"/>
          <w:szCs w:val="32"/>
          <w:lang w:val="en-US" w:eastAsia="zh-CN"/>
        </w:rPr>
        <w:t>后评价阶段</w:t>
      </w:r>
      <w:r>
        <w:rPr>
          <w:b/>
          <w:bCs/>
          <w:color w:val="auto"/>
          <w:sz w:val="24"/>
          <w:szCs w:val="32"/>
        </w:rPr>
        <w:t>环境空气质量评价标准表</w:t>
      </w:r>
    </w:p>
    <w:tbl>
      <w:tblPr>
        <w:tblStyle w:val="3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205"/>
        <w:gridCol w:w="2205"/>
        <w:gridCol w:w="2207"/>
        <w:gridCol w:w="3345"/>
      </w:tblGrid>
      <w:tr w14:paraId="625331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106" w:type="pct"/>
            <w:vAlign w:val="center"/>
          </w:tcPr>
          <w:p w14:paraId="6E085A44">
            <w:pPr>
              <w:bidi w:val="0"/>
              <w:jc w:val="center"/>
              <w:rPr>
                <w:rFonts w:hint="default" w:ascii="Times New Roman" w:hAnsi="Times New Roman" w:eastAsia="宋体" w:cs="Times New Roman"/>
                <w:b/>
                <w:bCs/>
                <w:color w:val="auto"/>
                <w:sz w:val="21"/>
                <w:szCs w:val="21"/>
              </w:rPr>
            </w:pPr>
            <w:bookmarkStart w:id="94" w:name="_Toc28153"/>
            <w:bookmarkStart w:id="95" w:name="_Toc22154"/>
            <w:bookmarkStart w:id="96" w:name="_Toc29049"/>
            <w:bookmarkStart w:id="97" w:name="_Toc23575"/>
            <w:r>
              <w:rPr>
                <w:rFonts w:hint="default" w:ascii="Times New Roman" w:hAnsi="Times New Roman" w:eastAsia="宋体" w:cs="Times New Roman"/>
                <w:b/>
                <w:bCs/>
                <w:color w:val="auto"/>
                <w:sz w:val="21"/>
                <w:szCs w:val="21"/>
              </w:rPr>
              <w:t>评价因子</w:t>
            </w:r>
          </w:p>
        </w:tc>
        <w:tc>
          <w:tcPr>
            <w:tcW w:w="1106" w:type="pct"/>
            <w:vAlign w:val="center"/>
          </w:tcPr>
          <w:p w14:paraId="6A5A716E">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平均时段</w:t>
            </w:r>
          </w:p>
        </w:tc>
        <w:tc>
          <w:tcPr>
            <w:tcW w:w="1107" w:type="pct"/>
            <w:vAlign w:val="center"/>
          </w:tcPr>
          <w:p w14:paraId="2F24623E">
            <w:pPr>
              <w:bidi w:val="0"/>
              <w:jc w:val="center"/>
              <w:rPr>
                <w:rFonts w:hint="default" w:ascii="Times New Roman" w:hAnsi="Times New Roman" w:eastAsia="宋体" w:cs="Times New Roman"/>
                <w:b/>
                <w:bCs/>
                <w:color w:val="auto"/>
                <w:sz w:val="21"/>
                <w:szCs w:val="21"/>
                <w:lang w:val="en-US" w:eastAsia="zh-CN"/>
              </w:rPr>
            </w:pPr>
            <w:r>
              <w:rPr>
                <w:rFonts w:hint="eastAsia" w:cs="Times New Roman"/>
                <w:b/>
                <w:bCs/>
                <w:color w:val="auto"/>
                <w:sz w:val="21"/>
                <w:szCs w:val="21"/>
                <w:lang w:val="en-US" w:eastAsia="zh-CN"/>
              </w:rPr>
              <w:t>过渡阶段浓度限值</w:t>
            </w:r>
          </w:p>
        </w:tc>
        <w:tc>
          <w:tcPr>
            <w:tcW w:w="1678" w:type="pct"/>
            <w:vAlign w:val="center"/>
          </w:tcPr>
          <w:p w14:paraId="2AE198F4">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标准来源</w:t>
            </w:r>
          </w:p>
        </w:tc>
      </w:tr>
      <w:tr w14:paraId="058009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21DAA6B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SO</w:t>
            </w:r>
            <w:r>
              <w:rPr>
                <w:rFonts w:hint="default" w:ascii="Times New Roman" w:hAnsi="Times New Roman" w:eastAsia="宋体" w:cs="Times New Roman"/>
                <w:color w:val="auto"/>
                <w:sz w:val="21"/>
                <w:szCs w:val="21"/>
                <w:vertAlign w:val="subscript"/>
              </w:rPr>
              <w:t>2</w:t>
            </w:r>
          </w:p>
        </w:tc>
        <w:tc>
          <w:tcPr>
            <w:tcW w:w="1106" w:type="pct"/>
            <w:vAlign w:val="center"/>
          </w:tcPr>
          <w:p w14:paraId="79CB73AF">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3D3954A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60μg/Nm</w:t>
            </w:r>
            <w:r>
              <w:rPr>
                <w:rFonts w:hint="default" w:ascii="Times New Roman" w:hAnsi="Times New Roman" w:eastAsia="宋体" w:cs="Times New Roman"/>
                <w:color w:val="auto"/>
                <w:sz w:val="21"/>
                <w:szCs w:val="21"/>
                <w:vertAlign w:val="superscript"/>
              </w:rPr>
              <w:t>3</w:t>
            </w:r>
          </w:p>
        </w:tc>
        <w:tc>
          <w:tcPr>
            <w:tcW w:w="1678" w:type="pct"/>
            <w:vMerge w:val="restart"/>
            <w:vAlign w:val="center"/>
          </w:tcPr>
          <w:p w14:paraId="49FC3B5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《环境空气质量标准》</w:t>
            </w:r>
          </w:p>
          <w:p w14:paraId="61A4465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（GB3095-20</w:t>
            </w:r>
            <w:r>
              <w:rPr>
                <w:rFonts w:hint="eastAsia" w:cs="Times New Roman"/>
                <w:color w:val="auto"/>
                <w:sz w:val="21"/>
                <w:szCs w:val="21"/>
                <w:lang w:val="en-US" w:eastAsia="zh-CN"/>
              </w:rPr>
              <w:t>26</w:t>
            </w:r>
            <w:r>
              <w:rPr>
                <w:rFonts w:hint="default" w:ascii="Times New Roman" w:hAnsi="Times New Roman" w:eastAsia="宋体" w:cs="Times New Roman"/>
                <w:color w:val="auto"/>
                <w:sz w:val="21"/>
                <w:szCs w:val="21"/>
              </w:rPr>
              <w:t>）</w:t>
            </w:r>
          </w:p>
          <w:p w14:paraId="1D5949E2">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二级标准</w:t>
            </w:r>
          </w:p>
        </w:tc>
      </w:tr>
      <w:tr w14:paraId="624C05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2A6F8654">
            <w:pPr>
              <w:bidi w:val="0"/>
              <w:jc w:val="center"/>
              <w:rPr>
                <w:rFonts w:hint="default" w:ascii="Times New Roman" w:hAnsi="Times New Roman" w:eastAsia="宋体" w:cs="Times New Roman"/>
                <w:color w:val="auto"/>
                <w:sz w:val="21"/>
                <w:szCs w:val="21"/>
              </w:rPr>
            </w:pPr>
          </w:p>
        </w:tc>
        <w:tc>
          <w:tcPr>
            <w:tcW w:w="1106" w:type="pct"/>
            <w:vAlign w:val="center"/>
          </w:tcPr>
          <w:p w14:paraId="0ADD6491">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1小时平均</w:t>
            </w:r>
          </w:p>
        </w:tc>
        <w:tc>
          <w:tcPr>
            <w:tcW w:w="1107" w:type="pct"/>
            <w:vAlign w:val="center"/>
          </w:tcPr>
          <w:p w14:paraId="6521FA9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7DDD9504">
            <w:pPr>
              <w:bidi w:val="0"/>
              <w:jc w:val="center"/>
              <w:rPr>
                <w:rFonts w:hint="default" w:ascii="Times New Roman" w:hAnsi="Times New Roman" w:eastAsia="宋体" w:cs="Times New Roman"/>
                <w:color w:val="auto"/>
                <w:sz w:val="21"/>
                <w:szCs w:val="21"/>
              </w:rPr>
            </w:pPr>
          </w:p>
        </w:tc>
      </w:tr>
      <w:tr w14:paraId="276566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46D88E7C">
            <w:pPr>
              <w:bidi w:val="0"/>
              <w:jc w:val="center"/>
              <w:rPr>
                <w:rFonts w:hint="default" w:ascii="Times New Roman" w:hAnsi="Times New Roman" w:eastAsia="宋体" w:cs="Times New Roman"/>
                <w:color w:val="auto"/>
                <w:sz w:val="21"/>
                <w:szCs w:val="21"/>
              </w:rPr>
            </w:pPr>
          </w:p>
        </w:tc>
        <w:tc>
          <w:tcPr>
            <w:tcW w:w="1106" w:type="pct"/>
            <w:vAlign w:val="center"/>
          </w:tcPr>
          <w:p w14:paraId="543BB6F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24小时平均</w:t>
            </w:r>
          </w:p>
        </w:tc>
        <w:tc>
          <w:tcPr>
            <w:tcW w:w="1107" w:type="pct"/>
            <w:vAlign w:val="center"/>
          </w:tcPr>
          <w:p w14:paraId="2365D699">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150μg/Nm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56E3B34B">
            <w:pPr>
              <w:bidi w:val="0"/>
              <w:jc w:val="center"/>
              <w:rPr>
                <w:rFonts w:hint="default" w:ascii="Times New Roman" w:hAnsi="Times New Roman" w:eastAsia="宋体" w:cs="Times New Roman"/>
                <w:color w:val="auto"/>
                <w:sz w:val="21"/>
                <w:szCs w:val="21"/>
              </w:rPr>
            </w:pPr>
          </w:p>
        </w:tc>
      </w:tr>
      <w:tr w14:paraId="4C7E9B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368EC8A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NO</w:t>
            </w:r>
            <w:r>
              <w:rPr>
                <w:rFonts w:hint="default" w:ascii="Times New Roman" w:hAnsi="Times New Roman" w:eastAsia="宋体" w:cs="Times New Roman"/>
                <w:color w:val="auto"/>
                <w:sz w:val="21"/>
                <w:szCs w:val="21"/>
                <w:vertAlign w:val="subscript"/>
              </w:rPr>
              <w:t>2</w:t>
            </w:r>
          </w:p>
        </w:tc>
        <w:tc>
          <w:tcPr>
            <w:tcW w:w="1106" w:type="pct"/>
            <w:vAlign w:val="center"/>
          </w:tcPr>
          <w:p w14:paraId="058408C4">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6274E9E2">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153EC32B">
            <w:pPr>
              <w:bidi w:val="0"/>
              <w:jc w:val="center"/>
              <w:rPr>
                <w:rFonts w:hint="default" w:ascii="Times New Roman" w:hAnsi="Times New Roman" w:eastAsia="宋体" w:cs="Times New Roman"/>
                <w:color w:val="auto"/>
                <w:sz w:val="21"/>
                <w:szCs w:val="21"/>
              </w:rPr>
            </w:pPr>
          </w:p>
        </w:tc>
      </w:tr>
      <w:tr w14:paraId="09A20A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54433178">
            <w:pPr>
              <w:bidi w:val="0"/>
              <w:jc w:val="center"/>
              <w:rPr>
                <w:rFonts w:hint="default" w:ascii="Times New Roman" w:hAnsi="Times New Roman" w:eastAsia="宋体" w:cs="Times New Roman"/>
                <w:color w:val="auto"/>
                <w:sz w:val="21"/>
                <w:szCs w:val="21"/>
              </w:rPr>
            </w:pPr>
          </w:p>
        </w:tc>
        <w:tc>
          <w:tcPr>
            <w:tcW w:w="1106" w:type="pct"/>
            <w:vAlign w:val="center"/>
          </w:tcPr>
          <w:p w14:paraId="53C53E9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1小时平均</w:t>
            </w:r>
          </w:p>
        </w:tc>
        <w:tc>
          <w:tcPr>
            <w:tcW w:w="1107" w:type="pct"/>
            <w:vAlign w:val="center"/>
          </w:tcPr>
          <w:p w14:paraId="428D1A2F">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5A54F82B">
            <w:pPr>
              <w:bidi w:val="0"/>
              <w:jc w:val="center"/>
              <w:rPr>
                <w:rFonts w:hint="default" w:ascii="Times New Roman" w:hAnsi="Times New Roman" w:eastAsia="宋体" w:cs="Times New Roman"/>
                <w:color w:val="auto"/>
                <w:sz w:val="21"/>
                <w:szCs w:val="21"/>
              </w:rPr>
            </w:pPr>
          </w:p>
        </w:tc>
      </w:tr>
      <w:tr w14:paraId="1EB84A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324E4807">
            <w:pPr>
              <w:bidi w:val="0"/>
              <w:jc w:val="center"/>
              <w:rPr>
                <w:rFonts w:hint="default" w:ascii="Times New Roman" w:hAnsi="Times New Roman" w:eastAsia="宋体" w:cs="Times New Roman"/>
                <w:color w:val="auto"/>
                <w:sz w:val="21"/>
                <w:szCs w:val="21"/>
              </w:rPr>
            </w:pPr>
          </w:p>
        </w:tc>
        <w:tc>
          <w:tcPr>
            <w:tcW w:w="1106" w:type="pct"/>
            <w:vAlign w:val="center"/>
          </w:tcPr>
          <w:p w14:paraId="107D00C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24小时平均</w:t>
            </w:r>
          </w:p>
        </w:tc>
        <w:tc>
          <w:tcPr>
            <w:tcW w:w="1107" w:type="pct"/>
            <w:vAlign w:val="center"/>
          </w:tcPr>
          <w:p w14:paraId="29D613F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77E18DEF">
            <w:pPr>
              <w:bidi w:val="0"/>
              <w:jc w:val="center"/>
              <w:rPr>
                <w:rFonts w:hint="default" w:ascii="Times New Roman" w:hAnsi="Times New Roman" w:eastAsia="宋体" w:cs="Times New Roman"/>
                <w:color w:val="auto"/>
                <w:sz w:val="21"/>
                <w:szCs w:val="21"/>
              </w:rPr>
            </w:pPr>
          </w:p>
        </w:tc>
      </w:tr>
      <w:tr w14:paraId="18A962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5C446D0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NOx</w:t>
            </w:r>
          </w:p>
        </w:tc>
        <w:tc>
          <w:tcPr>
            <w:tcW w:w="1106" w:type="pct"/>
            <w:vAlign w:val="center"/>
          </w:tcPr>
          <w:p w14:paraId="425F272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32ABE87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137F2738">
            <w:pPr>
              <w:bidi w:val="0"/>
              <w:jc w:val="center"/>
              <w:rPr>
                <w:rFonts w:hint="default" w:ascii="Times New Roman" w:hAnsi="Times New Roman" w:eastAsia="宋体" w:cs="Times New Roman"/>
                <w:color w:val="auto"/>
                <w:sz w:val="21"/>
                <w:szCs w:val="21"/>
              </w:rPr>
            </w:pPr>
          </w:p>
        </w:tc>
      </w:tr>
      <w:tr w14:paraId="0FE858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1247AFAC">
            <w:pPr>
              <w:bidi w:val="0"/>
              <w:jc w:val="center"/>
              <w:rPr>
                <w:rFonts w:hint="default" w:ascii="Times New Roman" w:hAnsi="Times New Roman" w:eastAsia="宋体" w:cs="Times New Roman"/>
                <w:color w:val="auto"/>
                <w:sz w:val="21"/>
                <w:szCs w:val="21"/>
              </w:rPr>
            </w:pPr>
          </w:p>
        </w:tc>
        <w:tc>
          <w:tcPr>
            <w:tcW w:w="1106" w:type="pct"/>
            <w:vAlign w:val="center"/>
          </w:tcPr>
          <w:p w14:paraId="0FCF311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1小时平均</w:t>
            </w:r>
          </w:p>
        </w:tc>
        <w:tc>
          <w:tcPr>
            <w:tcW w:w="1107" w:type="pct"/>
            <w:vAlign w:val="center"/>
          </w:tcPr>
          <w:p w14:paraId="65FCE7AD">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250μg/Nm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76D53025">
            <w:pPr>
              <w:bidi w:val="0"/>
              <w:jc w:val="center"/>
              <w:rPr>
                <w:rFonts w:hint="default" w:ascii="Times New Roman" w:hAnsi="Times New Roman" w:eastAsia="宋体" w:cs="Times New Roman"/>
                <w:color w:val="auto"/>
                <w:sz w:val="21"/>
                <w:szCs w:val="21"/>
              </w:rPr>
            </w:pPr>
          </w:p>
        </w:tc>
      </w:tr>
      <w:tr w14:paraId="5EC852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0BD32183">
            <w:pPr>
              <w:bidi w:val="0"/>
              <w:jc w:val="center"/>
              <w:rPr>
                <w:rFonts w:hint="default" w:ascii="Times New Roman" w:hAnsi="Times New Roman" w:eastAsia="宋体" w:cs="Times New Roman"/>
                <w:color w:val="auto"/>
                <w:sz w:val="21"/>
                <w:szCs w:val="21"/>
              </w:rPr>
            </w:pPr>
          </w:p>
        </w:tc>
        <w:tc>
          <w:tcPr>
            <w:tcW w:w="1106" w:type="pct"/>
            <w:vAlign w:val="center"/>
          </w:tcPr>
          <w:p w14:paraId="4EFBAEA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24小时平均</w:t>
            </w:r>
          </w:p>
        </w:tc>
        <w:tc>
          <w:tcPr>
            <w:tcW w:w="1107" w:type="pct"/>
            <w:vAlign w:val="center"/>
          </w:tcPr>
          <w:p w14:paraId="2DE4E172">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5A8367D1">
            <w:pPr>
              <w:bidi w:val="0"/>
              <w:jc w:val="center"/>
              <w:rPr>
                <w:rFonts w:hint="default" w:ascii="Times New Roman" w:hAnsi="Times New Roman" w:eastAsia="宋体" w:cs="Times New Roman"/>
                <w:color w:val="auto"/>
                <w:sz w:val="21"/>
                <w:szCs w:val="21"/>
              </w:rPr>
            </w:pPr>
          </w:p>
        </w:tc>
      </w:tr>
      <w:tr w14:paraId="62C392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1F7DA9B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CO</w:t>
            </w:r>
          </w:p>
        </w:tc>
        <w:tc>
          <w:tcPr>
            <w:tcW w:w="1106" w:type="pct"/>
            <w:vAlign w:val="center"/>
          </w:tcPr>
          <w:p w14:paraId="6AA47E5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1小时平均</w:t>
            </w:r>
          </w:p>
        </w:tc>
        <w:tc>
          <w:tcPr>
            <w:tcW w:w="1107" w:type="pct"/>
            <w:vAlign w:val="center"/>
          </w:tcPr>
          <w:p w14:paraId="667D75D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10mg/Nm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2A0CFC10">
            <w:pPr>
              <w:bidi w:val="0"/>
              <w:jc w:val="center"/>
              <w:rPr>
                <w:rFonts w:hint="default" w:ascii="Times New Roman" w:hAnsi="Times New Roman" w:eastAsia="宋体" w:cs="Times New Roman"/>
                <w:color w:val="auto"/>
                <w:sz w:val="21"/>
                <w:szCs w:val="21"/>
              </w:rPr>
            </w:pPr>
          </w:p>
        </w:tc>
      </w:tr>
      <w:tr w14:paraId="159B72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6F6CD9CA">
            <w:pPr>
              <w:bidi w:val="0"/>
              <w:jc w:val="center"/>
              <w:rPr>
                <w:rFonts w:hint="default" w:ascii="Times New Roman" w:hAnsi="Times New Roman" w:eastAsia="宋体" w:cs="Times New Roman"/>
                <w:color w:val="auto"/>
                <w:sz w:val="21"/>
                <w:szCs w:val="21"/>
              </w:rPr>
            </w:pPr>
          </w:p>
        </w:tc>
        <w:tc>
          <w:tcPr>
            <w:tcW w:w="1106" w:type="pct"/>
            <w:vAlign w:val="center"/>
          </w:tcPr>
          <w:p w14:paraId="4CBDEB8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24小时平均</w:t>
            </w:r>
          </w:p>
        </w:tc>
        <w:tc>
          <w:tcPr>
            <w:tcW w:w="1107" w:type="pct"/>
            <w:vAlign w:val="center"/>
          </w:tcPr>
          <w:p w14:paraId="59F33D7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4.0mg/Nm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348AFF16">
            <w:pPr>
              <w:bidi w:val="0"/>
              <w:jc w:val="center"/>
              <w:rPr>
                <w:rFonts w:hint="default" w:ascii="Times New Roman" w:hAnsi="Times New Roman" w:eastAsia="宋体" w:cs="Times New Roman"/>
                <w:color w:val="auto"/>
                <w:sz w:val="21"/>
                <w:szCs w:val="21"/>
              </w:rPr>
            </w:pPr>
          </w:p>
        </w:tc>
      </w:tr>
      <w:tr w14:paraId="60021C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0394A8B9">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O</w:t>
            </w:r>
            <w:r>
              <w:rPr>
                <w:rFonts w:hint="default" w:ascii="Times New Roman" w:hAnsi="Times New Roman" w:eastAsia="宋体" w:cs="Times New Roman"/>
                <w:color w:val="auto"/>
                <w:sz w:val="21"/>
                <w:szCs w:val="21"/>
                <w:vertAlign w:val="subscript"/>
              </w:rPr>
              <w:t>3</w:t>
            </w:r>
          </w:p>
        </w:tc>
        <w:tc>
          <w:tcPr>
            <w:tcW w:w="1106" w:type="pct"/>
            <w:vAlign w:val="center"/>
          </w:tcPr>
          <w:p w14:paraId="34836BC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日最大8小时平均</w:t>
            </w:r>
          </w:p>
        </w:tc>
        <w:tc>
          <w:tcPr>
            <w:tcW w:w="1107" w:type="pct"/>
            <w:vAlign w:val="center"/>
          </w:tcPr>
          <w:p w14:paraId="4594E85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160μg/Nm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6663195F">
            <w:pPr>
              <w:bidi w:val="0"/>
              <w:jc w:val="center"/>
              <w:rPr>
                <w:rFonts w:hint="default" w:ascii="Times New Roman" w:hAnsi="Times New Roman" w:eastAsia="宋体" w:cs="Times New Roman"/>
                <w:color w:val="auto"/>
                <w:sz w:val="21"/>
                <w:szCs w:val="21"/>
              </w:rPr>
            </w:pPr>
          </w:p>
        </w:tc>
      </w:tr>
      <w:tr w14:paraId="6BE5F8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44F51376">
            <w:pPr>
              <w:bidi w:val="0"/>
              <w:jc w:val="center"/>
              <w:rPr>
                <w:rFonts w:hint="default" w:ascii="Times New Roman" w:hAnsi="Times New Roman" w:eastAsia="宋体" w:cs="Times New Roman"/>
                <w:color w:val="auto"/>
                <w:sz w:val="21"/>
                <w:szCs w:val="21"/>
              </w:rPr>
            </w:pPr>
          </w:p>
        </w:tc>
        <w:tc>
          <w:tcPr>
            <w:tcW w:w="1106" w:type="pct"/>
            <w:vAlign w:val="center"/>
          </w:tcPr>
          <w:p w14:paraId="790611F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1小时平均</w:t>
            </w:r>
          </w:p>
        </w:tc>
        <w:tc>
          <w:tcPr>
            <w:tcW w:w="1107" w:type="pct"/>
            <w:vAlign w:val="center"/>
          </w:tcPr>
          <w:p w14:paraId="62F9ABF1">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634EB398">
            <w:pPr>
              <w:bidi w:val="0"/>
              <w:jc w:val="center"/>
              <w:rPr>
                <w:rFonts w:hint="default" w:ascii="Times New Roman" w:hAnsi="Times New Roman" w:eastAsia="宋体" w:cs="Times New Roman"/>
                <w:color w:val="auto"/>
                <w:sz w:val="21"/>
                <w:szCs w:val="21"/>
              </w:rPr>
            </w:pPr>
          </w:p>
        </w:tc>
      </w:tr>
      <w:tr w14:paraId="7D49FE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030F8E0F">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PM</w:t>
            </w:r>
            <w:r>
              <w:rPr>
                <w:rFonts w:hint="default" w:ascii="Times New Roman" w:hAnsi="Times New Roman" w:eastAsia="宋体" w:cs="Times New Roman"/>
                <w:color w:val="auto"/>
                <w:sz w:val="21"/>
                <w:szCs w:val="21"/>
                <w:vertAlign w:val="subscript"/>
              </w:rPr>
              <w:t>10</w:t>
            </w:r>
          </w:p>
        </w:tc>
        <w:tc>
          <w:tcPr>
            <w:tcW w:w="1106" w:type="pct"/>
            <w:vAlign w:val="center"/>
          </w:tcPr>
          <w:p w14:paraId="1DFB5F64">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3B8718D7">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60</w:t>
            </w:r>
            <w:r>
              <w:rPr>
                <w:rFonts w:hint="default" w:ascii="Times New Roman" w:hAnsi="Times New Roman" w:eastAsia="宋体" w:cs="Times New Roman"/>
                <w:color w:val="auto"/>
                <w:sz w:val="21"/>
                <w:szCs w:val="21"/>
              </w:rPr>
              <w:t>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06D44EDD">
            <w:pPr>
              <w:bidi w:val="0"/>
              <w:jc w:val="center"/>
              <w:rPr>
                <w:rFonts w:hint="default" w:ascii="Times New Roman" w:hAnsi="Times New Roman" w:eastAsia="宋体" w:cs="Times New Roman"/>
                <w:color w:val="auto"/>
                <w:sz w:val="21"/>
                <w:szCs w:val="21"/>
              </w:rPr>
            </w:pPr>
          </w:p>
        </w:tc>
      </w:tr>
      <w:tr w14:paraId="1B4715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12F654AE">
            <w:pPr>
              <w:bidi w:val="0"/>
              <w:jc w:val="center"/>
              <w:rPr>
                <w:rFonts w:hint="default" w:ascii="Times New Roman" w:hAnsi="Times New Roman" w:eastAsia="宋体" w:cs="Times New Roman"/>
                <w:color w:val="auto"/>
                <w:sz w:val="21"/>
                <w:szCs w:val="21"/>
              </w:rPr>
            </w:pPr>
          </w:p>
        </w:tc>
        <w:tc>
          <w:tcPr>
            <w:tcW w:w="1106" w:type="pct"/>
            <w:vAlign w:val="center"/>
          </w:tcPr>
          <w:p w14:paraId="584713F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24小时平均</w:t>
            </w:r>
          </w:p>
        </w:tc>
        <w:tc>
          <w:tcPr>
            <w:tcW w:w="1107" w:type="pct"/>
            <w:vAlign w:val="center"/>
          </w:tcPr>
          <w:p w14:paraId="0BBED46E">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12</w:t>
            </w:r>
            <w:r>
              <w:rPr>
                <w:rFonts w:hint="default" w:ascii="Times New Roman" w:hAnsi="Times New Roman" w:eastAsia="宋体" w:cs="Times New Roman"/>
                <w:color w:val="auto"/>
                <w:sz w:val="21"/>
                <w:szCs w:val="21"/>
              </w:rPr>
              <w:t>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1DB2954E">
            <w:pPr>
              <w:bidi w:val="0"/>
              <w:jc w:val="center"/>
              <w:rPr>
                <w:rFonts w:hint="default" w:ascii="Times New Roman" w:hAnsi="Times New Roman" w:eastAsia="宋体" w:cs="Times New Roman"/>
                <w:color w:val="auto"/>
                <w:sz w:val="21"/>
                <w:szCs w:val="21"/>
              </w:rPr>
            </w:pPr>
          </w:p>
        </w:tc>
      </w:tr>
      <w:tr w14:paraId="30A27C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2944A422">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PM</w:t>
            </w:r>
            <w:r>
              <w:rPr>
                <w:rFonts w:hint="default" w:ascii="Times New Roman" w:hAnsi="Times New Roman" w:eastAsia="宋体" w:cs="Times New Roman"/>
                <w:color w:val="auto"/>
                <w:sz w:val="21"/>
                <w:szCs w:val="21"/>
                <w:vertAlign w:val="subscript"/>
              </w:rPr>
              <w:t>2.5</w:t>
            </w:r>
          </w:p>
        </w:tc>
        <w:tc>
          <w:tcPr>
            <w:tcW w:w="1106" w:type="pct"/>
            <w:vAlign w:val="center"/>
          </w:tcPr>
          <w:p w14:paraId="6C4D2BA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2B8C60B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w:t>
            </w:r>
            <w:r>
              <w:rPr>
                <w:rFonts w:hint="eastAsia" w:cs="Times New Roman"/>
                <w:color w:val="auto"/>
                <w:sz w:val="21"/>
                <w:szCs w:val="21"/>
                <w:lang w:val="en-US" w:eastAsia="zh-CN"/>
              </w:rPr>
              <w:t>0</w:t>
            </w:r>
            <w:r>
              <w:rPr>
                <w:rFonts w:hint="default" w:ascii="Times New Roman" w:hAnsi="Times New Roman" w:eastAsia="宋体" w:cs="Times New Roman"/>
                <w:color w:val="auto"/>
                <w:sz w:val="21"/>
                <w:szCs w:val="21"/>
              </w:rPr>
              <w:t>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146DF1C3">
            <w:pPr>
              <w:bidi w:val="0"/>
              <w:jc w:val="center"/>
              <w:rPr>
                <w:rFonts w:hint="default" w:ascii="Times New Roman" w:hAnsi="Times New Roman" w:eastAsia="宋体" w:cs="Times New Roman"/>
                <w:color w:val="auto"/>
                <w:sz w:val="21"/>
                <w:szCs w:val="21"/>
              </w:rPr>
            </w:pPr>
          </w:p>
        </w:tc>
      </w:tr>
      <w:tr w14:paraId="41C066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15A2A7B0">
            <w:pPr>
              <w:bidi w:val="0"/>
              <w:jc w:val="center"/>
              <w:rPr>
                <w:rFonts w:hint="default" w:ascii="Times New Roman" w:hAnsi="Times New Roman" w:eastAsia="宋体" w:cs="Times New Roman"/>
                <w:color w:val="auto"/>
                <w:sz w:val="21"/>
                <w:szCs w:val="21"/>
              </w:rPr>
            </w:pPr>
          </w:p>
        </w:tc>
        <w:tc>
          <w:tcPr>
            <w:tcW w:w="1106" w:type="pct"/>
            <w:vAlign w:val="center"/>
          </w:tcPr>
          <w:p w14:paraId="1B933D6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24小时平均</w:t>
            </w:r>
          </w:p>
        </w:tc>
        <w:tc>
          <w:tcPr>
            <w:tcW w:w="1107" w:type="pct"/>
            <w:vAlign w:val="center"/>
          </w:tcPr>
          <w:p w14:paraId="38FA13C6">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60</w:t>
            </w:r>
            <w:r>
              <w:rPr>
                <w:rFonts w:hint="default" w:ascii="Times New Roman" w:hAnsi="Times New Roman" w:eastAsia="宋体" w:cs="Times New Roman"/>
                <w:color w:val="auto"/>
                <w:sz w:val="21"/>
                <w:szCs w:val="21"/>
              </w:rPr>
              <w:t>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268168A5">
            <w:pPr>
              <w:bidi w:val="0"/>
              <w:jc w:val="center"/>
              <w:rPr>
                <w:rFonts w:hint="default" w:ascii="Times New Roman" w:hAnsi="Times New Roman" w:eastAsia="宋体" w:cs="Times New Roman"/>
                <w:color w:val="auto"/>
                <w:sz w:val="21"/>
                <w:szCs w:val="21"/>
              </w:rPr>
            </w:pPr>
          </w:p>
        </w:tc>
      </w:tr>
      <w:tr w14:paraId="78EF03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4C887D7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TSP</w:t>
            </w:r>
          </w:p>
        </w:tc>
        <w:tc>
          <w:tcPr>
            <w:tcW w:w="1106" w:type="pct"/>
            <w:vAlign w:val="center"/>
          </w:tcPr>
          <w:p w14:paraId="163D5D6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6586C784">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46485F42">
            <w:pPr>
              <w:bidi w:val="0"/>
              <w:jc w:val="center"/>
              <w:rPr>
                <w:rFonts w:hint="default" w:ascii="Times New Roman" w:hAnsi="Times New Roman" w:eastAsia="宋体" w:cs="Times New Roman"/>
                <w:color w:val="auto"/>
                <w:sz w:val="21"/>
                <w:szCs w:val="21"/>
              </w:rPr>
            </w:pPr>
          </w:p>
        </w:tc>
      </w:tr>
      <w:tr w14:paraId="33C472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72E73F82">
            <w:pPr>
              <w:bidi w:val="0"/>
              <w:jc w:val="center"/>
              <w:rPr>
                <w:rFonts w:hint="default" w:ascii="Times New Roman" w:hAnsi="Times New Roman" w:eastAsia="宋体" w:cs="Times New Roman"/>
                <w:color w:val="auto"/>
                <w:sz w:val="21"/>
                <w:szCs w:val="21"/>
              </w:rPr>
            </w:pPr>
          </w:p>
        </w:tc>
        <w:tc>
          <w:tcPr>
            <w:tcW w:w="1106" w:type="pct"/>
            <w:vAlign w:val="center"/>
          </w:tcPr>
          <w:p w14:paraId="4AECD4A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24小时平均</w:t>
            </w:r>
          </w:p>
        </w:tc>
        <w:tc>
          <w:tcPr>
            <w:tcW w:w="1107" w:type="pct"/>
            <w:vAlign w:val="center"/>
          </w:tcPr>
          <w:p w14:paraId="3087D02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300μg/Nm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40B4EB57">
            <w:pPr>
              <w:bidi w:val="0"/>
              <w:jc w:val="center"/>
              <w:rPr>
                <w:rFonts w:hint="default" w:ascii="Times New Roman" w:hAnsi="Times New Roman" w:eastAsia="宋体" w:cs="Times New Roman"/>
                <w:color w:val="auto"/>
                <w:sz w:val="21"/>
                <w:szCs w:val="21"/>
              </w:rPr>
            </w:pPr>
          </w:p>
        </w:tc>
      </w:tr>
      <w:tr w14:paraId="493D13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Align w:val="center"/>
          </w:tcPr>
          <w:p w14:paraId="0A271D7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铅</w:t>
            </w:r>
          </w:p>
        </w:tc>
        <w:tc>
          <w:tcPr>
            <w:tcW w:w="1106" w:type="pct"/>
            <w:vAlign w:val="center"/>
          </w:tcPr>
          <w:p w14:paraId="140BF39F">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1F72700E">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0.5μg/Nm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0769A464">
            <w:pPr>
              <w:bidi w:val="0"/>
              <w:jc w:val="center"/>
              <w:rPr>
                <w:rFonts w:hint="default" w:ascii="Times New Roman" w:hAnsi="Times New Roman" w:eastAsia="宋体" w:cs="Times New Roman"/>
                <w:color w:val="auto"/>
                <w:sz w:val="21"/>
                <w:szCs w:val="21"/>
              </w:rPr>
            </w:pPr>
          </w:p>
        </w:tc>
      </w:tr>
      <w:tr w14:paraId="6E3BF1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Align w:val="center"/>
          </w:tcPr>
          <w:p w14:paraId="48BEB95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砷</w:t>
            </w:r>
          </w:p>
        </w:tc>
        <w:tc>
          <w:tcPr>
            <w:tcW w:w="1106" w:type="pct"/>
            <w:vAlign w:val="center"/>
          </w:tcPr>
          <w:p w14:paraId="65A6C6C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1820D90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0.006 μg/m</w:t>
            </w:r>
            <w:r>
              <w:rPr>
                <w:rFonts w:hint="default" w:ascii="Times New Roman" w:hAnsi="Times New Roman" w:eastAsia="宋体" w:cs="Times New Roman"/>
                <w:color w:val="auto"/>
                <w:sz w:val="21"/>
                <w:szCs w:val="21"/>
                <w:vertAlign w:val="superscript"/>
              </w:rPr>
              <w:t>3</w:t>
            </w:r>
          </w:p>
        </w:tc>
        <w:tc>
          <w:tcPr>
            <w:tcW w:w="1678" w:type="pct"/>
            <w:vMerge w:val="restart"/>
            <w:vAlign w:val="center"/>
          </w:tcPr>
          <w:p w14:paraId="25530AF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《环境空气质量标准》</w:t>
            </w:r>
          </w:p>
          <w:p w14:paraId="0988EB1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（GB3095-20</w:t>
            </w:r>
            <w:r>
              <w:rPr>
                <w:rFonts w:hint="eastAsia" w:cs="Times New Roman"/>
                <w:color w:val="auto"/>
                <w:sz w:val="21"/>
                <w:szCs w:val="21"/>
                <w:lang w:val="en-US" w:eastAsia="zh-CN"/>
              </w:rPr>
              <w:t>26</w:t>
            </w:r>
            <w:r>
              <w:rPr>
                <w:rFonts w:hint="default" w:ascii="Times New Roman" w:hAnsi="Times New Roman" w:eastAsia="宋体" w:cs="Times New Roman"/>
                <w:color w:val="auto"/>
                <w:sz w:val="21"/>
                <w:szCs w:val="21"/>
              </w:rPr>
              <w:t>）</w:t>
            </w:r>
          </w:p>
          <w:p w14:paraId="76653291">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附录A标准</w:t>
            </w:r>
          </w:p>
        </w:tc>
      </w:tr>
      <w:tr w14:paraId="556B8A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6757E56E">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氟化物</w:t>
            </w:r>
          </w:p>
        </w:tc>
        <w:tc>
          <w:tcPr>
            <w:tcW w:w="1106" w:type="pct"/>
            <w:vAlign w:val="center"/>
          </w:tcPr>
          <w:p w14:paraId="4329879D">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最大一次</w:t>
            </w:r>
          </w:p>
        </w:tc>
        <w:tc>
          <w:tcPr>
            <w:tcW w:w="1107" w:type="pct"/>
            <w:vAlign w:val="center"/>
          </w:tcPr>
          <w:p w14:paraId="392B6929">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20μg /Nm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6095471D">
            <w:pPr>
              <w:bidi w:val="0"/>
              <w:jc w:val="center"/>
              <w:rPr>
                <w:rFonts w:hint="default" w:ascii="Times New Roman" w:hAnsi="Times New Roman" w:eastAsia="宋体" w:cs="Times New Roman"/>
                <w:color w:val="auto"/>
                <w:sz w:val="21"/>
                <w:szCs w:val="21"/>
              </w:rPr>
            </w:pPr>
          </w:p>
        </w:tc>
      </w:tr>
      <w:tr w14:paraId="2F1D1E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4004E1EA">
            <w:pPr>
              <w:bidi w:val="0"/>
              <w:jc w:val="center"/>
              <w:rPr>
                <w:rFonts w:hint="default" w:ascii="Times New Roman" w:hAnsi="Times New Roman" w:eastAsia="宋体" w:cs="Times New Roman"/>
                <w:color w:val="auto"/>
                <w:sz w:val="21"/>
                <w:szCs w:val="21"/>
              </w:rPr>
            </w:pPr>
          </w:p>
        </w:tc>
        <w:tc>
          <w:tcPr>
            <w:tcW w:w="1106" w:type="pct"/>
            <w:vAlign w:val="center"/>
          </w:tcPr>
          <w:p w14:paraId="3967DEE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昼夜平均</w:t>
            </w:r>
          </w:p>
        </w:tc>
        <w:tc>
          <w:tcPr>
            <w:tcW w:w="1107" w:type="pct"/>
            <w:vAlign w:val="center"/>
          </w:tcPr>
          <w:p w14:paraId="7C66A2F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7μg /Nm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0950F471">
            <w:pPr>
              <w:bidi w:val="0"/>
              <w:jc w:val="center"/>
              <w:rPr>
                <w:rFonts w:hint="default" w:ascii="Times New Roman" w:hAnsi="Times New Roman" w:eastAsia="宋体" w:cs="Times New Roman"/>
                <w:color w:val="auto"/>
                <w:sz w:val="21"/>
                <w:szCs w:val="21"/>
              </w:rPr>
            </w:pPr>
          </w:p>
        </w:tc>
      </w:tr>
      <w:tr w14:paraId="15B07C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Align w:val="center"/>
          </w:tcPr>
          <w:p w14:paraId="2782F9B3">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铬</w:t>
            </w:r>
          </w:p>
        </w:tc>
        <w:tc>
          <w:tcPr>
            <w:tcW w:w="1106" w:type="pct"/>
            <w:vAlign w:val="center"/>
          </w:tcPr>
          <w:p w14:paraId="590EC07D">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1FC4706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0.000025 mg/m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52E593C7">
            <w:pPr>
              <w:bidi w:val="0"/>
              <w:jc w:val="center"/>
              <w:rPr>
                <w:rFonts w:hint="default" w:ascii="Times New Roman" w:hAnsi="Times New Roman" w:eastAsia="宋体" w:cs="Times New Roman"/>
                <w:color w:val="auto"/>
                <w:sz w:val="21"/>
                <w:szCs w:val="21"/>
              </w:rPr>
            </w:pPr>
          </w:p>
        </w:tc>
      </w:tr>
      <w:tr w14:paraId="308AFF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Align w:val="center"/>
          </w:tcPr>
          <w:p w14:paraId="09E14A0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镉</w:t>
            </w:r>
          </w:p>
        </w:tc>
        <w:tc>
          <w:tcPr>
            <w:tcW w:w="1106" w:type="pct"/>
            <w:vAlign w:val="center"/>
          </w:tcPr>
          <w:p w14:paraId="444D09B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52DAE47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0.005μg/m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364B40A8">
            <w:pPr>
              <w:bidi w:val="0"/>
              <w:jc w:val="center"/>
              <w:rPr>
                <w:rFonts w:hint="default" w:ascii="Times New Roman" w:hAnsi="Times New Roman" w:eastAsia="宋体" w:cs="Times New Roman"/>
                <w:color w:val="auto"/>
                <w:sz w:val="21"/>
                <w:szCs w:val="21"/>
              </w:rPr>
            </w:pPr>
          </w:p>
        </w:tc>
      </w:tr>
      <w:tr w14:paraId="66D5DA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19EF997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氯化氢</w:t>
            </w:r>
          </w:p>
        </w:tc>
        <w:tc>
          <w:tcPr>
            <w:tcW w:w="1106" w:type="pct"/>
            <w:vAlign w:val="center"/>
          </w:tcPr>
          <w:p w14:paraId="4997461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 h平均</w:t>
            </w:r>
          </w:p>
        </w:tc>
        <w:tc>
          <w:tcPr>
            <w:tcW w:w="1107" w:type="pct"/>
            <w:vAlign w:val="center"/>
          </w:tcPr>
          <w:p w14:paraId="77237781">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50μg/Nm</w:t>
            </w:r>
            <w:r>
              <w:rPr>
                <w:rFonts w:hint="default" w:ascii="Times New Roman" w:hAnsi="Times New Roman" w:eastAsia="宋体" w:cs="Times New Roman"/>
                <w:color w:val="auto"/>
                <w:sz w:val="21"/>
                <w:szCs w:val="21"/>
                <w:vertAlign w:val="superscript"/>
              </w:rPr>
              <w:t>3</w:t>
            </w:r>
          </w:p>
        </w:tc>
        <w:tc>
          <w:tcPr>
            <w:tcW w:w="1678" w:type="pct"/>
            <w:vMerge w:val="restart"/>
            <w:vAlign w:val="center"/>
          </w:tcPr>
          <w:p w14:paraId="40CE9E7F">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参照《环境影响评价技术导则 大气环境》（HJ 2.2-2018）</w:t>
            </w:r>
            <w:r>
              <w:rPr>
                <w:rFonts w:hint="eastAsia" w:ascii="宋体" w:hAnsi="宋体" w:eastAsia="宋体" w:cs="宋体"/>
                <w:color w:val="auto"/>
                <w:sz w:val="21"/>
                <w:szCs w:val="21"/>
              </w:rPr>
              <w:t>“</w:t>
            </w:r>
            <w:r>
              <w:rPr>
                <w:rFonts w:hint="default" w:ascii="Times New Roman" w:hAnsi="Times New Roman" w:eastAsia="宋体" w:cs="Times New Roman"/>
                <w:color w:val="auto"/>
                <w:sz w:val="21"/>
                <w:szCs w:val="21"/>
              </w:rPr>
              <w:t>表D. 1其他污染物空气质量浓度参考限值</w:t>
            </w:r>
            <w:r>
              <w:rPr>
                <w:rFonts w:hint="eastAsia" w:ascii="宋体" w:hAnsi="宋体" w:eastAsia="宋体" w:cs="宋体"/>
                <w:color w:val="auto"/>
                <w:sz w:val="21"/>
                <w:szCs w:val="21"/>
              </w:rPr>
              <w:t>”</w:t>
            </w:r>
          </w:p>
        </w:tc>
      </w:tr>
      <w:tr w14:paraId="5352CA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7BAF2AE9">
            <w:pPr>
              <w:bidi w:val="0"/>
              <w:jc w:val="center"/>
              <w:rPr>
                <w:rFonts w:hint="default" w:ascii="Times New Roman" w:hAnsi="Times New Roman" w:eastAsia="宋体" w:cs="Times New Roman"/>
                <w:color w:val="auto"/>
                <w:sz w:val="21"/>
                <w:szCs w:val="21"/>
              </w:rPr>
            </w:pPr>
          </w:p>
        </w:tc>
        <w:tc>
          <w:tcPr>
            <w:tcW w:w="1106" w:type="pct"/>
            <w:vAlign w:val="center"/>
          </w:tcPr>
          <w:p w14:paraId="1BA5A52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日平均</w:t>
            </w:r>
          </w:p>
        </w:tc>
        <w:tc>
          <w:tcPr>
            <w:tcW w:w="1107" w:type="pct"/>
            <w:vAlign w:val="center"/>
          </w:tcPr>
          <w:p w14:paraId="16AE219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15μg/Nm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58851E35">
            <w:pPr>
              <w:bidi w:val="0"/>
              <w:jc w:val="center"/>
              <w:rPr>
                <w:rFonts w:hint="default" w:ascii="Times New Roman" w:hAnsi="Times New Roman" w:eastAsia="宋体" w:cs="Times New Roman"/>
                <w:color w:val="auto"/>
                <w:sz w:val="21"/>
                <w:szCs w:val="21"/>
              </w:rPr>
            </w:pPr>
          </w:p>
        </w:tc>
      </w:tr>
      <w:tr w14:paraId="4D2BD3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restart"/>
            <w:vAlign w:val="center"/>
          </w:tcPr>
          <w:p w14:paraId="06A7BDFC">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氨</w:t>
            </w:r>
          </w:p>
        </w:tc>
        <w:tc>
          <w:tcPr>
            <w:tcW w:w="1106" w:type="pct"/>
            <w:vAlign w:val="center"/>
          </w:tcPr>
          <w:p w14:paraId="63731AD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 h平均</w:t>
            </w:r>
          </w:p>
        </w:tc>
        <w:tc>
          <w:tcPr>
            <w:tcW w:w="2207" w:type="dxa"/>
            <w:vAlign w:val="center"/>
          </w:tcPr>
          <w:p w14:paraId="4B59DB5F">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100</w:t>
            </w:r>
            <w:r>
              <w:rPr>
                <w:rFonts w:hint="default" w:ascii="Times New Roman" w:hAnsi="Times New Roman" w:eastAsia="宋体" w:cs="Times New Roman"/>
                <w:color w:val="auto"/>
                <w:sz w:val="21"/>
                <w:szCs w:val="21"/>
              </w:rPr>
              <w:t>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3D481174">
            <w:pPr>
              <w:bidi w:val="0"/>
              <w:jc w:val="center"/>
              <w:rPr>
                <w:rFonts w:hint="default" w:ascii="Times New Roman" w:hAnsi="Times New Roman" w:eastAsia="宋体" w:cs="Times New Roman"/>
                <w:color w:val="auto"/>
                <w:sz w:val="21"/>
                <w:szCs w:val="21"/>
              </w:rPr>
            </w:pPr>
          </w:p>
        </w:tc>
      </w:tr>
      <w:tr w14:paraId="4F57C5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Merge w:val="continue"/>
            <w:vAlign w:val="center"/>
          </w:tcPr>
          <w:p w14:paraId="55D62919">
            <w:pPr>
              <w:bidi w:val="0"/>
              <w:jc w:val="center"/>
              <w:rPr>
                <w:rFonts w:hint="eastAsia" w:cs="Times New Roman"/>
                <w:color w:val="auto"/>
                <w:sz w:val="21"/>
                <w:szCs w:val="21"/>
                <w:lang w:val="en-US" w:eastAsia="zh-CN"/>
              </w:rPr>
            </w:pPr>
          </w:p>
        </w:tc>
        <w:tc>
          <w:tcPr>
            <w:tcW w:w="1106" w:type="pct"/>
            <w:vAlign w:val="center"/>
          </w:tcPr>
          <w:p w14:paraId="5B0F1BB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日平均</w:t>
            </w:r>
          </w:p>
        </w:tc>
        <w:tc>
          <w:tcPr>
            <w:tcW w:w="2207" w:type="dxa"/>
            <w:vAlign w:val="center"/>
          </w:tcPr>
          <w:p w14:paraId="7CB004D6">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30</w:t>
            </w:r>
            <w:r>
              <w:rPr>
                <w:rFonts w:hint="default" w:ascii="Times New Roman" w:hAnsi="Times New Roman" w:eastAsia="宋体" w:cs="Times New Roman"/>
                <w:color w:val="auto"/>
                <w:sz w:val="21"/>
                <w:szCs w:val="21"/>
              </w:rPr>
              <w:t>μg/Nm</w:t>
            </w:r>
            <w:r>
              <w:rPr>
                <w:rFonts w:hint="default" w:ascii="Times New Roman" w:hAnsi="Times New Roman" w:eastAsia="宋体" w:cs="Times New Roman"/>
                <w:color w:val="auto"/>
                <w:sz w:val="21"/>
                <w:szCs w:val="21"/>
                <w:vertAlign w:val="superscript"/>
              </w:rPr>
              <w:t>3</w:t>
            </w:r>
          </w:p>
        </w:tc>
        <w:tc>
          <w:tcPr>
            <w:tcW w:w="1678" w:type="pct"/>
            <w:vMerge w:val="continue"/>
            <w:vAlign w:val="center"/>
          </w:tcPr>
          <w:p w14:paraId="4B1E0FC1">
            <w:pPr>
              <w:bidi w:val="0"/>
              <w:jc w:val="center"/>
              <w:rPr>
                <w:rFonts w:hint="default" w:ascii="Times New Roman" w:hAnsi="Times New Roman" w:eastAsia="宋体" w:cs="Times New Roman"/>
                <w:color w:val="auto"/>
                <w:sz w:val="21"/>
                <w:szCs w:val="21"/>
              </w:rPr>
            </w:pPr>
          </w:p>
        </w:tc>
      </w:tr>
      <w:tr w14:paraId="1EAEF3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6" w:type="pct"/>
            <w:vAlign w:val="center"/>
          </w:tcPr>
          <w:p w14:paraId="19E92C5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二噁英</w:t>
            </w:r>
          </w:p>
        </w:tc>
        <w:tc>
          <w:tcPr>
            <w:tcW w:w="1106" w:type="pct"/>
            <w:vAlign w:val="center"/>
          </w:tcPr>
          <w:p w14:paraId="76122482">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年平均</w:t>
            </w:r>
          </w:p>
        </w:tc>
        <w:tc>
          <w:tcPr>
            <w:tcW w:w="1107" w:type="pct"/>
            <w:vAlign w:val="center"/>
          </w:tcPr>
          <w:p w14:paraId="7CC3531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0.6TEQpg/Nm</w:t>
            </w:r>
            <w:r>
              <w:rPr>
                <w:rFonts w:hint="default" w:ascii="Times New Roman" w:hAnsi="Times New Roman" w:eastAsia="宋体" w:cs="Times New Roman"/>
                <w:color w:val="auto"/>
                <w:sz w:val="21"/>
                <w:szCs w:val="21"/>
                <w:vertAlign w:val="superscript"/>
              </w:rPr>
              <w:t>3</w:t>
            </w:r>
          </w:p>
        </w:tc>
        <w:tc>
          <w:tcPr>
            <w:tcW w:w="1678" w:type="pct"/>
            <w:vAlign w:val="center"/>
          </w:tcPr>
          <w:p w14:paraId="49A7295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参照日本环境厅中央环境审议会制定的环境标准</w:t>
            </w:r>
          </w:p>
        </w:tc>
      </w:tr>
    </w:tbl>
    <w:p w14:paraId="1DD076AD">
      <w:pPr>
        <w:adjustRightInd w:val="0"/>
        <w:snapToGrid w:val="0"/>
        <w:spacing w:before="152" w:beforeLines="50" w:line="360" w:lineRule="auto"/>
        <w:ind w:firstLine="480" w:firstLineChars="200"/>
        <w:rPr>
          <w:color w:val="auto"/>
          <w:sz w:val="24"/>
          <w:szCs w:val="32"/>
        </w:rPr>
      </w:pPr>
      <w:r>
        <w:rPr>
          <w:color w:val="auto"/>
          <w:sz w:val="24"/>
          <w:szCs w:val="32"/>
        </w:rPr>
        <w:t>2、地表水环境质量评价标准</w:t>
      </w:r>
      <w:bookmarkEnd w:id="94"/>
      <w:bookmarkEnd w:id="95"/>
      <w:bookmarkEnd w:id="96"/>
      <w:bookmarkEnd w:id="97"/>
    </w:p>
    <w:p w14:paraId="616591E1">
      <w:pPr>
        <w:adjustRightInd w:val="0"/>
        <w:snapToGrid w:val="0"/>
        <w:spacing w:line="360" w:lineRule="auto"/>
        <w:ind w:firstLine="482" w:firstLineChars="200"/>
        <w:rPr>
          <w:color w:val="auto"/>
          <w:sz w:val="24"/>
          <w:szCs w:val="32"/>
        </w:rPr>
      </w:pPr>
      <w:r>
        <w:rPr>
          <w:rFonts w:hint="default" w:ascii="Times New Roman" w:hAnsi="Times New Roman" w:cs="Times New Roman"/>
          <w:b/>
          <w:bCs/>
          <w:color w:val="auto"/>
          <w:sz w:val="24"/>
        </w:rPr>
        <w:t>原环评评价阶段：</w:t>
      </w:r>
      <w:r>
        <w:rPr>
          <w:rFonts w:hint="default" w:ascii="Times New Roman" w:hAnsi="Times New Roman" w:cs="Times New Roman"/>
          <w:color w:val="auto"/>
          <w:sz w:val="24"/>
        </w:rPr>
        <w:t>项目所在区域的地表水体</w:t>
      </w:r>
      <w:r>
        <w:rPr>
          <w:rFonts w:hint="default" w:ascii="Times New Roman" w:hAnsi="Times New Roman" w:cs="Times New Roman"/>
          <w:bCs/>
          <w:color w:val="auto"/>
          <w:sz w:val="24"/>
        </w:rPr>
        <w:t>王引河执行《地表水环境质量标准》（GB3838-2002）中的Ⅳ类标准。巴河执行《地表水环境质量标准》（GB3838-2002）中Ⅴ类水体标准</w:t>
      </w:r>
      <w:r>
        <w:rPr>
          <w:rFonts w:hint="default" w:ascii="Times New Roman" w:hAnsi="Times New Roman" w:cs="Times New Roman"/>
          <w:color w:val="auto"/>
          <w:sz w:val="24"/>
          <w:szCs w:val="32"/>
        </w:rPr>
        <w:t>，具体限值详见下表：</w:t>
      </w:r>
    </w:p>
    <w:p w14:paraId="109A4613">
      <w:pPr>
        <w:adjustRightInd w:val="0"/>
        <w:snapToGrid w:val="0"/>
        <w:spacing w:line="360" w:lineRule="auto"/>
        <w:jc w:val="center"/>
        <w:rPr>
          <w:b/>
          <w:bCs/>
          <w:color w:val="auto"/>
          <w:sz w:val="24"/>
          <w:szCs w:val="32"/>
        </w:rPr>
      </w:pPr>
      <w:r>
        <w:rPr>
          <w:b/>
          <w:bCs/>
          <w:color w:val="auto"/>
          <w:sz w:val="24"/>
          <w:szCs w:val="32"/>
        </w:rPr>
        <w:t xml:space="preserve">表1-3 </w:t>
      </w:r>
      <w:r>
        <w:rPr>
          <w:rFonts w:hint="default"/>
          <w:b/>
          <w:bCs/>
          <w:color w:val="auto"/>
          <w:sz w:val="24"/>
          <w:szCs w:val="32"/>
        </w:rPr>
        <w:t>原环评评价阶段</w:t>
      </w:r>
      <w:r>
        <w:rPr>
          <w:b/>
          <w:bCs/>
          <w:color w:val="auto"/>
          <w:sz w:val="24"/>
          <w:szCs w:val="32"/>
        </w:rPr>
        <w:t xml:space="preserve">地表水环境质量标准一览表 </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autofit"/>
        <w:tblCellMar>
          <w:top w:w="0" w:type="dxa"/>
          <w:left w:w="108" w:type="dxa"/>
          <w:bottom w:w="0" w:type="dxa"/>
          <w:right w:w="108" w:type="dxa"/>
        </w:tblCellMar>
      </w:tblPr>
      <w:tblGrid>
        <w:gridCol w:w="799"/>
        <w:gridCol w:w="1826"/>
        <w:gridCol w:w="1260"/>
        <w:gridCol w:w="3089"/>
        <w:gridCol w:w="2988"/>
      </w:tblGrid>
      <w:tr w14:paraId="095801E1">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blHeader/>
        </w:trPr>
        <w:tc>
          <w:tcPr>
            <w:tcW w:w="401" w:type="pct"/>
            <w:tcBorders>
              <w:tl2br w:val="nil"/>
              <w:tr2bl w:val="nil"/>
            </w:tcBorders>
            <w:shd w:val="clear" w:color="auto" w:fill="auto"/>
            <w:noWrap w:val="0"/>
            <w:vAlign w:val="center"/>
          </w:tcPr>
          <w:p w14:paraId="1266FAB4">
            <w:pPr>
              <w:spacing w:before="31" w:beforeLines="10" w:line="264" w:lineRule="auto"/>
              <w:jc w:val="center"/>
              <w:rPr>
                <w:b/>
                <w:color w:val="auto"/>
              </w:rPr>
            </w:pPr>
            <w:r>
              <w:rPr>
                <w:b/>
                <w:color w:val="auto"/>
              </w:rPr>
              <w:t>序号</w:t>
            </w:r>
          </w:p>
        </w:tc>
        <w:tc>
          <w:tcPr>
            <w:tcW w:w="916" w:type="pct"/>
            <w:tcBorders>
              <w:tl2br w:val="nil"/>
              <w:tr2bl w:val="nil"/>
            </w:tcBorders>
            <w:shd w:val="clear" w:color="auto" w:fill="auto"/>
            <w:noWrap w:val="0"/>
            <w:vAlign w:val="center"/>
          </w:tcPr>
          <w:p w14:paraId="0ABE254F">
            <w:pPr>
              <w:spacing w:before="31" w:beforeLines="10" w:line="264" w:lineRule="auto"/>
              <w:jc w:val="center"/>
              <w:rPr>
                <w:b/>
                <w:color w:val="auto"/>
              </w:rPr>
            </w:pPr>
            <w:r>
              <w:rPr>
                <w:b/>
                <w:color w:val="auto"/>
              </w:rPr>
              <w:t>污染物</w:t>
            </w:r>
          </w:p>
        </w:tc>
        <w:tc>
          <w:tcPr>
            <w:tcW w:w="632" w:type="pct"/>
            <w:tcBorders>
              <w:tl2br w:val="nil"/>
              <w:tr2bl w:val="nil"/>
            </w:tcBorders>
            <w:shd w:val="clear" w:color="auto" w:fill="auto"/>
            <w:noWrap w:val="0"/>
            <w:vAlign w:val="center"/>
          </w:tcPr>
          <w:p w14:paraId="3036AC4C">
            <w:pPr>
              <w:spacing w:before="31" w:beforeLines="10" w:line="264" w:lineRule="auto"/>
              <w:jc w:val="center"/>
              <w:rPr>
                <w:b/>
                <w:color w:val="auto"/>
              </w:rPr>
            </w:pPr>
            <w:r>
              <w:rPr>
                <w:b/>
                <w:color w:val="auto"/>
              </w:rPr>
              <w:t>单位</w:t>
            </w:r>
          </w:p>
        </w:tc>
        <w:tc>
          <w:tcPr>
            <w:tcW w:w="1550" w:type="pct"/>
            <w:tcBorders>
              <w:tl2br w:val="nil"/>
              <w:tr2bl w:val="nil"/>
            </w:tcBorders>
            <w:shd w:val="clear" w:color="auto" w:fill="auto"/>
            <w:noWrap w:val="0"/>
            <w:vAlign w:val="center"/>
          </w:tcPr>
          <w:p w14:paraId="6D08FCB3">
            <w:pPr>
              <w:spacing w:before="31" w:beforeLines="10" w:line="264" w:lineRule="auto"/>
              <w:jc w:val="center"/>
              <w:rPr>
                <w:b/>
                <w:color w:val="auto"/>
              </w:rPr>
            </w:pPr>
            <w:r>
              <w:rPr>
                <w:b/>
                <w:color w:val="auto"/>
              </w:rPr>
              <w:t>GB3838-2002中</w:t>
            </w:r>
            <w:r>
              <w:rPr>
                <w:rFonts w:hint="eastAsia" w:ascii="宋体" w:hAnsi="宋体" w:cs="宋体"/>
                <w:b/>
                <w:color w:val="auto"/>
              </w:rPr>
              <w:t>Ⅳ</w:t>
            </w:r>
            <w:r>
              <w:rPr>
                <w:b/>
                <w:color w:val="auto"/>
              </w:rPr>
              <w:t>类标准值</w:t>
            </w:r>
          </w:p>
        </w:tc>
        <w:tc>
          <w:tcPr>
            <w:tcW w:w="1498" w:type="pct"/>
            <w:tcBorders>
              <w:tl2br w:val="nil"/>
              <w:tr2bl w:val="nil"/>
            </w:tcBorders>
            <w:shd w:val="clear" w:color="auto" w:fill="auto"/>
            <w:noWrap w:val="0"/>
            <w:vAlign w:val="center"/>
          </w:tcPr>
          <w:p w14:paraId="71790258">
            <w:pPr>
              <w:spacing w:before="31" w:beforeLines="10" w:line="264" w:lineRule="auto"/>
              <w:jc w:val="center"/>
              <w:rPr>
                <w:b/>
                <w:color w:val="auto"/>
              </w:rPr>
            </w:pPr>
            <w:r>
              <w:rPr>
                <w:b/>
                <w:color w:val="auto"/>
              </w:rPr>
              <w:t>GB3838-2002中</w:t>
            </w:r>
            <w:r>
              <w:rPr>
                <w:rFonts w:hint="eastAsia" w:ascii="宋体" w:hAnsi="宋体" w:cs="宋体"/>
                <w:b/>
                <w:color w:val="auto"/>
              </w:rPr>
              <w:t>Ⅴ</w:t>
            </w:r>
            <w:r>
              <w:rPr>
                <w:b/>
                <w:color w:val="auto"/>
              </w:rPr>
              <w:t>类标准值</w:t>
            </w:r>
          </w:p>
        </w:tc>
      </w:tr>
      <w:tr w14:paraId="533B278A">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rHeight w:val="301" w:hRule="atLeast"/>
        </w:trPr>
        <w:tc>
          <w:tcPr>
            <w:tcW w:w="401" w:type="pct"/>
            <w:tcBorders>
              <w:tl2br w:val="nil"/>
              <w:tr2bl w:val="nil"/>
            </w:tcBorders>
            <w:shd w:val="clear" w:color="auto" w:fill="auto"/>
            <w:noWrap w:val="0"/>
            <w:vAlign w:val="center"/>
          </w:tcPr>
          <w:p w14:paraId="207AC082">
            <w:pPr>
              <w:spacing w:before="31" w:beforeLines="10" w:line="264" w:lineRule="auto"/>
              <w:jc w:val="center"/>
              <w:rPr>
                <w:color w:val="auto"/>
              </w:rPr>
            </w:pPr>
            <w:bookmarkStart w:id="98" w:name="OLE_LINK4" w:colFirst="3" w:colLast="67"/>
            <w:r>
              <w:rPr>
                <w:color w:val="auto"/>
              </w:rPr>
              <w:t>1</w:t>
            </w:r>
          </w:p>
        </w:tc>
        <w:tc>
          <w:tcPr>
            <w:tcW w:w="916" w:type="pct"/>
            <w:tcBorders>
              <w:tl2br w:val="nil"/>
              <w:tr2bl w:val="nil"/>
            </w:tcBorders>
            <w:shd w:val="clear" w:color="auto" w:fill="auto"/>
            <w:noWrap w:val="0"/>
            <w:vAlign w:val="center"/>
          </w:tcPr>
          <w:p w14:paraId="72AE2E9D">
            <w:pPr>
              <w:spacing w:before="31" w:beforeLines="10" w:line="264" w:lineRule="auto"/>
              <w:jc w:val="center"/>
              <w:rPr>
                <w:color w:val="auto"/>
              </w:rPr>
            </w:pPr>
            <w:r>
              <w:rPr>
                <w:color w:val="auto"/>
              </w:rPr>
              <w:t>pH</w:t>
            </w:r>
          </w:p>
        </w:tc>
        <w:tc>
          <w:tcPr>
            <w:tcW w:w="632" w:type="pct"/>
            <w:tcBorders>
              <w:tl2br w:val="nil"/>
              <w:tr2bl w:val="nil"/>
            </w:tcBorders>
            <w:shd w:val="clear" w:color="auto" w:fill="auto"/>
            <w:noWrap w:val="0"/>
            <w:vAlign w:val="center"/>
          </w:tcPr>
          <w:p w14:paraId="6996358C">
            <w:pPr>
              <w:spacing w:before="31" w:beforeLines="10" w:line="264" w:lineRule="auto"/>
              <w:jc w:val="center"/>
              <w:rPr>
                <w:color w:val="auto"/>
              </w:rPr>
            </w:pPr>
            <w:r>
              <w:rPr>
                <w:color w:val="auto"/>
              </w:rPr>
              <w:t>无纲量</w:t>
            </w:r>
          </w:p>
        </w:tc>
        <w:tc>
          <w:tcPr>
            <w:tcW w:w="3049" w:type="pct"/>
            <w:gridSpan w:val="2"/>
            <w:tcBorders>
              <w:tl2br w:val="nil"/>
              <w:tr2bl w:val="nil"/>
            </w:tcBorders>
            <w:shd w:val="clear" w:color="auto" w:fill="auto"/>
            <w:noWrap w:val="0"/>
            <w:vAlign w:val="center"/>
          </w:tcPr>
          <w:p w14:paraId="40DF1EEC">
            <w:pPr>
              <w:spacing w:before="31" w:beforeLines="10" w:line="264" w:lineRule="auto"/>
              <w:jc w:val="center"/>
              <w:rPr>
                <w:color w:val="auto"/>
              </w:rPr>
            </w:pPr>
            <w:r>
              <w:rPr>
                <w:color w:val="auto"/>
              </w:rPr>
              <w:t>6～9</w:t>
            </w:r>
          </w:p>
        </w:tc>
      </w:tr>
      <w:bookmarkEnd w:id="98"/>
      <w:tr w14:paraId="51E7A09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rHeight w:val="301" w:hRule="atLeast"/>
        </w:trPr>
        <w:tc>
          <w:tcPr>
            <w:tcW w:w="401" w:type="pct"/>
            <w:tcBorders>
              <w:tl2br w:val="nil"/>
              <w:tr2bl w:val="nil"/>
            </w:tcBorders>
            <w:shd w:val="clear" w:color="auto" w:fill="auto"/>
            <w:noWrap w:val="0"/>
            <w:vAlign w:val="center"/>
          </w:tcPr>
          <w:p w14:paraId="2C275533">
            <w:pPr>
              <w:spacing w:before="31" w:beforeLines="10" w:line="264" w:lineRule="auto"/>
              <w:jc w:val="center"/>
              <w:rPr>
                <w:color w:val="auto"/>
              </w:rPr>
            </w:pPr>
            <w:r>
              <w:rPr>
                <w:color w:val="auto"/>
              </w:rPr>
              <w:t>2</w:t>
            </w:r>
          </w:p>
        </w:tc>
        <w:tc>
          <w:tcPr>
            <w:tcW w:w="916" w:type="pct"/>
            <w:tcBorders>
              <w:tl2br w:val="nil"/>
              <w:tr2bl w:val="nil"/>
            </w:tcBorders>
            <w:shd w:val="clear" w:color="auto" w:fill="auto"/>
            <w:noWrap w:val="0"/>
            <w:vAlign w:val="center"/>
          </w:tcPr>
          <w:p w14:paraId="12C7993D">
            <w:pPr>
              <w:spacing w:before="31" w:beforeLines="10" w:line="264" w:lineRule="auto"/>
              <w:jc w:val="center"/>
              <w:rPr>
                <w:color w:val="auto"/>
              </w:rPr>
            </w:pPr>
            <w:r>
              <w:rPr>
                <w:color w:val="auto"/>
              </w:rPr>
              <w:t>溶解氧</w:t>
            </w:r>
          </w:p>
        </w:tc>
        <w:tc>
          <w:tcPr>
            <w:tcW w:w="632" w:type="pct"/>
            <w:tcBorders>
              <w:tl2br w:val="nil"/>
              <w:tr2bl w:val="nil"/>
            </w:tcBorders>
            <w:shd w:val="clear" w:color="auto" w:fill="auto"/>
            <w:noWrap w:val="0"/>
            <w:vAlign w:val="center"/>
          </w:tcPr>
          <w:p w14:paraId="4332EC5A">
            <w:pPr>
              <w:spacing w:before="31" w:beforeLines="10" w:line="264" w:lineRule="auto"/>
              <w:jc w:val="center"/>
              <w:rPr>
                <w:color w:val="auto"/>
              </w:rPr>
            </w:pPr>
            <w:r>
              <w:rPr>
                <w:color w:val="auto"/>
              </w:rPr>
              <w:t>mg/L</w:t>
            </w:r>
          </w:p>
        </w:tc>
        <w:tc>
          <w:tcPr>
            <w:tcW w:w="1550" w:type="pct"/>
            <w:tcBorders>
              <w:tl2br w:val="nil"/>
              <w:tr2bl w:val="nil"/>
            </w:tcBorders>
            <w:shd w:val="clear" w:color="auto" w:fill="auto"/>
            <w:noWrap w:val="0"/>
            <w:vAlign w:val="center"/>
          </w:tcPr>
          <w:p w14:paraId="50D2B77E">
            <w:pPr>
              <w:spacing w:before="31" w:beforeLines="10" w:line="264" w:lineRule="auto"/>
              <w:jc w:val="center"/>
              <w:rPr>
                <w:color w:val="auto"/>
              </w:rPr>
            </w:pPr>
            <w:r>
              <w:rPr>
                <w:color w:val="auto"/>
              </w:rPr>
              <w:t>≥3.0</w:t>
            </w:r>
          </w:p>
        </w:tc>
        <w:tc>
          <w:tcPr>
            <w:tcW w:w="1498" w:type="pct"/>
            <w:tcBorders>
              <w:tl2br w:val="nil"/>
              <w:tr2bl w:val="nil"/>
            </w:tcBorders>
            <w:shd w:val="clear" w:color="auto" w:fill="auto"/>
            <w:noWrap w:val="0"/>
            <w:vAlign w:val="center"/>
          </w:tcPr>
          <w:p w14:paraId="7A398AB4">
            <w:pPr>
              <w:spacing w:before="31" w:beforeLines="10" w:line="264" w:lineRule="auto"/>
              <w:jc w:val="center"/>
              <w:rPr>
                <w:color w:val="auto"/>
              </w:rPr>
            </w:pPr>
            <w:r>
              <w:rPr>
                <w:color w:val="auto"/>
              </w:rPr>
              <w:t>≥2.0</w:t>
            </w:r>
          </w:p>
        </w:tc>
      </w:tr>
      <w:tr w14:paraId="335C3BB7">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401" w:type="pct"/>
            <w:tcBorders>
              <w:tl2br w:val="nil"/>
              <w:tr2bl w:val="nil"/>
            </w:tcBorders>
            <w:shd w:val="clear" w:color="auto" w:fill="auto"/>
            <w:noWrap w:val="0"/>
            <w:vAlign w:val="center"/>
          </w:tcPr>
          <w:p w14:paraId="121568B4">
            <w:pPr>
              <w:spacing w:before="31" w:beforeLines="10" w:line="264" w:lineRule="auto"/>
              <w:jc w:val="center"/>
              <w:rPr>
                <w:color w:val="auto"/>
              </w:rPr>
            </w:pPr>
            <w:r>
              <w:rPr>
                <w:color w:val="auto"/>
              </w:rPr>
              <w:t>3</w:t>
            </w:r>
          </w:p>
        </w:tc>
        <w:tc>
          <w:tcPr>
            <w:tcW w:w="916" w:type="pct"/>
            <w:tcBorders>
              <w:tl2br w:val="nil"/>
              <w:tr2bl w:val="nil"/>
            </w:tcBorders>
            <w:shd w:val="clear" w:color="auto" w:fill="auto"/>
            <w:noWrap w:val="0"/>
            <w:vAlign w:val="center"/>
          </w:tcPr>
          <w:p w14:paraId="1C40B1BE">
            <w:pPr>
              <w:spacing w:before="31" w:beforeLines="10" w:line="264" w:lineRule="auto"/>
              <w:jc w:val="center"/>
              <w:rPr>
                <w:color w:val="auto"/>
              </w:rPr>
            </w:pPr>
            <w:r>
              <w:rPr>
                <w:color w:val="auto"/>
              </w:rPr>
              <w:t>COD</w:t>
            </w:r>
          </w:p>
        </w:tc>
        <w:tc>
          <w:tcPr>
            <w:tcW w:w="632" w:type="pct"/>
            <w:tcBorders>
              <w:tl2br w:val="nil"/>
              <w:tr2bl w:val="nil"/>
            </w:tcBorders>
            <w:shd w:val="clear" w:color="auto" w:fill="auto"/>
            <w:noWrap w:val="0"/>
            <w:vAlign w:val="center"/>
          </w:tcPr>
          <w:p w14:paraId="3F9C726A">
            <w:pPr>
              <w:spacing w:before="31" w:beforeLines="10" w:line="264" w:lineRule="auto"/>
              <w:jc w:val="center"/>
              <w:rPr>
                <w:color w:val="auto"/>
              </w:rPr>
            </w:pPr>
            <w:r>
              <w:rPr>
                <w:color w:val="auto"/>
              </w:rPr>
              <w:t>mg/L</w:t>
            </w:r>
          </w:p>
        </w:tc>
        <w:tc>
          <w:tcPr>
            <w:tcW w:w="1550" w:type="pct"/>
            <w:tcBorders>
              <w:tl2br w:val="nil"/>
              <w:tr2bl w:val="nil"/>
            </w:tcBorders>
            <w:shd w:val="clear" w:color="auto" w:fill="auto"/>
            <w:noWrap w:val="0"/>
            <w:vAlign w:val="center"/>
          </w:tcPr>
          <w:p w14:paraId="515BC2E3">
            <w:pPr>
              <w:spacing w:before="31" w:beforeLines="10" w:line="264" w:lineRule="auto"/>
              <w:jc w:val="center"/>
              <w:rPr>
                <w:color w:val="auto"/>
              </w:rPr>
            </w:pPr>
            <w:r>
              <w:rPr>
                <w:color w:val="auto"/>
              </w:rPr>
              <w:t>≤30</w:t>
            </w:r>
          </w:p>
        </w:tc>
        <w:tc>
          <w:tcPr>
            <w:tcW w:w="1498" w:type="pct"/>
            <w:tcBorders>
              <w:tl2br w:val="nil"/>
              <w:tr2bl w:val="nil"/>
            </w:tcBorders>
            <w:shd w:val="clear" w:color="auto" w:fill="auto"/>
            <w:noWrap w:val="0"/>
            <w:vAlign w:val="center"/>
          </w:tcPr>
          <w:p w14:paraId="3724C3F4">
            <w:pPr>
              <w:spacing w:before="31" w:beforeLines="10" w:line="264" w:lineRule="auto"/>
              <w:jc w:val="center"/>
              <w:rPr>
                <w:color w:val="auto"/>
              </w:rPr>
            </w:pPr>
            <w:r>
              <w:rPr>
                <w:color w:val="auto"/>
              </w:rPr>
              <w:t>≤40</w:t>
            </w:r>
          </w:p>
        </w:tc>
      </w:tr>
      <w:tr w14:paraId="799E85B5">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401" w:type="pct"/>
            <w:tcBorders>
              <w:tl2br w:val="nil"/>
              <w:tr2bl w:val="nil"/>
            </w:tcBorders>
            <w:shd w:val="clear" w:color="auto" w:fill="auto"/>
            <w:noWrap w:val="0"/>
            <w:vAlign w:val="center"/>
          </w:tcPr>
          <w:p w14:paraId="69D27DB3">
            <w:pPr>
              <w:spacing w:before="31" w:beforeLines="10" w:line="264" w:lineRule="auto"/>
              <w:jc w:val="center"/>
              <w:rPr>
                <w:color w:val="auto"/>
              </w:rPr>
            </w:pPr>
            <w:r>
              <w:rPr>
                <w:color w:val="auto"/>
              </w:rPr>
              <w:t>4</w:t>
            </w:r>
          </w:p>
        </w:tc>
        <w:tc>
          <w:tcPr>
            <w:tcW w:w="916" w:type="pct"/>
            <w:tcBorders>
              <w:tl2br w:val="nil"/>
              <w:tr2bl w:val="nil"/>
            </w:tcBorders>
            <w:shd w:val="clear" w:color="auto" w:fill="auto"/>
            <w:noWrap w:val="0"/>
            <w:vAlign w:val="center"/>
          </w:tcPr>
          <w:p w14:paraId="5BA9DC07">
            <w:pPr>
              <w:spacing w:before="31" w:beforeLines="10" w:line="264" w:lineRule="auto"/>
              <w:jc w:val="center"/>
              <w:rPr>
                <w:color w:val="auto"/>
              </w:rPr>
            </w:pPr>
            <w:r>
              <w:rPr>
                <w:color w:val="auto"/>
              </w:rPr>
              <w:t>BOD</w:t>
            </w:r>
            <w:r>
              <w:rPr>
                <w:color w:val="auto"/>
                <w:vertAlign w:val="subscript"/>
              </w:rPr>
              <w:t>5</w:t>
            </w:r>
          </w:p>
        </w:tc>
        <w:tc>
          <w:tcPr>
            <w:tcW w:w="632" w:type="pct"/>
            <w:tcBorders>
              <w:tl2br w:val="nil"/>
              <w:tr2bl w:val="nil"/>
            </w:tcBorders>
            <w:shd w:val="clear" w:color="auto" w:fill="auto"/>
            <w:noWrap w:val="0"/>
            <w:vAlign w:val="center"/>
          </w:tcPr>
          <w:p w14:paraId="34FBC1CB">
            <w:pPr>
              <w:spacing w:before="31" w:beforeLines="10" w:line="264" w:lineRule="auto"/>
              <w:jc w:val="center"/>
              <w:rPr>
                <w:color w:val="auto"/>
              </w:rPr>
            </w:pPr>
            <w:r>
              <w:rPr>
                <w:color w:val="auto"/>
              </w:rPr>
              <w:t>mg/L</w:t>
            </w:r>
          </w:p>
        </w:tc>
        <w:tc>
          <w:tcPr>
            <w:tcW w:w="1550" w:type="pct"/>
            <w:tcBorders>
              <w:tl2br w:val="nil"/>
              <w:tr2bl w:val="nil"/>
            </w:tcBorders>
            <w:shd w:val="clear" w:color="auto" w:fill="auto"/>
            <w:noWrap w:val="0"/>
            <w:vAlign w:val="center"/>
          </w:tcPr>
          <w:p w14:paraId="77A4AAC8">
            <w:pPr>
              <w:spacing w:before="31" w:beforeLines="10" w:line="264" w:lineRule="auto"/>
              <w:jc w:val="center"/>
              <w:rPr>
                <w:color w:val="auto"/>
              </w:rPr>
            </w:pPr>
            <w:r>
              <w:rPr>
                <w:color w:val="auto"/>
              </w:rPr>
              <w:t>≤6</w:t>
            </w:r>
          </w:p>
        </w:tc>
        <w:tc>
          <w:tcPr>
            <w:tcW w:w="1498" w:type="pct"/>
            <w:tcBorders>
              <w:tl2br w:val="nil"/>
              <w:tr2bl w:val="nil"/>
            </w:tcBorders>
            <w:shd w:val="clear" w:color="auto" w:fill="auto"/>
            <w:noWrap w:val="0"/>
            <w:vAlign w:val="center"/>
          </w:tcPr>
          <w:p w14:paraId="64C85EC4">
            <w:pPr>
              <w:spacing w:before="31" w:beforeLines="10" w:line="264" w:lineRule="auto"/>
              <w:jc w:val="center"/>
              <w:rPr>
                <w:color w:val="auto"/>
              </w:rPr>
            </w:pPr>
            <w:r>
              <w:rPr>
                <w:color w:val="auto"/>
              </w:rPr>
              <w:t>≤10</w:t>
            </w:r>
          </w:p>
        </w:tc>
      </w:tr>
      <w:tr w14:paraId="5D561588">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401" w:type="pct"/>
            <w:tcBorders>
              <w:tl2br w:val="nil"/>
              <w:tr2bl w:val="nil"/>
            </w:tcBorders>
            <w:shd w:val="clear" w:color="auto" w:fill="auto"/>
            <w:noWrap w:val="0"/>
            <w:vAlign w:val="center"/>
          </w:tcPr>
          <w:p w14:paraId="646FE1B4">
            <w:pPr>
              <w:spacing w:before="31" w:beforeLines="10" w:line="264" w:lineRule="auto"/>
              <w:jc w:val="center"/>
              <w:rPr>
                <w:color w:val="auto"/>
              </w:rPr>
            </w:pPr>
            <w:r>
              <w:rPr>
                <w:color w:val="auto"/>
              </w:rPr>
              <w:t>5</w:t>
            </w:r>
          </w:p>
        </w:tc>
        <w:tc>
          <w:tcPr>
            <w:tcW w:w="916" w:type="pct"/>
            <w:tcBorders>
              <w:tl2br w:val="nil"/>
              <w:tr2bl w:val="nil"/>
            </w:tcBorders>
            <w:shd w:val="clear" w:color="auto" w:fill="auto"/>
            <w:noWrap w:val="0"/>
            <w:vAlign w:val="center"/>
          </w:tcPr>
          <w:p w14:paraId="3542D45F">
            <w:pPr>
              <w:spacing w:before="31" w:beforeLines="10" w:line="264" w:lineRule="auto"/>
              <w:jc w:val="center"/>
              <w:rPr>
                <w:color w:val="auto"/>
              </w:rPr>
            </w:pPr>
            <w:r>
              <w:rPr>
                <w:color w:val="auto"/>
              </w:rPr>
              <w:t>氨氮</w:t>
            </w:r>
          </w:p>
        </w:tc>
        <w:tc>
          <w:tcPr>
            <w:tcW w:w="632" w:type="pct"/>
            <w:tcBorders>
              <w:tl2br w:val="nil"/>
              <w:tr2bl w:val="nil"/>
            </w:tcBorders>
            <w:shd w:val="clear" w:color="auto" w:fill="auto"/>
            <w:noWrap w:val="0"/>
            <w:vAlign w:val="center"/>
          </w:tcPr>
          <w:p w14:paraId="4904BB79">
            <w:pPr>
              <w:spacing w:before="31" w:beforeLines="10" w:line="264" w:lineRule="auto"/>
              <w:jc w:val="center"/>
              <w:rPr>
                <w:color w:val="auto"/>
              </w:rPr>
            </w:pPr>
            <w:r>
              <w:rPr>
                <w:color w:val="auto"/>
              </w:rPr>
              <w:t>mg/L</w:t>
            </w:r>
          </w:p>
        </w:tc>
        <w:tc>
          <w:tcPr>
            <w:tcW w:w="1550" w:type="pct"/>
            <w:tcBorders>
              <w:tl2br w:val="nil"/>
              <w:tr2bl w:val="nil"/>
            </w:tcBorders>
            <w:shd w:val="clear" w:color="auto" w:fill="auto"/>
            <w:noWrap w:val="0"/>
            <w:vAlign w:val="center"/>
          </w:tcPr>
          <w:p w14:paraId="34E68224">
            <w:pPr>
              <w:spacing w:before="31" w:beforeLines="10" w:line="264" w:lineRule="auto"/>
              <w:jc w:val="center"/>
              <w:rPr>
                <w:color w:val="auto"/>
              </w:rPr>
            </w:pPr>
            <w:r>
              <w:rPr>
                <w:color w:val="auto"/>
              </w:rPr>
              <w:t>≤1.5</w:t>
            </w:r>
          </w:p>
        </w:tc>
        <w:tc>
          <w:tcPr>
            <w:tcW w:w="1498" w:type="pct"/>
            <w:tcBorders>
              <w:tl2br w:val="nil"/>
              <w:tr2bl w:val="nil"/>
            </w:tcBorders>
            <w:shd w:val="clear" w:color="auto" w:fill="auto"/>
            <w:noWrap w:val="0"/>
            <w:vAlign w:val="center"/>
          </w:tcPr>
          <w:p w14:paraId="1F1706B0">
            <w:pPr>
              <w:spacing w:before="31" w:beforeLines="10" w:line="264" w:lineRule="auto"/>
              <w:jc w:val="center"/>
              <w:rPr>
                <w:color w:val="auto"/>
              </w:rPr>
            </w:pPr>
            <w:r>
              <w:rPr>
                <w:color w:val="auto"/>
              </w:rPr>
              <w:t>≤2.0</w:t>
            </w:r>
          </w:p>
        </w:tc>
      </w:tr>
      <w:tr w14:paraId="107A54DE">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401" w:type="pct"/>
            <w:tcBorders>
              <w:tl2br w:val="nil"/>
              <w:tr2bl w:val="nil"/>
            </w:tcBorders>
            <w:shd w:val="clear" w:color="auto" w:fill="auto"/>
            <w:noWrap w:val="0"/>
            <w:vAlign w:val="center"/>
          </w:tcPr>
          <w:p w14:paraId="194D230A">
            <w:pPr>
              <w:spacing w:before="31" w:beforeLines="10" w:line="264" w:lineRule="auto"/>
              <w:jc w:val="center"/>
              <w:rPr>
                <w:color w:val="auto"/>
              </w:rPr>
            </w:pPr>
            <w:r>
              <w:rPr>
                <w:color w:val="auto"/>
              </w:rPr>
              <w:t>6</w:t>
            </w:r>
          </w:p>
        </w:tc>
        <w:tc>
          <w:tcPr>
            <w:tcW w:w="916" w:type="pct"/>
            <w:tcBorders>
              <w:tl2br w:val="nil"/>
              <w:tr2bl w:val="nil"/>
            </w:tcBorders>
            <w:shd w:val="clear" w:color="auto" w:fill="auto"/>
            <w:noWrap w:val="0"/>
            <w:vAlign w:val="center"/>
          </w:tcPr>
          <w:p w14:paraId="76A5A1B3">
            <w:pPr>
              <w:spacing w:before="31" w:beforeLines="10" w:line="264" w:lineRule="auto"/>
              <w:jc w:val="center"/>
              <w:rPr>
                <w:color w:val="auto"/>
              </w:rPr>
            </w:pPr>
            <w:r>
              <w:rPr>
                <w:color w:val="auto"/>
              </w:rPr>
              <w:t>总磷</w:t>
            </w:r>
          </w:p>
        </w:tc>
        <w:tc>
          <w:tcPr>
            <w:tcW w:w="632" w:type="pct"/>
            <w:tcBorders>
              <w:tl2br w:val="nil"/>
              <w:tr2bl w:val="nil"/>
            </w:tcBorders>
            <w:shd w:val="clear" w:color="auto" w:fill="auto"/>
            <w:noWrap w:val="0"/>
            <w:vAlign w:val="center"/>
          </w:tcPr>
          <w:p w14:paraId="7CBBCFC6">
            <w:pPr>
              <w:spacing w:before="31" w:beforeLines="10" w:line="264" w:lineRule="auto"/>
              <w:jc w:val="center"/>
              <w:rPr>
                <w:color w:val="auto"/>
              </w:rPr>
            </w:pPr>
            <w:r>
              <w:rPr>
                <w:color w:val="auto"/>
              </w:rPr>
              <w:t>mg/L</w:t>
            </w:r>
          </w:p>
        </w:tc>
        <w:tc>
          <w:tcPr>
            <w:tcW w:w="1550" w:type="pct"/>
            <w:tcBorders>
              <w:tl2br w:val="nil"/>
              <w:tr2bl w:val="nil"/>
            </w:tcBorders>
            <w:shd w:val="clear" w:color="auto" w:fill="auto"/>
            <w:noWrap w:val="0"/>
            <w:vAlign w:val="center"/>
          </w:tcPr>
          <w:p w14:paraId="3ABA9E96">
            <w:pPr>
              <w:spacing w:before="31" w:beforeLines="10" w:line="264" w:lineRule="auto"/>
              <w:jc w:val="center"/>
              <w:rPr>
                <w:color w:val="auto"/>
              </w:rPr>
            </w:pPr>
            <w:r>
              <w:rPr>
                <w:color w:val="auto"/>
              </w:rPr>
              <w:t>≤0.3</w:t>
            </w:r>
          </w:p>
        </w:tc>
        <w:tc>
          <w:tcPr>
            <w:tcW w:w="1498" w:type="pct"/>
            <w:tcBorders>
              <w:tl2br w:val="nil"/>
              <w:tr2bl w:val="nil"/>
            </w:tcBorders>
            <w:shd w:val="clear" w:color="auto" w:fill="auto"/>
            <w:noWrap w:val="0"/>
            <w:vAlign w:val="center"/>
          </w:tcPr>
          <w:p w14:paraId="3A5773B3">
            <w:pPr>
              <w:spacing w:before="31" w:beforeLines="10" w:line="264" w:lineRule="auto"/>
              <w:jc w:val="center"/>
              <w:rPr>
                <w:color w:val="auto"/>
              </w:rPr>
            </w:pPr>
            <w:r>
              <w:rPr>
                <w:color w:val="auto"/>
              </w:rPr>
              <w:t>≤0.4</w:t>
            </w:r>
          </w:p>
        </w:tc>
      </w:tr>
    </w:tbl>
    <w:p w14:paraId="336F27CB">
      <w:pPr>
        <w:adjustRightInd w:val="0"/>
        <w:snapToGrid w:val="0"/>
        <w:spacing w:before="152" w:beforeLines="50" w:line="360" w:lineRule="auto"/>
        <w:ind w:firstLine="482" w:firstLineChars="200"/>
        <w:rPr>
          <w:color w:val="auto"/>
          <w:sz w:val="24"/>
          <w:szCs w:val="32"/>
        </w:rPr>
      </w:pPr>
      <w:r>
        <w:rPr>
          <w:b/>
          <w:bCs/>
          <w:color w:val="auto"/>
          <w:sz w:val="24"/>
        </w:rPr>
        <w:t>后评价阶段：</w:t>
      </w:r>
      <w:r>
        <w:rPr>
          <w:color w:val="auto"/>
          <w:sz w:val="24"/>
          <w:szCs w:val="32"/>
        </w:rPr>
        <w:t>地表水体</w:t>
      </w:r>
      <w:r>
        <w:rPr>
          <w:rFonts w:hint="default" w:ascii="Times New Roman" w:hAnsi="Times New Roman" w:eastAsia="宋体" w:cs="Times New Roman"/>
          <w:b w:val="0"/>
          <w:bCs w:val="0"/>
          <w:color w:val="auto"/>
          <w:sz w:val="24"/>
          <w:szCs w:val="24"/>
          <w:lang w:val="en-US" w:eastAsia="zh-CN"/>
        </w:rPr>
        <w:t>王引河执行《地表水环境质量标准》</w:t>
      </w:r>
      <w:r>
        <w:rPr>
          <w:rFonts w:hint="eastAsia" w:ascii="Times New Roman" w:hAnsi="Times New Roman" w:eastAsia="宋体" w:cs="Times New Roman"/>
          <w:b w:val="0"/>
          <w:bCs w:val="0"/>
          <w:color w:val="auto"/>
          <w:sz w:val="24"/>
          <w:szCs w:val="24"/>
          <w:lang w:val="en-US" w:eastAsia="zh-CN"/>
        </w:rPr>
        <w:t>（</w:t>
      </w:r>
      <w:r>
        <w:rPr>
          <w:rFonts w:hint="default" w:ascii="Times New Roman" w:hAnsi="Times New Roman" w:eastAsia="宋体" w:cs="Times New Roman"/>
          <w:b w:val="0"/>
          <w:bCs w:val="0"/>
          <w:color w:val="auto"/>
          <w:sz w:val="24"/>
          <w:szCs w:val="24"/>
          <w:lang w:val="en-US" w:eastAsia="zh-CN"/>
        </w:rPr>
        <w:t>GB 3838-2002</w:t>
      </w:r>
      <w:r>
        <w:rPr>
          <w:rFonts w:hint="eastAsia" w:ascii="Times New Roman" w:hAnsi="Times New Roman" w:eastAsia="宋体" w:cs="Times New Roman"/>
          <w:b w:val="0"/>
          <w:bCs w:val="0"/>
          <w:color w:val="auto"/>
          <w:sz w:val="24"/>
          <w:szCs w:val="24"/>
          <w:lang w:val="en-US" w:eastAsia="zh-CN"/>
        </w:rPr>
        <w:t>）</w:t>
      </w:r>
      <w:r>
        <w:rPr>
          <w:rFonts w:hint="default" w:ascii="Times New Roman" w:hAnsi="Times New Roman" w:eastAsia="宋体" w:cs="Times New Roman"/>
          <w:b w:val="0"/>
          <w:bCs w:val="0"/>
          <w:color w:val="auto"/>
          <w:sz w:val="24"/>
          <w:szCs w:val="24"/>
          <w:lang w:val="en-US" w:eastAsia="zh-CN"/>
        </w:rPr>
        <w:t>中的Ш类标准，巴河执行《地表水环境质量标准》</w:t>
      </w:r>
      <w:r>
        <w:rPr>
          <w:rFonts w:hint="eastAsia" w:ascii="Times New Roman" w:hAnsi="Times New Roman" w:eastAsia="宋体" w:cs="Times New Roman"/>
          <w:b w:val="0"/>
          <w:bCs w:val="0"/>
          <w:color w:val="auto"/>
          <w:sz w:val="24"/>
          <w:szCs w:val="24"/>
          <w:lang w:val="en-US" w:eastAsia="zh-CN"/>
        </w:rPr>
        <w:t>（</w:t>
      </w:r>
      <w:r>
        <w:rPr>
          <w:rFonts w:hint="default" w:ascii="Times New Roman" w:hAnsi="Times New Roman" w:eastAsia="宋体" w:cs="Times New Roman"/>
          <w:b w:val="0"/>
          <w:bCs w:val="0"/>
          <w:color w:val="auto"/>
          <w:sz w:val="24"/>
          <w:szCs w:val="24"/>
          <w:lang w:val="en-US" w:eastAsia="zh-CN"/>
        </w:rPr>
        <w:t>GB3838-2002</w:t>
      </w:r>
      <w:r>
        <w:rPr>
          <w:rFonts w:hint="eastAsia" w:ascii="Times New Roman" w:hAnsi="Times New Roman" w:eastAsia="宋体" w:cs="Times New Roman"/>
          <w:b w:val="0"/>
          <w:bCs w:val="0"/>
          <w:color w:val="auto"/>
          <w:sz w:val="24"/>
          <w:szCs w:val="24"/>
          <w:lang w:val="en-US" w:eastAsia="zh-CN"/>
        </w:rPr>
        <w:t>）</w:t>
      </w:r>
      <w:r>
        <w:rPr>
          <w:rFonts w:hint="default" w:ascii="Times New Roman" w:hAnsi="Times New Roman" w:eastAsia="宋体" w:cs="Times New Roman"/>
          <w:b w:val="0"/>
          <w:bCs w:val="0"/>
          <w:color w:val="auto"/>
          <w:sz w:val="24"/>
          <w:szCs w:val="24"/>
          <w:lang w:val="en-US" w:eastAsia="zh-CN"/>
        </w:rPr>
        <w:t>中的Ⅳ类标准</w:t>
      </w:r>
      <w:r>
        <w:rPr>
          <w:color w:val="auto"/>
          <w:sz w:val="24"/>
          <w:szCs w:val="32"/>
        </w:rPr>
        <w:t>，具体限值详见下表：</w:t>
      </w:r>
    </w:p>
    <w:p w14:paraId="634AD3CF">
      <w:pPr>
        <w:adjustRightInd w:val="0"/>
        <w:snapToGrid w:val="0"/>
        <w:spacing w:line="360" w:lineRule="auto"/>
        <w:jc w:val="center"/>
        <w:rPr>
          <w:b/>
          <w:bCs/>
          <w:color w:val="auto"/>
          <w:sz w:val="24"/>
          <w:szCs w:val="32"/>
        </w:rPr>
      </w:pPr>
    </w:p>
    <w:p w14:paraId="4A565696">
      <w:pPr>
        <w:adjustRightInd w:val="0"/>
        <w:snapToGrid w:val="0"/>
        <w:spacing w:line="360" w:lineRule="auto"/>
        <w:jc w:val="center"/>
        <w:rPr>
          <w:b/>
          <w:bCs/>
          <w:color w:val="auto"/>
          <w:sz w:val="24"/>
          <w:szCs w:val="32"/>
        </w:rPr>
      </w:pPr>
      <w:r>
        <w:rPr>
          <w:b/>
          <w:bCs/>
          <w:color w:val="auto"/>
          <w:sz w:val="24"/>
          <w:szCs w:val="32"/>
        </w:rPr>
        <w:t xml:space="preserve">表1-4 </w:t>
      </w:r>
      <w:r>
        <w:rPr>
          <w:b/>
          <w:bCs/>
          <w:color w:val="auto"/>
          <w:sz w:val="24"/>
        </w:rPr>
        <w:t>后评价阶段</w:t>
      </w:r>
      <w:r>
        <w:rPr>
          <w:b/>
          <w:bCs/>
          <w:color w:val="auto"/>
          <w:sz w:val="24"/>
          <w:szCs w:val="32"/>
        </w:rPr>
        <w:t>地表水环境质量标准</w:t>
      </w:r>
    </w:p>
    <w:tbl>
      <w:tblPr>
        <w:tblStyle w:val="31"/>
        <w:tblW w:w="4994" w:type="pct"/>
        <w:tblInd w:w="0" w:type="dxa"/>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638"/>
        <w:gridCol w:w="1027"/>
        <w:gridCol w:w="986"/>
        <w:gridCol w:w="2248"/>
        <w:gridCol w:w="2248"/>
        <w:gridCol w:w="2804"/>
      </w:tblGrid>
      <w:tr w14:paraId="0B3E5568">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tblHeader/>
        </w:trPr>
        <w:tc>
          <w:tcPr>
            <w:tcW w:w="320" w:type="pct"/>
            <w:tcBorders>
              <w:tl2br w:val="nil"/>
              <w:tr2bl w:val="nil"/>
            </w:tcBorders>
            <w:noWrap/>
            <w:vAlign w:val="center"/>
          </w:tcPr>
          <w:p w14:paraId="430967E7">
            <w:pPr>
              <w:jc w:val="center"/>
              <w:rPr>
                <w:rFonts w:hint="eastAsia" w:ascii="Times New Roman" w:hAnsi="Times New Roman" w:eastAsia="宋体" w:cs="Times New Roman"/>
                <w:b/>
                <w:bCs/>
                <w:color w:val="auto"/>
                <w:sz w:val="21"/>
                <w:szCs w:val="21"/>
                <w:lang w:val="en-US" w:eastAsia="zh-CN"/>
              </w:rPr>
            </w:pPr>
            <w:bookmarkStart w:id="99" w:name="_Toc5826"/>
            <w:bookmarkStart w:id="100" w:name="_Toc24269"/>
            <w:bookmarkStart w:id="101" w:name="_Toc9078"/>
            <w:bookmarkStart w:id="102" w:name="_Toc7525"/>
            <w:r>
              <w:rPr>
                <w:rFonts w:hint="eastAsia" w:cs="Times New Roman"/>
                <w:b/>
                <w:bCs/>
                <w:color w:val="auto"/>
                <w:sz w:val="21"/>
                <w:szCs w:val="21"/>
                <w:lang w:val="en-US" w:eastAsia="zh-CN"/>
              </w:rPr>
              <w:t>序号</w:t>
            </w:r>
          </w:p>
        </w:tc>
        <w:tc>
          <w:tcPr>
            <w:tcW w:w="516" w:type="pct"/>
            <w:tcBorders>
              <w:tl2br w:val="nil"/>
              <w:tr2bl w:val="nil"/>
            </w:tcBorders>
            <w:noWrap/>
            <w:vAlign w:val="center"/>
          </w:tcPr>
          <w:p w14:paraId="5CC8DC3F">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项目</w:t>
            </w:r>
          </w:p>
        </w:tc>
        <w:tc>
          <w:tcPr>
            <w:tcW w:w="495" w:type="pct"/>
            <w:tcBorders>
              <w:tl2br w:val="nil"/>
              <w:tr2bl w:val="nil"/>
            </w:tcBorders>
            <w:noWrap/>
            <w:vAlign w:val="center"/>
          </w:tcPr>
          <w:p w14:paraId="7E856EA3">
            <w:pPr>
              <w:jc w:val="center"/>
              <w:rPr>
                <w:rFonts w:hint="eastAsia" w:ascii="Times New Roman" w:hAnsi="Times New Roman" w:eastAsia="宋体" w:cs="Times New Roman"/>
                <w:b/>
                <w:bCs/>
                <w:color w:val="auto"/>
                <w:sz w:val="21"/>
                <w:szCs w:val="21"/>
                <w:lang w:val="en-US" w:eastAsia="zh-CN"/>
              </w:rPr>
            </w:pPr>
            <w:r>
              <w:rPr>
                <w:rFonts w:hint="eastAsia" w:cs="Times New Roman"/>
                <w:b/>
                <w:bCs/>
                <w:color w:val="auto"/>
                <w:sz w:val="21"/>
                <w:szCs w:val="21"/>
                <w:lang w:val="en-US" w:eastAsia="zh-CN"/>
              </w:rPr>
              <w:t>单位</w:t>
            </w:r>
          </w:p>
        </w:tc>
        <w:tc>
          <w:tcPr>
            <w:tcW w:w="1129" w:type="pct"/>
            <w:tcBorders>
              <w:tl2br w:val="nil"/>
              <w:tr2bl w:val="nil"/>
            </w:tcBorders>
            <w:noWrap/>
            <w:vAlign w:val="center"/>
          </w:tcPr>
          <w:p w14:paraId="53AC1A4A">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标准限值（Ⅲ类）</w:t>
            </w:r>
          </w:p>
        </w:tc>
        <w:tc>
          <w:tcPr>
            <w:tcW w:w="1129" w:type="pct"/>
            <w:tcBorders>
              <w:tl2br w:val="nil"/>
              <w:tr2bl w:val="nil"/>
            </w:tcBorders>
            <w:noWrap/>
            <w:vAlign w:val="center"/>
          </w:tcPr>
          <w:p w14:paraId="1526ABE9">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标准限值（IV类）</w:t>
            </w:r>
          </w:p>
        </w:tc>
        <w:tc>
          <w:tcPr>
            <w:tcW w:w="1408" w:type="pct"/>
            <w:tcBorders>
              <w:tl2br w:val="nil"/>
              <w:tr2bl w:val="nil"/>
            </w:tcBorders>
            <w:noWrap/>
            <w:vAlign w:val="center"/>
          </w:tcPr>
          <w:p w14:paraId="32F1BEEC">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标准来源</w:t>
            </w:r>
          </w:p>
        </w:tc>
      </w:tr>
      <w:tr w14:paraId="7C19C8CB">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52" w:hRule="atLeast"/>
        </w:trPr>
        <w:tc>
          <w:tcPr>
            <w:tcW w:w="320" w:type="pct"/>
            <w:tcBorders>
              <w:tl2br w:val="nil"/>
              <w:tr2bl w:val="nil"/>
            </w:tcBorders>
            <w:noWrap/>
            <w:vAlign w:val="center"/>
          </w:tcPr>
          <w:p w14:paraId="60CD55BD">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516" w:type="pct"/>
            <w:tcBorders>
              <w:tl2br w:val="nil"/>
              <w:tr2bl w:val="nil"/>
            </w:tcBorders>
            <w:noWrap/>
            <w:vAlign w:val="center"/>
          </w:tcPr>
          <w:p w14:paraId="389F20C3">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pH</w:t>
            </w:r>
          </w:p>
        </w:tc>
        <w:tc>
          <w:tcPr>
            <w:tcW w:w="495" w:type="pct"/>
            <w:tcBorders>
              <w:tl2br w:val="nil"/>
              <w:tr2bl w:val="nil"/>
            </w:tcBorders>
            <w:noWrap/>
            <w:vAlign w:val="center"/>
          </w:tcPr>
          <w:p w14:paraId="1A0CC6D4">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无量纲</w:t>
            </w:r>
          </w:p>
        </w:tc>
        <w:tc>
          <w:tcPr>
            <w:tcW w:w="1129" w:type="pct"/>
            <w:tcBorders>
              <w:tl2br w:val="nil"/>
              <w:tr2bl w:val="nil"/>
            </w:tcBorders>
            <w:noWrap/>
            <w:vAlign w:val="center"/>
          </w:tcPr>
          <w:p w14:paraId="45FF505F">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6～9</w:t>
            </w:r>
          </w:p>
        </w:tc>
        <w:tc>
          <w:tcPr>
            <w:tcW w:w="1129" w:type="pct"/>
            <w:tcBorders>
              <w:tl2br w:val="nil"/>
              <w:tr2bl w:val="nil"/>
            </w:tcBorders>
            <w:noWrap/>
            <w:vAlign w:val="center"/>
          </w:tcPr>
          <w:p w14:paraId="0F19D62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6～9</w:t>
            </w:r>
          </w:p>
        </w:tc>
        <w:tc>
          <w:tcPr>
            <w:tcW w:w="1408" w:type="pct"/>
            <w:vMerge w:val="restart"/>
            <w:tcBorders>
              <w:tl2br w:val="nil"/>
              <w:tr2bl w:val="nil"/>
            </w:tcBorders>
            <w:noWrap/>
            <w:vAlign w:val="center"/>
          </w:tcPr>
          <w:p w14:paraId="72F1BEBD">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《地表水环境质量标准》（GB3838-2002）</w:t>
            </w:r>
          </w:p>
        </w:tc>
      </w:tr>
      <w:tr w14:paraId="488F9343">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89" w:hRule="atLeast"/>
        </w:trPr>
        <w:tc>
          <w:tcPr>
            <w:tcW w:w="320" w:type="pct"/>
            <w:tcBorders>
              <w:tl2br w:val="nil"/>
              <w:tr2bl w:val="nil"/>
            </w:tcBorders>
            <w:noWrap/>
            <w:vAlign w:val="center"/>
          </w:tcPr>
          <w:p w14:paraId="15BF3466">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w:t>
            </w:r>
          </w:p>
        </w:tc>
        <w:tc>
          <w:tcPr>
            <w:tcW w:w="516" w:type="pct"/>
            <w:tcBorders>
              <w:tl2br w:val="nil"/>
              <w:tr2bl w:val="nil"/>
            </w:tcBorders>
            <w:noWrap/>
            <w:vAlign w:val="center"/>
          </w:tcPr>
          <w:p w14:paraId="3968F8DD">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COD</w:t>
            </w:r>
          </w:p>
        </w:tc>
        <w:tc>
          <w:tcPr>
            <w:tcW w:w="495" w:type="pct"/>
            <w:tcBorders>
              <w:tl2br w:val="nil"/>
              <w:tr2bl w:val="nil"/>
            </w:tcBorders>
            <w:noWrap/>
            <w:vAlign w:val="center"/>
          </w:tcPr>
          <w:p w14:paraId="4F70533E">
            <w:pPr>
              <w:jc w:val="center"/>
              <w:rPr>
                <w:rFonts w:hint="default" w:ascii="Times New Roman" w:hAnsi="Times New Roman" w:eastAsia="宋体" w:cs="Times New Roman"/>
                <w:color w:val="auto"/>
                <w:sz w:val="21"/>
                <w:szCs w:val="21"/>
              </w:rPr>
            </w:pPr>
            <w:r>
              <w:rPr>
                <w:color w:val="auto"/>
              </w:rPr>
              <w:t>mg/L</w:t>
            </w:r>
          </w:p>
        </w:tc>
        <w:tc>
          <w:tcPr>
            <w:tcW w:w="1129" w:type="pct"/>
            <w:tcBorders>
              <w:tl2br w:val="nil"/>
              <w:tr2bl w:val="nil"/>
            </w:tcBorders>
            <w:noWrap/>
            <w:vAlign w:val="center"/>
          </w:tcPr>
          <w:p w14:paraId="2CDFBF98">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w:t>
            </w:r>
          </w:p>
        </w:tc>
        <w:tc>
          <w:tcPr>
            <w:tcW w:w="1129" w:type="pct"/>
            <w:tcBorders>
              <w:tl2br w:val="nil"/>
              <w:tr2bl w:val="nil"/>
            </w:tcBorders>
            <w:noWrap/>
            <w:vAlign w:val="center"/>
          </w:tcPr>
          <w:p w14:paraId="1AC046D6">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w:t>
            </w:r>
          </w:p>
        </w:tc>
        <w:tc>
          <w:tcPr>
            <w:tcW w:w="1408" w:type="pct"/>
            <w:vMerge w:val="continue"/>
            <w:tcBorders>
              <w:tl2br w:val="nil"/>
              <w:tr2bl w:val="nil"/>
            </w:tcBorders>
            <w:noWrap/>
            <w:vAlign w:val="center"/>
          </w:tcPr>
          <w:p w14:paraId="0BC5DDD0">
            <w:pPr>
              <w:jc w:val="center"/>
              <w:rPr>
                <w:rFonts w:hint="default" w:ascii="Times New Roman" w:hAnsi="Times New Roman" w:eastAsia="宋体" w:cs="Times New Roman"/>
                <w:color w:val="auto"/>
                <w:sz w:val="21"/>
                <w:szCs w:val="21"/>
              </w:rPr>
            </w:pPr>
          </w:p>
        </w:tc>
      </w:tr>
      <w:tr w14:paraId="6744EEF0">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72" w:hRule="atLeast"/>
        </w:trPr>
        <w:tc>
          <w:tcPr>
            <w:tcW w:w="320" w:type="pct"/>
            <w:tcBorders>
              <w:tl2br w:val="nil"/>
              <w:tr2bl w:val="nil"/>
            </w:tcBorders>
            <w:noWrap/>
            <w:vAlign w:val="center"/>
          </w:tcPr>
          <w:p w14:paraId="2A14A41F">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w:t>
            </w:r>
          </w:p>
        </w:tc>
        <w:tc>
          <w:tcPr>
            <w:tcW w:w="516" w:type="pct"/>
            <w:tcBorders>
              <w:tl2br w:val="nil"/>
              <w:tr2bl w:val="nil"/>
            </w:tcBorders>
            <w:noWrap/>
            <w:vAlign w:val="center"/>
          </w:tcPr>
          <w:p w14:paraId="1C8255DF">
            <w:pPr>
              <w:jc w:val="center"/>
              <w:rPr>
                <w:rFonts w:hint="default" w:ascii="Times New Roman" w:hAnsi="Times New Roman" w:eastAsia="宋体" w:cs="Times New Roman"/>
                <w:snapToGrid w:val="0"/>
                <w:color w:val="auto"/>
                <w:kern w:val="0"/>
                <w:sz w:val="21"/>
                <w:szCs w:val="21"/>
                <w:u w:val="none"/>
                <w:lang w:val="en-US" w:eastAsia="en-US" w:bidi="ar-SA"/>
              </w:rPr>
            </w:pPr>
            <w:r>
              <w:rPr>
                <w:rFonts w:hint="default" w:ascii="Times New Roman" w:hAnsi="Times New Roman" w:eastAsia="宋体" w:cs="Times New Roman"/>
                <w:color w:val="auto"/>
                <w:sz w:val="21"/>
                <w:szCs w:val="21"/>
              </w:rPr>
              <w:t>氨氮</w:t>
            </w:r>
          </w:p>
        </w:tc>
        <w:tc>
          <w:tcPr>
            <w:tcW w:w="495" w:type="pct"/>
            <w:tcBorders>
              <w:tl2br w:val="nil"/>
              <w:tr2bl w:val="nil"/>
            </w:tcBorders>
            <w:noWrap/>
            <w:vAlign w:val="center"/>
          </w:tcPr>
          <w:p w14:paraId="777FA22A">
            <w:pPr>
              <w:jc w:val="center"/>
              <w:rPr>
                <w:rFonts w:hint="default" w:ascii="Times New Roman" w:hAnsi="Times New Roman" w:eastAsia="宋体" w:cs="Times New Roman"/>
                <w:color w:val="auto"/>
                <w:sz w:val="21"/>
                <w:szCs w:val="21"/>
              </w:rPr>
            </w:pPr>
            <w:r>
              <w:rPr>
                <w:color w:val="auto"/>
              </w:rPr>
              <w:t>mg/L</w:t>
            </w:r>
          </w:p>
        </w:tc>
        <w:tc>
          <w:tcPr>
            <w:tcW w:w="1129" w:type="pct"/>
            <w:tcBorders>
              <w:tl2br w:val="nil"/>
              <w:tr2bl w:val="nil"/>
            </w:tcBorders>
            <w:noWrap/>
            <w:vAlign w:val="center"/>
          </w:tcPr>
          <w:p w14:paraId="213AEE9D">
            <w:pPr>
              <w:jc w:val="center"/>
              <w:rPr>
                <w:rFonts w:hint="default" w:ascii="Times New Roman" w:hAnsi="Times New Roman" w:eastAsia="宋体" w:cs="Times New Roman"/>
                <w:snapToGrid w:val="0"/>
                <w:color w:val="auto"/>
                <w:kern w:val="0"/>
                <w:sz w:val="21"/>
                <w:szCs w:val="21"/>
                <w:u w:val="none"/>
                <w:lang w:val="en-US" w:eastAsia="en-US" w:bidi="ar-SA"/>
              </w:rPr>
            </w:pPr>
            <w:r>
              <w:rPr>
                <w:rFonts w:hint="default" w:ascii="Times New Roman" w:hAnsi="Times New Roman" w:eastAsia="宋体" w:cs="Times New Roman"/>
                <w:color w:val="auto"/>
                <w:sz w:val="21"/>
                <w:szCs w:val="21"/>
              </w:rPr>
              <w:t>≤1.0</w:t>
            </w:r>
          </w:p>
        </w:tc>
        <w:tc>
          <w:tcPr>
            <w:tcW w:w="1129" w:type="pct"/>
            <w:tcBorders>
              <w:tl2br w:val="nil"/>
              <w:tr2bl w:val="nil"/>
            </w:tcBorders>
            <w:noWrap/>
            <w:vAlign w:val="center"/>
          </w:tcPr>
          <w:p w14:paraId="37AC8FF6">
            <w:pPr>
              <w:jc w:val="center"/>
              <w:rPr>
                <w:rFonts w:hint="default" w:ascii="Times New Roman" w:hAnsi="Times New Roman" w:eastAsia="宋体" w:cs="Times New Roman"/>
                <w:snapToGrid w:val="0"/>
                <w:color w:val="auto"/>
                <w:kern w:val="0"/>
                <w:sz w:val="21"/>
                <w:szCs w:val="21"/>
                <w:u w:val="none"/>
                <w:lang w:val="en-US" w:eastAsia="en-US" w:bidi="ar-SA"/>
              </w:rPr>
            </w:pPr>
            <w:r>
              <w:rPr>
                <w:rFonts w:hint="default" w:ascii="Times New Roman" w:hAnsi="Times New Roman" w:eastAsia="宋体" w:cs="Times New Roman"/>
                <w:color w:val="auto"/>
                <w:sz w:val="21"/>
                <w:szCs w:val="21"/>
              </w:rPr>
              <w:t>≤1.5</w:t>
            </w:r>
          </w:p>
        </w:tc>
        <w:tc>
          <w:tcPr>
            <w:tcW w:w="1408" w:type="pct"/>
            <w:vMerge w:val="continue"/>
            <w:tcBorders>
              <w:tl2br w:val="nil"/>
              <w:tr2bl w:val="nil"/>
            </w:tcBorders>
            <w:noWrap/>
            <w:vAlign w:val="center"/>
          </w:tcPr>
          <w:p w14:paraId="27BA0272">
            <w:pPr>
              <w:jc w:val="center"/>
              <w:rPr>
                <w:rFonts w:hint="default" w:ascii="Times New Roman" w:hAnsi="Times New Roman" w:eastAsia="宋体" w:cs="Times New Roman"/>
                <w:color w:val="auto"/>
                <w:sz w:val="21"/>
                <w:szCs w:val="21"/>
              </w:rPr>
            </w:pPr>
          </w:p>
        </w:tc>
      </w:tr>
      <w:tr w14:paraId="10FFE888">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320" w:type="pct"/>
            <w:tcBorders>
              <w:tl2br w:val="nil"/>
              <w:tr2bl w:val="nil"/>
            </w:tcBorders>
            <w:noWrap/>
            <w:vAlign w:val="center"/>
          </w:tcPr>
          <w:p w14:paraId="3C0F1AA5">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w:t>
            </w:r>
          </w:p>
        </w:tc>
        <w:tc>
          <w:tcPr>
            <w:tcW w:w="516" w:type="pct"/>
            <w:tcBorders>
              <w:tl2br w:val="nil"/>
              <w:tr2bl w:val="nil"/>
            </w:tcBorders>
            <w:noWrap/>
            <w:vAlign w:val="center"/>
          </w:tcPr>
          <w:p w14:paraId="506F1290">
            <w:pPr>
              <w:jc w:val="center"/>
              <w:rPr>
                <w:rFonts w:hint="default" w:ascii="Times New Roman" w:hAnsi="Times New Roman" w:eastAsia="宋体" w:cs="Times New Roman"/>
                <w:snapToGrid w:val="0"/>
                <w:color w:val="auto"/>
                <w:kern w:val="0"/>
                <w:sz w:val="21"/>
                <w:szCs w:val="21"/>
                <w:u w:val="none"/>
                <w:lang w:val="en-US" w:eastAsia="en-US" w:bidi="ar-SA"/>
              </w:rPr>
            </w:pPr>
            <w:r>
              <w:rPr>
                <w:rFonts w:hint="default" w:ascii="Times New Roman" w:hAnsi="Times New Roman" w:eastAsia="宋体" w:cs="Times New Roman"/>
                <w:color w:val="auto"/>
                <w:sz w:val="21"/>
                <w:szCs w:val="21"/>
              </w:rPr>
              <w:t>总磷</w:t>
            </w:r>
          </w:p>
        </w:tc>
        <w:tc>
          <w:tcPr>
            <w:tcW w:w="495" w:type="pct"/>
            <w:tcBorders>
              <w:tl2br w:val="nil"/>
              <w:tr2bl w:val="nil"/>
            </w:tcBorders>
            <w:noWrap/>
            <w:vAlign w:val="center"/>
          </w:tcPr>
          <w:p w14:paraId="65B33353">
            <w:pPr>
              <w:jc w:val="center"/>
              <w:rPr>
                <w:rFonts w:hint="default" w:ascii="Times New Roman" w:hAnsi="Times New Roman" w:eastAsia="宋体" w:cs="Times New Roman"/>
                <w:color w:val="auto"/>
                <w:sz w:val="21"/>
                <w:szCs w:val="21"/>
              </w:rPr>
            </w:pPr>
            <w:r>
              <w:rPr>
                <w:color w:val="auto"/>
              </w:rPr>
              <w:t>mg/L</w:t>
            </w:r>
          </w:p>
        </w:tc>
        <w:tc>
          <w:tcPr>
            <w:tcW w:w="1129" w:type="pct"/>
            <w:tcBorders>
              <w:tl2br w:val="nil"/>
              <w:tr2bl w:val="nil"/>
            </w:tcBorders>
            <w:noWrap/>
            <w:vAlign w:val="center"/>
          </w:tcPr>
          <w:p w14:paraId="0CF46270">
            <w:pPr>
              <w:jc w:val="center"/>
              <w:rPr>
                <w:rFonts w:hint="default" w:ascii="Times New Roman" w:hAnsi="Times New Roman" w:eastAsia="宋体" w:cs="Times New Roman"/>
                <w:snapToGrid w:val="0"/>
                <w:color w:val="auto"/>
                <w:kern w:val="0"/>
                <w:sz w:val="21"/>
                <w:szCs w:val="21"/>
                <w:u w:val="none"/>
                <w:lang w:val="en-US" w:eastAsia="en-US" w:bidi="ar-SA"/>
              </w:rPr>
            </w:pPr>
            <w:r>
              <w:rPr>
                <w:rFonts w:hint="default" w:ascii="Times New Roman" w:hAnsi="Times New Roman" w:eastAsia="宋体" w:cs="Times New Roman"/>
                <w:color w:val="auto"/>
                <w:sz w:val="21"/>
                <w:szCs w:val="21"/>
              </w:rPr>
              <w:t>≤0.2</w:t>
            </w:r>
          </w:p>
        </w:tc>
        <w:tc>
          <w:tcPr>
            <w:tcW w:w="1129" w:type="pct"/>
            <w:tcBorders>
              <w:tl2br w:val="nil"/>
              <w:tr2bl w:val="nil"/>
            </w:tcBorders>
            <w:noWrap/>
            <w:vAlign w:val="center"/>
          </w:tcPr>
          <w:p w14:paraId="6DD72BD9">
            <w:pPr>
              <w:jc w:val="center"/>
              <w:rPr>
                <w:rFonts w:hint="default" w:ascii="Times New Roman" w:hAnsi="Times New Roman" w:eastAsia="宋体" w:cs="Times New Roman"/>
                <w:snapToGrid w:val="0"/>
                <w:color w:val="auto"/>
                <w:kern w:val="0"/>
                <w:sz w:val="21"/>
                <w:szCs w:val="21"/>
                <w:u w:val="none"/>
                <w:lang w:val="en-US" w:eastAsia="en-US" w:bidi="ar-SA"/>
              </w:rPr>
            </w:pPr>
            <w:r>
              <w:rPr>
                <w:rFonts w:hint="default" w:ascii="Times New Roman" w:hAnsi="Times New Roman" w:eastAsia="宋体" w:cs="Times New Roman"/>
                <w:color w:val="auto"/>
                <w:sz w:val="21"/>
                <w:szCs w:val="21"/>
              </w:rPr>
              <w:t>≤0.3</w:t>
            </w:r>
          </w:p>
        </w:tc>
        <w:tc>
          <w:tcPr>
            <w:tcW w:w="1408" w:type="pct"/>
            <w:vMerge w:val="continue"/>
            <w:tcBorders>
              <w:tl2br w:val="nil"/>
              <w:tr2bl w:val="nil"/>
            </w:tcBorders>
            <w:noWrap/>
            <w:vAlign w:val="center"/>
          </w:tcPr>
          <w:p w14:paraId="7266D9F7">
            <w:pPr>
              <w:jc w:val="center"/>
              <w:rPr>
                <w:rFonts w:hint="default" w:ascii="Times New Roman" w:hAnsi="Times New Roman" w:eastAsia="宋体" w:cs="Times New Roman"/>
                <w:color w:val="auto"/>
                <w:sz w:val="21"/>
                <w:szCs w:val="21"/>
              </w:rPr>
            </w:pPr>
          </w:p>
        </w:tc>
      </w:tr>
      <w:tr w14:paraId="036A9F65">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72" w:hRule="atLeast"/>
        </w:trPr>
        <w:tc>
          <w:tcPr>
            <w:tcW w:w="320" w:type="pct"/>
            <w:tcBorders>
              <w:tl2br w:val="nil"/>
              <w:tr2bl w:val="nil"/>
            </w:tcBorders>
            <w:noWrap/>
            <w:vAlign w:val="center"/>
          </w:tcPr>
          <w:p w14:paraId="1946A2C4">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5</w:t>
            </w:r>
          </w:p>
        </w:tc>
        <w:tc>
          <w:tcPr>
            <w:tcW w:w="516" w:type="pct"/>
            <w:tcBorders>
              <w:tl2br w:val="nil"/>
              <w:tr2bl w:val="nil"/>
            </w:tcBorders>
            <w:noWrap/>
            <w:vAlign w:val="center"/>
          </w:tcPr>
          <w:p w14:paraId="32518457">
            <w:pPr>
              <w:jc w:val="center"/>
              <w:rPr>
                <w:rFonts w:hint="default" w:ascii="Times New Roman" w:hAnsi="Times New Roman" w:eastAsia="宋体" w:cs="Times New Roman"/>
                <w:snapToGrid w:val="0"/>
                <w:color w:val="auto"/>
                <w:kern w:val="0"/>
                <w:sz w:val="21"/>
                <w:szCs w:val="21"/>
                <w:u w:val="none"/>
                <w:lang w:val="en-US" w:eastAsia="zh-CN" w:bidi="ar-SA"/>
              </w:rPr>
            </w:pPr>
            <w:r>
              <w:rPr>
                <w:rFonts w:hint="default" w:ascii="Times New Roman" w:hAnsi="Times New Roman" w:eastAsia="宋体" w:cs="Times New Roman"/>
                <w:color w:val="auto"/>
                <w:sz w:val="21"/>
                <w:szCs w:val="21"/>
              </w:rPr>
              <w:t>BOD</w:t>
            </w:r>
            <w:r>
              <w:rPr>
                <w:rFonts w:hint="default" w:ascii="Times New Roman" w:hAnsi="Times New Roman" w:eastAsia="宋体" w:cs="Times New Roman"/>
                <w:color w:val="auto"/>
                <w:sz w:val="21"/>
                <w:szCs w:val="21"/>
                <w:vertAlign w:val="subscript"/>
              </w:rPr>
              <w:t>5</w:t>
            </w:r>
          </w:p>
        </w:tc>
        <w:tc>
          <w:tcPr>
            <w:tcW w:w="495" w:type="pct"/>
            <w:tcBorders>
              <w:tl2br w:val="nil"/>
              <w:tr2bl w:val="nil"/>
            </w:tcBorders>
            <w:noWrap/>
            <w:vAlign w:val="center"/>
          </w:tcPr>
          <w:p w14:paraId="343CD6B0">
            <w:pPr>
              <w:jc w:val="center"/>
              <w:rPr>
                <w:rFonts w:hint="default" w:ascii="Times New Roman" w:hAnsi="Times New Roman" w:eastAsia="宋体" w:cs="Times New Roman"/>
                <w:color w:val="auto"/>
                <w:sz w:val="21"/>
                <w:szCs w:val="21"/>
              </w:rPr>
            </w:pPr>
            <w:r>
              <w:rPr>
                <w:color w:val="auto"/>
              </w:rPr>
              <w:t>mg/L</w:t>
            </w:r>
          </w:p>
        </w:tc>
        <w:tc>
          <w:tcPr>
            <w:tcW w:w="1129" w:type="pct"/>
            <w:tcBorders>
              <w:tl2br w:val="nil"/>
              <w:tr2bl w:val="nil"/>
            </w:tcBorders>
            <w:noWrap/>
            <w:vAlign w:val="center"/>
          </w:tcPr>
          <w:p w14:paraId="67045ED8">
            <w:pPr>
              <w:jc w:val="center"/>
              <w:rPr>
                <w:rFonts w:hint="default" w:ascii="Times New Roman" w:hAnsi="Times New Roman" w:eastAsia="宋体" w:cs="Times New Roman"/>
                <w:snapToGrid w:val="0"/>
                <w:color w:val="auto"/>
                <w:kern w:val="0"/>
                <w:sz w:val="21"/>
                <w:szCs w:val="21"/>
                <w:u w:val="none"/>
                <w:lang w:val="en-US" w:eastAsia="zh-CN" w:bidi="ar-SA"/>
              </w:rPr>
            </w:pPr>
            <w:r>
              <w:rPr>
                <w:rFonts w:hint="default" w:ascii="Times New Roman" w:hAnsi="Times New Roman" w:eastAsia="宋体" w:cs="Times New Roman"/>
                <w:color w:val="auto"/>
                <w:sz w:val="21"/>
                <w:szCs w:val="21"/>
              </w:rPr>
              <w:t>≤4</w:t>
            </w:r>
          </w:p>
        </w:tc>
        <w:tc>
          <w:tcPr>
            <w:tcW w:w="1129" w:type="pct"/>
            <w:tcBorders>
              <w:tl2br w:val="nil"/>
              <w:tr2bl w:val="nil"/>
            </w:tcBorders>
            <w:noWrap/>
            <w:vAlign w:val="center"/>
          </w:tcPr>
          <w:p w14:paraId="1CEE65DF">
            <w:pPr>
              <w:jc w:val="center"/>
              <w:rPr>
                <w:rFonts w:hint="default" w:ascii="Times New Roman" w:hAnsi="Times New Roman" w:eastAsia="宋体" w:cs="Times New Roman"/>
                <w:snapToGrid w:val="0"/>
                <w:color w:val="auto"/>
                <w:kern w:val="0"/>
                <w:sz w:val="21"/>
                <w:szCs w:val="21"/>
                <w:u w:val="none"/>
                <w:lang w:val="en-US" w:eastAsia="zh-CN" w:bidi="ar-SA"/>
              </w:rPr>
            </w:pPr>
            <w:r>
              <w:rPr>
                <w:rFonts w:hint="default" w:ascii="Times New Roman" w:hAnsi="Times New Roman" w:eastAsia="宋体" w:cs="Times New Roman"/>
                <w:color w:val="auto"/>
                <w:sz w:val="21"/>
                <w:szCs w:val="21"/>
              </w:rPr>
              <w:t>≤6</w:t>
            </w:r>
          </w:p>
        </w:tc>
        <w:tc>
          <w:tcPr>
            <w:tcW w:w="1408" w:type="pct"/>
            <w:vMerge w:val="continue"/>
            <w:tcBorders>
              <w:tl2br w:val="nil"/>
              <w:tr2bl w:val="nil"/>
            </w:tcBorders>
            <w:noWrap/>
            <w:vAlign w:val="center"/>
          </w:tcPr>
          <w:p w14:paraId="724EEDA2">
            <w:pPr>
              <w:jc w:val="center"/>
              <w:rPr>
                <w:rFonts w:hint="default" w:ascii="Times New Roman" w:hAnsi="Times New Roman" w:eastAsia="宋体" w:cs="Times New Roman"/>
                <w:color w:val="auto"/>
                <w:sz w:val="21"/>
                <w:szCs w:val="21"/>
              </w:rPr>
            </w:pPr>
          </w:p>
        </w:tc>
      </w:tr>
      <w:tr w14:paraId="0AC209DC">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72" w:hRule="atLeast"/>
        </w:trPr>
        <w:tc>
          <w:tcPr>
            <w:tcW w:w="320" w:type="pct"/>
            <w:tcBorders>
              <w:tl2br w:val="nil"/>
              <w:tr2bl w:val="nil"/>
            </w:tcBorders>
            <w:noWrap/>
            <w:vAlign w:val="center"/>
          </w:tcPr>
          <w:p w14:paraId="06DD5FD2">
            <w:pPr>
              <w:jc w:val="center"/>
              <w:rPr>
                <w:rFonts w:hint="default" w:cs="Times New Roman"/>
                <w:color w:val="auto"/>
                <w:sz w:val="21"/>
                <w:szCs w:val="21"/>
                <w:lang w:val="en-US" w:eastAsia="zh-CN"/>
              </w:rPr>
            </w:pPr>
            <w:r>
              <w:rPr>
                <w:rFonts w:hint="eastAsia" w:cs="Times New Roman"/>
                <w:color w:val="auto"/>
                <w:sz w:val="21"/>
                <w:szCs w:val="21"/>
                <w:lang w:val="en-US" w:eastAsia="zh-CN"/>
              </w:rPr>
              <w:t>6</w:t>
            </w:r>
          </w:p>
        </w:tc>
        <w:tc>
          <w:tcPr>
            <w:tcW w:w="516" w:type="pct"/>
            <w:tcBorders>
              <w:tl2br w:val="nil"/>
              <w:tr2bl w:val="nil"/>
            </w:tcBorders>
            <w:noWrap/>
            <w:vAlign w:val="center"/>
          </w:tcPr>
          <w:p w14:paraId="5C0EE384">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溶解氧</w:t>
            </w:r>
          </w:p>
        </w:tc>
        <w:tc>
          <w:tcPr>
            <w:tcW w:w="495" w:type="pct"/>
            <w:tcBorders>
              <w:tl2br w:val="nil"/>
              <w:tr2bl w:val="nil"/>
            </w:tcBorders>
            <w:noWrap/>
            <w:vAlign w:val="center"/>
          </w:tcPr>
          <w:p w14:paraId="4A42AF70">
            <w:pPr>
              <w:jc w:val="center"/>
              <w:rPr>
                <w:color w:val="auto"/>
              </w:rPr>
            </w:pPr>
            <w:r>
              <w:rPr>
                <w:color w:val="auto"/>
              </w:rPr>
              <w:t>mg/L</w:t>
            </w:r>
          </w:p>
        </w:tc>
        <w:tc>
          <w:tcPr>
            <w:tcW w:w="1129" w:type="pct"/>
            <w:tcBorders>
              <w:tl2br w:val="nil"/>
              <w:tr2bl w:val="nil"/>
            </w:tcBorders>
            <w:noWrap/>
            <w:vAlign w:val="center"/>
          </w:tcPr>
          <w:p w14:paraId="0E7E244E">
            <w:pPr>
              <w:jc w:val="center"/>
              <w:rPr>
                <w:rFonts w:hint="default" w:ascii="Times New Roman" w:hAnsi="Times New Roman" w:eastAsia="宋体" w:cs="Times New Roman"/>
                <w:color w:val="auto"/>
                <w:sz w:val="21"/>
                <w:szCs w:val="21"/>
                <w:lang w:val="en-US" w:eastAsia="zh-CN"/>
              </w:rPr>
            </w:pPr>
            <w:r>
              <w:rPr>
                <w:color w:val="auto"/>
              </w:rPr>
              <w:t>≥</w:t>
            </w:r>
            <w:r>
              <w:rPr>
                <w:rFonts w:hint="eastAsia" w:cs="Times New Roman"/>
                <w:color w:val="auto"/>
                <w:sz w:val="21"/>
                <w:szCs w:val="21"/>
                <w:lang w:val="en-US" w:eastAsia="zh-CN"/>
              </w:rPr>
              <w:t>5</w:t>
            </w:r>
          </w:p>
        </w:tc>
        <w:tc>
          <w:tcPr>
            <w:tcW w:w="1129" w:type="pct"/>
            <w:tcBorders>
              <w:tl2br w:val="nil"/>
              <w:tr2bl w:val="nil"/>
            </w:tcBorders>
            <w:noWrap/>
            <w:vAlign w:val="center"/>
          </w:tcPr>
          <w:p w14:paraId="62516D93">
            <w:pPr>
              <w:jc w:val="center"/>
              <w:rPr>
                <w:rFonts w:hint="default" w:ascii="Times New Roman" w:hAnsi="Times New Roman" w:eastAsia="宋体" w:cs="Times New Roman"/>
                <w:color w:val="auto"/>
                <w:sz w:val="21"/>
                <w:szCs w:val="21"/>
                <w:lang w:val="en-US" w:eastAsia="zh-CN"/>
              </w:rPr>
            </w:pPr>
            <w:r>
              <w:rPr>
                <w:color w:val="auto"/>
              </w:rPr>
              <w:t>≥</w:t>
            </w:r>
            <w:r>
              <w:rPr>
                <w:rFonts w:hint="eastAsia" w:cs="Times New Roman"/>
                <w:color w:val="auto"/>
                <w:sz w:val="21"/>
                <w:szCs w:val="21"/>
                <w:lang w:val="en-US" w:eastAsia="zh-CN"/>
              </w:rPr>
              <w:t>3</w:t>
            </w:r>
          </w:p>
        </w:tc>
        <w:tc>
          <w:tcPr>
            <w:tcW w:w="1408" w:type="pct"/>
            <w:vMerge w:val="continue"/>
            <w:tcBorders>
              <w:tl2br w:val="nil"/>
              <w:tr2bl w:val="nil"/>
            </w:tcBorders>
            <w:noWrap/>
            <w:vAlign w:val="center"/>
          </w:tcPr>
          <w:p w14:paraId="04EBE943">
            <w:pPr>
              <w:jc w:val="center"/>
              <w:rPr>
                <w:rFonts w:hint="default" w:ascii="Times New Roman" w:hAnsi="Times New Roman" w:eastAsia="宋体" w:cs="Times New Roman"/>
                <w:color w:val="auto"/>
                <w:sz w:val="21"/>
                <w:szCs w:val="21"/>
              </w:rPr>
            </w:pPr>
          </w:p>
        </w:tc>
      </w:tr>
    </w:tbl>
    <w:p w14:paraId="7A88214F">
      <w:pPr>
        <w:adjustRightInd w:val="0"/>
        <w:snapToGrid w:val="0"/>
        <w:spacing w:before="152" w:beforeLines="50" w:line="360" w:lineRule="auto"/>
        <w:ind w:firstLine="480" w:firstLineChars="200"/>
        <w:rPr>
          <w:color w:val="auto"/>
          <w:sz w:val="24"/>
          <w:szCs w:val="32"/>
        </w:rPr>
      </w:pPr>
      <w:r>
        <w:rPr>
          <w:color w:val="auto"/>
          <w:sz w:val="24"/>
          <w:szCs w:val="32"/>
        </w:rPr>
        <w:t>3、声环境质量评价标准</w:t>
      </w:r>
      <w:bookmarkEnd w:id="99"/>
      <w:bookmarkEnd w:id="100"/>
      <w:bookmarkEnd w:id="101"/>
      <w:bookmarkEnd w:id="102"/>
    </w:p>
    <w:p w14:paraId="5372BDCC">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color w:val="auto"/>
          <w:sz w:val="24"/>
          <w:szCs w:val="32"/>
        </w:rPr>
      </w:pPr>
      <w:r>
        <w:rPr>
          <w:b/>
          <w:bCs/>
          <w:color w:val="auto"/>
          <w:sz w:val="24"/>
        </w:rPr>
        <w:t>原环评评价阶段：</w:t>
      </w:r>
      <w:r>
        <w:rPr>
          <w:color w:val="auto"/>
          <w:sz w:val="24"/>
        </w:rPr>
        <w:t>项目所在</w:t>
      </w:r>
      <w:r>
        <w:rPr>
          <w:color w:val="auto"/>
          <w:sz w:val="24"/>
          <w:szCs w:val="32"/>
        </w:rPr>
        <w:t>区域声环境质量执行《声环境质量标准》（GB3096－2008）中</w:t>
      </w:r>
      <w:r>
        <w:rPr>
          <w:rFonts w:hint="eastAsia"/>
          <w:color w:val="auto"/>
          <w:sz w:val="24"/>
          <w:szCs w:val="32"/>
          <w:lang w:val="en-US" w:eastAsia="zh-CN"/>
        </w:rPr>
        <w:t>2</w:t>
      </w:r>
      <w:r>
        <w:rPr>
          <w:color w:val="auto"/>
          <w:sz w:val="24"/>
          <w:szCs w:val="32"/>
        </w:rPr>
        <w:t>类标准。</w:t>
      </w:r>
    </w:p>
    <w:p w14:paraId="225604B1">
      <w:pPr>
        <w:adjustRightInd w:val="0"/>
        <w:snapToGrid w:val="0"/>
        <w:spacing w:line="360" w:lineRule="auto"/>
        <w:jc w:val="center"/>
        <w:rPr>
          <w:rFonts w:hint="default" w:eastAsia="宋体"/>
          <w:b/>
          <w:bCs/>
          <w:color w:val="auto"/>
          <w:sz w:val="24"/>
          <w:lang w:val="en-US" w:eastAsia="zh-CN"/>
        </w:rPr>
      </w:pPr>
      <w:r>
        <w:rPr>
          <w:rFonts w:hint="eastAsia"/>
          <w:b/>
          <w:bCs/>
          <w:color w:val="auto"/>
          <w:sz w:val="24"/>
          <w:lang w:val="en-US" w:eastAsia="zh-CN"/>
        </w:rPr>
        <w:t xml:space="preserve">表1-5 </w:t>
      </w:r>
      <w:r>
        <w:rPr>
          <w:rFonts w:hint="default"/>
          <w:b/>
          <w:bCs/>
          <w:color w:val="auto"/>
          <w:sz w:val="24"/>
          <w:szCs w:val="32"/>
        </w:rPr>
        <w:t>原环评评价阶段</w:t>
      </w:r>
      <w:r>
        <w:rPr>
          <w:rFonts w:hint="eastAsia"/>
          <w:b/>
          <w:bCs/>
          <w:color w:val="auto"/>
          <w:sz w:val="24"/>
          <w:szCs w:val="32"/>
          <w:lang w:val="en-US" w:eastAsia="zh-CN"/>
        </w:rPr>
        <w:t>声环境质量评价标准一览表</w:t>
      </w:r>
    </w:p>
    <w:tbl>
      <w:tblPr>
        <w:tblStyle w:val="31"/>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57"/>
        <w:gridCol w:w="3184"/>
      </w:tblGrid>
      <w:tr w14:paraId="63CBB2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664" w:type="pct"/>
            <w:vMerge w:val="restart"/>
            <w:tcBorders>
              <w:tl2br w:val="nil"/>
              <w:tr2bl w:val="nil"/>
            </w:tcBorders>
            <w:vAlign w:val="center"/>
          </w:tcPr>
          <w:p w14:paraId="4092EE08">
            <w:pPr>
              <w:jc w:val="center"/>
              <w:rPr>
                <w:b/>
                <w:bCs/>
                <w:color w:val="auto"/>
                <w:szCs w:val="21"/>
              </w:rPr>
            </w:pPr>
            <w:r>
              <w:rPr>
                <w:b/>
                <w:bCs/>
                <w:color w:val="auto"/>
                <w:szCs w:val="21"/>
              </w:rPr>
              <w:t>执行标准类别</w:t>
            </w:r>
          </w:p>
        </w:tc>
        <w:tc>
          <w:tcPr>
            <w:tcW w:w="3335" w:type="pct"/>
            <w:gridSpan w:val="2"/>
            <w:tcBorders>
              <w:tl2br w:val="nil"/>
              <w:tr2bl w:val="nil"/>
            </w:tcBorders>
            <w:vAlign w:val="center"/>
          </w:tcPr>
          <w:p w14:paraId="6ABA154D">
            <w:pPr>
              <w:jc w:val="center"/>
              <w:rPr>
                <w:b/>
                <w:bCs/>
                <w:color w:val="auto"/>
                <w:szCs w:val="21"/>
              </w:rPr>
            </w:pPr>
            <w:r>
              <w:rPr>
                <w:b/>
                <w:bCs/>
                <w:color w:val="auto"/>
                <w:szCs w:val="21"/>
              </w:rPr>
              <w:t>标  准  值[dB(A)]</w:t>
            </w:r>
          </w:p>
        </w:tc>
      </w:tr>
      <w:tr w14:paraId="105AF3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664" w:type="pct"/>
            <w:vMerge w:val="continue"/>
            <w:tcBorders>
              <w:tl2br w:val="nil"/>
              <w:tr2bl w:val="nil"/>
            </w:tcBorders>
            <w:vAlign w:val="center"/>
          </w:tcPr>
          <w:p w14:paraId="47F01057">
            <w:pPr>
              <w:jc w:val="center"/>
              <w:rPr>
                <w:b/>
                <w:bCs/>
                <w:color w:val="auto"/>
                <w:szCs w:val="21"/>
              </w:rPr>
            </w:pPr>
          </w:p>
        </w:tc>
        <w:tc>
          <w:tcPr>
            <w:tcW w:w="1736" w:type="pct"/>
            <w:tcBorders>
              <w:tl2br w:val="nil"/>
              <w:tr2bl w:val="nil"/>
            </w:tcBorders>
            <w:vAlign w:val="center"/>
          </w:tcPr>
          <w:p w14:paraId="108C5E65">
            <w:pPr>
              <w:jc w:val="center"/>
              <w:rPr>
                <w:b/>
                <w:bCs/>
                <w:color w:val="auto"/>
                <w:szCs w:val="21"/>
              </w:rPr>
            </w:pPr>
            <w:r>
              <w:rPr>
                <w:b/>
                <w:bCs/>
                <w:color w:val="auto"/>
                <w:szCs w:val="21"/>
              </w:rPr>
              <w:t>昼间</w:t>
            </w:r>
          </w:p>
        </w:tc>
        <w:tc>
          <w:tcPr>
            <w:tcW w:w="1598" w:type="pct"/>
            <w:tcBorders>
              <w:tl2br w:val="nil"/>
              <w:tr2bl w:val="nil"/>
            </w:tcBorders>
            <w:vAlign w:val="center"/>
          </w:tcPr>
          <w:p w14:paraId="6739E434">
            <w:pPr>
              <w:jc w:val="center"/>
              <w:rPr>
                <w:b/>
                <w:bCs/>
                <w:color w:val="auto"/>
                <w:szCs w:val="21"/>
              </w:rPr>
            </w:pPr>
            <w:r>
              <w:rPr>
                <w:b/>
                <w:bCs/>
                <w:color w:val="auto"/>
                <w:szCs w:val="21"/>
              </w:rPr>
              <w:t>夜间</w:t>
            </w:r>
          </w:p>
        </w:tc>
      </w:tr>
      <w:tr w14:paraId="5F3F6C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4" w:type="pct"/>
            <w:tcBorders>
              <w:tl2br w:val="nil"/>
              <w:tr2bl w:val="nil"/>
            </w:tcBorders>
            <w:vAlign w:val="center"/>
          </w:tcPr>
          <w:p w14:paraId="3A3883E4">
            <w:pPr>
              <w:jc w:val="center"/>
              <w:rPr>
                <w:color w:val="auto"/>
                <w:szCs w:val="21"/>
              </w:rPr>
            </w:pPr>
            <w:r>
              <w:rPr>
                <w:color w:val="auto"/>
                <w:szCs w:val="21"/>
              </w:rPr>
              <w:t>GB3096-2008中</w:t>
            </w:r>
            <w:r>
              <w:rPr>
                <w:rFonts w:hint="eastAsia"/>
                <w:color w:val="auto"/>
                <w:szCs w:val="21"/>
                <w:lang w:val="en-US" w:eastAsia="zh-CN"/>
              </w:rPr>
              <w:t>2</w:t>
            </w:r>
            <w:r>
              <w:rPr>
                <w:color w:val="auto"/>
                <w:szCs w:val="21"/>
              </w:rPr>
              <w:t>类标准</w:t>
            </w:r>
          </w:p>
        </w:tc>
        <w:tc>
          <w:tcPr>
            <w:tcW w:w="1736" w:type="pct"/>
            <w:tcBorders>
              <w:tl2br w:val="nil"/>
              <w:tr2bl w:val="nil"/>
            </w:tcBorders>
            <w:vAlign w:val="center"/>
          </w:tcPr>
          <w:p w14:paraId="063DF98F">
            <w:pPr>
              <w:jc w:val="center"/>
              <w:rPr>
                <w:rFonts w:hint="default" w:eastAsia="宋体"/>
                <w:color w:val="auto"/>
                <w:szCs w:val="21"/>
                <w:lang w:val="en-US" w:eastAsia="zh-CN"/>
              </w:rPr>
            </w:pPr>
            <w:r>
              <w:rPr>
                <w:rFonts w:hint="eastAsia"/>
                <w:color w:val="auto"/>
                <w:szCs w:val="21"/>
                <w:lang w:val="en-US" w:eastAsia="zh-CN"/>
              </w:rPr>
              <w:t>60</w:t>
            </w:r>
          </w:p>
        </w:tc>
        <w:tc>
          <w:tcPr>
            <w:tcW w:w="1598" w:type="pct"/>
            <w:tcBorders>
              <w:tl2br w:val="nil"/>
              <w:tr2bl w:val="nil"/>
            </w:tcBorders>
            <w:vAlign w:val="center"/>
          </w:tcPr>
          <w:p w14:paraId="6DF00D0B">
            <w:pPr>
              <w:jc w:val="center"/>
              <w:rPr>
                <w:rFonts w:hint="default" w:eastAsia="宋体"/>
                <w:color w:val="auto"/>
                <w:szCs w:val="21"/>
                <w:lang w:val="en-US" w:eastAsia="zh-CN"/>
              </w:rPr>
            </w:pPr>
            <w:r>
              <w:rPr>
                <w:rFonts w:hint="eastAsia"/>
                <w:color w:val="auto"/>
                <w:szCs w:val="21"/>
                <w:lang w:val="en-US" w:eastAsia="zh-CN"/>
              </w:rPr>
              <w:t>50</w:t>
            </w:r>
          </w:p>
        </w:tc>
      </w:tr>
    </w:tbl>
    <w:p w14:paraId="608BECC1">
      <w:pPr>
        <w:adjustRightInd w:val="0"/>
        <w:snapToGrid w:val="0"/>
        <w:spacing w:line="360" w:lineRule="auto"/>
        <w:rPr>
          <w:b/>
          <w:bCs/>
          <w:color w:val="auto"/>
          <w:sz w:val="24"/>
        </w:rPr>
      </w:pPr>
    </w:p>
    <w:p w14:paraId="73E81CBD">
      <w:pPr>
        <w:adjustRightInd w:val="0"/>
        <w:snapToGrid w:val="0"/>
        <w:spacing w:line="360" w:lineRule="auto"/>
        <w:ind w:firstLine="482" w:firstLineChars="200"/>
        <w:rPr>
          <w:color w:val="auto"/>
          <w:sz w:val="24"/>
          <w:szCs w:val="32"/>
        </w:rPr>
      </w:pPr>
      <w:r>
        <w:rPr>
          <w:b/>
          <w:bCs/>
          <w:color w:val="auto"/>
          <w:sz w:val="24"/>
        </w:rPr>
        <w:t>后评价阶段：</w:t>
      </w:r>
      <w:r>
        <w:rPr>
          <w:color w:val="auto"/>
          <w:sz w:val="24"/>
          <w:szCs w:val="32"/>
        </w:rPr>
        <w:t>本项目位于</w:t>
      </w:r>
      <w:r>
        <w:rPr>
          <w:rFonts w:hint="eastAsia"/>
          <w:color w:val="auto"/>
          <w:sz w:val="24"/>
          <w:szCs w:val="32"/>
          <w:lang w:val="en-US" w:eastAsia="zh-CN"/>
        </w:rPr>
        <w:t>安徽濉溪经济开发区</w:t>
      </w:r>
      <w:r>
        <w:rPr>
          <w:color w:val="auto"/>
          <w:sz w:val="24"/>
          <w:szCs w:val="32"/>
        </w:rPr>
        <w:t>内</w:t>
      </w:r>
      <w:r>
        <w:rPr>
          <w:rFonts w:hint="eastAsia"/>
          <w:color w:val="auto"/>
          <w:sz w:val="24"/>
          <w:szCs w:val="32"/>
          <w:lang w:val="en-US" w:eastAsia="zh-CN"/>
        </w:rPr>
        <w:t>根据声环境功能区分类，</w:t>
      </w:r>
      <w:r>
        <w:rPr>
          <w:color w:val="auto"/>
          <w:sz w:val="24"/>
          <w:szCs w:val="32"/>
        </w:rPr>
        <w:t>项目所在区域声环境质量仍执行《声环境质量标准》（GB3096-2008）中3类标准</w:t>
      </w:r>
      <w:bookmarkStart w:id="103" w:name="_Toc2157"/>
      <w:bookmarkStart w:id="104" w:name="_Toc28337"/>
      <w:bookmarkStart w:id="105" w:name="_Toc12255"/>
      <w:bookmarkStart w:id="106" w:name="_Toc21289"/>
      <w:r>
        <w:rPr>
          <w:color w:val="auto"/>
          <w:sz w:val="24"/>
          <w:szCs w:val="32"/>
        </w:rPr>
        <w:t>。具体限值详见下表：</w:t>
      </w:r>
    </w:p>
    <w:p w14:paraId="2AA37280">
      <w:pPr>
        <w:adjustRightInd w:val="0"/>
        <w:snapToGrid w:val="0"/>
        <w:spacing w:line="360" w:lineRule="auto"/>
        <w:jc w:val="center"/>
        <w:rPr>
          <w:color w:val="auto"/>
          <w:sz w:val="24"/>
          <w:szCs w:val="32"/>
        </w:rPr>
      </w:pPr>
      <w:r>
        <w:rPr>
          <w:b/>
          <w:bCs/>
          <w:color w:val="auto"/>
          <w:sz w:val="24"/>
          <w:szCs w:val="32"/>
        </w:rPr>
        <w:t>表1-</w:t>
      </w:r>
      <w:r>
        <w:rPr>
          <w:rFonts w:hint="eastAsia"/>
          <w:b/>
          <w:bCs/>
          <w:color w:val="auto"/>
          <w:sz w:val="24"/>
          <w:szCs w:val="32"/>
          <w:lang w:val="en-US" w:eastAsia="zh-CN"/>
        </w:rPr>
        <w:t>6</w:t>
      </w:r>
      <w:r>
        <w:rPr>
          <w:b/>
          <w:bCs/>
          <w:color w:val="auto"/>
          <w:sz w:val="24"/>
          <w:szCs w:val="32"/>
        </w:rPr>
        <w:t xml:space="preserve"> </w:t>
      </w:r>
      <w:r>
        <w:rPr>
          <w:rFonts w:hint="eastAsia"/>
          <w:b/>
          <w:bCs/>
          <w:color w:val="auto"/>
          <w:sz w:val="24"/>
          <w:szCs w:val="32"/>
          <w:lang w:val="en-US" w:eastAsia="zh-CN"/>
        </w:rPr>
        <w:t>后评价阶段</w:t>
      </w:r>
      <w:r>
        <w:rPr>
          <w:b/>
          <w:bCs/>
          <w:color w:val="auto"/>
          <w:sz w:val="24"/>
          <w:szCs w:val="32"/>
        </w:rPr>
        <w:t>声环境质量评价标准</w:t>
      </w:r>
    </w:p>
    <w:tbl>
      <w:tblPr>
        <w:tblStyle w:val="31"/>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57"/>
        <w:gridCol w:w="3184"/>
      </w:tblGrid>
      <w:tr w14:paraId="0EFF80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664" w:type="pct"/>
            <w:vMerge w:val="restart"/>
            <w:tcBorders>
              <w:tl2br w:val="nil"/>
              <w:tr2bl w:val="nil"/>
            </w:tcBorders>
            <w:vAlign w:val="center"/>
          </w:tcPr>
          <w:p w14:paraId="5B6C6B72">
            <w:pPr>
              <w:jc w:val="center"/>
              <w:rPr>
                <w:b/>
                <w:bCs/>
                <w:color w:val="auto"/>
                <w:szCs w:val="21"/>
              </w:rPr>
            </w:pPr>
            <w:r>
              <w:rPr>
                <w:b/>
                <w:bCs/>
                <w:color w:val="auto"/>
                <w:szCs w:val="21"/>
              </w:rPr>
              <w:t>执行标准类别</w:t>
            </w:r>
          </w:p>
        </w:tc>
        <w:tc>
          <w:tcPr>
            <w:tcW w:w="3335" w:type="pct"/>
            <w:gridSpan w:val="2"/>
            <w:tcBorders>
              <w:tl2br w:val="nil"/>
              <w:tr2bl w:val="nil"/>
            </w:tcBorders>
            <w:vAlign w:val="center"/>
          </w:tcPr>
          <w:p w14:paraId="6962D12C">
            <w:pPr>
              <w:jc w:val="center"/>
              <w:rPr>
                <w:b/>
                <w:bCs/>
                <w:color w:val="auto"/>
                <w:szCs w:val="21"/>
              </w:rPr>
            </w:pPr>
            <w:r>
              <w:rPr>
                <w:b/>
                <w:bCs/>
                <w:color w:val="auto"/>
                <w:szCs w:val="21"/>
              </w:rPr>
              <w:t>标  准  值[dB(A)]</w:t>
            </w:r>
          </w:p>
        </w:tc>
      </w:tr>
      <w:tr w14:paraId="3611B4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664" w:type="pct"/>
            <w:vMerge w:val="continue"/>
            <w:tcBorders>
              <w:tl2br w:val="nil"/>
              <w:tr2bl w:val="nil"/>
            </w:tcBorders>
            <w:vAlign w:val="center"/>
          </w:tcPr>
          <w:p w14:paraId="7AE79CA4">
            <w:pPr>
              <w:jc w:val="center"/>
              <w:rPr>
                <w:b/>
                <w:bCs/>
                <w:color w:val="auto"/>
                <w:szCs w:val="21"/>
              </w:rPr>
            </w:pPr>
          </w:p>
        </w:tc>
        <w:tc>
          <w:tcPr>
            <w:tcW w:w="1736" w:type="pct"/>
            <w:tcBorders>
              <w:tl2br w:val="nil"/>
              <w:tr2bl w:val="nil"/>
            </w:tcBorders>
            <w:vAlign w:val="center"/>
          </w:tcPr>
          <w:p w14:paraId="227142C8">
            <w:pPr>
              <w:jc w:val="center"/>
              <w:rPr>
                <w:b/>
                <w:bCs/>
                <w:color w:val="auto"/>
                <w:szCs w:val="21"/>
              </w:rPr>
            </w:pPr>
            <w:r>
              <w:rPr>
                <w:b/>
                <w:bCs/>
                <w:color w:val="auto"/>
                <w:szCs w:val="21"/>
              </w:rPr>
              <w:t>昼间</w:t>
            </w:r>
          </w:p>
        </w:tc>
        <w:tc>
          <w:tcPr>
            <w:tcW w:w="1598" w:type="pct"/>
            <w:tcBorders>
              <w:tl2br w:val="nil"/>
              <w:tr2bl w:val="nil"/>
            </w:tcBorders>
            <w:vAlign w:val="center"/>
          </w:tcPr>
          <w:p w14:paraId="6E1BA83A">
            <w:pPr>
              <w:jc w:val="center"/>
              <w:rPr>
                <w:b/>
                <w:bCs/>
                <w:color w:val="auto"/>
                <w:szCs w:val="21"/>
              </w:rPr>
            </w:pPr>
            <w:r>
              <w:rPr>
                <w:b/>
                <w:bCs/>
                <w:color w:val="auto"/>
                <w:szCs w:val="21"/>
              </w:rPr>
              <w:t>夜间</w:t>
            </w:r>
          </w:p>
        </w:tc>
      </w:tr>
      <w:tr w14:paraId="19D9AC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4" w:type="pct"/>
            <w:tcBorders>
              <w:tl2br w:val="nil"/>
              <w:tr2bl w:val="nil"/>
            </w:tcBorders>
            <w:vAlign w:val="center"/>
          </w:tcPr>
          <w:p w14:paraId="6042ACA8">
            <w:pPr>
              <w:jc w:val="center"/>
              <w:rPr>
                <w:color w:val="auto"/>
                <w:szCs w:val="21"/>
              </w:rPr>
            </w:pPr>
            <w:r>
              <w:rPr>
                <w:color w:val="auto"/>
                <w:szCs w:val="21"/>
              </w:rPr>
              <w:t>GB3096-2008中3类标准</w:t>
            </w:r>
          </w:p>
        </w:tc>
        <w:tc>
          <w:tcPr>
            <w:tcW w:w="1736" w:type="pct"/>
            <w:tcBorders>
              <w:tl2br w:val="nil"/>
              <w:tr2bl w:val="nil"/>
            </w:tcBorders>
            <w:vAlign w:val="center"/>
          </w:tcPr>
          <w:p w14:paraId="78E68FAE">
            <w:pPr>
              <w:jc w:val="center"/>
              <w:rPr>
                <w:color w:val="auto"/>
                <w:szCs w:val="21"/>
              </w:rPr>
            </w:pPr>
            <w:r>
              <w:rPr>
                <w:color w:val="auto"/>
                <w:szCs w:val="21"/>
              </w:rPr>
              <w:t>65</w:t>
            </w:r>
          </w:p>
        </w:tc>
        <w:tc>
          <w:tcPr>
            <w:tcW w:w="1598" w:type="pct"/>
            <w:tcBorders>
              <w:tl2br w:val="nil"/>
              <w:tr2bl w:val="nil"/>
            </w:tcBorders>
            <w:vAlign w:val="center"/>
          </w:tcPr>
          <w:p w14:paraId="40230092">
            <w:pPr>
              <w:jc w:val="center"/>
              <w:rPr>
                <w:color w:val="auto"/>
                <w:szCs w:val="21"/>
              </w:rPr>
            </w:pPr>
            <w:r>
              <w:rPr>
                <w:color w:val="auto"/>
                <w:szCs w:val="21"/>
              </w:rPr>
              <w:t>35</w:t>
            </w:r>
          </w:p>
        </w:tc>
      </w:tr>
    </w:tbl>
    <w:p w14:paraId="4EB57480">
      <w:pPr>
        <w:adjustRightInd w:val="0"/>
        <w:snapToGrid w:val="0"/>
        <w:spacing w:before="152" w:beforeLines="50" w:line="360" w:lineRule="auto"/>
        <w:ind w:firstLine="480" w:firstLineChars="200"/>
        <w:rPr>
          <w:color w:val="auto"/>
          <w:sz w:val="24"/>
          <w:szCs w:val="32"/>
        </w:rPr>
      </w:pPr>
      <w:r>
        <w:rPr>
          <w:color w:val="auto"/>
          <w:sz w:val="24"/>
          <w:szCs w:val="32"/>
        </w:rPr>
        <w:t>4、地下水环境质量评价标准</w:t>
      </w:r>
      <w:bookmarkEnd w:id="103"/>
      <w:bookmarkEnd w:id="104"/>
      <w:bookmarkEnd w:id="105"/>
      <w:bookmarkEnd w:id="106"/>
    </w:p>
    <w:p w14:paraId="224325BF">
      <w:pPr>
        <w:adjustRightInd w:val="0"/>
        <w:snapToGrid w:val="0"/>
        <w:spacing w:line="360" w:lineRule="auto"/>
        <w:ind w:firstLine="482" w:firstLineChars="200"/>
        <w:rPr>
          <w:color w:val="auto"/>
          <w:sz w:val="24"/>
          <w:szCs w:val="32"/>
        </w:rPr>
      </w:pPr>
      <w:r>
        <w:rPr>
          <w:b/>
          <w:bCs/>
          <w:color w:val="auto"/>
          <w:sz w:val="24"/>
        </w:rPr>
        <w:t>原环评评价阶段：</w:t>
      </w:r>
      <w:r>
        <w:rPr>
          <w:color w:val="auto"/>
          <w:sz w:val="24"/>
          <w:szCs w:val="32"/>
        </w:rPr>
        <w:t>项目所在区域地下水质量执行</w:t>
      </w:r>
      <w:r>
        <w:rPr>
          <w:color w:val="auto"/>
          <w:sz w:val="24"/>
        </w:rPr>
        <w:t>《地下水质量标准》（GB/T14848-93）III类标准</w:t>
      </w:r>
      <w:r>
        <w:rPr>
          <w:color w:val="auto"/>
          <w:sz w:val="24"/>
          <w:szCs w:val="32"/>
        </w:rPr>
        <w:t>。</w:t>
      </w:r>
    </w:p>
    <w:p w14:paraId="7D4DFC4E">
      <w:pPr>
        <w:adjustRightInd w:val="0"/>
        <w:snapToGrid w:val="0"/>
        <w:spacing w:line="360" w:lineRule="auto"/>
        <w:ind w:firstLine="482" w:firstLineChars="200"/>
        <w:jc w:val="left"/>
        <w:rPr>
          <w:color w:val="auto"/>
          <w:sz w:val="24"/>
          <w:szCs w:val="32"/>
        </w:rPr>
      </w:pPr>
      <w:r>
        <w:rPr>
          <w:b/>
          <w:bCs/>
          <w:color w:val="auto"/>
          <w:sz w:val="24"/>
        </w:rPr>
        <w:t>后评价阶段：</w:t>
      </w:r>
      <w:r>
        <w:rPr>
          <w:color w:val="auto"/>
          <w:sz w:val="24"/>
          <w:szCs w:val="32"/>
        </w:rPr>
        <w:t>项目所在区域地下水环境质量执行《地下水质量标准》（GB/T14848-2017）中的Ⅲ类。具体限值详见下表：</w:t>
      </w:r>
    </w:p>
    <w:p w14:paraId="340331CE">
      <w:pPr>
        <w:adjustRightInd w:val="0"/>
        <w:snapToGrid w:val="0"/>
        <w:spacing w:line="360" w:lineRule="auto"/>
        <w:jc w:val="center"/>
        <w:rPr>
          <w:b/>
          <w:bCs/>
          <w:color w:val="auto"/>
          <w:sz w:val="24"/>
          <w:szCs w:val="32"/>
        </w:rPr>
      </w:pPr>
      <w:r>
        <w:rPr>
          <w:b/>
          <w:bCs/>
          <w:color w:val="auto"/>
          <w:sz w:val="24"/>
          <w:szCs w:val="32"/>
        </w:rPr>
        <w:t>表1-</w:t>
      </w:r>
      <w:r>
        <w:rPr>
          <w:rFonts w:hint="eastAsia"/>
          <w:b/>
          <w:bCs/>
          <w:color w:val="auto"/>
          <w:sz w:val="24"/>
          <w:szCs w:val="32"/>
          <w:lang w:val="en-US" w:eastAsia="zh-CN"/>
        </w:rPr>
        <w:t>7</w:t>
      </w:r>
      <w:r>
        <w:rPr>
          <w:b/>
          <w:bCs/>
          <w:color w:val="auto"/>
          <w:sz w:val="24"/>
          <w:szCs w:val="32"/>
        </w:rPr>
        <w:t xml:space="preserve"> </w:t>
      </w:r>
      <w:r>
        <w:rPr>
          <w:rFonts w:hint="eastAsia"/>
          <w:b/>
          <w:bCs/>
          <w:color w:val="auto"/>
          <w:sz w:val="24"/>
          <w:szCs w:val="32"/>
          <w:lang w:val="en-US" w:eastAsia="zh-CN"/>
        </w:rPr>
        <w:t>后评价阶段</w:t>
      </w:r>
      <w:r>
        <w:rPr>
          <w:b/>
          <w:bCs/>
          <w:color w:val="auto"/>
          <w:sz w:val="24"/>
          <w:szCs w:val="32"/>
        </w:rPr>
        <w:t>地下水环境质量标准</w:t>
      </w:r>
    </w:p>
    <w:tbl>
      <w:tblPr>
        <w:tblStyle w:val="31"/>
        <w:tblW w:w="499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491"/>
        <w:gridCol w:w="3092"/>
        <w:gridCol w:w="1145"/>
        <w:gridCol w:w="3224"/>
      </w:tblGrid>
      <w:tr w14:paraId="1F84A2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tcBorders>
              <w:tl2br w:val="nil"/>
              <w:tr2bl w:val="nil"/>
            </w:tcBorders>
            <w:vAlign w:val="center"/>
          </w:tcPr>
          <w:p w14:paraId="799A7F74">
            <w:pPr>
              <w:jc w:val="center"/>
              <w:rPr>
                <w:b/>
                <w:bCs/>
                <w:color w:val="auto"/>
              </w:rPr>
            </w:pPr>
            <w:r>
              <w:rPr>
                <w:b/>
                <w:bCs/>
                <w:color w:val="auto"/>
              </w:rPr>
              <w:t>标准类别</w:t>
            </w:r>
          </w:p>
        </w:tc>
        <w:tc>
          <w:tcPr>
            <w:tcW w:w="1553" w:type="pct"/>
            <w:tcBorders>
              <w:tl2br w:val="nil"/>
              <w:tr2bl w:val="nil"/>
            </w:tcBorders>
            <w:vAlign w:val="center"/>
          </w:tcPr>
          <w:p w14:paraId="37187A41">
            <w:pPr>
              <w:jc w:val="center"/>
              <w:rPr>
                <w:b/>
                <w:bCs/>
                <w:color w:val="auto"/>
              </w:rPr>
            </w:pPr>
            <w:r>
              <w:rPr>
                <w:b/>
                <w:bCs/>
                <w:color w:val="auto"/>
              </w:rPr>
              <w:t>项目</w:t>
            </w:r>
          </w:p>
        </w:tc>
        <w:tc>
          <w:tcPr>
            <w:tcW w:w="575" w:type="pct"/>
            <w:tcBorders>
              <w:tl2br w:val="nil"/>
              <w:tr2bl w:val="nil"/>
            </w:tcBorders>
            <w:vAlign w:val="center"/>
          </w:tcPr>
          <w:p w14:paraId="4116E5DB">
            <w:pPr>
              <w:jc w:val="center"/>
              <w:rPr>
                <w:b/>
                <w:bCs/>
                <w:color w:val="auto"/>
              </w:rPr>
            </w:pPr>
            <w:r>
              <w:rPr>
                <w:b/>
                <w:bCs/>
                <w:color w:val="auto"/>
              </w:rPr>
              <w:t>单位</w:t>
            </w:r>
          </w:p>
        </w:tc>
        <w:tc>
          <w:tcPr>
            <w:tcW w:w="1619" w:type="pct"/>
            <w:tcBorders>
              <w:tl2br w:val="nil"/>
              <w:tr2bl w:val="nil"/>
            </w:tcBorders>
            <w:vAlign w:val="center"/>
          </w:tcPr>
          <w:p w14:paraId="267CDF06">
            <w:pPr>
              <w:jc w:val="center"/>
              <w:rPr>
                <w:b/>
                <w:bCs/>
                <w:color w:val="auto"/>
              </w:rPr>
            </w:pPr>
            <w:r>
              <w:rPr>
                <w:b/>
                <w:bCs/>
                <w:color w:val="auto"/>
              </w:rPr>
              <w:t>Ⅲ类</w:t>
            </w:r>
          </w:p>
        </w:tc>
      </w:tr>
      <w:tr w14:paraId="56566B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restart"/>
            <w:tcBorders>
              <w:tl2br w:val="nil"/>
              <w:tr2bl w:val="nil"/>
            </w:tcBorders>
            <w:vAlign w:val="center"/>
          </w:tcPr>
          <w:p w14:paraId="3E4F6122">
            <w:pPr>
              <w:jc w:val="center"/>
              <w:rPr>
                <w:color w:val="auto"/>
              </w:rPr>
            </w:pPr>
            <w:r>
              <w:rPr>
                <w:color w:val="auto"/>
              </w:rPr>
              <w:t>《地下水质量标准》</w:t>
            </w:r>
          </w:p>
          <w:p w14:paraId="064E30B1">
            <w:pPr>
              <w:jc w:val="center"/>
              <w:rPr>
                <w:color w:val="auto"/>
              </w:rPr>
            </w:pPr>
            <w:r>
              <w:rPr>
                <w:color w:val="auto"/>
              </w:rPr>
              <w:t>GB/T14848-2017</w:t>
            </w:r>
          </w:p>
        </w:tc>
        <w:tc>
          <w:tcPr>
            <w:tcW w:w="1553" w:type="pct"/>
            <w:tcBorders>
              <w:tl2br w:val="nil"/>
              <w:tr2bl w:val="nil"/>
            </w:tcBorders>
            <w:vAlign w:val="center"/>
          </w:tcPr>
          <w:p w14:paraId="00AEB9E4">
            <w:pPr>
              <w:jc w:val="center"/>
              <w:rPr>
                <w:color w:val="auto"/>
              </w:rPr>
            </w:pPr>
            <w:r>
              <w:rPr>
                <w:color w:val="auto"/>
              </w:rPr>
              <w:t>pH</w:t>
            </w:r>
          </w:p>
        </w:tc>
        <w:tc>
          <w:tcPr>
            <w:tcW w:w="575" w:type="pct"/>
            <w:tcBorders>
              <w:tl2br w:val="nil"/>
              <w:tr2bl w:val="nil"/>
            </w:tcBorders>
            <w:vAlign w:val="center"/>
          </w:tcPr>
          <w:p w14:paraId="4A1E0D29">
            <w:pPr>
              <w:jc w:val="center"/>
              <w:rPr>
                <w:color w:val="auto"/>
              </w:rPr>
            </w:pPr>
            <w:r>
              <w:rPr>
                <w:color w:val="auto"/>
              </w:rPr>
              <w:t>--</w:t>
            </w:r>
          </w:p>
        </w:tc>
        <w:tc>
          <w:tcPr>
            <w:tcW w:w="1619" w:type="pct"/>
            <w:tcBorders>
              <w:tl2br w:val="nil"/>
              <w:tr2bl w:val="nil"/>
            </w:tcBorders>
            <w:vAlign w:val="center"/>
          </w:tcPr>
          <w:p w14:paraId="7DEBB39C">
            <w:pPr>
              <w:jc w:val="center"/>
              <w:rPr>
                <w:color w:val="auto"/>
              </w:rPr>
            </w:pPr>
            <w:r>
              <w:rPr>
                <w:color w:val="auto"/>
              </w:rPr>
              <w:t>6.5～8.5</w:t>
            </w:r>
          </w:p>
        </w:tc>
      </w:tr>
      <w:tr w14:paraId="15756D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4C68A7B6">
            <w:pPr>
              <w:jc w:val="center"/>
              <w:rPr>
                <w:color w:val="auto"/>
              </w:rPr>
            </w:pPr>
          </w:p>
        </w:tc>
        <w:tc>
          <w:tcPr>
            <w:tcW w:w="1553" w:type="pct"/>
            <w:tcBorders>
              <w:tl2br w:val="nil"/>
              <w:tr2bl w:val="nil"/>
            </w:tcBorders>
            <w:vAlign w:val="center"/>
          </w:tcPr>
          <w:p w14:paraId="65F6C064">
            <w:pPr>
              <w:jc w:val="center"/>
              <w:rPr>
                <w:color w:val="auto"/>
              </w:rPr>
            </w:pPr>
            <w:r>
              <w:rPr>
                <w:color w:val="auto"/>
              </w:rPr>
              <w:t>总硬度（以碳酸钙计）</w:t>
            </w:r>
          </w:p>
        </w:tc>
        <w:tc>
          <w:tcPr>
            <w:tcW w:w="575" w:type="pct"/>
            <w:tcBorders>
              <w:tl2br w:val="nil"/>
              <w:tr2bl w:val="nil"/>
            </w:tcBorders>
            <w:vAlign w:val="center"/>
          </w:tcPr>
          <w:p w14:paraId="463F9CE9">
            <w:pPr>
              <w:jc w:val="center"/>
              <w:rPr>
                <w:color w:val="auto"/>
              </w:rPr>
            </w:pPr>
            <w:r>
              <w:rPr>
                <w:color w:val="auto"/>
              </w:rPr>
              <w:t>mg/L</w:t>
            </w:r>
          </w:p>
        </w:tc>
        <w:tc>
          <w:tcPr>
            <w:tcW w:w="1619" w:type="pct"/>
            <w:tcBorders>
              <w:tl2br w:val="nil"/>
              <w:tr2bl w:val="nil"/>
            </w:tcBorders>
            <w:vAlign w:val="center"/>
          </w:tcPr>
          <w:p w14:paraId="117375A8">
            <w:pPr>
              <w:jc w:val="center"/>
              <w:rPr>
                <w:color w:val="auto"/>
              </w:rPr>
            </w:pPr>
            <w:r>
              <w:rPr>
                <w:color w:val="auto"/>
              </w:rPr>
              <w:t>≤450</w:t>
            </w:r>
          </w:p>
        </w:tc>
      </w:tr>
      <w:tr w14:paraId="18818F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5501F4B0">
            <w:pPr>
              <w:jc w:val="center"/>
              <w:rPr>
                <w:color w:val="auto"/>
              </w:rPr>
            </w:pPr>
          </w:p>
        </w:tc>
        <w:tc>
          <w:tcPr>
            <w:tcW w:w="1553" w:type="pct"/>
            <w:tcBorders>
              <w:tl2br w:val="nil"/>
              <w:tr2bl w:val="nil"/>
            </w:tcBorders>
            <w:vAlign w:val="center"/>
          </w:tcPr>
          <w:p w14:paraId="4714EC03">
            <w:pPr>
              <w:jc w:val="center"/>
              <w:rPr>
                <w:color w:val="auto"/>
              </w:rPr>
            </w:pPr>
            <w:r>
              <w:rPr>
                <w:color w:val="auto"/>
              </w:rPr>
              <w:t>溶解性总固体</w:t>
            </w:r>
          </w:p>
        </w:tc>
        <w:tc>
          <w:tcPr>
            <w:tcW w:w="575" w:type="pct"/>
            <w:tcBorders>
              <w:tl2br w:val="nil"/>
              <w:tr2bl w:val="nil"/>
            </w:tcBorders>
            <w:vAlign w:val="center"/>
          </w:tcPr>
          <w:p w14:paraId="08AF1466">
            <w:pPr>
              <w:jc w:val="center"/>
              <w:rPr>
                <w:color w:val="auto"/>
              </w:rPr>
            </w:pPr>
            <w:r>
              <w:rPr>
                <w:color w:val="auto"/>
              </w:rPr>
              <w:t>mg/L</w:t>
            </w:r>
          </w:p>
        </w:tc>
        <w:tc>
          <w:tcPr>
            <w:tcW w:w="1619" w:type="pct"/>
            <w:tcBorders>
              <w:tl2br w:val="nil"/>
              <w:tr2bl w:val="nil"/>
            </w:tcBorders>
            <w:vAlign w:val="center"/>
          </w:tcPr>
          <w:p w14:paraId="3FAE3059">
            <w:pPr>
              <w:jc w:val="center"/>
              <w:rPr>
                <w:color w:val="auto"/>
              </w:rPr>
            </w:pPr>
            <w:r>
              <w:rPr>
                <w:color w:val="auto"/>
              </w:rPr>
              <w:t>≤1000</w:t>
            </w:r>
          </w:p>
        </w:tc>
      </w:tr>
      <w:tr w14:paraId="056E94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3D584746">
            <w:pPr>
              <w:jc w:val="center"/>
              <w:rPr>
                <w:color w:val="auto"/>
              </w:rPr>
            </w:pPr>
          </w:p>
        </w:tc>
        <w:tc>
          <w:tcPr>
            <w:tcW w:w="1553" w:type="pct"/>
            <w:tcBorders>
              <w:tl2br w:val="nil"/>
              <w:tr2bl w:val="nil"/>
            </w:tcBorders>
            <w:vAlign w:val="center"/>
          </w:tcPr>
          <w:p w14:paraId="7EB31275">
            <w:pPr>
              <w:jc w:val="center"/>
              <w:rPr>
                <w:color w:val="auto"/>
              </w:rPr>
            </w:pPr>
            <w:r>
              <w:rPr>
                <w:color w:val="auto"/>
              </w:rPr>
              <w:t>耗氧量</w:t>
            </w:r>
          </w:p>
        </w:tc>
        <w:tc>
          <w:tcPr>
            <w:tcW w:w="575" w:type="pct"/>
            <w:tcBorders>
              <w:tl2br w:val="nil"/>
              <w:tr2bl w:val="nil"/>
            </w:tcBorders>
            <w:vAlign w:val="center"/>
          </w:tcPr>
          <w:p w14:paraId="36D7FE07">
            <w:pPr>
              <w:jc w:val="center"/>
              <w:rPr>
                <w:color w:val="auto"/>
              </w:rPr>
            </w:pPr>
            <w:r>
              <w:rPr>
                <w:color w:val="auto"/>
              </w:rPr>
              <w:t>mg/L</w:t>
            </w:r>
          </w:p>
        </w:tc>
        <w:tc>
          <w:tcPr>
            <w:tcW w:w="1619" w:type="pct"/>
            <w:tcBorders>
              <w:tl2br w:val="nil"/>
              <w:tr2bl w:val="nil"/>
            </w:tcBorders>
            <w:vAlign w:val="center"/>
          </w:tcPr>
          <w:p w14:paraId="17391F33">
            <w:pPr>
              <w:jc w:val="center"/>
              <w:rPr>
                <w:color w:val="auto"/>
              </w:rPr>
            </w:pPr>
            <w:r>
              <w:rPr>
                <w:color w:val="auto"/>
              </w:rPr>
              <w:t>≤3.0</w:t>
            </w:r>
          </w:p>
        </w:tc>
      </w:tr>
      <w:tr w14:paraId="6D1DE2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7E31F30F">
            <w:pPr>
              <w:jc w:val="center"/>
              <w:rPr>
                <w:color w:val="auto"/>
              </w:rPr>
            </w:pPr>
          </w:p>
        </w:tc>
        <w:tc>
          <w:tcPr>
            <w:tcW w:w="1553" w:type="pct"/>
            <w:tcBorders>
              <w:tl2br w:val="nil"/>
              <w:tr2bl w:val="nil"/>
            </w:tcBorders>
            <w:vAlign w:val="center"/>
          </w:tcPr>
          <w:p w14:paraId="5D4685D3">
            <w:pPr>
              <w:jc w:val="center"/>
              <w:rPr>
                <w:color w:val="auto"/>
              </w:rPr>
            </w:pPr>
            <w:r>
              <w:rPr>
                <w:color w:val="auto"/>
              </w:rPr>
              <w:t>氨氮</w:t>
            </w:r>
          </w:p>
        </w:tc>
        <w:tc>
          <w:tcPr>
            <w:tcW w:w="575" w:type="pct"/>
            <w:tcBorders>
              <w:tl2br w:val="nil"/>
              <w:tr2bl w:val="nil"/>
            </w:tcBorders>
            <w:vAlign w:val="center"/>
          </w:tcPr>
          <w:p w14:paraId="7588E7C2">
            <w:pPr>
              <w:jc w:val="center"/>
              <w:rPr>
                <w:color w:val="auto"/>
              </w:rPr>
            </w:pPr>
            <w:r>
              <w:rPr>
                <w:color w:val="auto"/>
              </w:rPr>
              <w:t>mg/L</w:t>
            </w:r>
          </w:p>
        </w:tc>
        <w:tc>
          <w:tcPr>
            <w:tcW w:w="1619" w:type="pct"/>
            <w:tcBorders>
              <w:tl2br w:val="nil"/>
              <w:tr2bl w:val="nil"/>
            </w:tcBorders>
            <w:vAlign w:val="center"/>
          </w:tcPr>
          <w:p w14:paraId="20300433">
            <w:pPr>
              <w:jc w:val="center"/>
              <w:rPr>
                <w:color w:val="auto"/>
              </w:rPr>
            </w:pPr>
            <w:r>
              <w:rPr>
                <w:color w:val="auto"/>
              </w:rPr>
              <w:t>≤0.5</w:t>
            </w:r>
          </w:p>
        </w:tc>
      </w:tr>
      <w:tr w14:paraId="2D78A1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2E91ECB9">
            <w:pPr>
              <w:jc w:val="center"/>
              <w:rPr>
                <w:color w:val="auto"/>
              </w:rPr>
            </w:pPr>
          </w:p>
        </w:tc>
        <w:tc>
          <w:tcPr>
            <w:tcW w:w="1553" w:type="pct"/>
            <w:tcBorders>
              <w:tl2br w:val="nil"/>
              <w:tr2bl w:val="nil"/>
            </w:tcBorders>
            <w:vAlign w:val="center"/>
          </w:tcPr>
          <w:p w14:paraId="2F333592">
            <w:pPr>
              <w:jc w:val="center"/>
              <w:rPr>
                <w:color w:val="auto"/>
              </w:rPr>
            </w:pPr>
            <w:r>
              <w:rPr>
                <w:color w:val="auto"/>
              </w:rPr>
              <w:t>硫酸盐</w:t>
            </w:r>
          </w:p>
        </w:tc>
        <w:tc>
          <w:tcPr>
            <w:tcW w:w="575" w:type="pct"/>
            <w:tcBorders>
              <w:tl2br w:val="nil"/>
              <w:tr2bl w:val="nil"/>
            </w:tcBorders>
            <w:vAlign w:val="center"/>
          </w:tcPr>
          <w:p w14:paraId="5A9AFD00">
            <w:pPr>
              <w:jc w:val="center"/>
              <w:rPr>
                <w:color w:val="auto"/>
              </w:rPr>
            </w:pPr>
            <w:r>
              <w:rPr>
                <w:color w:val="auto"/>
              </w:rPr>
              <w:t>mg/L</w:t>
            </w:r>
          </w:p>
        </w:tc>
        <w:tc>
          <w:tcPr>
            <w:tcW w:w="1619" w:type="pct"/>
            <w:tcBorders>
              <w:tl2br w:val="nil"/>
              <w:tr2bl w:val="nil"/>
            </w:tcBorders>
            <w:vAlign w:val="center"/>
          </w:tcPr>
          <w:p w14:paraId="06E8D679">
            <w:pPr>
              <w:jc w:val="center"/>
              <w:rPr>
                <w:color w:val="auto"/>
              </w:rPr>
            </w:pPr>
            <w:r>
              <w:rPr>
                <w:color w:val="auto"/>
              </w:rPr>
              <w:t>≤250</w:t>
            </w:r>
          </w:p>
        </w:tc>
      </w:tr>
      <w:tr w14:paraId="7BCC67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07E7A20A">
            <w:pPr>
              <w:jc w:val="center"/>
              <w:rPr>
                <w:color w:val="auto"/>
              </w:rPr>
            </w:pPr>
          </w:p>
        </w:tc>
        <w:tc>
          <w:tcPr>
            <w:tcW w:w="1553" w:type="pct"/>
            <w:tcBorders>
              <w:tl2br w:val="nil"/>
              <w:tr2bl w:val="nil"/>
            </w:tcBorders>
            <w:vAlign w:val="center"/>
          </w:tcPr>
          <w:p w14:paraId="5C4016EC">
            <w:pPr>
              <w:jc w:val="center"/>
              <w:rPr>
                <w:color w:val="auto"/>
              </w:rPr>
            </w:pPr>
            <w:r>
              <w:rPr>
                <w:color w:val="auto"/>
              </w:rPr>
              <w:t>氯化物</w:t>
            </w:r>
          </w:p>
        </w:tc>
        <w:tc>
          <w:tcPr>
            <w:tcW w:w="575" w:type="pct"/>
            <w:tcBorders>
              <w:tl2br w:val="nil"/>
              <w:tr2bl w:val="nil"/>
            </w:tcBorders>
            <w:vAlign w:val="center"/>
          </w:tcPr>
          <w:p w14:paraId="21BC4BE7">
            <w:pPr>
              <w:jc w:val="center"/>
              <w:rPr>
                <w:color w:val="auto"/>
              </w:rPr>
            </w:pPr>
            <w:r>
              <w:rPr>
                <w:color w:val="auto"/>
              </w:rPr>
              <w:t>mg/L</w:t>
            </w:r>
          </w:p>
        </w:tc>
        <w:tc>
          <w:tcPr>
            <w:tcW w:w="1619" w:type="pct"/>
            <w:tcBorders>
              <w:tl2br w:val="nil"/>
              <w:tr2bl w:val="nil"/>
            </w:tcBorders>
            <w:vAlign w:val="center"/>
          </w:tcPr>
          <w:p w14:paraId="4FB8B389">
            <w:pPr>
              <w:jc w:val="center"/>
              <w:rPr>
                <w:color w:val="auto"/>
              </w:rPr>
            </w:pPr>
            <w:r>
              <w:rPr>
                <w:color w:val="auto"/>
              </w:rPr>
              <w:t>≤250</w:t>
            </w:r>
          </w:p>
        </w:tc>
      </w:tr>
      <w:tr w14:paraId="5C8744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6BB37BE5">
            <w:pPr>
              <w:jc w:val="center"/>
              <w:rPr>
                <w:color w:val="auto"/>
              </w:rPr>
            </w:pPr>
          </w:p>
        </w:tc>
        <w:tc>
          <w:tcPr>
            <w:tcW w:w="1553" w:type="pct"/>
            <w:tcBorders>
              <w:tl2br w:val="nil"/>
              <w:tr2bl w:val="nil"/>
            </w:tcBorders>
            <w:vAlign w:val="center"/>
          </w:tcPr>
          <w:p w14:paraId="5FA4E4D2">
            <w:pPr>
              <w:jc w:val="center"/>
              <w:rPr>
                <w:color w:val="auto"/>
              </w:rPr>
            </w:pPr>
            <w:r>
              <w:rPr>
                <w:color w:val="auto"/>
              </w:rPr>
              <w:t>硝酸盐</w:t>
            </w:r>
          </w:p>
        </w:tc>
        <w:tc>
          <w:tcPr>
            <w:tcW w:w="575" w:type="pct"/>
            <w:tcBorders>
              <w:tl2br w:val="nil"/>
              <w:tr2bl w:val="nil"/>
            </w:tcBorders>
            <w:vAlign w:val="center"/>
          </w:tcPr>
          <w:p w14:paraId="53EB2407">
            <w:pPr>
              <w:jc w:val="center"/>
              <w:rPr>
                <w:color w:val="auto"/>
              </w:rPr>
            </w:pPr>
            <w:r>
              <w:rPr>
                <w:color w:val="auto"/>
              </w:rPr>
              <w:t>mg/L</w:t>
            </w:r>
          </w:p>
        </w:tc>
        <w:tc>
          <w:tcPr>
            <w:tcW w:w="1619" w:type="pct"/>
            <w:tcBorders>
              <w:tl2br w:val="nil"/>
              <w:tr2bl w:val="nil"/>
            </w:tcBorders>
            <w:vAlign w:val="center"/>
          </w:tcPr>
          <w:p w14:paraId="7ED21547">
            <w:pPr>
              <w:jc w:val="center"/>
              <w:rPr>
                <w:color w:val="auto"/>
              </w:rPr>
            </w:pPr>
            <w:r>
              <w:rPr>
                <w:color w:val="auto"/>
              </w:rPr>
              <w:t>≤20</w:t>
            </w:r>
          </w:p>
        </w:tc>
      </w:tr>
      <w:tr w14:paraId="776B4A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4C68FCA4">
            <w:pPr>
              <w:jc w:val="center"/>
              <w:rPr>
                <w:color w:val="auto"/>
              </w:rPr>
            </w:pPr>
          </w:p>
        </w:tc>
        <w:tc>
          <w:tcPr>
            <w:tcW w:w="1553" w:type="pct"/>
            <w:tcBorders>
              <w:tl2br w:val="nil"/>
              <w:tr2bl w:val="nil"/>
            </w:tcBorders>
            <w:vAlign w:val="center"/>
          </w:tcPr>
          <w:p w14:paraId="72B1082D">
            <w:pPr>
              <w:jc w:val="center"/>
              <w:rPr>
                <w:color w:val="auto"/>
              </w:rPr>
            </w:pPr>
            <w:r>
              <w:rPr>
                <w:color w:val="auto"/>
              </w:rPr>
              <w:t>亚硝酸盐</w:t>
            </w:r>
          </w:p>
        </w:tc>
        <w:tc>
          <w:tcPr>
            <w:tcW w:w="575" w:type="pct"/>
            <w:tcBorders>
              <w:tl2br w:val="nil"/>
              <w:tr2bl w:val="nil"/>
            </w:tcBorders>
            <w:vAlign w:val="center"/>
          </w:tcPr>
          <w:p w14:paraId="0C939612">
            <w:pPr>
              <w:jc w:val="center"/>
              <w:rPr>
                <w:color w:val="auto"/>
              </w:rPr>
            </w:pPr>
            <w:r>
              <w:rPr>
                <w:color w:val="auto"/>
              </w:rPr>
              <w:t>mg/L</w:t>
            </w:r>
          </w:p>
        </w:tc>
        <w:tc>
          <w:tcPr>
            <w:tcW w:w="1619" w:type="pct"/>
            <w:tcBorders>
              <w:tl2br w:val="nil"/>
              <w:tr2bl w:val="nil"/>
            </w:tcBorders>
            <w:vAlign w:val="center"/>
          </w:tcPr>
          <w:p w14:paraId="14F0DD6D">
            <w:pPr>
              <w:jc w:val="center"/>
              <w:rPr>
                <w:color w:val="auto"/>
              </w:rPr>
            </w:pPr>
            <w:r>
              <w:rPr>
                <w:color w:val="auto"/>
              </w:rPr>
              <w:t>≤1.0</w:t>
            </w:r>
          </w:p>
        </w:tc>
      </w:tr>
      <w:tr w14:paraId="4ADACF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6A1621A2">
            <w:pPr>
              <w:jc w:val="center"/>
              <w:rPr>
                <w:color w:val="auto"/>
              </w:rPr>
            </w:pPr>
          </w:p>
        </w:tc>
        <w:tc>
          <w:tcPr>
            <w:tcW w:w="1553" w:type="pct"/>
            <w:tcBorders>
              <w:tl2br w:val="nil"/>
              <w:tr2bl w:val="nil"/>
            </w:tcBorders>
            <w:vAlign w:val="center"/>
          </w:tcPr>
          <w:p w14:paraId="6E153DE8">
            <w:pPr>
              <w:jc w:val="center"/>
              <w:rPr>
                <w:color w:val="auto"/>
              </w:rPr>
            </w:pPr>
            <w:r>
              <w:rPr>
                <w:color w:val="auto"/>
              </w:rPr>
              <w:t>挥发性酚类</w:t>
            </w:r>
          </w:p>
        </w:tc>
        <w:tc>
          <w:tcPr>
            <w:tcW w:w="575" w:type="pct"/>
            <w:tcBorders>
              <w:tl2br w:val="nil"/>
              <w:tr2bl w:val="nil"/>
            </w:tcBorders>
            <w:vAlign w:val="center"/>
          </w:tcPr>
          <w:p w14:paraId="3FF4E95D">
            <w:pPr>
              <w:jc w:val="center"/>
              <w:rPr>
                <w:color w:val="auto"/>
              </w:rPr>
            </w:pPr>
            <w:r>
              <w:rPr>
                <w:color w:val="auto"/>
              </w:rPr>
              <w:t>mg/L</w:t>
            </w:r>
          </w:p>
        </w:tc>
        <w:tc>
          <w:tcPr>
            <w:tcW w:w="1619" w:type="pct"/>
            <w:tcBorders>
              <w:tl2br w:val="nil"/>
              <w:tr2bl w:val="nil"/>
            </w:tcBorders>
            <w:vAlign w:val="center"/>
          </w:tcPr>
          <w:p w14:paraId="31A966D5">
            <w:pPr>
              <w:jc w:val="center"/>
              <w:rPr>
                <w:color w:val="auto"/>
              </w:rPr>
            </w:pPr>
            <w:r>
              <w:rPr>
                <w:color w:val="auto"/>
              </w:rPr>
              <w:t>≤0.002</w:t>
            </w:r>
          </w:p>
        </w:tc>
      </w:tr>
      <w:tr w14:paraId="27F2C5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474D83DF">
            <w:pPr>
              <w:jc w:val="center"/>
              <w:rPr>
                <w:color w:val="auto"/>
              </w:rPr>
            </w:pPr>
          </w:p>
        </w:tc>
        <w:tc>
          <w:tcPr>
            <w:tcW w:w="1553" w:type="pct"/>
            <w:tcBorders>
              <w:tl2br w:val="nil"/>
              <w:tr2bl w:val="nil"/>
            </w:tcBorders>
            <w:vAlign w:val="center"/>
          </w:tcPr>
          <w:p w14:paraId="03C8CFA4">
            <w:pPr>
              <w:jc w:val="center"/>
              <w:rPr>
                <w:color w:val="auto"/>
              </w:rPr>
            </w:pPr>
            <w:r>
              <w:rPr>
                <w:color w:val="auto"/>
              </w:rPr>
              <w:t>氰化物</w:t>
            </w:r>
          </w:p>
        </w:tc>
        <w:tc>
          <w:tcPr>
            <w:tcW w:w="575" w:type="pct"/>
            <w:tcBorders>
              <w:tl2br w:val="nil"/>
              <w:tr2bl w:val="nil"/>
            </w:tcBorders>
            <w:vAlign w:val="center"/>
          </w:tcPr>
          <w:p w14:paraId="49D280F2">
            <w:pPr>
              <w:jc w:val="center"/>
              <w:rPr>
                <w:color w:val="auto"/>
              </w:rPr>
            </w:pPr>
            <w:r>
              <w:rPr>
                <w:color w:val="auto"/>
              </w:rPr>
              <w:t>mg/L</w:t>
            </w:r>
          </w:p>
        </w:tc>
        <w:tc>
          <w:tcPr>
            <w:tcW w:w="1619" w:type="pct"/>
            <w:tcBorders>
              <w:tl2br w:val="nil"/>
              <w:tr2bl w:val="nil"/>
            </w:tcBorders>
            <w:vAlign w:val="center"/>
          </w:tcPr>
          <w:p w14:paraId="2BA9B0DD">
            <w:pPr>
              <w:jc w:val="center"/>
              <w:rPr>
                <w:color w:val="auto"/>
              </w:rPr>
            </w:pPr>
            <w:r>
              <w:rPr>
                <w:color w:val="auto"/>
              </w:rPr>
              <w:t>≤0.05</w:t>
            </w:r>
          </w:p>
        </w:tc>
      </w:tr>
      <w:tr w14:paraId="1A80A7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279B6088">
            <w:pPr>
              <w:jc w:val="center"/>
              <w:rPr>
                <w:color w:val="auto"/>
              </w:rPr>
            </w:pPr>
          </w:p>
        </w:tc>
        <w:tc>
          <w:tcPr>
            <w:tcW w:w="1553" w:type="pct"/>
            <w:tcBorders>
              <w:tl2br w:val="nil"/>
              <w:tr2bl w:val="nil"/>
            </w:tcBorders>
            <w:vAlign w:val="center"/>
          </w:tcPr>
          <w:p w14:paraId="0ED2FC14">
            <w:pPr>
              <w:jc w:val="center"/>
              <w:rPr>
                <w:color w:val="auto"/>
              </w:rPr>
            </w:pPr>
            <w:r>
              <w:rPr>
                <w:color w:val="auto"/>
              </w:rPr>
              <w:t>镉</w:t>
            </w:r>
          </w:p>
        </w:tc>
        <w:tc>
          <w:tcPr>
            <w:tcW w:w="575" w:type="pct"/>
            <w:tcBorders>
              <w:tl2br w:val="nil"/>
              <w:tr2bl w:val="nil"/>
            </w:tcBorders>
            <w:vAlign w:val="center"/>
          </w:tcPr>
          <w:p w14:paraId="4F1D475C">
            <w:pPr>
              <w:jc w:val="center"/>
              <w:rPr>
                <w:color w:val="auto"/>
              </w:rPr>
            </w:pPr>
            <w:r>
              <w:rPr>
                <w:color w:val="auto"/>
              </w:rPr>
              <w:t>mg/L</w:t>
            </w:r>
          </w:p>
        </w:tc>
        <w:tc>
          <w:tcPr>
            <w:tcW w:w="1619" w:type="pct"/>
            <w:tcBorders>
              <w:tl2br w:val="nil"/>
              <w:tr2bl w:val="nil"/>
            </w:tcBorders>
            <w:vAlign w:val="center"/>
          </w:tcPr>
          <w:p w14:paraId="314761D3">
            <w:pPr>
              <w:jc w:val="center"/>
              <w:rPr>
                <w:color w:val="auto"/>
              </w:rPr>
            </w:pPr>
            <w:r>
              <w:rPr>
                <w:color w:val="auto"/>
              </w:rPr>
              <w:t>≤0.005</w:t>
            </w:r>
          </w:p>
        </w:tc>
      </w:tr>
      <w:tr w14:paraId="62C083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54A5ECA1">
            <w:pPr>
              <w:jc w:val="center"/>
              <w:rPr>
                <w:color w:val="auto"/>
              </w:rPr>
            </w:pPr>
          </w:p>
        </w:tc>
        <w:tc>
          <w:tcPr>
            <w:tcW w:w="1553" w:type="pct"/>
            <w:tcBorders>
              <w:tl2br w:val="nil"/>
              <w:tr2bl w:val="nil"/>
            </w:tcBorders>
            <w:vAlign w:val="center"/>
          </w:tcPr>
          <w:p w14:paraId="7C73B93F">
            <w:pPr>
              <w:jc w:val="center"/>
              <w:rPr>
                <w:color w:val="auto"/>
              </w:rPr>
            </w:pPr>
            <w:r>
              <w:rPr>
                <w:color w:val="auto"/>
              </w:rPr>
              <w:t>砷</w:t>
            </w:r>
          </w:p>
        </w:tc>
        <w:tc>
          <w:tcPr>
            <w:tcW w:w="575" w:type="pct"/>
            <w:tcBorders>
              <w:tl2br w:val="nil"/>
              <w:tr2bl w:val="nil"/>
            </w:tcBorders>
            <w:vAlign w:val="center"/>
          </w:tcPr>
          <w:p w14:paraId="7E96A124">
            <w:pPr>
              <w:jc w:val="center"/>
              <w:rPr>
                <w:color w:val="auto"/>
              </w:rPr>
            </w:pPr>
            <w:r>
              <w:rPr>
                <w:color w:val="auto"/>
              </w:rPr>
              <w:t>mg/L</w:t>
            </w:r>
          </w:p>
        </w:tc>
        <w:tc>
          <w:tcPr>
            <w:tcW w:w="1619" w:type="pct"/>
            <w:tcBorders>
              <w:tl2br w:val="nil"/>
              <w:tr2bl w:val="nil"/>
            </w:tcBorders>
            <w:vAlign w:val="center"/>
          </w:tcPr>
          <w:p w14:paraId="73B0DAA3">
            <w:pPr>
              <w:jc w:val="center"/>
              <w:rPr>
                <w:color w:val="auto"/>
              </w:rPr>
            </w:pPr>
            <w:r>
              <w:rPr>
                <w:color w:val="auto"/>
              </w:rPr>
              <w:t>≤0.01</w:t>
            </w:r>
          </w:p>
        </w:tc>
      </w:tr>
      <w:tr w14:paraId="641E2B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0E720E82">
            <w:pPr>
              <w:jc w:val="center"/>
              <w:rPr>
                <w:color w:val="auto"/>
              </w:rPr>
            </w:pPr>
          </w:p>
        </w:tc>
        <w:tc>
          <w:tcPr>
            <w:tcW w:w="1553" w:type="pct"/>
            <w:tcBorders>
              <w:tl2br w:val="nil"/>
              <w:tr2bl w:val="nil"/>
            </w:tcBorders>
            <w:vAlign w:val="center"/>
          </w:tcPr>
          <w:p w14:paraId="48A33C16">
            <w:pPr>
              <w:jc w:val="center"/>
              <w:rPr>
                <w:color w:val="auto"/>
              </w:rPr>
            </w:pPr>
            <w:r>
              <w:rPr>
                <w:color w:val="auto"/>
              </w:rPr>
              <w:t>铬（六价）</w:t>
            </w:r>
          </w:p>
        </w:tc>
        <w:tc>
          <w:tcPr>
            <w:tcW w:w="575" w:type="pct"/>
            <w:tcBorders>
              <w:tl2br w:val="nil"/>
              <w:tr2bl w:val="nil"/>
            </w:tcBorders>
            <w:vAlign w:val="center"/>
          </w:tcPr>
          <w:p w14:paraId="3944EDF0">
            <w:pPr>
              <w:jc w:val="center"/>
              <w:rPr>
                <w:color w:val="auto"/>
              </w:rPr>
            </w:pPr>
            <w:r>
              <w:rPr>
                <w:color w:val="auto"/>
              </w:rPr>
              <w:t>mg/L</w:t>
            </w:r>
          </w:p>
        </w:tc>
        <w:tc>
          <w:tcPr>
            <w:tcW w:w="1619" w:type="pct"/>
            <w:tcBorders>
              <w:tl2br w:val="nil"/>
              <w:tr2bl w:val="nil"/>
            </w:tcBorders>
            <w:vAlign w:val="center"/>
          </w:tcPr>
          <w:p w14:paraId="2468D0C7">
            <w:pPr>
              <w:jc w:val="center"/>
              <w:rPr>
                <w:color w:val="auto"/>
              </w:rPr>
            </w:pPr>
            <w:r>
              <w:rPr>
                <w:color w:val="auto"/>
              </w:rPr>
              <w:t>≤0.05</w:t>
            </w:r>
          </w:p>
        </w:tc>
      </w:tr>
      <w:tr w14:paraId="09D008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74831237">
            <w:pPr>
              <w:jc w:val="center"/>
              <w:rPr>
                <w:color w:val="auto"/>
              </w:rPr>
            </w:pPr>
          </w:p>
        </w:tc>
        <w:tc>
          <w:tcPr>
            <w:tcW w:w="1553" w:type="pct"/>
            <w:tcBorders>
              <w:tl2br w:val="nil"/>
              <w:tr2bl w:val="nil"/>
            </w:tcBorders>
            <w:vAlign w:val="center"/>
          </w:tcPr>
          <w:p w14:paraId="635EB167">
            <w:pPr>
              <w:jc w:val="center"/>
              <w:rPr>
                <w:color w:val="auto"/>
              </w:rPr>
            </w:pPr>
            <w:r>
              <w:rPr>
                <w:color w:val="auto"/>
              </w:rPr>
              <w:t>汞</w:t>
            </w:r>
          </w:p>
        </w:tc>
        <w:tc>
          <w:tcPr>
            <w:tcW w:w="575" w:type="pct"/>
            <w:tcBorders>
              <w:tl2br w:val="nil"/>
              <w:tr2bl w:val="nil"/>
            </w:tcBorders>
            <w:vAlign w:val="center"/>
          </w:tcPr>
          <w:p w14:paraId="42C8AC23">
            <w:pPr>
              <w:jc w:val="center"/>
              <w:rPr>
                <w:color w:val="auto"/>
              </w:rPr>
            </w:pPr>
            <w:r>
              <w:rPr>
                <w:color w:val="auto"/>
              </w:rPr>
              <w:t>mg/L</w:t>
            </w:r>
          </w:p>
        </w:tc>
        <w:tc>
          <w:tcPr>
            <w:tcW w:w="1619" w:type="pct"/>
            <w:tcBorders>
              <w:tl2br w:val="nil"/>
              <w:tr2bl w:val="nil"/>
            </w:tcBorders>
            <w:vAlign w:val="center"/>
          </w:tcPr>
          <w:p w14:paraId="27808DE3">
            <w:pPr>
              <w:jc w:val="center"/>
              <w:rPr>
                <w:color w:val="auto"/>
              </w:rPr>
            </w:pPr>
            <w:r>
              <w:rPr>
                <w:color w:val="auto"/>
              </w:rPr>
              <w:t>≤0.001</w:t>
            </w:r>
          </w:p>
        </w:tc>
      </w:tr>
      <w:tr w14:paraId="0BA433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0CED361A">
            <w:pPr>
              <w:jc w:val="center"/>
              <w:rPr>
                <w:color w:val="auto"/>
              </w:rPr>
            </w:pPr>
          </w:p>
        </w:tc>
        <w:tc>
          <w:tcPr>
            <w:tcW w:w="1553" w:type="pct"/>
            <w:tcBorders>
              <w:tl2br w:val="nil"/>
              <w:tr2bl w:val="nil"/>
            </w:tcBorders>
            <w:vAlign w:val="center"/>
          </w:tcPr>
          <w:p w14:paraId="03413055">
            <w:pPr>
              <w:jc w:val="center"/>
              <w:rPr>
                <w:color w:val="auto"/>
              </w:rPr>
            </w:pPr>
            <w:r>
              <w:rPr>
                <w:color w:val="auto"/>
              </w:rPr>
              <w:t>铅</w:t>
            </w:r>
          </w:p>
        </w:tc>
        <w:tc>
          <w:tcPr>
            <w:tcW w:w="575" w:type="pct"/>
            <w:tcBorders>
              <w:tl2br w:val="nil"/>
              <w:tr2bl w:val="nil"/>
            </w:tcBorders>
            <w:vAlign w:val="center"/>
          </w:tcPr>
          <w:p w14:paraId="76E7D8C9">
            <w:pPr>
              <w:jc w:val="center"/>
              <w:rPr>
                <w:color w:val="auto"/>
              </w:rPr>
            </w:pPr>
            <w:r>
              <w:rPr>
                <w:color w:val="auto"/>
              </w:rPr>
              <w:t>mg/L</w:t>
            </w:r>
          </w:p>
        </w:tc>
        <w:tc>
          <w:tcPr>
            <w:tcW w:w="1619" w:type="pct"/>
            <w:tcBorders>
              <w:tl2br w:val="nil"/>
              <w:tr2bl w:val="nil"/>
            </w:tcBorders>
            <w:vAlign w:val="center"/>
          </w:tcPr>
          <w:p w14:paraId="377481CC">
            <w:pPr>
              <w:jc w:val="center"/>
              <w:rPr>
                <w:color w:val="auto"/>
              </w:rPr>
            </w:pPr>
            <w:r>
              <w:rPr>
                <w:color w:val="auto"/>
              </w:rPr>
              <w:t>≤0.01</w:t>
            </w:r>
          </w:p>
        </w:tc>
      </w:tr>
      <w:tr w14:paraId="1F24AC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35538932">
            <w:pPr>
              <w:jc w:val="center"/>
              <w:rPr>
                <w:color w:val="auto"/>
              </w:rPr>
            </w:pPr>
          </w:p>
        </w:tc>
        <w:tc>
          <w:tcPr>
            <w:tcW w:w="1553" w:type="pct"/>
            <w:tcBorders>
              <w:tl2br w:val="nil"/>
              <w:tr2bl w:val="nil"/>
            </w:tcBorders>
            <w:vAlign w:val="center"/>
          </w:tcPr>
          <w:p w14:paraId="60C31A27">
            <w:pPr>
              <w:jc w:val="center"/>
              <w:rPr>
                <w:color w:val="auto"/>
              </w:rPr>
            </w:pPr>
            <w:r>
              <w:rPr>
                <w:color w:val="auto"/>
              </w:rPr>
              <w:t>铁</w:t>
            </w:r>
          </w:p>
        </w:tc>
        <w:tc>
          <w:tcPr>
            <w:tcW w:w="575" w:type="pct"/>
            <w:tcBorders>
              <w:tl2br w:val="nil"/>
              <w:tr2bl w:val="nil"/>
            </w:tcBorders>
            <w:vAlign w:val="center"/>
          </w:tcPr>
          <w:p w14:paraId="37CF45F3">
            <w:pPr>
              <w:jc w:val="center"/>
              <w:rPr>
                <w:color w:val="auto"/>
              </w:rPr>
            </w:pPr>
            <w:r>
              <w:rPr>
                <w:color w:val="auto"/>
              </w:rPr>
              <w:t>mg/L</w:t>
            </w:r>
          </w:p>
        </w:tc>
        <w:tc>
          <w:tcPr>
            <w:tcW w:w="1619" w:type="pct"/>
            <w:tcBorders>
              <w:tl2br w:val="nil"/>
              <w:tr2bl w:val="nil"/>
            </w:tcBorders>
            <w:vAlign w:val="center"/>
          </w:tcPr>
          <w:p w14:paraId="25BB57D1">
            <w:pPr>
              <w:jc w:val="center"/>
              <w:rPr>
                <w:color w:val="auto"/>
              </w:rPr>
            </w:pPr>
            <w:r>
              <w:rPr>
                <w:color w:val="auto"/>
              </w:rPr>
              <w:t>≤0.3</w:t>
            </w:r>
          </w:p>
        </w:tc>
      </w:tr>
      <w:tr w14:paraId="7FCA9D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5D0A6B7E">
            <w:pPr>
              <w:jc w:val="center"/>
              <w:rPr>
                <w:color w:val="auto"/>
              </w:rPr>
            </w:pPr>
          </w:p>
        </w:tc>
        <w:tc>
          <w:tcPr>
            <w:tcW w:w="1553" w:type="pct"/>
            <w:tcBorders>
              <w:tl2br w:val="nil"/>
              <w:tr2bl w:val="nil"/>
            </w:tcBorders>
            <w:vAlign w:val="center"/>
          </w:tcPr>
          <w:p w14:paraId="73CA9C7C">
            <w:pPr>
              <w:jc w:val="center"/>
              <w:rPr>
                <w:color w:val="auto"/>
              </w:rPr>
            </w:pPr>
            <w:r>
              <w:rPr>
                <w:color w:val="auto"/>
              </w:rPr>
              <w:t>锰</w:t>
            </w:r>
          </w:p>
        </w:tc>
        <w:tc>
          <w:tcPr>
            <w:tcW w:w="575" w:type="pct"/>
            <w:tcBorders>
              <w:tl2br w:val="nil"/>
              <w:tr2bl w:val="nil"/>
            </w:tcBorders>
            <w:vAlign w:val="center"/>
          </w:tcPr>
          <w:p w14:paraId="3EE22779">
            <w:pPr>
              <w:jc w:val="center"/>
              <w:rPr>
                <w:color w:val="auto"/>
              </w:rPr>
            </w:pPr>
            <w:r>
              <w:rPr>
                <w:color w:val="auto"/>
              </w:rPr>
              <w:t>mg/L</w:t>
            </w:r>
          </w:p>
        </w:tc>
        <w:tc>
          <w:tcPr>
            <w:tcW w:w="1619" w:type="pct"/>
            <w:tcBorders>
              <w:tl2br w:val="nil"/>
              <w:tr2bl w:val="nil"/>
            </w:tcBorders>
            <w:vAlign w:val="center"/>
          </w:tcPr>
          <w:p w14:paraId="0511327D">
            <w:pPr>
              <w:jc w:val="center"/>
              <w:rPr>
                <w:color w:val="auto"/>
              </w:rPr>
            </w:pPr>
            <w:r>
              <w:rPr>
                <w:color w:val="auto"/>
              </w:rPr>
              <w:t>≤0.3</w:t>
            </w:r>
          </w:p>
        </w:tc>
      </w:tr>
      <w:tr w14:paraId="55F2FA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1B0D25FE">
            <w:pPr>
              <w:jc w:val="center"/>
              <w:rPr>
                <w:color w:val="auto"/>
              </w:rPr>
            </w:pPr>
          </w:p>
        </w:tc>
        <w:tc>
          <w:tcPr>
            <w:tcW w:w="1553" w:type="pct"/>
            <w:tcBorders>
              <w:tl2br w:val="nil"/>
              <w:tr2bl w:val="nil"/>
            </w:tcBorders>
            <w:vAlign w:val="center"/>
          </w:tcPr>
          <w:p w14:paraId="62773D4A">
            <w:pPr>
              <w:jc w:val="center"/>
              <w:rPr>
                <w:color w:val="auto"/>
              </w:rPr>
            </w:pPr>
            <w:r>
              <w:rPr>
                <w:color w:val="auto"/>
              </w:rPr>
              <w:t>氟化物</w:t>
            </w:r>
          </w:p>
        </w:tc>
        <w:tc>
          <w:tcPr>
            <w:tcW w:w="575" w:type="pct"/>
            <w:tcBorders>
              <w:tl2br w:val="nil"/>
              <w:tr2bl w:val="nil"/>
            </w:tcBorders>
            <w:vAlign w:val="center"/>
          </w:tcPr>
          <w:p w14:paraId="13772CAF">
            <w:pPr>
              <w:jc w:val="center"/>
              <w:rPr>
                <w:color w:val="auto"/>
              </w:rPr>
            </w:pPr>
            <w:r>
              <w:rPr>
                <w:color w:val="auto"/>
              </w:rPr>
              <w:t>mg/L</w:t>
            </w:r>
          </w:p>
        </w:tc>
        <w:tc>
          <w:tcPr>
            <w:tcW w:w="1619" w:type="pct"/>
            <w:tcBorders>
              <w:tl2br w:val="nil"/>
              <w:tr2bl w:val="nil"/>
            </w:tcBorders>
            <w:vAlign w:val="center"/>
          </w:tcPr>
          <w:p w14:paraId="5DF9DF28">
            <w:pPr>
              <w:jc w:val="center"/>
              <w:rPr>
                <w:color w:val="auto"/>
              </w:rPr>
            </w:pPr>
            <w:r>
              <w:rPr>
                <w:color w:val="auto"/>
              </w:rPr>
              <w:t>≤1.0</w:t>
            </w:r>
          </w:p>
        </w:tc>
      </w:tr>
      <w:tr w14:paraId="5FA346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51" w:type="pct"/>
            <w:vMerge w:val="continue"/>
            <w:tcBorders>
              <w:tl2br w:val="nil"/>
              <w:tr2bl w:val="nil"/>
            </w:tcBorders>
            <w:vAlign w:val="center"/>
          </w:tcPr>
          <w:p w14:paraId="657F8783">
            <w:pPr>
              <w:jc w:val="center"/>
              <w:rPr>
                <w:color w:val="auto"/>
              </w:rPr>
            </w:pPr>
          </w:p>
        </w:tc>
        <w:tc>
          <w:tcPr>
            <w:tcW w:w="1553" w:type="pct"/>
            <w:tcBorders>
              <w:tl2br w:val="nil"/>
              <w:tr2bl w:val="nil"/>
            </w:tcBorders>
            <w:vAlign w:val="center"/>
          </w:tcPr>
          <w:p w14:paraId="687E9616">
            <w:pPr>
              <w:jc w:val="center"/>
              <w:rPr>
                <w:color w:val="auto"/>
              </w:rPr>
            </w:pPr>
            <w:r>
              <w:rPr>
                <w:color w:val="auto"/>
              </w:rPr>
              <w:t>总大肠菌群</w:t>
            </w:r>
          </w:p>
        </w:tc>
        <w:tc>
          <w:tcPr>
            <w:tcW w:w="575" w:type="pct"/>
            <w:tcBorders>
              <w:tl2br w:val="nil"/>
              <w:tr2bl w:val="nil"/>
            </w:tcBorders>
            <w:vAlign w:val="center"/>
          </w:tcPr>
          <w:p w14:paraId="5B50C09A">
            <w:pPr>
              <w:jc w:val="center"/>
              <w:rPr>
                <w:color w:val="auto"/>
              </w:rPr>
            </w:pPr>
            <w:r>
              <w:rPr>
                <w:color w:val="auto"/>
              </w:rPr>
              <w:t>MPN/mL</w:t>
            </w:r>
          </w:p>
        </w:tc>
        <w:tc>
          <w:tcPr>
            <w:tcW w:w="1619" w:type="pct"/>
            <w:tcBorders>
              <w:tl2br w:val="nil"/>
              <w:tr2bl w:val="nil"/>
            </w:tcBorders>
            <w:vAlign w:val="center"/>
          </w:tcPr>
          <w:p w14:paraId="43F9C264">
            <w:pPr>
              <w:jc w:val="center"/>
              <w:rPr>
                <w:color w:val="auto"/>
              </w:rPr>
            </w:pPr>
            <w:r>
              <w:rPr>
                <w:color w:val="auto"/>
              </w:rPr>
              <w:t>≤3.0</w:t>
            </w:r>
          </w:p>
        </w:tc>
      </w:tr>
    </w:tbl>
    <w:p w14:paraId="1110418D">
      <w:pPr>
        <w:adjustRightInd w:val="0"/>
        <w:snapToGrid w:val="0"/>
        <w:spacing w:line="360" w:lineRule="auto"/>
        <w:ind w:firstLine="480" w:firstLineChars="200"/>
        <w:rPr>
          <w:color w:val="auto"/>
          <w:sz w:val="24"/>
          <w:szCs w:val="32"/>
        </w:rPr>
      </w:pPr>
      <w:bookmarkStart w:id="107" w:name="_Toc3290"/>
      <w:bookmarkStart w:id="108" w:name="_Toc12393"/>
      <w:bookmarkStart w:id="109" w:name="_Toc2667"/>
      <w:bookmarkStart w:id="110" w:name="_Toc8441"/>
    </w:p>
    <w:p w14:paraId="15C624A0">
      <w:pPr>
        <w:adjustRightInd w:val="0"/>
        <w:snapToGrid w:val="0"/>
        <w:spacing w:line="360" w:lineRule="auto"/>
        <w:ind w:firstLine="480" w:firstLineChars="200"/>
        <w:rPr>
          <w:color w:val="auto"/>
          <w:sz w:val="24"/>
          <w:szCs w:val="32"/>
        </w:rPr>
      </w:pPr>
      <w:r>
        <w:rPr>
          <w:color w:val="auto"/>
          <w:sz w:val="24"/>
          <w:szCs w:val="32"/>
        </w:rPr>
        <w:t>5、土壤环境质量评价标准</w:t>
      </w:r>
      <w:bookmarkEnd w:id="107"/>
      <w:bookmarkEnd w:id="108"/>
      <w:bookmarkEnd w:id="109"/>
      <w:bookmarkEnd w:id="110"/>
    </w:p>
    <w:p w14:paraId="6D77D049">
      <w:pPr>
        <w:adjustRightInd w:val="0"/>
        <w:snapToGrid w:val="0"/>
        <w:spacing w:line="360" w:lineRule="auto"/>
        <w:ind w:firstLine="482" w:firstLineChars="200"/>
        <w:rPr>
          <w:b/>
          <w:bCs/>
          <w:color w:val="auto"/>
          <w:sz w:val="24"/>
        </w:rPr>
      </w:pPr>
      <w:r>
        <w:rPr>
          <w:b/>
          <w:bCs/>
          <w:color w:val="auto"/>
          <w:sz w:val="24"/>
        </w:rPr>
        <w:t>原环评评价阶段：</w:t>
      </w:r>
      <w:r>
        <w:rPr>
          <w:color w:val="auto"/>
          <w:sz w:val="24"/>
        </w:rPr>
        <w:t>项目所在区域土壤执行《土壤环境质量标准》（GB15618-1995）中二级标准，具体限值详见下表：</w:t>
      </w:r>
    </w:p>
    <w:p w14:paraId="287E6945">
      <w:pPr>
        <w:adjustRightInd w:val="0"/>
        <w:snapToGrid w:val="0"/>
        <w:spacing w:line="360" w:lineRule="auto"/>
        <w:jc w:val="center"/>
        <w:rPr>
          <w:b/>
          <w:bCs/>
          <w:color w:val="auto"/>
          <w:sz w:val="24"/>
        </w:rPr>
      </w:pPr>
      <w:r>
        <w:rPr>
          <w:b/>
          <w:bCs/>
          <w:color w:val="auto"/>
          <w:sz w:val="24"/>
        </w:rPr>
        <w:t>表1-</w:t>
      </w:r>
      <w:r>
        <w:rPr>
          <w:rFonts w:hint="eastAsia"/>
          <w:b/>
          <w:bCs/>
          <w:color w:val="auto"/>
          <w:sz w:val="24"/>
          <w:lang w:val="en-US" w:eastAsia="zh-CN"/>
        </w:rPr>
        <w:t>8</w:t>
      </w:r>
      <w:r>
        <w:rPr>
          <w:b/>
          <w:bCs/>
          <w:color w:val="auto"/>
          <w:sz w:val="24"/>
        </w:rPr>
        <w:t xml:space="preserve"> 土壤环境质量标准</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autofit"/>
        <w:tblCellMar>
          <w:top w:w="0" w:type="dxa"/>
          <w:left w:w="108" w:type="dxa"/>
          <w:bottom w:w="0" w:type="dxa"/>
          <w:right w:w="108" w:type="dxa"/>
        </w:tblCellMar>
      </w:tblPr>
      <w:tblGrid>
        <w:gridCol w:w="1182"/>
        <w:gridCol w:w="856"/>
        <w:gridCol w:w="738"/>
        <w:gridCol w:w="1484"/>
        <w:gridCol w:w="1334"/>
        <w:gridCol w:w="672"/>
        <w:gridCol w:w="672"/>
        <w:gridCol w:w="1460"/>
        <w:gridCol w:w="784"/>
        <w:gridCol w:w="780"/>
      </w:tblGrid>
      <w:tr w14:paraId="7A446BD3">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blHeader/>
        </w:trPr>
        <w:tc>
          <w:tcPr>
            <w:tcW w:w="593" w:type="pct"/>
            <w:tcBorders>
              <w:tl2br w:val="nil"/>
              <w:tr2bl w:val="nil"/>
            </w:tcBorders>
            <w:shd w:val="clear" w:color="auto" w:fill="auto"/>
            <w:noWrap w:val="0"/>
            <w:vAlign w:val="center"/>
          </w:tcPr>
          <w:p w14:paraId="21A1C036">
            <w:pPr>
              <w:spacing w:before="31" w:beforeLines="10" w:line="264" w:lineRule="auto"/>
              <w:jc w:val="center"/>
              <w:rPr>
                <w:b/>
                <w:color w:val="auto"/>
                <w:szCs w:val="21"/>
              </w:rPr>
            </w:pPr>
            <w:r>
              <w:rPr>
                <w:b/>
                <w:color w:val="auto"/>
                <w:szCs w:val="21"/>
              </w:rPr>
              <w:t>项目</w:t>
            </w:r>
          </w:p>
        </w:tc>
        <w:tc>
          <w:tcPr>
            <w:tcW w:w="429" w:type="pct"/>
            <w:tcBorders>
              <w:tl2br w:val="nil"/>
              <w:tr2bl w:val="nil"/>
            </w:tcBorders>
            <w:shd w:val="clear" w:color="auto" w:fill="auto"/>
            <w:noWrap w:val="0"/>
            <w:vAlign w:val="center"/>
          </w:tcPr>
          <w:p w14:paraId="6DD48149">
            <w:pPr>
              <w:spacing w:before="31" w:beforeLines="10" w:line="264" w:lineRule="auto"/>
              <w:jc w:val="center"/>
              <w:rPr>
                <w:b/>
                <w:color w:val="auto"/>
                <w:szCs w:val="21"/>
              </w:rPr>
            </w:pPr>
            <w:r>
              <w:rPr>
                <w:b/>
                <w:color w:val="auto"/>
                <w:szCs w:val="21"/>
              </w:rPr>
              <w:t>pH</w:t>
            </w:r>
          </w:p>
        </w:tc>
        <w:tc>
          <w:tcPr>
            <w:tcW w:w="370" w:type="pct"/>
            <w:tcBorders>
              <w:tl2br w:val="nil"/>
              <w:tr2bl w:val="nil"/>
            </w:tcBorders>
            <w:shd w:val="clear" w:color="auto" w:fill="auto"/>
            <w:noWrap w:val="0"/>
            <w:vAlign w:val="center"/>
          </w:tcPr>
          <w:p w14:paraId="66C4461C">
            <w:pPr>
              <w:spacing w:before="31" w:beforeLines="10" w:line="264" w:lineRule="auto"/>
              <w:jc w:val="center"/>
              <w:rPr>
                <w:b/>
                <w:color w:val="auto"/>
                <w:szCs w:val="21"/>
              </w:rPr>
            </w:pPr>
            <w:r>
              <w:rPr>
                <w:b/>
                <w:color w:val="auto"/>
                <w:szCs w:val="21"/>
              </w:rPr>
              <w:t>镉</w:t>
            </w:r>
          </w:p>
        </w:tc>
        <w:tc>
          <w:tcPr>
            <w:tcW w:w="744" w:type="pct"/>
            <w:tcBorders>
              <w:tl2br w:val="nil"/>
              <w:tr2bl w:val="nil"/>
            </w:tcBorders>
            <w:shd w:val="clear" w:color="auto" w:fill="auto"/>
            <w:noWrap w:val="0"/>
            <w:vAlign w:val="center"/>
          </w:tcPr>
          <w:p w14:paraId="71CE2D94">
            <w:pPr>
              <w:spacing w:before="31" w:beforeLines="10" w:line="264" w:lineRule="auto"/>
              <w:jc w:val="center"/>
              <w:rPr>
                <w:b/>
                <w:color w:val="auto"/>
                <w:szCs w:val="21"/>
              </w:rPr>
            </w:pPr>
            <w:r>
              <w:rPr>
                <w:b/>
                <w:color w:val="auto"/>
                <w:szCs w:val="21"/>
              </w:rPr>
              <w:t>铬</w:t>
            </w:r>
          </w:p>
        </w:tc>
        <w:tc>
          <w:tcPr>
            <w:tcW w:w="669" w:type="pct"/>
            <w:tcBorders>
              <w:tl2br w:val="nil"/>
              <w:tr2bl w:val="nil"/>
            </w:tcBorders>
            <w:shd w:val="clear" w:color="auto" w:fill="auto"/>
            <w:noWrap w:val="0"/>
            <w:vAlign w:val="center"/>
          </w:tcPr>
          <w:p w14:paraId="35937F3D">
            <w:pPr>
              <w:spacing w:before="31" w:beforeLines="10" w:line="264" w:lineRule="auto"/>
              <w:jc w:val="center"/>
              <w:rPr>
                <w:b/>
                <w:color w:val="auto"/>
                <w:szCs w:val="21"/>
              </w:rPr>
            </w:pPr>
            <w:r>
              <w:rPr>
                <w:b/>
                <w:color w:val="auto"/>
                <w:szCs w:val="21"/>
              </w:rPr>
              <w:t>砷</w:t>
            </w:r>
          </w:p>
        </w:tc>
        <w:tc>
          <w:tcPr>
            <w:tcW w:w="337" w:type="pct"/>
            <w:tcBorders>
              <w:tl2br w:val="nil"/>
              <w:tr2bl w:val="nil"/>
            </w:tcBorders>
            <w:shd w:val="clear" w:color="auto" w:fill="auto"/>
            <w:noWrap w:val="0"/>
            <w:vAlign w:val="center"/>
          </w:tcPr>
          <w:p w14:paraId="638C009A">
            <w:pPr>
              <w:spacing w:before="31" w:beforeLines="10" w:line="264" w:lineRule="auto"/>
              <w:jc w:val="center"/>
              <w:rPr>
                <w:b/>
                <w:color w:val="auto"/>
                <w:szCs w:val="21"/>
              </w:rPr>
            </w:pPr>
            <w:r>
              <w:rPr>
                <w:b/>
                <w:color w:val="auto"/>
                <w:szCs w:val="21"/>
              </w:rPr>
              <w:t>汞</w:t>
            </w:r>
          </w:p>
        </w:tc>
        <w:tc>
          <w:tcPr>
            <w:tcW w:w="337" w:type="pct"/>
            <w:tcBorders>
              <w:tl2br w:val="nil"/>
              <w:tr2bl w:val="nil"/>
            </w:tcBorders>
            <w:shd w:val="clear" w:color="auto" w:fill="auto"/>
            <w:noWrap w:val="0"/>
            <w:vAlign w:val="center"/>
          </w:tcPr>
          <w:p w14:paraId="15D49CF5">
            <w:pPr>
              <w:spacing w:before="31" w:beforeLines="10" w:line="264" w:lineRule="auto"/>
              <w:jc w:val="center"/>
              <w:rPr>
                <w:b/>
                <w:color w:val="auto"/>
                <w:szCs w:val="21"/>
              </w:rPr>
            </w:pPr>
            <w:r>
              <w:rPr>
                <w:b/>
                <w:color w:val="auto"/>
                <w:szCs w:val="21"/>
              </w:rPr>
              <w:t>铅</w:t>
            </w:r>
          </w:p>
        </w:tc>
        <w:tc>
          <w:tcPr>
            <w:tcW w:w="732" w:type="pct"/>
            <w:tcBorders>
              <w:tl2br w:val="nil"/>
              <w:tr2bl w:val="nil"/>
            </w:tcBorders>
            <w:shd w:val="clear" w:color="auto" w:fill="auto"/>
            <w:noWrap w:val="0"/>
            <w:vAlign w:val="center"/>
          </w:tcPr>
          <w:p w14:paraId="0F25F5C1">
            <w:pPr>
              <w:spacing w:before="31" w:beforeLines="10" w:line="264" w:lineRule="auto"/>
              <w:jc w:val="center"/>
              <w:rPr>
                <w:b/>
                <w:color w:val="auto"/>
                <w:szCs w:val="21"/>
              </w:rPr>
            </w:pPr>
            <w:r>
              <w:rPr>
                <w:b/>
                <w:color w:val="auto"/>
                <w:szCs w:val="21"/>
              </w:rPr>
              <w:t>铜</w:t>
            </w:r>
          </w:p>
        </w:tc>
        <w:tc>
          <w:tcPr>
            <w:tcW w:w="393" w:type="pct"/>
            <w:tcBorders>
              <w:tl2br w:val="nil"/>
              <w:tr2bl w:val="nil"/>
            </w:tcBorders>
            <w:shd w:val="clear" w:color="auto" w:fill="auto"/>
            <w:noWrap w:val="0"/>
            <w:vAlign w:val="center"/>
          </w:tcPr>
          <w:p w14:paraId="4AC80A50">
            <w:pPr>
              <w:jc w:val="center"/>
              <w:rPr>
                <w:b/>
                <w:color w:val="auto"/>
                <w:szCs w:val="21"/>
              </w:rPr>
            </w:pPr>
            <w:r>
              <w:rPr>
                <w:b/>
                <w:color w:val="auto"/>
                <w:szCs w:val="21"/>
              </w:rPr>
              <w:t>锌</w:t>
            </w:r>
          </w:p>
        </w:tc>
        <w:tc>
          <w:tcPr>
            <w:tcW w:w="391" w:type="pct"/>
            <w:tcBorders>
              <w:tl2br w:val="nil"/>
              <w:tr2bl w:val="nil"/>
            </w:tcBorders>
            <w:shd w:val="clear" w:color="auto" w:fill="auto"/>
            <w:noWrap w:val="0"/>
            <w:vAlign w:val="center"/>
          </w:tcPr>
          <w:p w14:paraId="2868D521">
            <w:pPr>
              <w:jc w:val="center"/>
              <w:rPr>
                <w:b/>
                <w:color w:val="auto"/>
                <w:szCs w:val="21"/>
              </w:rPr>
            </w:pPr>
            <w:r>
              <w:rPr>
                <w:b/>
                <w:color w:val="auto"/>
                <w:szCs w:val="21"/>
              </w:rPr>
              <w:t>镍</w:t>
            </w:r>
          </w:p>
        </w:tc>
      </w:tr>
      <w:tr w14:paraId="64DA47B7">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93" w:type="pct"/>
            <w:vMerge w:val="restart"/>
            <w:tcBorders>
              <w:tl2br w:val="nil"/>
              <w:tr2bl w:val="nil"/>
            </w:tcBorders>
            <w:shd w:val="clear" w:color="auto" w:fill="auto"/>
            <w:noWrap w:val="0"/>
            <w:vAlign w:val="center"/>
          </w:tcPr>
          <w:p w14:paraId="2EEF8DCC">
            <w:pPr>
              <w:spacing w:before="31" w:beforeLines="10" w:line="264" w:lineRule="auto"/>
              <w:jc w:val="center"/>
              <w:rPr>
                <w:color w:val="auto"/>
                <w:szCs w:val="21"/>
              </w:rPr>
            </w:pPr>
            <w:r>
              <w:rPr>
                <w:color w:val="auto"/>
                <w:szCs w:val="21"/>
              </w:rPr>
              <w:t>GB15618</w:t>
            </w:r>
          </w:p>
          <w:p w14:paraId="2398D8F8">
            <w:pPr>
              <w:spacing w:before="31" w:beforeLines="10" w:line="264" w:lineRule="auto"/>
              <w:jc w:val="center"/>
              <w:rPr>
                <w:color w:val="auto"/>
                <w:szCs w:val="21"/>
              </w:rPr>
            </w:pPr>
            <w:r>
              <w:rPr>
                <w:color w:val="auto"/>
                <w:szCs w:val="21"/>
              </w:rPr>
              <w:t>-1995中</w:t>
            </w:r>
          </w:p>
          <w:p w14:paraId="2E05BBE3">
            <w:pPr>
              <w:spacing w:before="31" w:beforeLines="10" w:line="264" w:lineRule="auto"/>
              <w:jc w:val="center"/>
              <w:rPr>
                <w:color w:val="auto"/>
                <w:szCs w:val="21"/>
              </w:rPr>
            </w:pPr>
            <w:r>
              <w:rPr>
                <w:color w:val="auto"/>
                <w:szCs w:val="21"/>
              </w:rPr>
              <w:t>二级标准</w:t>
            </w:r>
          </w:p>
        </w:tc>
        <w:tc>
          <w:tcPr>
            <w:tcW w:w="429" w:type="pct"/>
            <w:tcBorders>
              <w:tl2br w:val="nil"/>
              <w:tr2bl w:val="nil"/>
            </w:tcBorders>
            <w:shd w:val="clear" w:color="auto" w:fill="auto"/>
            <w:noWrap w:val="0"/>
            <w:vAlign w:val="center"/>
          </w:tcPr>
          <w:p w14:paraId="0A1EB2E4">
            <w:pPr>
              <w:spacing w:before="31" w:beforeLines="10" w:line="264" w:lineRule="auto"/>
              <w:jc w:val="center"/>
              <w:rPr>
                <w:color w:val="auto"/>
                <w:szCs w:val="21"/>
              </w:rPr>
            </w:pPr>
            <w:r>
              <w:rPr>
                <w:color w:val="auto"/>
                <w:szCs w:val="21"/>
              </w:rPr>
              <w:t>＜6.5</w:t>
            </w:r>
          </w:p>
        </w:tc>
        <w:tc>
          <w:tcPr>
            <w:tcW w:w="370" w:type="pct"/>
            <w:tcBorders>
              <w:tl2br w:val="nil"/>
              <w:tr2bl w:val="nil"/>
            </w:tcBorders>
            <w:shd w:val="clear" w:color="auto" w:fill="auto"/>
            <w:noWrap w:val="0"/>
            <w:vAlign w:val="center"/>
          </w:tcPr>
          <w:p w14:paraId="2D63AD85">
            <w:pPr>
              <w:spacing w:before="31" w:beforeLines="10" w:line="264" w:lineRule="auto"/>
              <w:jc w:val="center"/>
              <w:rPr>
                <w:color w:val="auto"/>
                <w:szCs w:val="21"/>
              </w:rPr>
            </w:pPr>
            <w:r>
              <w:rPr>
                <w:color w:val="auto"/>
                <w:szCs w:val="21"/>
              </w:rPr>
              <w:t>0.30</w:t>
            </w:r>
          </w:p>
        </w:tc>
        <w:tc>
          <w:tcPr>
            <w:tcW w:w="744" w:type="pct"/>
            <w:tcBorders>
              <w:tl2br w:val="nil"/>
              <w:tr2bl w:val="nil"/>
            </w:tcBorders>
            <w:shd w:val="clear" w:color="auto" w:fill="auto"/>
            <w:noWrap w:val="0"/>
            <w:vAlign w:val="center"/>
          </w:tcPr>
          <w:p w14:paraId="4D371C85">
            <w:pPr>
              <w:spacing w:before="31" w:beforeLines="10" w:line="264" w:lineRule="auto"/>
              <w:jc w:val="center"/>
              <w:rPr>
                <w:color w:val="auto"/>
                <w:szCs w:val="21"/>
              </w:rPr>
            </w:pPr>
            <w:r>
              <w:rPr>
                <w:color w:val="auto"/>
                <w:szCs w:val="21"/>
              </w:rPr>
              <w:t>150（旱地）</w:t>
            </w:r>
          </w:p>
          <w:p w14:paraId="07E3C968">
            <w:pPr>
              <w:spacing w:before="31" w:beforeLines="10" w:line="264" w:lineRule="auto"/>
              <w:jc w:val="center"/>
              <w:rPr>
                <w:color w:val="auto"/>
                <w:szCs w:val="21"/>
              </w:rPr>
            </w:pPr>
            <w:r>
              <w:rPr>
                <w:color w:val="auto"/>
                <w:szCs w:val="21"/>
              </w:rPr>
              <w:t>250（水田）</w:t>
            </w:r>
          </w:p>
        </w:tc>
        <w:tc>
          <w:tcPr>
            <w:tcW w:w="669" w:type="pct"/>
            <w:tcBorders>
              <w:tl2br w:val="nil"/>
              <w:tr2bl w:val="nil"/>
            </w:tcBorders>
            <w:shd w:val="clear" w:color="auto" w:fill="auto"/>
            <w:noWrap w:val="0"/>
            <w:vAlign w:val="center"/>
          </w:tcPr>
          <w:p w14:paraId="461C792D">
            <w:pPr>
              <w:spacing w:before="31" w:beforeLines="10" w:line="264" w:lineRule="auto"/>
              <w:jc w:val="center"/>
              <w:rPr>
                <w:color w:val="auto"/>
                <w:szCs w:val="21"/>
              </w:rPr>
            </w:pPr>
            <w:r>
              <w:rPr>
                <w:color w:val="auto"/>
                <w:szCs w:val="21"/>
              </w:rPr>
              <w:t>40（旱地）</w:t>
            </w:r>
          </w:p>
          <w:p w14:paraId="70A13280">
            <w:pPr>
              <w:spacing w:before="31" w:beforeLines="10" w:line="264" w:lineRule="auto"/>
              <w:jc w:val="center"/>
              <w:rPr>
                <w:color w:val="auto"/>
                <w:szCs w:val="21"/>
              </w:rPr>
            </w:pPr>
            <w:r>
              <w:rPr>
                <w:color w:val="auto"/>
                <w:szCs w:val="21"/>
              </w:rPr>
              <w:t>30（水田）</w:t>
            </w:r>
          </w:p>
        </w:tc>
        <w:tc>
          <w:tcPr>
            <w:tcW w:w="337" w:type="pct"/>
            <w:tcBorders>
              <w:tl2br w:val="nil"/>
              <w:tr2bl w:val="nil"/>
            </w:tcBorders>
            <w:shd w:val="clear" w:color="auto" w:fill="auto"/>
            <w:noWrap w:val="0"/>
            <w:vAlign w:val="center"/>
          </w:tcPr>
          <w:p w14:paraId="01D2494E">
            <w:pPr>
              <w:spacing w:before="31" w:beforeLines="10" w:line="264" w:lineRule="auto"/>
              <w:jc w:val="center"/>
              <w:rPr>
                <w:color w:val="auto"/>
                <w:szCs w:val="21"/>
              </w:rPr>
            </w:pPr>
            <w:r>
              <w:rPr>
                <w:color w:val="auto"/>
                <w:szCs w:val="21"/>
              </w:rPr>
              <w:t>0.30</w:t>
            </w:r>
          </w:p>
        </w:tc>
        <w:tc>
          <w:tcPr>
            <w:tcW w:w="337" w:type="pct"/>
            <w:tcBorders>
              <w:tl2br w:val="nil"/>
              <w:tr2bl w:val="nil"/>
            </w:tcBorders>
            <w:shd w:val="clear" w:color="auto" w:fill="auto"/>
            <w:noWrap w:val="0"/>
            <w:vAlign w:val="center"/>
          </w:tcPr>
          <w:p w14:paraId="7E47CAC4">
            <w:pPr>
              <w:spacing w:before="31" w:beforeLines="10" w:line="264" w:lineRule="auto"/>
              <w:jc w:val="center"/>
              <w:rPr>
                <w:color w:val="auto"/>
                <w:szCs w:val="21"/>
              </w:rPr>
            </w:pPr>
            <w:r>
              <w:rPr>
                <w:color w:val="auto"/>
                <w:szCs w:val="21"/>
              </w:rPr>
              <w:t>250</w:t>
            </w:r>
          </w:p>
        </w:tc>
        <w:tc>
          <w:tcPr>
            <w:tcW w:w="732" w:type="pct"/>
            <w:tcBorders>
              <w:tl2br w:val="nil"/>
              <w:tr2bl w:val="nil"/>
            </w:tcBorders>
            <w:shd w:val="clear" w:color="auto" w:fill="auto"/>
            <w:noWrap w:val="0"/>
            <w:vAlign w:val="center"/>
          </w:tcPr>
          <w:p w14:paraId="73931B79">
            <w:pPr>
              <w:spacing w:before="31" w:beforeLines="10" w:line="264" w:lineRule="auto"/>
              <w:jc w:val="center"/>
              <w:rPr>
                <w:color w:val="auto"/>
                <w:szCs w:val="21"/>
              </w:rPr>
            </w:pPr>
            <w:r>
              <w:rPr>
                <w:color w:val="auto"/>
                <w:szCs w:val="21"/>
              </w:rPr>
              <w:t>50（农田等）</w:t>
            </w:r>
          </w:p>
        </w:tc>
        <w:tc>
          <w:tcPr>
            <w:tcW w:w="393" w:type="pct"/>
            <w:tcBorders>
              <w:tl2br w:val="nil"/>
              <w:tr2bl w:val="nil"/>
            </w:tcBorders>
            <w:shd w:val="clear" w:color="auto" w:fill="auto"/>
            <w:noWrap w:val="0"/>
            <w:vAlign w:val="center"/>
          </w:tcPr>
          <w:p w14:paraId="23AAE33D">
            <w:pPr>
              <w:spacing w:before="31" w:beforeLines="10" w:line="264" w:lineRule="auto"/>
              <w:jc w:val="center"/>
              <w:rPr>
                <w:color w:val="auto"/>
                <w:szCs w:val="21"/>
              </w:rPr>
            </w:pPr>
            <w:r>
              <w:rPr>
                <w:color w:val="auto"/>
                <w:szCs w:val="21"/>
              </w:rPr>
              <w:t>200</w:t>
            </w:r>
          </w:p>
        </w:tc>
        <w:tc>
          <w:tcPr>
            <w:tcW w:w="391" w:type="pct"/>
            <w:tcBorders>
              <w:tl2br w:val="nil"/>
              <w:tr2bl w:val="nil"/>
            </w:tcBorders>
            <w:shd w:val="clear" w:color="auto" w:fill="auto"/>
            <w:noWrap w:val="0"/>
            <w:vAlign w:val="center"/>
          </w:tcPr>
          <w:p w14:paraId="374C6804">
            <w:pPr>
              <w:spacing w:before="31" w:beforeLines="10" w:line="264" w:lineRule="auto"/>
              <w:jc w:val="center"/>
              <w:rPr>
                <w:color w:val="auto"/>
                <w:szCs w:val="21"/>
              </w:rPr>
            </w:pPr>
            <w:r>
              <w:rPr>
                <w:color w:val="auto"/>
                <w:szCs w:val="21"/>
              </w:rPr>
              <w:t>40</w:t>
            </w:r>
          </w:p>
        </w:tc>
      </w:tr>
      <w:tr w14:paraId="3A02AED7">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93" w:type="pct"/>
            <w:vMerge w:val="continue"/>
            <w:tcBorders>
              <w:tl2br w:val="nil"/>
              <w:tr2bl w:val="nil"/>
            </w:tcBorders>
            <w:shd w:val="clear" w:color="auto" w:fill="auto"/>
            <w:noWrap w:val="0"/>
            <w:vAlign w:val="center"/>
          </w:tcPr>
          <w:p w14:paraId="6CA75B26">
            <w:pPr>
              <w:spacing w:before="31" w:beforeLines="10" w:line="264" w:lineRule="auto"/>
              <w:jc w:val="center"/>
              <w:rPr>
                <w:color w:val="auto"/>
                <w:szCs w:val="21"/>
              </w:rPr>
            </w:pPr>
          </w:p>
        </w:tc>
        <w:tc>
          <w:tcPr>
            <w:tcW w:w="429" w:type="pct"/>
            <w:tcBorders>
              <w:tl2br w:val="nil"/>
              <w:tr2bl w:val="nil"/>
            </w:tcBorders>
            <w:shd w:val="clear" w:color="auto" w:fill="auto"/>
            <w:noWrap w:val="0"/>
            <w:vAlign w:val="center"/>
          </w:tcPr>
          <w:p w14:paraId="669B857E">
            <w:pPr>
              <w:spacing w:before="31" w:beforeLines="10" w:line="264" w:lineRule="auto"/>
              <w:jc w:val="center"/>
              <w:rPr>
                <w:color w:val="auto"/>
                <w:szCs w:val="21"/>
              </w:rPr>
            </w:pPr>
            <w:r>
              <w:rPr>
                <w:color w:val="auto"/>
                <w:szCs w:val="21"/>
              </w:rPr>
              <w:t>6.5~7.5</w:t>
            </w:r>
          </w:p>
        </w:tc>
        <w:tc>
          <w:tcPr>
            <w:tcW w:w="370" w:type="pct"/>
            <w:tcBorders>
              <w:tl2br w:val="nil"/>
              <w:tr2bl w:val="nil"/>
            </w:tcBorders>
            <w:shd w:val="clear" w:color="auto" w:fill="auto"/>
            <w:noWrap w:val="0"/>
            <w:vAlign w:val="center"/>
          </w:tcPr>
          <w:p w14:paraId="50334244">
            <w:pPr>
              <w:spacing w:before="31" w:beforeLines="10" w:line="264" w:lineRule="auto"/>
              <w:jc w:val="center"/>
              <w:rPr>
                <w:color w:val="auto"/>
                <w:szCs w:val="21"/>
              </w:rPr>
            </w:pPr>
            <w:r>
              <w:rPr>
                <w:color w:val="auto"/>
                <w:szCs w:val="21"/>
              </w:rPr>
              <w:t>0.30</w:t>
            </w:r>
          </w:p>
        </w:tc>
        <w:tc>
          <w:tcPr>
            <w:tcW w:w="744" w:type="pct"/>
            <w:tcBorders>
              <w:tl2br w:val="nil"/>
              <w:tr2bl w:val="nil"/>
            </w:tcBorders>
            <w:shd w:val="clear" w:color="auto" w:fill="auto"/>
            <w:noWrap w:val="0"/>
            <w:vAlign w:val="center"/>
          </w:tcPr>
          <w:p w14:paraId="6D767E1B">
            <w:pPr>
              <w:spacing w:before="31" w:beforeLines="10" w:line="264" w:lineRule="auto"/>
              <w:jc w:val="center"/>
              <w:rPr>
                <w:color w:val="auto"/>
                <w:szCs w:val="21"/>
              </w:rPr>
            </w:pPr>
            <w:r>
              <w:rPr>
                <w:color w:val="auto"/>
                <w:szCs w:val="21"/>
              </w:rPr>
              <w:t>200（旱地）</w:t>
            </w:r>
          </w:p>
          <w:p w14:paraId="56624CA9">
            <w:pPr>
              <w:spacing w:before="31" w:beforeLines="10" w:line="264" w:lineRule="auto"/>
              <w:jc w:val="center"/>
              <w:rPr>
                <w:color w:val="auto"/>
                <w:szCs w:val="21"/>
              </w:rPr>
            </w:pPr>
            <w:r>
              <w:rPr>
                <w:color w:val="auto"/>
                <w:szCs w:val="21"/>
              </w:rPr>
              <w:t>300（水田）</w:t>
            </w:r>
          </w:p>
        </w:tc>
        <w:tc>
          <w:tcPr>
            <w:tcW w:w="669" w:type="pct"/>
            <w:tcBorders>
              <w:tl2br w:val="nil"/>
              <w:tr2bl w:val="nil"/>
            </w:tcBorders>
            <w:shd w:val="clear" w:color="auto" w:fill="auto"/>
            <w:noWrap w:val="0"/>
            <w:vAlign w:val="center"/>
          </w:tcPr>
          <w:p w14:paraId="660CCBD0">
            <w:pPr>
              <w:spacing w:before="31" w:beforeLines="10" w:line="264" w:lineRule="auto"/>
              <w:jc w:val="center"/>
              <w:rPr>
                <w:color w:val="auto"/>
                <w:szCs w:val="21"/>
              </w:rPr>
            </w:pPr>
            <w:r>
              <w:rPr>
                <w:color w:val="auto"/>
                <w:szCs w:val="21"/>
              </w:rPr>
              <w:t>30（旱地）</w:t>
            </w:r>
          </w:p>
          <w:p w14:paraId="1488D61E">
            <w:pPr>
              <w:spacing w:before="31" w:beforeLines="10" w:line="264" w:lineRule="auto"/>
              <w:jc w:val="center"/>
              <w:rPr>
                <w:color w:val="auto"/>
                <w:szCs w:val="21"/>
              </w:rPr>
            </w:pPr>
            <w:r>
              <w:rPr>
                <w:color w:val="auto"/>
                <w:szCs w:val="21"/>
              </w:rPr>
              <w:t>25（水田）</w:t>
            </w:r>
          </w:p>
        </w:tc>
        <w:tc>
          <w:tcPr>
            <w:tcW w:w="337" w:type="pct"/>
            <w:tcBorders>
              <w:tl2br w:val="nil"/>
              <w:tr2bl w:val="nil"/>
            </w:tcBorders>
            <w:shd w:val="clear" w:color="auto" w:fill="auto"/>
            <w:noWrap w:val="0"/>
            <w:vAlign w:val="center"/>
          </w:tcPr>
          <w:p w14:paraId="509A8771">
            <w:pPr>
              <w:spacing w:before="31" w:beforeLines="10" w:line="264" w:lineRule="auto"/>
              <w:jc w:val="center"/>
              <w:rPr>
                <w:color w:val="auto"/>
                <w:szCs w:val="21"/>
              </w:rPr>
            </w:pPr>
            <w:r>
              <w:rPr>
                <w:color w:val="auto"/>
                <w:szCs w:val="21"/>
              </w:rPr>
              <w:t>0.50</w:t>
            </w:r>
          </w:p>
        </w:tc>
        <w:tc>
          <w:tcPr>
            <w:tcW w:w="337" w:type="pct"/>
            <w:tcBorders>
              <w:tl2br w:val="nil"/>
              <w:tr2bl w:val="nil"/>
            </w:tcBorders>
            <w:shd w:val="clear" w:color="auto" w:fill="auto"/>
            <w:noWrap w:val="0"/>
            <w:vAlign w:val="center"/>
          </w:tcPr>
          <w:p w14:paraId="3EAFC552">
            <w:pPr>
              <w:spacing w:before="31" w:beforeLines="10" w:line="264" w:lineRule="auto"/>
              <w:jc w:val="center"/>
              <w:rPr>
                <w:color w:val="auto"/>
                <w:szCs w:val="21"/>
              </w:rPr>
            </w:pPr>
            <w:r>
              <w:rPr>
                <w:color w:val="auto"/>
                <w:szCs w:val="21"/>
              </w:rPr>
              <w:t>300</w:t>
            </w:r>
          </w:p>
        </w:tc>
        <w:tc>
          <w:tcPr>
            <w:tcW w:w="732" w:type="pct"/>
            <w:tcBorders>
              <w:tl2br w:val="nil"/>
              <w:tr2bl w:val="nil"/>
            </w:tcBorders>
            <w:shd w:val="clear" w:color="auto" w:fill="auto"/>
            <w:noWrap w:val="0"/>
            <w:vAlign w:val="center"/>
          </w:tcPr>
          <w:p w14:paraId="184C7F69">
            <w:pPr>
              <w:spacing w:before="31" w:beforeLines="10" w:line="264" w:lineRule="auto"/>
              <w:jc w:val="center"/>
              <w:rPr>
                <w:color w:val="auto"/>
                <w:szCs w:val="21"/>
              </w:rPr>
            </w:pPr>
            <w:r>
              <w:rPr>
                <w:color w:val="auto"/>
                <w:szCs w:val="21"/>
              </w:rPr>
              <w:t>100（农田等）</w:t>
            </w:r>
          </w:p>
        </w:tc>
        <w:tc>
          <w:tcPr>
            <w:tcW w:w="393" w:type="pct"/>
            <w:tcBorders>
              <w:tl2br w:val="nil"/>
              <w:tr2bl w:val="nil"/>
            </w:tcBorders>
            <w:shd w:val="clear" w:color="auto" w:fill="auto"/>
            <w:noWrap w:val="0"/>
            <w:vAlign w:val="center"/>
          </w:tcPr>
          <w:p w14:paraId="48E4BB55">
            <w:pPr>
              <w:spacing w:before="31" w:beforeLines="10" w:line="264" w:lineRule="auto"/>
              <w:jc w:val="center"/>
              <w:rPr>
                <w:color w:val="auto"/>
                <w:szCs w:val="21"/>
              </w:rPr>
            </w:pPr>
            <w:r>
              <w:rPr>
                <w:color w:val="auto"/>
                <w:szCs w:val="21"/>
              </w:rPr>
              <w:t>250</w:t>
            </w:r>
          </w:p>
        </w:tc>
        <w:tc>
          <w:tcPr>
            <w:tcW w:w="391" w:type="pct"/>
            <w:tcBorders>
              <w:tl2br w:val="nil"/>
              <w:tr2bl w:val="nil"/>
            </w:tcBorders>
            <w:shd w:val="clear" w:color="auto" w:fill="auto"/>
            <w:noWrap w:val="0"/>
            <w:vAlign w:val="center"/>
          </w:tcPr>
          <w:p w14:paraId="40744ADA">
            <w:pPr>
              <w:spacing w:before="31" w:beforeLines="10" w:line="264" w:lineRule="auto"/>
              <w:jc w:val="center"/>
              <w:rPr>
                <w:color w:val="auto"/>
                <w:szCs w:val="21"/>
              </w:rPr>
            </w:pPr>
            <w:r>
              <w:rPr>
                <w:color w:val="auto"/>
                <w:szCs w:val="21"/>
              </w:rPr>
              <w:t>50</w:t>
            </w:r>
          </w:p>
        </w:tc>
      </w:tr>
      <w:tr w14:paraId="76521D86">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93" w:type="pct"/>
            <w:vMerge w:val="continue"/>
            <w:tcBorders>
              <w:tl2br w:val="nil"/>
              <w:tr2bl w:val="nil"/>
            </w:tcBorders>
            <w:shd w:val="clear" w:color="auto" w:fill="auto"/>
            <w:noWrap w:val="0"/>
            <w:vAlign w:val="center"/>
          </w:tcPr>
          <w:p w14:paraId="115C8BD8">
            <w:pPr>
              <w:spacing w:before="31" w:beforeLines="10" w:line="264" w:lineRule="auto"/>
              <w:jc w:val="center"/>
              <w:rPr>
                <w:color w:val="auto"/>
                <w:szCs w:val="21"/>
              </w:rPr>
            </w:pPr>
          </w:p>
        </w:tc>
        <w:tc>
          <w:tcPr>
            <w:tcW w:w="429" w:type="pct"/>
            <w:tcBorders>
              <w:tl2br w:val="nil"/>
              <w:tr2bl w:val="nil"/>
            </w:tcBorders>
            <w:shd w:val="clear" w:color="auto" w:fill="auto"/>
            <w:noWrap w:val="0"/>
            <w:vAlign w:val="center"/>
          </w:tcPr>
          <w:p w14:paraId="19004B26">
            <w:pPr>
              <w:spacing w:before="31" w:beforeLines="10" w:line="264" w:lineRule="auto"/>
              <w:jc w:val="center"/>
              <w:rPr>
                <w:color w:val="auto"/>
                <w:szCs w:val="21"/>
              </w:rPr>
            </w:pPr>
            <w:r>
              <w:rPr>
                <w:color w:val="auto"/>
                <w:szCs w:val="21"/>
              </w:rPr>
              <w:t>＞7.5</w:t>
            </w:r>
          </w:p>
        </w:tc>
        <w:tc>
          <w:tcPr>
            <w:tcW w:w="370" w:type="pct"/>
            <w:tcBorders>
              <w:tl2br w:val="nil"/>
              <w:tr2bl w:val="nil"/>
            </w:tcBorders>
            <w:shd w:val="clear" w:color="auto" w:fill="auto"/>
            <w:noWrap w:val="0"/>
            <w:vAlign w:val="center"/>
          </w:tcPr>
          <w:p w14:paraId="414DE503">
            <w:pPr>
              <w:spacing w:before="31" w:beforeLines="10" w:line="264" w:lineRule="auto"/>
              <w:jc w:val="center"/>
              <w:rPr>
                <w:color w:val="auto"/>
                <w:szCs w:val="21"/>
              </w:rPr>
            </w:pPr>
            <w:r>
              <w:rPr>
                <w:color w:val="auto"/>
                <w:szCs w:val="21"/>
              </w:rPr>
              <w:t>0.60</w:t>
            </w:r>
          </w:p>
        </w:tc>
        <w:tc>
          <w:tcPr>
            <w:tcW w:w="744" w:type="pct"/>
            <w:tcBorders>
              <w:tl2br w:val="nil"/>
              <w:tr2bl w:val="nil"/>
            </w:tcBorders>
            <w:shd w:val="clear" w:color="auto" w:fill="auto"/>
            <w:noWrap w:val="0"/>
            <w:vAlign w:val="center"/>
          </w:tcPr>
          <w:p w14:paraId="4FDDE043">
            <w:pPr>
              <w:spacing w:before="31" w:beforeLines="10" w:line="264" w:lineRule="auto"/>
              <w:jc w:val="center"/>
              <w:rPr>
                <w:color w:val="auto"/>
                <w:szCs w:val="21"/>
              </w:rPr>
            </w:pPr>
            <w:r>
              <w:rPr>
                <w:color w:val="auto"/>
                <w:szCs w:val="21"/>
              </w:rPr>
              <w:t>250（旱地）</w:t>
            </w:r>
          </w:p>
          <w:p w14:paraId="5DA13E67">
            <w:pPr>
              <w:spacing w:before="31" w:beforeLines="10" w:line="264" w:lineRule="auto"/>
              <w:jc w:val="center"/>
              <w:rPr>
                <w:color w:val="auto"/>
                <w:szCs w:val="21"/>
              </w:rPr>
            </w:pPr>
            <w:r>
              <w:rPr>
                <w:color w:val="auto"/>
                <w:szCs w:val="21"/>
              </w:rPr>
              <w:t>350（水田）</w:t>
            </w:r>
          </w:p>
        </w:tc>
        <w:tc>
          <w:tcPr>
            <w:tcW w:w="669" w:type="pct"/>
            <w:tcBorders>
              <w:tl2br w:val="nil"/>
              <w:tr2bl w:val="nil"/>
            </w:tcBorders>
            <w:shd w:val="clear" w:color="auto" w:fill="auto"/>
            <w:noWrap w:val="0"/>
            <w:vAlign w:val="center"/>
          </w:tcPr>
          <w:p w14:paraId="40FF45CB">
            <w:pPr>
              <w:spacing w:before="31" w:beforeLines="10" w:line="264" w:lineRule="auto"/>
              <w:jc w:val="center"/>
              <w:rPr>
                <w:color w:val="auto"/>
                <w:szCs w:val="21"/>
              </w:rPr>
            </w:pPr>
            <w:r>
              <w:rPr>
                <w:color w:val="auto"/>
                <w:szCs w:val="21"/>
              </w:rPr>
              <w:t>25（旱地）</w:t>
            </w:r>
          </w:p>
          <w:p w14:paraId="208C08CC">
            <w:pPr>
              <w:spacing w:before="31" w:beforeLines="10" w:line="264" w:lineRule="auto"/>
              <w:jc w:val="center"/>
              <w:rPr>
                <w:color w:val="auto"/>
                <w:szCs w:val="21"/>
              </w:rPr>
            </w:pPr>
            <w:r>
              <w:rPr>
                <w:color w:val="auto"/>
                <w:szCs w:val="21"/>
              </w:rPr>
              <w:t>20（水田）</w:t>
            </w:r>
          </w:p>
        </w:tc>
        <w:tc>
          <w:tcPr>
            <w:tcW w:w="337" w:type="pct"/>
            <w:tcBorders>
              <w:tl2br w:val="nil"/>
              <w:tr2bl w:val="nil"/>
            </w:tcBorders>
            <w:shd w:val="clear" w:color="auto" w:fill="auto"/>
            <w:noWrap w:val="0"/>
            <w:vAlign w:val="center"/>
          </w:tcPr>
          <w:p w14:paraId="70031213">
            <w:pPr>
              <w:spacing w:before="31" w:beforeLines="10" w:line="264" w:lineRule="auto"/>
              <w:jc w:val="center"/>
              <w:rPr>
                <w:color w:val="auto"/>
                <w:szCs w:val="21"/>
              </w:rPr>
            </w:pPr>
            <w:r>
              <w:rPr>
                <w:color w:val="auto"/>
                <w:szCs w:val="21"/>
              </w:rPr>
              <w:t>1.0</w:t>
            </w:r>
          </w:p>
        </w:tc>
        <w:tc>
          <w:tcPr>
            <w:tcW w:w="337" w:type="pct"/>
            <w:tcBorders>
              <w:tl2br w:val="nil"/>
              <w:tr2bl w:val="nil"/>
            </w:tcBorders>
            <w:shd w:val="clear" w:color="auto" w:fill="auto"/>
            <w:noWrap w:val="0"/>
            <w:vAlign w:val="center"/>
          </w:tcPr>
          <w:p w14:paraId="2AF8A92F">
            <w:pPr>
              <w:spacing w:before="31" w:beforeLines="10" w:line="264" w:lineRule="auto"/>
              <w:jc w:val="center"/>
              <w:rPr>
                <w:color w:val="auto"/>
                <w:szCs w:val="21"/>
              </w:rPr>
            </w:pPr>
            <w:r>
              <w:rPr>
                <w:color w:val="auto"/>
                <w:szCs w:val="21"/>
              </w:rPr>
              <w:t>350</w:t>
            </w:r>
          </w:p>
        </w:tc>
        <w:tc>
          <w:tcPr>
            <w:tcW w:w="732" w:type="pct"/>
            <w:tcBorders>
              <w:tl2br w:val="nil"/>
              <w:tr2bl w:val="nil"/>
            </w:tcBorders>
            <w:shd w:val="clear" w:color="auto" w:fill="auto"/>
            <w:noWrap w:val="0"/>
            <w:vAlign w:val="center"/>
          </w:tcPr>
          <w:p w14:paraId="5B7385C8">
            <w:pPr>
              <w:spacing w:before="31" w:beforeLines="10" w:line="264" w:lineRule="auto"/>
              <w:jc w:val="center"/>
              <w:rPr>
                <w:color w:val="auto"/>
                <w:szCs w:val="21"/>
              </w:rPr>
            </w:pPr>
            <w:r>
              <w:rPr>
                <w:color w:val="auto"/>
                <w:szCs w:val="21"/>
              </w:rPr>
              <w:t>100（农田等）</w:t>
            </w:r>
          </w:p>
        </w:tc>
        <w:tc>
          <w:tcPr>
            <w:tcW w:w="393" w:type="pct"/>
            <w:tcBorders>
              <w:tl2br w:val="nil"/>
              <w:tr2bl w:val="nil"/>
            </w:tcBorders>
            <w:shd w:val="clear" w:color="auto" w:fill="auto"/>
            <w:noWrap w:val="0"/>
            <w:vAlign w:val="center"/>
          </w:tcPr>
          <w:p w14:paraId="71D8157E">
            <w:pPr>
              <w:spacing w:before="31" w:beforeLines="10" w:line="264" w:lineRule="auto"/>
              <w:jc w:val="center"/>
              <w:rPr>
                <w:color w:val="auto"/>
                <w:szCs w:val="21"/>
              </w:rPr>
            </w:pPr>
            <w:r>
              <w:rPr>
                <w:color w:val="auto"/>
                <w:szCs w:val="21"/>
              </w:rPr>
              <w:t>300</w:t>
            </w:r>
          </w:p>
        </w:tc>
        <w:tc>
          <w:tcPr>
            <w:tcW w:w="391" w:type="pct"/>
            <w:tcBorders>
              <w:tl2br w:val="nil"/>
              <w:tr2bl w:val="nil"/>
            </w:tcBorders>
            <w:shd w:val="clear" w:color="auto" w:fill="auto"/>
            <w:noWrap w:val="0"/>
            <w:vAlign w:val="center"/>
          </w:tcPr>
          <w:p w14:paraId="35337DCD">
            <w:pPr>
              <w:spacing w:before="31" w:beforeLines="10" w:line="264" w:lineRule="auto"/>
              <w:jc w:val="center"/>
              <w:rPr>
                <w:color w:val="auto"/>
                <w:szCs w:val="21"/>
              </w:rPr>
            </w:pPr>
            <w:r>
              <w:rPr>
                <w:color w:val="auto"/>
                <w:szCs w:val="21"/>
              </w:rPr>
              <w:t>60</w:t>
            </w:r>
          </w:p>
        </w:tc>
      </w:tr>
    </w:tbl>
    <w:p w14:paraId="7C487A74">
      <w:pPr>
        <w:adjustRightInd w:val="0"/>
        <w:snapToGrid w:val="0"/>
        <w:spacing w:line="360" w:lineRule="auto"/>
        <w:ind w:firstLine="482" w:firstLineChars="200"/>
        <w:rPr>
          <w:color w:val="auto"/>
          <w:sz w:val="24"/>
          <w:szCs w:val="32"/>
        </w:rPr>
      </w:pPr>
      <w:r>
        <w:rPr>
          <w:b/>
          <w:bCs/>
          <w:color w:val="auto"/>
          <w:sz w:val="24"/>
        </w:rPr>
        <w:t>后评价阶段：</w:t>
      </w:r>
      <w:r>
        <w:rPr>
          <w:color w:val="auto"/>
          <w:sz w:val="24"/>
        </w:rPr>
        <w:t>2018年8月1日，生态环境部印发《土壤环境质量 建设用地土壤污染风险管控标准（试行）》开</w:t>
      </w:r>
      <w:r>
        <w:rPr>
          <w:color w:val="auto"/>
          <w:sz w:val="24"/>
          <w:shd w:val="clear" w:color="auto" w:fill="FFFFFF"/>
        </w:rPr>
        <w:t>始</w:t>
      </w:r>
      <w:r>
        <w:rPr>
          <w:rFonts w:eastAsia="Arial"/>
          <w:color w:val="auto"/>
          <w:sz w:val="24"/>
          <w:shd w:val="clear" w:color="auto" w:fill="FFFFFF"/>
        </w:rPr>
        <w:t>实施</w:t>
      </w:r>
      <w:r>
        <w:rPr>
          <w:color w:val="auto"/>
          <w:sz w:val="24"/>
          <w:shd w:val="clear" w:color="auto" w:fill="FFFFFF"/>
        </w:rPr>
        <w:t>。对照标准，</w:t>
      </w:r>
      <w:r>
        <w:rPr>
          <w:color w:val="auto"/>
          <w:sz w:val="24"/>
          <w:szCs w:val="32"/>
        </w:rPr>
        <w:t>项目所在区域土壤环境质量执行《土壤环境质量标准—建设用地土壤污染风险管控标准》（GB36600-2018）表1中第二类用地筛选值，具体限值详见下表：</w:t>
      </w:r>
    </w:p>
    <w:p w14:paraId="038EA091">
      <w:pPr>
        <w:adjustRightInd w:val="0"/>
        <w:snapToGrid w:val="0"/>
        <w:spacing w:line="360" w:lineRule="auto"/>
        <w:jc w:val="center"/>
        <w:rPr>
          <w:b/>
          <w:bCs/>
          <w:color w:val="auto"/>
          <w:sz w:val="24"/>
          <w:szCs w:val="32"/>
        </w:rPr>
      </w:pPr>
      <w:r>
        <w:rPr>
          <w:b/>
          <w:bCs/>
          <w:color w:val="auto"/>
          <w:sz w:val="24"/>
          <w:szCs w:val="32"/>
        </w:rPr>
        <w:t>表1-</w:t>
      </w:r>
      <w:r>
        <w:rPr>
          <w:rFonts w:hint="eastAsia"/>
          <w:b/>
          <w:bCs/>
          <w:color w:val="auto"/>
          <w:sz w:val="24"/>
          <w:szCs w:val="32"/>
          <w:lang w:val="en-US" w:eastAsia="zh-CN"/>
        </w:rPr>
        <w:t>9</w:t>
      </w:r>
      <w:r>
        <w:rPr>
          <w:b/>
          <w:bCs/>
          <w:color w:val="auto"/>
          <w:sz w:val="24"/>
          <w:szCs w:val="32"/>
        </w:rPr>
        <w:t xml:space="preserve"> 土壤环境标准限值</w:t>
      </w:r>
    </w:p>
    <w:tbl>
      <w:tblPr>
        <w:tblStyle w:val="31"/>
        <w:tblW w:w="498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39"/>
        <w:gridCol w:w="2812"/>
        <w:gridCol w:w="2793"/>
        <w:gridCol w:w="1632"/>
        <w:gridCol w:w="6"/>
        <w:gridCol w:w="1656"/>
      </w:tblGrid>
      <w:tr w14:paraId="3DE562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vMerge w:val="restart"/>
            <w:tcBorders>
              <w:tl2br w:val="nil"/>
              <w:tr2bl w:val="nil"/>
            </w:tcBorders>
            <w:vAlign w:val="center"/>
          </w:tcPr>
          <w:p w14:paraId="11B287DC">
            <w:pPr>
              <w:jc w:val="center"/>
              <w:rPr>
                <w:b/>
                <w:bCs/>
                <w:color w:val="auto"/>
              </w:rPr>
            </w:pPr>
            <w:r>
              <w:rPr>
                <w:b/>
                <w:bCs/>
                <w:color w:val="auto"/>
              </w:rPr>
              <w:t>序号</w:t>
            </w:r>
          </w:p>
        </w:tc>
        <w:tc>
          <w:tcPr>
            <w:tcW w:w="1415" w:type="pct"/>
            <w:vMerge w:val="restart"/>
            <w:tcBorders>
              <w:tl2br w:val="nil"/>
              <w:tr2bl w:val="nil"/>
            </w:tcBorders>
            <w:vAlign w:val="center"/>
          </w:tcPr>
          <w:p w14:paraId="0912CAB5">
            <w:pPr>
              <w:jc w:val="center"/>
              <w:rPr>
                <w:b/>
                <w:bCs/>
                <w:color w:val="auto"/>
              </w:rPr>
            </w:pPr>
            <w:r>
              <w:rPr>
                <w:b/>
                <w:bCs/>
                <w:color w:val="auto"/>
              </w:rPr>
              <w:t>污染物</w:t>
            </w:r>
          </w:p>
        </w:tc>
        <w:tc>
          <w:tcPr>
            <w:tcW w:w="1405" w:type="pct"/>
            <w:vMerge w:val="restart"/>
            <w:tcBorders>
              <w:tl2br w:val="nil"/>
              <w:tr2bl w:val="nil"/>
            </w:tcBorders>
            <w:vAlign w:val="center"/>
          </w:tcPr>
          <w:p w14:paraId="30F735AE">
            <w:pPr>
              <w:jc w:val="center"/>
              <w:rPr>
                <w:b/>
                <w:bCs/>
                <w:color w:val="auto"/>
              </w:rPr>
            </w:pPr>
            <w:r>
              <w:rPr>
                <w:b/>
                <w:bCs/>
                <w:color w:val="auto"/>
              </w:rPr>
              <w:t>CAS编号</w:t>
            </w:r>
          </w:p>
        </w:tc>
        <w:tc>
          <w:tcPr>
            <w:tcW w:w="1655" w:type="pct"/>
            <w:gridSpan w:val="3"/>
            <w:tcBorders>
              <w:tl2br w:val="nil"/>
              <w:tr2bl w:val="nil"/>
            </w:tcBorders>
            <w:vAlign w:val="center"/>
          </w:tcPr>
          <w:p w14:paraId="16D32955">
            <w:pPr>
              <w:jc w:val="center"/>
              <w:rPr>
                <w:b/>
                <w:bCs/>
                <w:color w:val="auto"/>
              </w:rPr>
            </w:pPr>
            <w:r>
              <w:rPr>
                <w:b/>
                <w:bCs/>
                <w:color w:val="auto"/>
              </w:rPr>
              <w:t>第二类用地</w:t>
            </w:r>
          </w:p>
        </w:tc>
      </w:tr>
      <w:tr w14:paraId="071D69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vMerge w:val="continue"/>
            <w:tcBorders>
              <w:tl2br w:val="nil"/>
              <w:tr2bl w:val="nil"/>
            </w:tcBorders>
            <w:vAlign w:val="center"/>
          </w:tcPr>
          <w:p w14:paraId="24023EF9">
            <w:pPr>
              <w:jc w:val="center"/>
              <w:rPr>
                <w:b/>
                <w:bCs/>
                <w:color w:val="auto"/>
              </w:rPr>
            </w:pPr>
          </w:p>
        </w:tc>
        <w:tc>
          <w:tcPr>
            <w:tcW w:w="1415" w:type="pct"/>
            <w:vMerge w:val="continue"/>
            <w:tcBorders>
              <w:tl2br w:val="nil"/>
              <w:tr2bl w:val="nil"/>
            </w:tcBorders>
            <w:vAlign w:val="center"/>
          </w:tcPr>
          <w:p w14:paraId="05368D15">
            <w:pPr>
              <w:jc w:val="center"/>
              <w:rPr>
                <w:b/>
                <w:bCs/>
                <w:color w:val="auto"/>
              </w:rPr>
            </w:pPr>
          </w:p>
        </w:tc>
        <w:tc>
          <w:tcPr>
            <w:tcW w:w="1405" w:type="pct"/>
            <w:vMerge w:val="continue"/>
            <w:tcBorders>
              <w:tl2br w:val="nil"/>
              <w:tr2bl w:val="nil"/>
            </w:tcBorders>
            <w:vAlign w:val="center"/>
          </w:tcPr>
          <w:p w14:paraId="18CF2211">
            <w:pPr>
              <w:jc w:val="center"/>
              <w:rPr>
                <w:b/>
                <w:bCs/>
                <w:color w:val="auto"/>
              </w:rPr>
            </w:pPr>
          </w:p>
        </w:tc>
        <w:tc>
          <w:tcPr>
            <w:tcW w:w="819" w:type="pct"/>
            <w:tcBorders>
              <w:tl2br w:val="nil"/>
              <w:tr2bl w:val="nil"/>
            </w:tcBorders>
            <w:vAlign w:val="center"/>
          </w:tcPr>
          <w:p w14:paraId="5D5AABEF">
            <w:pPr>
              <w:jc w:val="center"/>
              <w:rPr>
                <w:b/>
                <w:bCs/>
                <w:color w:val="auto"/>
              </w:rPr>
            </w:pPr>
            <w:r>
              <w:rPr>
                <w:b/>
                <w:bCs/>
                <w:color w:val="auto"/>
              </w:rPr>
              <w:t>筛选值</w:t>
            </w:r>
          </w:p>
        </w:tc>
        <w:tc>
          <w:tcPr>
            <w:tcW w:w="836" w:type="pct"/>
            <w:gridSpan w:val="2"/>
            <w:tcBorders>
              <w:tl2br w:val="nil"/>
              <w:tr2bl w:val="nil"/>
            </w:tcBorders>
            <w:vAlign w:val="center"/>
          </w:tcPr>
          <w:p w14:paraId="7A82CDC8">
            <w:pPr>
              <w:jc w:val="center"/>
              <w:rPr>
                <w:b/>
                <w:bCs/>
                <w:color w:val="auto"/>
              </w:rPr>
            </w:pPr>
            <w:r>
              <w:rPr>
                <w:b/>
                <w:bCs/>
                <w:color w:val="auto"/>
              </w:rPr>
              <w:t>管控值</w:t>
            </w:r>
          </w:p>
        </w:tc>
      </w:tr>
      <w:tr w14:paraId="4CCE16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000" w:type="pct"/>
            <w:gridSpan w:val="6"/>
            <w:tcBorders>
              <w:tl2br w:val="nil"/>
              <w:tr2bl w:val="nil"/>
            </w:tcBorders>
            <w:vAlign w:val="center"/>
          </w:tcPr>
          <w:p w14:paraId="0E5E256A">
            <w:pPr>
              <w:jc w:val="center"/>
              <w:rPr>
                <w:color w:val="auto"/>
              </w:rPr>
            </w:pPr>
            <w:r>
              <w:rPr>
                <w:color w:val="auto"/>
              </w:rPr>
              <w:t>金属和无机物</w:t>
            </w:r>
          </w:p>
        </w:tc>
      </w:tr>
      <w:tr w14:paraId="6ACE57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95307AD">
            <w:pPr>
              <w:jc w:val="center"/>
              <w:rPr>
                <w:color w:val="auto"/>
              </w:rPr>
            </w:pPr>
            <w:r>
              <w:rPr>
                <w:color w:val="auto"/>
              </w:rPr>
              <w:t>1</w:t>
            </w:r>
          </w:p>
        </w:tc>
        <w:tc>
          <w:tcPr>
            <w:tcW w:w="1415" w:type="pct"/>
            <w:tcBorders>
              <w:tl2br w:val="nil"/>
              <w:tr2bl w:val="nil"/>
            </w:tcBorders>
            <w:vAlign w:val="center"/>
          </w:tcPr>
          <w:p w14:paraId="215A2F72">
            <w:pPr>
              <w:jc w:val="center"/>
              <w:rPr>
                <w:color w:val="auto"/>
              </w:rPr>
            </w:pPr>
            <w:r>
              <w:rPr>
                <w:color w:val="auto"/>
              </w:rPr>
              <w:t>铜</w:t>
            </w:r>
          </w:p>
        </w:tc>
        <w:tc>
          <w:tcPr>
            <w:tcW w:w="1405" w:type="pct"/>
            <w:tcBorders>
              <w:tl2br w:val="nil"/>
              <w:tr2bl w:val="nil"/>
            </w:tcBorders>
            <w:vAlign w:val="center"/>
          </w:tcPr>
          <w:p w14:paraId="1BDAF9B7">
            <w:pPr>
              <w:jc w:val="center"/>
              <w:rPr>
                <w:color w:val="auto"/>
              </w:rPr>
            </w:pPr>
            <w:r>
              <w:rPr>
                <w:color w:val="auto"/>
              </w:rPr>
              <w:t>7440-50-8</w:t>
            </w:r>
          </w:p>
        </w:tc>
        <w:tc>
          <w:tcPr>
            <w:tcW w:w="820" w:type="pct"/>
            <w:tcBorders>
              <w:tl2br w:val="nil"/>
              <w:tr2bl w:val="nil"/>
            </w:tcBorders>
            <w:vAlign w:val="center"/>
          </w:tcPr>
          <w:p w14:paraId="3AAA9807">
            <w:pPr>
              <w:jc w:val="center"/>
              <w:rPr>
                <w:color w:val="auto"/>
              </w:rPr>
            </w:pPr>
            <w:r>
              <w:rPr>
                <w:color w:val="auto"/>
              </w:rPr>
              <w:t>18000</w:t>
            </w:r>
          </w:p>
        </w:tc>
        <w:tc>
          <w:tcPr>
            <w:tcW w:w="835" w:type="pct"/>
            <w:gridSpan w:val="2"/>
            <w:tcBorders>
              <w:tl2br w:val="nil"/>
              <w:tr2bl w:val="nil"/>
            </w:tcBorders>
            <w:vAlign w:val="center"/>
          </w:tcPr>
          <w:p w14:paraId="3D972760">
            <w:pPr>
              <w:jc w:val="center"/>
              <w:rPr>
                <w:color w:val="auto"/>
              </w:rPr>
            </w:pPr>
            <w:r>
              <w:rPr>
                <w:color w:val="auto"/>
              </w:rPr>
              <w:t>36000</w:t>
            </w:r>
          </w:p>
        </w:tc>
      </w:tr>
      <w:tr w14:paraId="22B2AF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090964B4">
            <w:pPr>
              <w:jc w:val="center"/>
              <w:rPr>
                <w:color w:val="auto"/>
              </w:rPr>
            </w:pPr>
            <w:r>
              <w:rPr>
                <w:color w:val="auto"/>
              </w:rPr>
              <w:t>2</w:t>
            </w:r>
          </w:p>
        </w:tc>
        <w:tc>
          <w:tcPr>
            <w:tcW w:w="1415" w:type="pct"/>
            <w:tcBorders>
              <w:tl2br w:val="nil"/>
              <w:tr2bl w:val="nil"/>
            </w:tcBorders>
            <w:vAlign w:val="center"/>
          </w:tcPr>
          <w:p w14:paraId="4868FBEC">
            <w:pPr>
              <w:jc w:val="center"/>
              <w:rPr>
                <w:color w:val="auto"/>
              </w:rPr>
            </w:pPr>
            <w:r>
              <w:rPr>
                <w:color w:val="auto"/>
              </w:rPr>
              <w:t>铅</w:t>
            </w:r>
          </w:p>
        </w:tc>
        <w:tc>
          <w:tcPr>
            <w:tcW w:w="1405" w:type="pct"/>
            <w:tcBorders>
              <w:tl2br w:val="nil"/>
              <w:tr2bl w:val="nil"/>
            </w:tcBorders>
            <w:vAlign w:val="center"/>
          </w:tcPr>
          <w:p w14:paraId="7E955EDA">
            <w:pPr>
              <w:jc w:val="center"/>
              <w:rPr>
                <w:color w:val="auto"/>
              </w:rPr>
            </w:pPr>
            <w:r>
              <w:rPr>
                <w:color w:val="auto"/>
              </w:rPr>
              <w:t>7439-92-1</w:t>
            </w:r>
          </w:p>
        </w:tc>
        <w:tc>
          <w:tcPr>
            <w:tcW w:w="820" w:type="pct"/>
            <w:tcBorders>
              <w:tl2br w:val="nil"/>
              <w:tr2bl w:val="nil"/>
            </w:tcBorders>
            <w:vAlign w:val="center"/>
          </w:tcPr>
          <w:p w14:paraId="4364D465">
            <w:pPr>
              <w:jc w:val="center"/>
              <w:rPr>
                <w:color w:val="auto"/>
              </w:rPr>
            </w:pPr>
            <w:r>
              <w:rPr>
                <w:color w:val="auto"/>
              </w:rPr>
              <w:t>800</w:t>
            </w:r>
          </w:p>
        </w:tc>
        <w:tc>
          <w:tcPr>
            <w:tcW w:w="835" w:type="pct"/>
            <w:gridSpan w:val="2"/>
            <w:tcBorders>
              <w:tl2br w:val="nil"/>
              <w:tr2bl w:val="nil"/>
            </w:tcBorders>
            <w:vAlign w:val="center"/>
          </w:tcPr>
          <w:p w14:paraId="0E3502A2">
            <w:pPr>
              <w:jc w:val="center"/>
              <w:rPr>
                <w:color w:val="auto"/>
              </w:rPr>
            </w:pPr>
            <w:r>
              <w:rPr>
                <w:color w:val="auto"/>
              </w:rPr>
              <w:t>2500</w:t>
            </w:r>
          </w:p>
        </w:tc>
      </w:tr>
      <w:tr w14:paraId="212A1A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3C01F498">
            <w:pPr>
              <w:jc w:val="center"/>
              <w:rPr>
                <w:color w:val="auto"/>
              </w:rPr>
            </w:pPr>
            <w:r>
              <w:rPr>
                <w:color w:val="auto"/>
              </w:rPr>
              <w:t>3</w:t>
            </w:r>
          </w:p>
        </w:tc>
        <w:tc>
          <w:tcPr>
            <w:tcW w:w="1415" w:type="pct"/>
            <w:tcBorders>
              <w:tl2br w:val="nil"/>
              <w:tr2bl w:val="nil"/>
            </w:tcBorders>
            <w:vAlign w:val="center"/>
          </w:tcPr>
          <w:p w14:paraId="321143EF">
            <w:pPr>
              <w:jc w:val="center"/>
              <w:rPr>
                <w:color w:val="auto"/>
              </w:rPr>
            </w:pPr>
            <w:r>
              <w:rPr>
                <w:color w:val="auto"/>
              </w:rPr>
              <w:t>镉</w:t>
            </w:r>
          </w:p>
        </w:tc>
        <w:tc>
          <w:tcPr>
            <w:tcW w:w="1405" w:type="pct"/>
            <w:tcBorders>
              <w:tl2br w:val="nil"/>
              <w:tr2bl w:val="nil"/>
            </w:tcBorders>
            <w:vAlign w:val="center"/>
          </w:tcPr>
          <w:p w14:paraId="5B68040F">
            <w:pPr>
              <w:jc w:val="center"/>
              <w:rPr>
                <w:color w:val="auto"/>
              </w:rPr>
            </w:pPr>
            <w:r>
              <w:rPr>
                <w:color w:val="auto"/>
              </w:rPr>
              <w:t>7440-43-9</w:t>
            </w:r>
          </w:p>
        </w:tc>
        <w:tc>
          <w:tcPr>
            <w:tcW w:w="820" w:type="pct"/>
            <w:tcBorders>
              <w:tl2br w:val="nil"/>
              <w:tr2bl w:val="nil"/>
            </w:tcBorders>
            <w:vAlign w:val="center"/>
          </w:tcPr>
          <w:p w14:paraId="4070A44B">
            <w:pPr>
              <w:jc w:val="center"/>
              <w:rPr>
                <w:color w:val="auto"/>
              </w:rPr>
            </w:pPr>
            <w:r>
              <w:rPr>
                <w:color w:val="auto"/>
              </w:rPr>
              <w:t>65</w:t>
            </w:r>
          </w:p>
        </w:tc>
        <w:tc>
          <w:tcPr>
            <w:tcW w:w="835" w:type="pct"/>
            <w:gridSpan w:val="2"/>
            <w:tcBorders>
              <w:tl2br w:val="nil"/>
              <w:tr2bl w:val="nil"/>
            </w:tcBorders>
            <w:vAlign w:val="center"/>
          </w:tcPr>
          <w:p w14:paraId="3C5B99DA">
            <w:pPr>
              <w:jc w:val="center"/>
              <w:rPr>
                <w:color w:val="auto"/>
              </w:rPr>
            </w:pPr>
            <w:r>
              <w:rPr>
                <w:color w:val="auto"/>
              </w:rPr>
              <w:t>172</w:t>
            </w:r>
          </w:p>
        </w:tc>
      </w:tr>
      <w:tr w14:paraId="382BA3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6743FC4B">
            <w:pPr>
              <w:jc w:val="center"/>
              <w:rPr>
                <w:color w:val="auto"/>
              </w:rPr>
            </w:pPr>
            <w:r>
              <w:rPr>
                <w:color w:val="auto"/>
              </w:rPr>
              <w:t>4</w:t>
            </w:r>
          </w:p>
        </w:tc>
        <w:tc>
          <w:tcPr>
            <w:tcW w:w="1415" w:type="pct"/>
            <w:tcBorders>
              <w:tl2br w:val="nil"/>
              <w:tr2bl w:val="nil"/>
            </w:tcBorders>
            <w:vAlign w:val="center"/>
          </w:tcPr>
          <w:p w14:paraId="3632B465">
            <w:pPr>
              <w:jc w:val="center"/>
              <w:rPr>
                <w:color w:val="auto"/>
              </w:rPr>
            </w:pPr>
            <w:r>
              <w:rPr>
                <w:color w:val="auto"/>
              </w:rPr>
              <w:t>汞</w:t>
            </w:r>
          </w:p>
        </w:tc>
        <w:tc>
          <w:tcPr>
            <w:tcW w:w="1405" w:type="pct"/>
            <w:tcBorders>
              <w:tl2br w:val="nil"/>
              <w:tr2bl w:val="nil"/>
            </w:tcBorders>
            <w:vAlign w:val="center"/>
          </w:tcPr>
          <w:p w14:paraId="523F56CA">
            <w:pPr>
              <w:jc w:val="center"/>
              <w:rPr>
                <w:color w:val="auto"/>
              </w:rPr>
            </w:pPr>
            <w:r>
              <w:rPr>
                <w:color w:val="auto"/>
              </w:rPr>
              <w:t>7439-97-6</w:t>
            </w:r>
          </w:p>
        </w:tc>
        <w:tc>
          <w:tcPr>
            <w:tcW w:w="820" w:type="pct"/>
            <w:tcBorders>
              <w:tl2br w:val="nil"/>
              <w:tr2bl w:val="nil"/>
            </w:tcBorders>
            <w:vAlign w:val="center"/>
          </w:tcPr>
          <w:p w14:paraId="62F163E3">
            <w:pPr>
              <w:jc w:val="center"/>
              <w:rPr>
                <w:color w:val="auto"/>
              </w:rPr>
            </w:pPr>
            <w:r>
              <w:rPr>
                <w:color w:val="auto"/>
              </w:rPr>
              <w:t>38</w:t>
            </w:r>
          </w:p>
        </w:tc>
        <w:tc>
          <w:tcPr>
            <w:tcW w:w="835" w:type="pct"/>
            <w:gridSpan w:val="2"/>
            <w:tcBorders>
              <w:tl2br w:val="nil"/>
              <w:tr2bl w:val="nil"/>
            </w:tcBorders>
            <w:vAlign w:val="center"/>
          </w:tcPr>
          <w:p w14:paraId="6191F9DE">
            <w:pPr>
              <w:jc w:val="center"/>
              <w:rPr>
                <w:color w:val="auto"/>
              </w:rPr>
            </w:pPr>
            <w:r>
              <w:rPr>
                <w:color w:val="auto"/>
              </w:rPr>
              <w:t>82</w:t>
            </w:r>
          </w:p>
        </w:tc>
      </w:tr>
      <w:tr w14:paraId="04E1CB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454" w:hRule="atLeast"/>
          <w:jc w:val="center"/>
        </w:trPr>
        <w:tc>
          <w:tcPr>
            <w:tcW w:w="523" w:type="pct"/>
            <w:tcBorders>
              <w:tl2br w:val="nil"/>
              <w:tr2bl w:val="nil"/>
            </w:tcBorders>
            <w:vAlign w:val="center"/>
          </w:tcPr>
          <w:p w14:paraId="7D3B77C2">
            <w:pPr>
              <w:jc w:val="center"/>
              <w:rPr>
                <w:color w:val="auto"/>
              </w:rPr>
            </w:pPr>
            <w:r>
              <w:rPr>
                <w:color w:val="auto"/>
              </w:rPr>
              <w:t>5</w:t>
            </w:r>
          </w:p>
        </w:tc>
        <w:tc>
          <w:tcPr>
            <w:tcW w:w="1415" w:type="pct"/>
            <w:tcBorders>
              <w:tl2br w:val="nil"/>
              <w:tr2bl w:val="nil"/>
            </w:tcBorders>
            <w:vAlign w:val="center"/>
          </w:tcPr>
          <w:p w14:paraId="6D6E3912">
            <w:pPr>
              <w:jc w:val="center"/>
              <w:rPr>
                <w:color w:val="auto"/>
              </w:rPr>
            </w:pPr>
            <w:r>
              <w:rPr>
                <w:color w:val="auto"/>
              </w:rPr>
              <w:t>镍</w:t>
            </w:r>
          </w:p>
        </w:tc>
        <w:tc>
          <w:tcPr>
            <w:tcW w:w="1405" w:type="pct"/>
            <w:tcBorders>
              <w:tl2br w:val="nil"/>
              <w:tr2bl w:val="nil"/>
            </w:tcBorders>
            <w:vAlign w:val="center"/>
          </w:tcPr>
          <w:p w14:paraId="38906173">
            <w:pPr>
              <w:jc w:val="center"/>
              <w:rPr>
                <w:color w:val="auto"/>
              </w:rPr>
            </w:pPr>
            <w:r>
              <w:rPr>
                <w:color w:val="auto"/>
              </w:rPr>
              <w:t>7440-02-0</w:t>
            </w:r>
          </w:p>
        </w:tc>
        <w:tc>
          <w:tcPr>
            <w:tcW w:w="820" w:type="pct"/>
            <w:tcBorders>
              <w:tl2br w:val="nil"/>
              <w:tr2bl w:val="nil"/>
            </w:tcBorders>
            <w:vAlign w:val="center"/>
          </w:tcPr>
          <w:p w14:paraId="15F740A3">
            <w:pPr>
              <w:jc w:val="center"/>
              <w:rPr>
                <w:color w:val="auto"/>
              </w:rPr>
            </w:pPr>
            <w:r>
              <w:rPr>
                <w:color w:val="auto"/>
              </w:rPr>
              <w:t>900</w:t>
            </w:r>
          </w:p>
        </w:tc>
        <w:tc>
          <w:tcPr>
            <w:tcW w:w="835" w:type="pct"/>
            <w:gridSpan w:val="2"/>
            <w:tcBorders>
              <w:tl2br w:val="nil"/>
              <w:tr2bl w:val="nil"/>
            </w:tcBorders>
            <w:vAlign w:val="center"/>
          </w:tcPr>
          <w:p w14:paraId="4977681C">
            <w:pPr>
              <w:jc w:val="center"/>
              <w:rPr>
                <w:color w:val="auto"/>
              </w:rPr>
            </w:pPr>
            <w:r>
              <w:rPr>
                <w:color w:val="auto"/>
              </w:rPr>
              <w:t>2000</w:t>
            </w:r>
          </w:p>
        </w:tc>
      </w:tr>
      <w:tr w14:paraId="70219A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653C1805">
            <w:pPr>
              <w:jc w:val="center"/>
              <w:rPr>
                <w:color w:val="auto"/>
              </w:rPr>
            </w:pPr>
            <w:r>
              <w:rPr>
                <w:color w:val="auto"/>
              </w:rPr>
              <w:t>6</w:t>
            </w:r>
          </w:p>
        </w:tc>
        <w:tc>
          <w:tcPr>
            <w:tcW w:w="1415" w:type="pct"/>
            <w:tcBorders>
              <w:tl2br w:val="nil"/>
              <w:tr2bl w:val="nil"/>
            </w:tcBorders>
            <w:vAlign w:val="center"/>
          </w:tcPr>
          <w:p w14:paraId="4D726B21">
            <w:pPr>
              <w:jc w:val="center"/>
              <w:rPr>
                <w:color w:val="auto"/>
              </w:rPr>
            </w:pPr>
            <w:r>
              <w:rPr>
                <w:color w:val="auto"/>
              </w:rPr>
              <w:t>砷</w:t>
            </w:r>
          </w:p>
        </w:tc>
        <w:tc>
          <w:tcPr>
            <w:tcW w:w="1405" w:type="pct"/>
            <w:tcBorders>
              <w:tl2br w:val="nil"/>
              <w:tr2bl w:val="nil"/>
            </w:tcBorders>
            <w:vAlign w:val="center"/>
          </w:tcPr>
          <w:p w14:paraId="3984BFBC">
            <w:pPr>
              <w:jc w:val="center"/>
              <w:rPr>
                <w:color w:val="auto"/>
              </w:rPr>
            </w:pPr>
            <w:r>
              <w:rPr>
                <w:color w:val="auto"/>
              </w:rPr>
              <w:t>7440-38-2</w:t>
            </w:r>
          </w:p>
        </w:tc>
        <w:tc>
          <w:tcPr>
            <w:tcW w:w="820" w:type="pct"/>
            <w:tcBorders>
              <w:tl2br w:val="nil"/>
              <w:tr2bl w:val="nil"/>
            </w:tcBorders>
            <w:vAlign w:val="center"/>
          </w:tcPr>
          <w:p w14:paraId="34BC549B">
            <w:pPr>
              <w:jc w:val="center"/>
              <w:rPr>
                <w:color w:val="auto"/>
              </w:rPr>
            </w:pPr>
            <w:r>
              <w:rPr>
                <w:color w:val="auto"/>
              </w:rPr>
              <w:t>60</w:t>
            </w:r>
          </w:p>
        </w:tc>
        <w:tc>
          <w:tcPr>
            <w:tcW w:w="835" w:type="pct"/>
            <w:gridSpan w:val="2"/>
            <w:tcBorders>
              <w:tl2br w:val="nil"/>
              <w:tr2bl w:val="nil"/>
            </w:tcBorders>
            <w:vAlign w:val="center"/>
          </w:tcPr>
          <w:p w14:paraId="380698D3">
            <w:pPr>
              <w:jc w:val="center"/>
              <w:rPr>
                <w:color w:val="auto"/>
              </w:rPr>
            </w:pPr>
            <w:r>
              <w:rPr>
                <w:color w:val="auto"/>
              </w:rPr>
              <w:t>140</w:t>
            </w:r>
          </w:p>
        </w:tc>
      </w:tr>
      <w:tr w14:paraId="553D25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5429C9BA">
            <w:pPr>
              <w:jc w:val="center"/>
              <w:rPr>
                <w:color w:val="auto"/>
              </w:rPr>
            </w:pPr>
            <w:r>
              <w:rPr>
                <w:color w:val="auto"/>
              </w:rPr>
              <w:t>7</w:t>
            </w:r>
          </w:p>
        </w:tc>
        <w:tc>
          <w:tcPr>
            <w:tcW w:w="1415" w:type="pct"/>
            <w:tcBorders>
              <w:tl2br w:val="nil"/>
              <w:tr2bl w:val="nil"/>
            </w:tcBorders>
            <w:vAlign w:val="center"/>
          </w:tcPr>
          <w:p w14:paraId="622CB651">
            <w:pPr>
              <w:jc w:val="center"/>
              <w:rPr>
                <w:color w:val="auto"/>
              </w:rPr>
            </w:pPr>
            <w:r>
              <w:rPr>
                <w:color w:val="auto"/>
              </w:rPr>
              <w:t>铬（六价）</w:t>
            </w:r>
          </w:p>
        </w:tc>
        <w:tc>
          <w:tcPr>
            <w:tcW w:w="1405" w:type="pct"/>
            <w:tcBorders>
              <w:tl2br w:val="nil"/>
              <w:tr2bl w:val="nil"/>
            </w:tcBorders>
            <w:vAlign w:val="center"/>
          </w:tcPr>
          <w:p w14:paraId="685B21C8">
            <w:pPr>
              <w:jc w:val="center"/>
              <w:rPr>
                <w:color w:val="auto"/>
              </w:rPr>
            </w:pPr>
            <w:r>
              <w:rPr>
                <w:color w:val="auto"/>
              </w:rPr>
              <w:t>18540-29-9</w:t>
            </w:r>
          </w:p>
        </w:tc>
        <w:tc>
          <w:tcPr>
            <w:tcW w:w="820" w:type="pct"/>
            <w:tcBorders>
              <w:tl2br w:val="nil"/>
              <w:tr2bl w:val="nil"/>
            </w:tcBorders>
            <w:vAlign w:val="center"/>
          </w:tcPr>
          <w:p w14:paraId="0B2BE621">
            <w:pPr>
              <w:jc w:val="center"/>
              <w:rPr>
                <w:color w:val="auto"/>
              </w:rPr>
            </w:pPr>
            <w:r>
              <w:rPr>
                <w:color w:val="auto"/>
              </w:rPr>
              <w:t>5.7</w:t>
            </w:r>
          </w:p>
        </w:tc>
        <w:tc>
          <w:tcPr>
            <w:tcW w:w="835" w:type="pct"/>
            <w:gridSpan w:val="2"/>
            <w:tcBorders>
              <w:tl2br w:val="nil"/>
              <w:tr2bl w:val="nil"/>
            </w:tcBorders>
            <w:vAlign w:val="center"/>
          </w:tcPr>
          <w:p w14:paraId="2E2825C1">
            <w:pPr>
              <w:jc w:val="center"/>
              <w:rPr>
                <w:color w:val="auto"/>
              </w:rPr>
            </w:pPr>
            <w:r>
              <w:rPr>
                <w:color w:val="auto"/>
              </w:rPr>
              <w:t>78</w:t>
            </w:r>
          </w:p>
        </w:tc>
      </w:tr>
      <w:tr w14:paraId="48B2DF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000" w:type="pct"/>
            <w:gridSpan w:val="6"/>
            <w:tcBorders>
              <w:tl2br w:val="nil"/>
              <w:tr2bl w:val="nil"/>
            </w:tcBorders>
            <w:vAlign w:val="center"/>
          </w:tcPr>
          <w:p w14:paraId="25D71E51">
            <w:pPr>
              <w:jc w:val="center"/>
              <w:rPr>
                <w:color w:val="auto"/>
              </w:rPr>
            </w:pPr>
            <w:r>
              <w:rPr>
                <w:color w:val="auto"/>
              </w:rPr>
              <w:t>挥发性有机物</w:t>
            </w:r>
          </w:p>
        </w:tc>
      </w:tr>
      <w:tr w14:paraId="428ED2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1413F54">
            <w:pPr>
              <w:jc w:val="center"/>
              <w:rPr>
                <w:color w:val="auto"/>
              </w:rPr>
            </w:pPr>
            <w:r>
              <w:rPr>
                <w:color w:val="auto"/>
              </w:rPr>
              <w:t>8</w:t>
            </w:r>
          </w:p>
        </w:tc>
        <w:tc>
          <w:tcPr>
            <w:tcW w:w="1415" w:type="pct"/>
            <w:tcBorders>
              <w:tl2br w:val="nil"/>
              <w:tr2bl w:val="nil"/>
            </w:tcBorders>
            <w:vAlign w:val="center"/>
          </w:tcPr>
          <w:p w14:paraId="0F272A4C">
            <w:pPr>
              <w:jc w:val="center"/>
              <w:rPr>
                <w:color w:val="auto"/>
              </w:rPr>
            </w:pPr>
            <w:r>
              <w:rPr>
                <w:color w:val="auto"/>
              </w:rPr>
              <w:t>四氯化碳</w:t>
            </w:r>
          </w:p>
        </w:tc>
        <w:tc>
          <w:tcPr>
            <w:tcW w:w="1405" w:type="pct"/>
            <w:tcBorders>
              <w:tl2br w:val="nil"/>
              <w:tr2bl w:val="nil"/>
            </w:tcBorders>
            <w:vAlign w:val="center"/>
          </w:tcPr>
          <w:p w14:paraId="6C8E6299">
            <w:pPr>
              <w:jc w:val="center"/>
              <w:rPr>
                <w:color w:val="auto"/>
              </w:rPr>
            </w:pPr>
            <w:r>
              <w:rPr>
                <w:color w:val="auto"/>
              </w:rPr>
              <w:t>56-23-5</w:t>
            </w:r>
          </w:p>
        </w:tc>
        <w:tc>
          <w:tcPr>
            <w:tcW w:w="821" w:type="pct"/>
            <w:tcBorders>
              <w:tl2br w:val="nil"/>
              <w:tr2bl w:val="nil"/>
            </w:tcBorders>
            <w:vAlign w:val="center"/>
          </w:tcPr>
          <w:p w14:paraId="2D69823E">
            <w:pPr>
              <w:jc w:val="center"/>
              <w:rPr>
                <w:color w:val="auto"/>
              </w:rPr>
            </w:pPr>
            <w:r>
              <w:rPr>
                <w:color w:val="auto"/>
              </w:rPr>
              <w:t>2.8</w:t>
            </w:r>
          </w:p>
        </w:tc>
        <w:tc>
          <w:tcPr>
            <w:tcW w:w="834" w:type="pct"/>
            <w:gridSpan w:val="2"/>
            <w:tcBorders>
              <w:tl2br w:val="nil"/>
              <w:tr2bl w:val="nil"/>
            </w:tcBorders>
            <w:vAlign w:val="center"/>
          </w:tcPr>
          <w:p w14:paraId="43B64556">
            <w:pPr>
              <w:jc w:val="center"/>
              <w:rPr>
                <w:color w:val="auto"/>
              </w:rPr>
            </w:pPr>
            <w:r>
              <w:rPr>
                <w:color w:val="auto"/>
              </w:rPr>
              <w:t>36</w:t>
            </w:r>
          </w:p>
        </w:tc>
      </w:tr>
      <w:tr w14:paraId="48F00C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7C342569">
            <w:pPr>
              <w:jc w:val="center"/>
              <w:rPr>
                <w:color w:val="auto"/>
              </w:rPr>
            </w:pPr>
            <w:r>
              <w:rPr>
                <w:color w:val="auto"/>
              </w:rPr>
              <w:t>9</w:t>
            </w:r>
          </w:p>
        </w:tc>
        <w:tc>
          <w:tcPr>
            <w:tcW w:w="1415" w:type="pct"/>
            <w:tcBorders>
              <w:tl2br w:val="nil"/>
              <w:tr2bl w:val="nil"/>
            </w:tcBorders>
            <w:vAlign w:val="center"/>
          </w:tcPr>
          <w:p w14:paraId="778C17B1">
            <w:pPr>
              <w:jc w:val="center"/>
              <w:rPr>
                <w:color w:val="auto"/>
              </w:rPr>
            </w:pPr>
            <w:r>
              <w:rPr>
                <w:color w:val="auto"/>
              </w:rPr>
              <w:t>三氯甲烷</w:t>
            </w:r>
          </w:p>
        </w:tc>
        <w:tc>
          <w:tcPr>
            <w:tcW w:w="1405" w:type="pct"/>
            <w:tcBorders>
              <w:tl2br w:val="nil"/>
              <w:tr2bl w:val="nil"/>
            </w:tcBorders>
            <w:vAlign w:val="center"/>
          </w:tcPr>
          <w:p w14:paraId="5475C687">
            <w:pPr>
              <w:jc w:val="center"/>
              <w:rPr>
                <w:color w:val="auto"/>
              </w:rPr>
            </w:pPr>
            <w:r>
              <w:rPr>
                <w:color w:val="auto"/>
              </w:rPr>
              <w:t>67-66-3</w:t>
            </w:r>
          </w:p>
        </w:tc>
        <w:tc>
          <w:tcPr>
            <w:tcW w:w="821" w:type="pct"/>
            <w:tcBorders>
              <w:tl2br w:val="nil"/>
              <w:tr2bl w:val="nil"/>
            </w:tcBorders>
            <w:vAlign w:val="center"/>
          </w:tcPr>
          <w:p w14:paraId="454E122B">
            <w:pPr>
              <w:jc w:val="center"/>
              <w:rPr>
                <w:color w:val="auto"/>
              </w:rPr>
            </w:pPr>
            <w:r>
              <w:rPr>
                <w:color w:val="auto"/>
              </w:rPr>
              <w:t>0.9</w:t>
            </w:r>
          </w:p>
        </w:tc>
        <w:tc>
          <w:tcPr>
            <w:tcW w:w="834" w:type="pct"/>
            <w:gridSpan w:val="2"/>
            <w:tcBorders>
              <w:tl2br w:val="nil"/>
              <w:tr2bl w:val="nil"/>
            </w:tcBorders>
            <w:vAlign w:val="center"/>
          </w:tcPr>
          <w:p w14:paraId="5F1BCF64">
            <w:pPr>
              <w:jc w:val="center"/>
              <w:rPr>
                <w:color w:val="auto"/>
              </w:rPr>
            </w:pPr>
            <w:r>
              <w:rPr>
                <w:color w:val="auto"/>
              </w:rPr>
              <w:t>10</w:t>
            </w:r>
          </w:p>
        </w:tc>
      </w:tr>
      <w:tr w14:paraId="1F2263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3C09C361">
            <w:pPr>
              <w:jc w:val="center"/>
              <w:rPr>
                <w:color w:val="auto"/>
              </w:rPr>
            </w:pPr>
            <w:r>
              <w:rPr>
                <w:color w:val="auto"/>
              </w:rPr>
              <w:t>10</w:t>
            </w:r>
          </w:p>
        </w:tc>
        <w:tc>
          <w:tcPr>
            <w:tcW w:w="1415" w:type="pct"/>
            <w:tcBorders>
              <w:tl2br w:val="nil"/>
              <w:tr2bl w:val="nil"/>
            </w:tcBorders>
            <w:vAlign w:val="center"/>
          </w:tcPr>
          <w:p w14:paraId="5D99367B">
            <w:pPr>
              <w:jc w:val="center"/>
              <w:rPr>
                <w:color w:val="auto"/>
              </w:rPr>
            </w:pPr>
            <w:r>
              <w:rPr>
                <w:color w:val="auto"/>
              </w:rPr>
              <w:t>氯甲烷</w:t>
            </w:r>
          </w:p>
        </w:tc>
        <w:tc>
          <w:tcPr>
            <w:tcW w:w="1405" w:type="pct"/>
            <w:tcBorders>
              <w:tl2br w:val="nil"/>
              <w:tr2bl w:val="nil"/>
            </w:tcBorders>
            <w:vAlign w:val="center"/>
          </w:tcPr>
          <w:p w14:paraId="59CBE925">
            <w:pPr>
              <w:jc w:val="center"/>
              <w:rPr>
                <w:color w:val="auto"/>
              </w:rPr>
            </w:pPr>
            <w:r>
              <w:rPr>
                <w:color w:val="auto"/>
              </w:rPr>
              <w:t>74-87-3</w:t>
            </w:r>
          </w:p>
        </w:tc>
        <w:tc>
          <w:tcPr>
            <w:tcW w:w="821" w:type="pct"/>
            <w:tcBorders>
              <w:tl2br w:val="nil"/>
              <w:tr2bl w:val="nil"/>
            </w:tcBorders>
            <w:vAlign w:val="center"/>
          </w:tcPr>
          <w:p w14:paraId="7EBC0FD2">
            <w:pPr>
              <w:jc w:val="center"/>
              <w:rPr>
                <w:color w:val="auto"/>
              </w:rPr>
            </w:pPr>
            <w:r>
              <w:rPr>
                <w:color w:val="auto"/>
              </w:rPr>
              <w:t>37</w:t>
            </w:r>
          </w:p>
        </w:tc>
        <w:tc>
          <w:tcPr>
            <w:tcW w:w="834" w:type="pct"/>
            <w:gridSpan w:val="2"/>
            <w:tcBorders>
              <w:tl2br w:val="nil"/>
              <w:tr2bl w:val="nil"/>
            </w:tcBorders>
            <w:vAlign w:val="center"/>
          </w:tcPr>
          <w:p w14:paraId="0FB7F443">
            <w:pPr>
              <w:jc w:val="center"/>
              <w:rPr>
                <w:color w:val="auto"/>
              </w:rPr>
            </w:pPr>
            <w:r>
              <w:rPr>
                <w:color w:val="auto"/>
              </w:rPr>
              <w:t>120</w:t>
            </w:r>
          </w:p>
        </w:tc>
      </w:tr>
      <w:tr w14:paraId="20DF48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0548DE04">
            <w:pPr>
              <w:jc w:val="center"/>
              <w:rPr>
                <w:color w:val="auto"/>
              </w:rPr>
            </w:pPr>
            <w:r>
              <w:rPr>
                <w:color w:val="auto"/>
              </w:rPr>
              <w:t>11</w:t>
            </w:r>
          </w:p>
        </w:tc>
        <w:tc>
          <w:tcPr>
            <w:tcW w:w="1415" w:type="pct"/>
            <w:tcBorders>
              <w:tl2br w:val="nil"/>
              <w:tr2bl w:val="nil"/>
            </w:tcBorders>
            <w:vAlign w:val="center"/>
          </w:tcPr>
          <w:p w14:paraId="5779ECC9">
            <w:pPr>
              <w:jc w:val="center"/>
              <w:rPr>
                <w:color w:val="auto"/>
              </w:rPr>
            </w:pPr>
            <w:r>
              <w:rPr>
                <w:color w:val="auto"/>
              </w:rPr>
              <w:t>1,1-二氯乙烷</w:t>
            </w:r>
          </w:p>
        </w:tc>
        <w:tc>
          <w:tcPr>
            <w:tcW w:w="1405" w:type="pct"/>
            <w:tcBorders>
              <w:tl2br w:val="nil"/>
              <w:tr2bl w:val="nil"/>
            </w:tcBorders>
            <w:vAlign w:val="center"/>
          </w:tcPr>
          <w:p w14:paraId="7B7DB0BC">
            <w:pPr>
              <w:jc w:val="center"/>
              <w:rPr>
                <w:color w:val="auto"/>
              </w:rPr>
            </w:pPr>
            <w:r>
              <w:rPr>
                <w:color w:val="auto"/>
              </w:rPr>
              <w:t>75-34-3</w:t>
            </w:r>
          </w:p>
        </w:tc>
        <w:tc>
          <w:tcPr>
            <w:tcW w:w="821" w:type="pct"/>
            <w:tcBorders>
              <w:tl2br w:val="nil"/>
              <w:tr2bl w:val="nil"/>
            </w:tcBorders>
            <w:vAlign w:val="center"/>
          </w:tcPr>
          <w:p w14:paraId="1FF214B5">
            <w:pPr>
              <w:jc w:val="center"/>
              <w:rPr>
                <w:color w:val="auto"/>
              </w:rPr>
            </w:pPr>
            <w:r>
              <w:rPr>
                <w:color w:val="auto"/>
              </w:rPr>
              <w:t>9</w:t>
            </w:r>
          </w:p>
        </w:tc>
        <w:tc>
          <w:tcPr>
            <w:tcW w:w="834" w:type="pct"/>
            <w:gridSpan w:val="2"/>
            <w:tcBorders>
              <w:tl2br w:val="nil"/>
              <w:tr2bl w:val="nil"/>
            </w:tcBorders>
            <w:vAlign w:val="center"/>
          </w:tcPr>
          <w:p w14:paraId="251139B3">
            <w:pPr>
              <w:jc w:val="center"/>
              <w:rPr>
                <w:color w:val="auto"/>
              </w:rPr>
            </w:pPr>
            <w:r>
              <w:rPr>
                <w:color w:val="auto"/>
              </w:rPr>
              <w:t>100</w:t>
            </w:r>
          </w:p>
        </w:tc>
      </w:tr>
      <w:tr w14:paraId="1B2D02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30F19EE8">
            <w:pPr>
              <w:jc w:val="center"/>
              <w:rPr>
                <w:color w:val="auto"/>
              </w:rPr>
            </w:pPr>
            <w:r>
              <w:rPr>
                <w:color w:val="auto"/>
              </w:rPr>
              <w:t>12</w:t>
            </w:r>
          </w:p>
        </w:tc>
        <w:tc>
          <w:tcPr>
            <w:tcW w:w="1415" w:type="pct"/>
            <w:tcBorders>
              <w:tl2br w:val="nil"/>
              <w:tr2bl w:val="nil"/>
            </w:tcBorders>
            <w:vAlign w:val="center"/>
          </w:tcPr>
          <w:p w14:paraId="4069E506">
            <w:pPr>
              <w:jc w:val="center"/>
              <w:rPr>
                <w:color w:val="auto"/>
              </w:rPr>
            </w:pPr>
            <w:r>
              <w:rPr>
                <w:color w:val="auto"/>
              </w:rPr>
              <w:t>1,2-二氯乙烷</w:t>
            </w:r>
          </w:p>
        </w:tc>
        <w:tc>
          <w:tcPr>
            <w:tcW w:w="1405" w:type="pct"/>
            <w:tcBorders>
              <w:tl2br w:val="nil"/>
              <w:tr2bl w:val="nil"/>
            </w:tcBorders>
            <w:vAlign w:val="center"/>
          </w:tcPr>
          <w:p w14:paraId="3984009B">
            <w:pPr>
              <w:jc w:val="center"/>
              <w:rPr>
                <w:color w:val="auto"/>
              </w:rPr>
            </w:pPr>
            <w:r>
              <w:rPr>
                <w:color w:val="auto"/>
              </w:rPr>
              <w:t>107-06-2</w:t>
            </w:r>
          </w:p>
        </w:tc>
        <w:tc>
          <w:tcPr>
            <w:tcW w:w="821" w:type="pct"/>
            <w:tcBorders>
              <w:tl2br w:val="nil"/>
              <w:tr2bl w:val="nil"/>
            </w:tcBorders>
            <w:vAlign w:val="center"/>
          </w:tcPr>
          <w:p w14:paraId="18180397">
            <w:pPr>
              <w:jc w:val="center"/>
              <w:rPr>
                <w:color w:val="auto"/>
              </w:rPr>
            </w:pPr>
            <w:r>
              <w:rPr>
                <w:color w:val="auto"/>
              </w:rPr>
              <w:t>5</w:t>
            </w:r>
          </w:p>
        </w:tc>
        <w:tc>
          <w:tcPr>
            <w:tcW w:w="834" w:type="pct"/>
            <w:gridSpan w:val="2"/>
            <w:tcBorders>
              <w:tl2br w:val="nil"/>
              <w:tr2bl w:val="nil"/>
            </w:tcBorders>
            <w:vAlign w:val="center"/>
          </w:tcPr>
          <w:p w14:paraId="6C4E840E">
            <w:pPr>
              <w:jc w:val="center"/>
              <w:rPr>
                <w:color w:val="auto"/>
              </w:rPr>
            </w:pPr>
            <w:r>
              <w:rPr>
                <w:color w:val="auto"/>
              </w:rPr>
              <w:t>21</w:t>
            </w:r>
          </w:p>
        </w:tc>
      </w:tr>
      <w:tr w14:paraId="677988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28D41388">
            <w:pPr>
              <w:jc w:val="center"/>
              <w:rPr>
                <w:color w:val="auto"/>
              </w:rPr>
            </w:pPr>
            <w:r>
              <w:rPr>
                <w:color w:val="auto"/>
              </w:rPr>
              <w:t>13</w:t>
            </w:r>
          </w:p>
        </w:tc>
        <w:tc>
          <w:tcPr>
            <w:tcW w:w="1415" w:type="pct"/>
            <w:tcBorders>
              <w:tl2br w:val="nil"/>
              <w:tr2bl w:val="nil"/>
            </w:tcBorders>
            <w:vAlign w:val="center"/>
          </w:tcPr>
          <w:p w14:paraId="6AFE1F2C">
            <w:pPr>
              <w:jc w:val="center"/>
              <w:rPr>
                <w:color w:val="auto"/>
              </w:rPr>
            </w:pPr>
            <w:r>
              <w:rPr>
                <w:color w:val="auto"/>
              </w:rPr>
              <w:t>1,1-二氯乙烯</w:t>
            </w:r>
          </w:p>
        </w:tc>
        <w:tc>
          <w:tcPr>
            <w:tcW w:w="1405" w:type="pct"/>
            <w:tcBorders>
              <w:tl2br w:val="nil"/>
              <w:tr2bl w:val="nil"/>
            </w:tcBorders>
            <w:vAlign w:val="center"/>
          </w:tcPr>
          <w:p w14:paraId="31FEC1DD">
            <w:pPr>
              <w:jc w:val="center"/>
              <w:rPr>
                <w:color w:val="auto"/>
              </w:rPr>
            </w:pPr>
            <w:r>
              <w:rPr>
                <w:color w:val="auto"/>
              </w:rPr>
              <w:t>75-35-4</w:t>
            </w:r>
          </w:p>
        </w:tc>
        <w:tc>
          <w:tcPr>
            <w:tcW w:w="821" w:type="pct"/>
            <w:tcBorders>
              <w:tl2br w:val="nil"/>
              <w:tr2bl w:val="nil"/>
            </w:tcBorders>
            <w:vAlign w:val="center"/>
          </w:tcPr>
          <w:p w14:paraId="155FFDE6">
            <w:pPr>
              <w:jc w:val="center"/>
              <w:rPr>
                <w:color w:val="auto"/>
              </w:rPr>
            </w:pPr>
            <w:r>
              <w:rPr>
                <w:color w:val="auto"/>
              </w:rPr>
              <w:t>66</w:t>
            </w:r>
          </w:p>
        </w:tc>
        <w:tc>
          <w:tcPr>
            <w:tcW w:w="834" w:type="pct"/>
            <w:gridSpan w:val="2"/>
            <w:tcBorders>
              <w:tl2br w:val="nil"/>
              <w:tr2bl w:val="nil"/>
            </w:tcBorders>
            <w:vAlign w:val="center"/>
          </w:tcPr>
          <w:p w14:paraId="1E9C2664">
            <w:pPr>
              <w:jc w:val="center"/>
              <w:rPr>
                <w:color w:val="auto"/>
              </w:rPr>
            </w:pPr>
            <w:r>
              <w:rPr>
                <w:color w:val="auto"/>
              </w:rPr>
              <w:t>200</w:t>
            </w:r>
          </w:p>
        </w:tc>
      </w:tr>
      <w:tr w14:paraId="28ECC8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3C85865E">
            <w:pPr>
              <w:jc w:val="center"/>
              <w:rPr>
                <w:color w:val="auto"/>
              </w:rPr>
            </w:pPr>
            <w:r>
              <w:rPr>
                <w:color w:val="auto"/>
              </w:rPr>
              <w:t>14</w:t>
            </w:r>
          </w:p>
        </w:tc>
        <w:tc>
          <w:tcPr>
            <w:tcW w:w="1415" w:type="pct"/>
            <w:tcBorders>
              <w:tl2br w:val="nil"/>
              <w:tr2bl w:val="nil"/>
            </w:tcBorders>
            <w:vAlign w:val="center"/>
          </w:tcPr>
          <w:p w14:paraId="6980A16F">
            <w:pPr>
              <w:jc w:val="center"/>
              <w:rPr>
                <w:color w:val="auto"/>
              </w:rPr>
            </w:pPr>
            <w:r>
              <w:rPr>
                <w:color w:val="auto"/>
              </w:rPr>
              <w:t>顺-1,2-二氯乙烯</w:t>
            </w:r>
          </w:p>
        </w:tc>
        <w:tc>
          <w:tcPr>
            <w:tcW w:w="1405" w:type="pct"/>
            <w:tcBorders>
              <w:tl2br w:val="nil"/>
              <w:tr2bl w:val="nil"/>
            </w:tcBorders>
            <w:vAlign w:val="center"/>
          </w:tcPr>
          <w:p w14:paraId="06BDFEA3">
            <w:pPr>
              <w:jc w:val="center"/>
              <w:rPr>
                <w:color w:val="auto"/>
              </w:rPr>
            </w:pPr>
            <w:r>
              <w:rPr>
                <w:color w:val="auto"/>
              </w:rPr>
              <w:t>156-59-2</w:t>
            </w:r>
          </w:p>
        </w:tc>
        <w:tc>
          <w:tcPr>
            <w:tcW w:w="821" w:type="pct"/>
            <w:tcBorders>
              <w:tl2br w:val="nil"/>
              <w:tr2bl w:val="nil"/>
            </w:tcBorders>
            <w:vAlign w:val="center"/>
          </w:tcPr>
          <w:p w14:paraId="41DE687D">
            <w:pPr>
              <w:jc w:val="center"/>
              <w:rPr>
                <w:color w:val="auto"/>
              </w:rPr>
            </w:pPr>
            <w:r>
              <w:rPr>
                <w:color w:val="auto"/>
              </w:rPr>
              <w:t>596</w:t>
            </w:r>
          </w:p>
        </w:tc>
        <w:tc>
          <w:tcPr>
            <w:tcW w:w="834" w:type="pct"/>
            <w:gridSpan w:val="2"/>
            <w:tcBorders>
              <w:tl2br w:val="nil"/>
              <w:tr2bl w:val="nil"/>
            </w:tcBorders>
            <w:vAlign w:val="center"/>
          </w:tcPr>
          <w:p w14:paraId="0C5B62DF">
            <w:pPr>
              <w:jc w:val="center"/>
              <w:rPr>
                <w:color w:val="auto"/>
              </w:rPr>
            </w:pPr>
            <w:r>
              <w:rPr>
                <w:color w:val="auto"/>
              </w:rPr>
              <w:t>2000</w:t>
            </w:r>
          </w:p>
        </w:tc>
      </w:tr>
      <w:tr w14:paraId="6CCD3C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ECA09ED">
            <w:pPr>
              <w:jc w:val="center"/>
              <w:rPr>
                <w:color w:val="auto"/>
              </w:rPr>
            </w:pPr>
            <w:r>
              <w:rPr>
                <w:color w:val="auto"/>
              </w:rPr>
              <w:t>15</w:t>
            </w:r>
          </w:p>
        </w:tc>
        <w:tc>
          <w:tcPr>
            <w:tcW w:w="1415" w:type="pct"/>
            <w:tcBorders>
              <w:tl2br w:val="nil"/>
              <w:tr2bl w:val="nil"/>
            </w:tcBorders>
            <w:vAlign w:val="center"/>
          </w:tcPr>
          <w:p w14:paraId="47EB8D0F">
            <w:pPr>
              <w:jc w:val="center"/>
              <w:rPr>
                <w:color w:val="auto"/>
              </w:rPr>
            </w:pPr>
            <w:r>
              <w:rPr>
                <w:color w:val="auto"/>
              </w:rPr>
              <w:t>反-1,2-二氯乙烯</w:t>
            </w:r>
          </w:p>
        </w:tc>
        <w:tc>
          <w:tcPr>
            <w:tcW w:w="1405" w:type="pct"/>
            <w:tcBorders>
              <w:tl2br w:val="nil"/>
              <w:tr2bl w:val="nil"/>
            </w:tcBorders>
            <w:vAlign w:val="center"/>
          </w:tcPr>
          <w:p w14:paraId="328F48A0">
            <w:pPr>
              <w:jc w:val="center"/>
              <w:rPr>
                <w:color w:val="auto"/>
              </w:rPr>
            </w:pPr>
            <w:r>
              <w:rPr>
                <w:color w:val="auto"/>
              </w:rPr>
              <w:t>156-60-2</w:t>
            </w:r>
          </w:p>
        </w:tc>
        <w:tc>
          <w:tcPr>
            <w:tcW w:w="821" w:type="pct"/>
            <w:tcBorders>
              <w:tl2br w:val="nil"/>
              <w:tr2bl w:val="nil"/>
            </w:tcBorders>
            <w:vAlign w:val="center"/>
          </w:tcPr>
          <w:p w14:paraId="3DE1E33D">
            <w:pPr>
              <w:jc w:val="center"/>
              <w:rPr>
                <w:color w:val="auto"/>
              </w:rPr>
            </w:pPr>
            <w:r>
              <w:rPr>
                <w:color w:val="auto"/>
              </w:rPr>
              <w:t>54</w:t>
            </w:r>
          </w:p>
        </w:tc>
        <w:tc>
          <w:tcPr>
            <w:tcW w:w="834" w:type="pct"/>
            <w:gridSpan w:val="2"/>
            <w:tcBorders>
              <w:tl2br w:val="nil"/>
              <w:tr2bl w:val="nil"/>
            </w:tcBorders>
            <w:vAlign w:val="center"/>
          </w:tcPr>
          <w:p w14:paraId="1DD76F15">
            <w:pPr>
              <w:jc w:val="center"/>
              <w:rPr>
                <w:color w:val="auto"/>
              </w:rPr>
            </w:pPr>
            <w:r>
              <w:rPr>
                <w:color w:val="auto"/>
              </w:rPr>
              <w:t>163</w:t>
            </w:r>
          </w:p>
        </w:tc>
      </w:tr>
      <w:tr w14:paraId="2D2318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8A5BC84">
            <w:pPr>
              <w:jc w:val="center"/>
              <w:rPr>
                <w:color w:val="auto"/>
              </w:rPr>
            </w:pPr>
            <w:r>
              <w:rPr>
                <w:color w:val="auto"/>
              </w:rPr>
              <w:t>16</w:t>
            </w:r>
          </w:p>
        </w:tc>
        <w:tc>
          <w:tcPr>
            <w:tcW w:w="1415" w:type="pct"/>
            <w:tcBorders>
              <w:tl2br w:val="nil"/>
              <w:tr2bl w:val="nil"/>
            </w:tcBorders>
            <w:vAlign w:val="center"/>
          </w:tcPr>
          <w:p w14:paraId="293DC4BC">
            <w:pPr>
              <w:jc w:val="center"/>
              <w:rPr>
                <w:color w:val="auto"/>
              </w:rPr>
            </w:pPr>
            <w:r>
              <w:rPr>
                <w:color w:val="auto"/>
              </w:rPr>
              <w:t>二氯甲烷</w:t>
            </w:r>
          </w:p>
        </w:tc>
        <w:tc>
          <w:tcPr>
            <w:tcW w:w="1405" w:type="pct"/>
            <w:tcBorders>
              <w:tl2br w:val="nil"/>
              <w:tr2bl w:val="nil"/>
            </w:tcBorders>
            <w:vAlign w:val="center"/>
          </w:tcPr>
          <w:p w14:paraId="41B11D4A">
            <w:pPr>
              <w:jc w:val="center"/>
              <w:rPr>
                <w:color w:val="auto"/>
              </w:rPr>
            </w:pPr>
            <w:r>
              <w:rPr>
                <w:color w:val="auto"/>
              </w:rPr>
              <w:t>75-09-2</w:t>
            </w:r>
          </w:p>
        </w:tc>
        <w:tc>
          <w:tcPr>
            <w:tcW w:w="821" w:type="pct"/>
            <w:tcBorders>
              <w:tl2br w:val="nil"/>
              <w:tr2bl w:val="nil"/>
            </w:tcBorders>
            <w:vAlign w:val="center"/>
          </w:tcPr>
          <w:p w14:paraId="42BD742D">
            <w:pPr>
              <w:jc w:val="center"/>
              <w:rPr>
                <w:color w:val="auto"/>
              </w:rPr>
            </w:pPr>
            <w:r>
              <w:rPr>
                <w:color w:val="auto"/>
              </w:rPr>
              <w:t>616</w:t>
            </w:r>
          </w:p>
        </w:tc>
        <w:tc>
          <w:tcPr>
            <w:tcW w:w="834" w:type="pct"/>
            <w:gridSpan w:val="2"/>
            <w:tcBorders>
              <w:tl2br w:val="nil"/>
              <w:tr2bl w:val="nil"/>
            </w:tcBorders>
            <w:vAlign w:val="center"/>
          </w:tcPr>
          <w:p w14:paraId="791EC972">
            <w:pPr>
              <w:jc w:val="center"/>
              <w:rPr>
                <w:color w:val="auto"/>
              </w:rPr>
            </w:pPr>
            <w:r>
              <w:rPr>
                <w:color w:val="auto"/>
              </w:rPr>
              <w:t>2000</w:t>
            </w:r>
          </w:p>
        </w:tc>
      </w:tr>
      <w:tr w14:paraId="3BC54B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3664F549">
            <w:pPr>
              <w:jc w:val="center"/>
              <w:rPr>
                <w:color w:val="auto"/>
              </w:rPr>
            </w:pPr>
            <w:r>
              <w:rPr>
                <w:color w:val="auto"/>
              </w:rPr>
              <w:t>17</w:t>
            </w:r>
          </w:p>
        </w:tc>
        <w:tc>
          <w:tcPr>
            <w:tcW w:w="1415" w:type="pct"/>
            <w:tcBorders>
              <w:tl2br w:val="nil"/>
              <w:tr2bl w:val="nil"/>
            </w:tcBorders>
            <w:vAlign w:val="center"/>
          </w:tcPr>
          <w:p w14:paraId="5A22BC4C">
            <w:pPr>
              <w:jc w:val="center"/>
              <w:rPr>
                <w:color w:val="auto"/>
              </w:rPr>
            </w:pPr>
            <w:r>
              <w:rPr>
                <w:color w:val="auto"/>
              </w:rPr>
              <w:t>1,2-二氯丙烷</w:t>
            </w:r>
          </w:p>
        </w:tc>
        <w:tc>
          <w:tcPr>
            <w:tcW w:w="1405" w:type="pct"/>
            <w:tcBorders>
              <w:tl2br w:val="nil"/>
              <w:tr2bl w:val="nil"/>
            </w:tcBorders>
            <w:vAlign w:val="center"/>
          </w:tcPr>
          <w:p w14:paraId="019E9418">
            <w:pPr>
              <w:jc w:val="center"/>
              <w:rPr>
                <w:color w:val="auto"/>
              </w:rPr>
            </w:pPr>
            <w:r>
              <w:rPr>
                <w:color w:val="auto"/>
              </w:rPr>
              <w:t>78-87-5</w:t>
            </w:r>
          </w:p>
        </w:tc>
        <w:tc>
          <w:tcPr>
            <w:tcW w:w="821" w:type="pct"/>
            <w:tcBorders>
              <w:tl2br w:val="nil"/>
              <w:tr2bl w:val="nil"/>
            </w:tcBorders>
            <w:vAlign w:val="center"/>
          </w:tcPr>
          <w:p w14:paraId="3BA40016">
            <w:pPr>
              <w:jc w:val="center"/>
              <w:rPr>
                <w:color w:val="auto"/>
              </w:rPr>
            </w:pPr>
            <w:r>
              <w:rPr>
                <w:color w:val="auto"/>
              </w:rPr>
              <w:t>5</w:t>
            </w:r>
          </w:p>
        </w:tc>
        <w:tc>
          <w:tcPr>
            <w:tcW w:w="834" w:type="pct"/>
            <w:gridSpan w:val="2"/>
            <w:tcBorders>
              <w:tl2br w:val="nil"/>
              <w:tr2bl w:val="nil"/>
            </w:tcBorders>
            <w:vAlign w:val="center"/>
          </w:tcPr>
          <w:p w14:paraId="1DA41BA5">
            <w:pPr>
              <w:jc w:val="center"/>
              <w:rPr>
                <w:color w:val="auto"/>
              </w:rPr>
            </w:pPr>
            <w:r>
              <w:rPr>
                <w:color w:val="auto"/>
              </w:rPr>
              <w:t>47</w:t>
            </w:r>
          </w:p>
        </w:tc>
      </w:tr>
      <w:tr w14:paraId="26A9DC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ADF0D33">
            <w:pPr>
              <w:jc w:val="center"/>
              <w:rPr>
                <w:color w:val="auto"/>
              </w:rPr>
            </w:pPr>
            <w:r>
              <w:rPr>
                <w:color w:val="auto"/>
              </w:rPr>
              <w:t>18</w:t>
            </w:r>
          </w:p>
        </w:tc>
        <w:tc>
          <w:tcPr>
            <w:tcW w:w="1415" w:type="pct"/>
            <w:tcBorders>
              <w:tl2br w:val="nil"/>
              <w:tr2bl w:val="nil"/>
            </w:tcBorders>
            <w:vAlign w:val="center"/>
          </w:tcPr>
          <w:p w14:paraId="7A0A0E74">
            <w:pPr>
              <w:jc w:val="center"/>
              <w:rPr>
                <w:color w:val="auto"/>
              </w:rPr>
            </w:pPr>
            <w:r>
              <w:rPr>
                <w:color w:val="auto"/>
              </w:rPr>
              <w:t>1,1,1,2-四氯乙烷</w:t>
            </w:r>
          </w:p>
        </w:tc>
        <w:tc>
          <w:tcPr>
            <w:tcW w:w="1405" w:type="pct"/>
            <w:tcBorders>
              <w:tl2br w:val="nil"/>
              <w:tr2bl w:val="nil"/>
            </w:tcBorders>
            <w:vAlign w:val="center"/>
          </w:tcPr>
          <w:p w14:paraId="6ED9696E">
            <w:pPr>
              <w:jc w:val="center"/>
              <w:rPr>
                <w:color w:val="auto"/>
              </w:rPr>
            </w:pPr>
            <w:r>
              <w:rPr>
                <w:color w:val="auto"/>
              </w:rPr>
              <w:t>630-20-6</w:t>
            </w:r>
          </w:p>
        </w:tc>
        <w:tc>
          <w:tcPr>
            <w:tcW w:w="821" w:type="pct"/>
            <w:tcBorders>
              <w:tl2br w:val="nil"/>
              <w:tr2bl w:val="nil"/>
            </w:tcBorders>
            <w:vAlign w:val="center"/>
          </w:tcPr>
          <w:p w14:paraId="25AE9361">
            <w:pPr>
              <w:jc w:val="center"/>
              <w:rPr>
                <w:color w:val="auto"/>
              </w:rPr>
            </w:pPr>
            <w:r>
              <w:rPr>
                <w:color w:val="auto"/>
              </w:rPr>
              <w:t>10</w:t>
            </w:r>
          </w:p>
        </w:tc>
        <w:tc>
          <w:tcPr>
            <w:tcW w:w="834" w:type="pct"/>
            <w:gridSpan w:val="2"/>
            <w:tcBorders>
              <w:tl2br w:val="nil"/>
              <w:tr2bl w:val="nil"/>
            </w:tcBorders>
            <w:vAlign w:val="center"/>
          </w:tcPr>
          <w:p w14:paraId="3558B1CD">
            <w:pPr>
              <w:jc w:val="center"/>
              <w:rPr>
                <w:color w:val="auto"/>
              </w:rPr>
            </w:pPr>
            <w:r>
              <w:rPr>
                <w:color w:val="auto"/>
              </w:rPr>
              <w:t>100</w:t>
            </w:r>
          </w:p>
        </w:tc>
      </w:tr>
      <w:tr w14:paraId="5EBE11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5D89F600">
            <w:pPr>
              <w:jc w:val="center"/>
              <w:rPr>
                <w:color w:val="auto"/>
              </w:rPr>
            </w:pPr>
            <w:r>
              <w:rPr>
                <w:color w:val="auto"/>
              </w:rPr>
              <w:t>19</w:t>
            </w:r>
          </w:p>
        </w:tc>
        <w:tc>
          <w:tcPr>
            <w:tcW w:w="1415" w:type="pct"/>
            <w:tcBorders>
              <w:tl2br w:val="nil"/>
              <w:tr2bl w:val="nil"/>
            </w:tcBorders>
            <w:vAlign w:val="center"/>
          </w:tcPr>
          <w:p w14:paraId="10AF4C4C">
            <w:pPr>
              <w:jc w:val="center"/>
              <w:rPr>
                <w:color w:val="auto"/>
              </w:rPr>
            </w:pPr>
            <w:r>
              <w:rPr>
                <w:color w:val="auto"/>
              </w:rPr>
              <w:t>1,1,2,2-四氯乙烷</w:t>
            </w:r>
          </w:p>
        </w:tc>
        <w:tc>
          <w:tcPr>
            <w:tcW w:w="1405" w:type="pct"/>
            <w:tcBorders>
              <w:tl2br w:val="nil"/>
              <w:tr2bl w:val="nil"/>
            </w:tcBorders>
            <w:vAlign w:val="center"/>
          </w:tcPr>
          <w:p w14:paraId="300EC179">
            <w:pPr>
              <w:jc w:val="center"/>
              <w:rPr>
                <w:color w:val="auto"/>
              </w:rPr>
            </w:pPr>
            <w:r>
              <w:rPr>
                <w:color w:val="auto"/>
              </w:rPr>
              <w:t>79-34-5</w:t>
            </w:r>
          </w:p>
        </w:tc>
        <w:tc>
          <w:tcPr>
            <w:tcW w:w="821" w:type="pct"/>
            <w:tcBorders>
              <w:tl2br w:val="nil"/>
              <w:tr2bl w:val="nil"/>
            </w:tcBorders>
            <w:vAlign w:val="center"/>
          </w:tcPr>
          <w:p w14:paraId="41210BD5">
            <w:pPr>
              <w:jc w:val="center"/>
              <w:rPr>
                <w:color w:val="auto"/>
              </w:rPr>
            </w:pPr>
            <w:r>
              <w:rPr>
                <w:color w:val="auto"/>
              </w:rPr>
              <w:t>6.8</w:t>
            </w:r>
          </w:p>
        </w:tc>
        <w:tc>
          <w:tcPr>
            <w:tcW w:w="834" w:type="pct"/>
            <w:gridSpan w:val="2"/>
            <w:tcBorders>
              <w:tl2br w:val="nil"/>
              <w:tr2bl w:val="nil"/>
            </w:tcBorders>
            <w:vAlign w:val="center"/>
          </w:tcPr>
          <w:p w14:paraId="2BCFD228">
            <w:pPr>
              <w:jc w:val="center"/>
              <w:rPr>
                <w:color w:val="auto"/>
              </w:rPr>
            </w:pPr>
            <w:r>
              <w:rPr>
                <w:color w:val="auto"/>
              </w:rPr>
              <w:t>50</w:t>
            </w:r>
          </w:p>
        </w:tc>
      </w:tr>
      <w:tr w14:paraId="2CEC31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3CC3E482">
            <w:pPr>
              <w:jc w:val="center"/>
              <w:rPr>
                <w:color w:val="auto"/>
              </w:rPr>
            </w:pPr>
            <w:r>
              <w:rPr>
                <w:color w:val="auto"/>
              </w:rPr>
              <w:t>20</w:t>
            </w:r>
          </w:p>
        </w:tc>
        <w:tc>
          <w:tcPr>
            <w:tcW w:w="1415" w:type="pct"/>
            <w:tcBorders>
              <w:tl2br w:val="nil"/>
              <w:tr2bl w:val="nil"/>
            </w:tcBorders>
            <w:vAlign w:val="center"/>
          </w:tcPr>
          <w:p w14:paraId="42221669">
            <w:pPr>
              <w:jc w:val="center"/>
              <w:rPr>
                <w:color w:val="auto"/>
              </w:rPr>
            </w:pPr>
            <w:r>
              <w:rPr>
                <w:color w:val="auto"/>
              </w:rPr>
              <w:t>四氯乙烯</w:t>
            </w:r>
          </w:p>
        </w:tc>
        <w:tc>
          <w:tcPr>
            <w:tcW w:w="1405" w:type="pct"/>
            <w:tcBorders>
              <w:tl2br w:val="nil"/>
              <w:tr2bl w:val="nil"/>
            </w:tcBorders>
            <w:vAlign w:val="center"/>
          </w:tcPr>
          <w:p w14:paraId="30C2830D">
            <w:pPr>
              <w:jc w:val="center"/>
              <w:rPr>
                <w:color w:val="auto"/>
              </w:rPr>
            </w:pPr>
            <w:r>
              <w:rPr>
                <w:color w:val="auto"/>
              </w:rPr>
              <w:t>127-18-4</w:t>
            </w:r>
          </w:p>
        </w:tc>
        <w:tc>
          <w:tcPr>
            <w:tcW w:w="821" w:type="pct"/>
            <w:tcBorders>
              <w:tl2br w:val="nil"/>
              <w:tr2bl w:val="nil"/>
            </w:tcBorders>
            <w:vAlign w:val="center"/>
          </w:tcPr>
          <w:p w14:paraId="312A5973">
            <w:pPr>
              <w:jc w:val="center"/>
              <w:rPr>
                <w:color w:val="auto"/>
              </w:rPr>
            </w:pPr>
            <w:r>
              <w:rPr>
                <w:color w:val="auto"/>
              </w:rPr>
              <w:t>53</w:t>
            </w:r>
          </w:p>
        </w:tc>
        <w:tc>
          <w:tcPr>
            <w:tcW w:w="834" w:type="pct"/>
            <w:gridSpan w:val="2"/>
            <w:tcBorders>
              <w:tl2br w:val="nil"/>
              <w:tr2bl w:val="nil"/>
            </w:tcBorders>
            <w:vAlign w:val="center"/>
          </w:tcPr>
          <w:p w14:paraId="40B64E72">
            <w:pPr>
              <w:jc w:val="center"/>
              <w:rPr>
                <w:color w:val="auto"/>
              </w:rPr>
            </w:pPr>
            <w:r>
              <w:rPr>
                <w:color w:val="auto"/>
              </w:rPr>
              <w:t>183</w:t>
            </w:r>
          </w:p>
        </w:tc>
      </w:tr>
      <w:tr w14:paraId="51C7B3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7C3B6209">
            <w:pPr>
              <w:jc w:val="center"/>
              <w:rPr>
                <w:color w:val="auto"/>
              </w:rPr>
            </w:pPr>
            <w:r>
              <w:rPr>
                <w:color w:val="auto"/>
              </w:rPr>
              <w:t>21</w:t>
            </w:r>
          </w:p>
        </w:tc>
        <w:tc>
          <w:tcPr>
            <w:tcW w:w="1415" w:type="pct"/>
            <w:tcBorders>
              <w:tl2br w:val="nil"/>
              <w:tr2bl w:val="nil"/>
            </w:tcBorders>
            <w:vAlign w:val="center"/>
          </w:tcPr>
          <w:p w14:paraId="0D2CF473">
            <w:pPr>
              <w:jc w:val="center"/>
              <w:rPr>
                <w:color w:val="auto"/>
              </w:rPr>
            </w:pPr>
            <w:r>
              <w:rPr>
                <w:color w:val="auto"/>
              </w:rPr>
              <w:t>1,1,1-三氯乙烷</w:t>
            </w:r>
          </w:p>
        </w:tc>
        <w:tc>
          <w:tcPr>
            <w:tcW w:w="1405" w:type="pct"/>
            <w:tcBorders>
              <w:tl2br w:val="nil"/>
              <w:tr2bl w:val="nil"/>
            </w:tcBorders>
            <w:vAlign w:val="center"/>
          </w:tcPr>
          <w:p w14:paraId="10AA98F3">
            <w:pPr>
              <w:jc w:val="center"/>
              <w:rPr>
                <w:color w:val="auto"/>
              </w:rPr>
            </w:pPr>
            <w:r>
              <w:rPr>
                <w:color w:val="auto"/>
              </w:rPr>
              <w:t>71-55-6</w:t>
            </w:r>
          </w:p>
        </w:tc>
        <w:tc>
          <w:tcPr>
            <w:tcW w:w="821" w:type="pct"/>
            <w:tcBorders>
              <w:tl2br w:val="nil"/>
              <w:tr2bl w:val="nil"/>
            </w:tcBorders>
            <w:vAlign w:val="center"/>
          </w:tcPr>
          <w:p w14:paraId="7BBA6C74">
            <w:pPr>
              <w:jc w:val="center"/>
              <w:rPr>
                <w:color w:val="auto"/>
              </w:rPr>
            </w:pPr>
            <w:r>
              <w:rPr>
                <w:color w:val="auto"/>
              </w:rPr>
              <w:t>840</w:t>
            </w:r>
          </w:p>
        </w:tc>
        <w:tc>
          <w:tcPr>
            <w:tcW w:w="834" w:type="pct"/>
            <w:gridSpan w:val="2"/>
            <w:tcBorders>
              <w:tl2br w:val="nil"/>
              <w:tr2bl w:val="nil"/>
            </w:tcBorders>
            <w:vAlign w:val="center"/>
          </w:tcPr>
          <w:p w14:paraId="39DF979A">
            <w:pPr>
              <w:jc w:val="center"/>
              <w:rPr>
                <w:color w:val="auto"/>
              </w:rPr>
            </w:pPr>
            <w:r>
              <w:rPr>
                <w:color w:val="auto"/>
              </w:rPr>
              <w:t>840</w:t>
            </w:r>
          </w:p>
        </w:tc>
      </w:tr>
      <w:tr w14:paraId="7A0397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75387DAD">
            <w:pPr>
              <w:jc w:val="center"/>
              <w:rPr>
                <w:color w:val="auto"/>
              </w:rPr>
            </w:pPr>
            <w:r>
              <w:rPr>
                <w:color w:val="auto"/>
              </w:rPr>
              <w:t>22</w:t>
            </w:r>
          </w:p>
        </w:tc>
        <w:tc>
          <w:tcPr>
            <w:tcW w:w="1415" w:type="pct"/>
            <w:tcBorders>
              <w:tl2br w:val="nil"/>
              <w:tr2bl w:val="nil"/>
            </w:tcBorders>
            <w:vAlign w:val="center"/>
          </w:tcPr>
          <w:p w14:paraId="133A4AF7">
            <w:pPr>
              <w:jc w:val="center"/>
              <w:rPr>
                <w:color w:val="auto"/>
              </w:rPr>
            </w:pPr>
            <w:r>
              <w:rPr>
                <w:color w:val="auto"/>
              </w:rPr>
              <w:t>1,1,2-三氯乙烷</w:t>
            </w:r>
          </w:p>
        </w:tc>
        <w:tc>
          <w:tcPr>
            <w:tcW w:w="1405" w:type="pct"/>
            <w:tcBorders>
              <w:tl2br w:val="nil"/>
              <w:tr2bl w:val="nil"/>
            </w:tcBorders>
            <w:vAlign w:val="center"/>
          </w:tcPr>
          <w:p w14:paraId="3E5A959C">
            <w:pPr>
              <w:jc w:val="center"/>
              <w:rPr>
                <w:color w:val="auto"/>
              </w:rPr>
            </w:pPr>
            <w:r>
              <w:rPr>
                <w:color w:val="auto"/>
              </w:rPr>
              <w:t>79-00-5</w:t>
            </w:r>
          </w:p>
        </w:tc>
        <w:tc>
          <w:tcPr>
            <w:tcW w:w="821" w:type="pct"/>
            <w:tcBorders>
              <w:tl2br w:val="nil"/>
              <w:tr2bl w:val="nil"/>
            </w:tcBorders>
            <w:vAlign w:val="center"/>
          </w:tcPr>
          <w:p w14:paraId="342A5E22">
            <w:pPr>
              <w:jc w:val="center"/>
              <w:rPr>
                <w:color w:val="auto"/>
              </w:rPr>
            </w:pPr>
            <w:r>
              <w:rPr>
                <w:color w:val="auto"/>
              </w:rPr>
              <w:t>2.8</w:t>
            </w:r>
          </w:p>
        </w:tc>
        <w:tc>
          <w:tcPr>
            <w:tcW w:w="834" w:type="pct"/>
            <w:gridSpan w:val="2"/>
            <w:tcBorders>
              <w:tl2br w:val="nil"/>
              <w:tr2bl w:val="nil"/>
            </w:tcBorders>
            <w:vAlign w:val="center"/>
          </w:tcPr>
          <w:p w14:paraId="586A1DBC">
            <w:pPr>
              <w:jc w:val="center"/>
              <w:rPr>
                <w:color w:val="auto"/>
              </w:rPr>
            </w:pPr>
            <w:r>
              <w:rPr>
                <w:color w:val="auto"/>
              </w:rPr>
              <w:t>15</w:t>
            </w:r>
          </w:p>
        </w:tc>
      </w:tr>
      <w:tr w14:paraId="06106C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76E75441">
            <w:pPr>
              <w:jc w:val="center"/>
              <w:rPr>
                <w:color w:val="auto"/>
              </w:rPr>
            </w:pPr>
            <w:r>
              <w:rPr>
                <w:color w:val="auto"/>
              </w:rPr>
              <w:t>23</w:t>
            </w:r>
          </w:p>
        </w:tc>
        <w:tc>
          <w:tcPr>
            <w:tcW w:w="1415" w:type="pct"/>
            <w:tcBorders>
              <w:tl2br w:val="nil"/>
              <w:tr2bl w:val="nil"/>
            </w:tcBorders>
            <w:vAlign w:val="center"/>
          </w:tcPr>
          <w:p w14:paraId="23982BA4">
            <w:pPr>
              <w:jc w:val="center"/>
              <w:rPr>
                <w:color w:val="auto"/>
              </w:rPr>
            </w:pPr>
            <w:r>
              <w:rPr>
                <w:color w:val="auto"/>
              </w:rPr>
              <w:t>三氯乙烯</w:t>
            </w:r>
          </w:p>
        </w:tc>
        <w:tc>
          <w:tcPr>
            <w:tcW w:w="1405" w:type="pct"/>
            <w:tcBorders>
              <w:tl2br w:val="nil"/>
              <w:tr2bl w:val="nil"/>
            </w:tcBorders>
            <w:vAlign w:val="center"/>
          </w:tcPr>
          <w:p w14:paraId="1FCEE6F5">
            <w:pPr>
              <w:jc w:val="center"/>
              <w:rPr>
                <w:color w:val="auto"/>
              </w:rPr>
            </w:pPr>
            <w:r>
              <w:rPr>
                <w:color w:val="auto"/>
              </w:rPr>
              <w:t>79-01-6</w:t>
            </w:r>
          </w:p>
        </w:tc>
        <w:tc>
          <w:tcPr>
            <w:tcW w:w="821" w:type="pct"/>
            <w:tcBorders>
              <w:tl2br w:val="nil"/>
              <w:tr2bl w:val="nil"/>
            </w:tcBorders>
            <w:vAlign w:val="center"/>
          </w:tcPr>
          <w:p w14:paraId="5F7EF734">
            <w:pPr>
              <w:jc w:val="center"/>
              <w:rPr>
                <w:color w:val="auto"/>
              </w:rPr>
            </w:pPr>
            <w:r>
              <w:rPr>
                <w:color w:val="auto"/>
              </w:rPr>
              <w:t>2.8</w:t>
            </w:r>
          </w:p>
        </w:tc>
        <w:tc>
          <w:tcPr>
            <w:tcW w:w="834" w:type="pct"/>
            <w:gridSpan w:val="2"/>
            <w:tcBorders>
              <w:tl2br w:val="nil"/>
              <w:tr2bl w:val="nil"/>
            </w:tcBorders>
            <w:vAlign w:val="center"/>
          </w:tcPr>
          <w:p w14:paraId="24DE7A8E">
            <w:pPr>
              <w:jc w:val="center"/>
              <w:rPr>
                <w:color w:val="auto"/>
              </w:rPr>
            </w:pPr>
            <w:r>
              <w:rPr>
                <w:color w:val="auto"/>
              </w:rPr>
              <w:t>20</w:t>
            </w:r>
          </w:p>
        </w:tc>
      </w:tr>
      <w:tr w14:paraId="48248F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3F17DA8E">
            <w:pPr>
              <w:jc w:val="center"/>
              <w:rPr>
                <w:color w:val="auto"/>
              </w:rPr>
            </w:pPr>
            <w:r>
              <w:rPr>
                <w:color w:val="auto"/>
              </w:rPr>
              <w:t>24</w:t>
            </w:r>
          </w:p>
        </w:tc>
        <w:tc>
          <w:tcPr>
            <w:tcW w:w="1415" w:type="pct"/>
            <w:tcBorders>
              <w:tl2br w:val="nil"/>
              <w:tr2bl w:val="nil"/>
            </w:tcBorders>
            <w:vAlign w:val="center"/>
          </w:tcPr>
          <w:p w14:paraId="11285AD9">
            <w:pPr>
              <w:jc w:val="center"/>
              <w:rPr>
                <w:color w:val="auto"/>
              </w:rPr>
            </w:pPr>
            <w:r>
              <w:rPr>
                <w:color w:val="auto"/>
              </w:rPr>
              <w:t>1,2,3-三氯丙烷</w:t>
            </w:r>
          </w:p>
        </w:tc>
        <w:tc>
          <w:tcPr>
            <w:tcW w:w="1405" w:type="pct"/>
            <w:tcBorders>
              <w:tl2br w:val="nil"/>
              <w:tr2bl w:val="nil"/>
            </w:tcBorders>
            <w:vAlign w:val="center"/>
          </w:tcPr>
          <w:p w14:paraId="5431E177">
            <w:pPr>
              <w:jc w:val="center"/>
              <w:rPr>
                <w:color w:val="auto"/>
              </w:rPr>
            </w:pPr>
            <w:r>
              <w:rPr>
                <w:color w:val="auto"/>
              </w:rPr>
              <w:t>96-18-4</w:t>
            </w:r>
          </w:p>
        </w:tc>
        <w:tc>
          <w:tcPr>
            <w:tcW w:w="821" w:type="pct"/>
            <w:tcBorders>
              <w:tl2br w:val="nil"/>
              <w:tr2bl w:val="nil"/>
            </w:tcBorders>
            <w:vAlign w:val="center"/>
          </w:tcPr>
          <w:p w14:paraId="18A379A2">
            <w:pPr>
              <w:jc w:val="center"/>
              <w:rPr>
                <w:color w:val="auto"/>
              </w:rPr>
            </w:pPr>
            <w:r>
              <w:rPr>
                <w:color w:val="auto"/>
              </w:rPr>
              <w:t>0.5</w:t>
            </w:r>
          </w:p>
        </w:tc>
        <w:tc>
          <w:tcPr>
            <w:tcW w:w="834" w:type="pct"/>
            <w:gridSpan w:val="2"/>
            <w:tcBorders>
              <w:tl2br w:val="nil"/>
              <w:tr2bl w:val="nil"/>
            </w:tcBorders>
            <w:vAlign w:val="center"/>
          </w:tcPr>
          <w:p w14:paraId="527E08CD">
            <w:pPr>
              <w:jc w:val="center"/>
              <w:rPr>
                <w:color w:val="auto"/>
              </w:rPr>
            </w:pPr>
            <w:r>
              <w:rPr>
                <w:color w:val="auto"/>
              </w:rPr>
              <w:t>5</w:t>
            </w:r>
          </w:p>
        </w:tc>
      </w:tr>
      <w:tr w14:paraId="49F165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3D971CA7">
            <w:pPr>
              <w:jc w:val="center"/>
              <w:rPr>
                <w:color w:val="auto"/>
              </w:rPr>
            </w:pPr>
            <w:r>
              <w:rPr>
                <w:color w:val="auto"/>
              </w:rPr>
              <w:t>25</w:t>
            </w:r>
          </w:p>
        </w:tc>
        <w:tc>
          <w:tcPr>
            <w:tcW w:w="1415" w:type="pct"/>
            <w:tcBorders>
              <w:tl2br w:val="nil"/>
              <w:tr2bl w:val="nil"/>
            </w:tcBorders>
            <w:vAlign w:val="center"/>
          </w:tcPr>
          <w:p w14:paraId="69330D2E">
            <w:pPr>
              <w:jc w:val="center"/>
              <w:rPr>
                <w:color w:val="auto"/>
              </w:rPr>
            </w:pPr>
            <w:r>
              <w:rPr>
                <w:color w:val="auto"/>
              </w:rPr>
              <w:t>氯乙烯</w:t>
            </w:r>
          </w:p>
        </w:tc>
        <w:tc>
          <w:tcPr>
            <w:tcW w:w="1405" w:type="pct"/>
            <w:tcBorders>
              <w:tl2br w:val="nil"/>
              <w:tr2bl w:val="nil"/>
            </w:tcBorders>
            <w:vAlign w:val="center"/>
          </w:tcPr>
          <w:p w14:paraId="668D87BC">
            <w:pPr>
              <w:jc w:val="center"/>
              <w:rPr>
                <w:color w:val="auto"/>
              </w:rPr>
            </w:pPr>
            <w:r>
              <w:rPr>
                <w:color w:val="auto"/>
              </w:rPr>
              <w:t>75-01-4</w:t>
            </w:r>
          </w:p>
        </w:tc>
        <w:tc>
          <w:tcPr>
            <w:tcW w:w="821" w:type="pct"/>
            <w:tcBorders>
              <w:tl2br w:val="nil"/>
              <w:tr2bl w:val="nil"/>
            </w:tcBorders>
            <w:vAlign w:val="center"/>
          </w:tcPr>
          <w:p w14:paraId="5E9D11F5">
            <w:pPr>
              <w:jc w:val="center"/>
              <w:rPr>
                <w:color w:val="auto"/>
              </w:rPr>
            </w:pPr>
            <w:r>
              <w:rPr>
                <w:color w:val="auto"/>
              </w:rPr>
              <w:t>0.43</w:t>
            </w:r>
          </w:p>
        </w:tc>
        <w:tc>
          <w:tcPr>
            <w:tcW w:w="834" w:type="pct"/>
            <w:gridSpan w:val="2"/>
            <w:tcBorders>
              <w:tl2br w:val="nil"/>
              <w:tr2bl w:val="nil"/>
            </w:tcBorders>
            <w:vAlign w:val="center"/>
          </w:tcPr>
          <w:p w14:paraId="4AC6DBF7">
            <w:pPr>
              <w:jc w:val="center"/>
              <w:rPr>
                <w:color w:val="auto"/>
              </w:rPr>
            </w:pPr>
            <w:r>
              <w:rPr>
                <w:color w:val="auto"/>
              </w:rPr>
              <w:t>4.3</w:t>
            </w:r>
          </w:p>
        </w:tc>
      </w:tr>
      <w:tr w14:paraId="3370F3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4CC25B84">
            <w:pPr>
              <w:jc w:val="center"/>
              <w:rPr>
                <w:color w:val="auto"/>
              </w:rPr>
            </w:pPr>
            <w:r>
              <w:rPr>
                <w:color w:val="auto"/>
              </w:rPr>
              <w:t>26</w:t>
            </w:r>
          </w:p>
        </w:tc>
        <w:tc>
          <w:tcPr>
            <w:tcW w:w="1415" w:type="pct"/>
            <w:tcBorders>
              <w:tl2br w:val="nil"/>
              <w:tr2bl w:val="nil"/>
            </w:tcBorders>
            <w:vAlign w:val="center"/>
          </w:tcPr>
          <w:p w14:paraId="573DA254">
            <w:pPr>
              <w:jc w:val="center"/>
              <w:rPr>
                <w:color w:val="auto"/>
              </w:rPr>
            </w:pPr>
            <w:r>
              <w:rPr>
                <w:color w:val="auto"/>
              </w:rPr>
              <w:t>苯</w:t>
            </w:r>
          </w:p>
        </w:tc>
        <w:tc>
          <w:tcPr>
            <w:tcW w:w="1405" w:type="pct"/>
            <w:tcBorders>
              <w:tl2br w:val="nil"/>
              <w:tr2bl w:val="nil"/>
            </w:tcBorders>
            <w:vAlign w:val="center"/>
          </w:tcPr>
          <w:p w14:paraId="72896660">
            <w:pPr>
              <w:jc w:val="center"/>
              <w:rPr>
                <w:color w:val="auto"/>
              </w:rPr>
            </w:pPr>
            <w:r>
              <w:rPr>
                <w:color w:val="auto"/>
              </w:rPr>
              <w:t>71-43-2</w:t>
            </w:r>
          </w:p>
        </w:tc>
        <w:tc>
          <w:tcPr>
            <w:tcW w:w="821" w:type="pct"/>
            <w:tcBorders>
              <w:tl2br w:val="nil"/>
              <w:tr2bl w:val="nil"/>
            </w:tcBorders>
            <w:vAlign w:val="center"/>
          </w:tcPr>
          <w:p w14:paraId="1C29665D">
            <w:pPr>
              <w:jc w:val="center"/>
              <w:rPr>
                <w:color w:val="auto"/>
              </w:rPr>
            </w:pPr>
            <w:r>
              <w:rPr>
                <w:color w:val="auto"/>
              </w:rPr>
              <w:t>4</w:t>
            </w:r>
          </w:p>
        </w:tc>
        <w:tc>
          <w:tcPr>
            <w:tcW w:w="834" w:type="pct"/>
            <w:gridSpan w:val="2"/>
            <w:tcBorders>
              <w:tl2br w:val="nil"/>
              <w:tr2bl w:val="nil"/>
            </w:tcBorders>
            <w:vAlign w:val="center"/>
          </w:tcPr>
          <w:p w14:paraId="7B48D06E">
            <w:pPr>
              <w:jc w:val="center"/>
              <w:rPr>
                <w:color w:val="auto"/>
              </w:rPr>
            </w:pPr>
            <w:r>
              <w:rPr>
                <w:color w:val="auto"/>
              </w:rPr>
              <w:t>40</w:t>
            </w:r>
          </w:p>
        </w:tc>
      </w:tr>
      <w:tr w14:paraId="4C5FEA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0F2F4426">
            <w:pPr>
              <w:jc w:val="center"/>
              <w:rPr>
                <w:color w:val="auto"/>
              </w:rPr>
            </w:pPr>
            <w:r>
              <w:rPr>
                <w:color w:val="auto"/>
              </w:rPr>
              <w:t>27</w:t>
            </w:r>
          </w:p>
        </w:tc>
        <w:tc>
          <w:tcPr>
            <w:tcW w:w="1415" w:type="pct"/>
            <w:tcBorders>
              <w:tl2br w:val="nil"/>
              <w:tr2bl w:val="nil"/>
            </w:tcBorders>
            <w:vAlign w:val="center"/>
          </w:tcPr>
          <w:p w14:paraId="23561E01">
            <w:pPr>
              <w:jc w:val="center"/>
              <w:rPr>
                <w:color w:val="auto"/>
              </w:rPr>
            </w:pPr>
            <w:r>
              <w:rPr>
                <w:color w:val="auto"/>
              </w:rPr>
              <w:t>氯苯</w:t>
            </w:r>
          </w:p>
        </w:tc>
        <w:tc>
          <w:tcPr>
            <w:tcW w:w="1405" w:type="pct"/>
            <w:tcBorders>
              <w:tl2br w:val="nil"/>
              <w:tr2bl w:val="nil"/>
            </w:tcBorders>
            <w:vAlign w:val="center"/>
          </w:tcPr>
          <w:p w14:paraId="39C9C8AE">
            <w:pPr>
              <w:jc w:val="center"/>
              <w:rPr>
                <w:color w:val="auto"/>
              </w:rPr>
            </w:pPr>
            <w:r>
              <w:rPr>
                <w:color w:val="auto"/>
              </w:rPr>
              <w:t>108-90-7</w:t>
            </w:r>
          </w:p>
        </w:tc>
        <w:tc>
          <w:tcPr>
            <w:tcW w:w="821" w:type="pct"/>
            <w:tcBorders>
              <w:tl2br w:val="nil"/>
              <w:tr2bl w:val="nil"/>
            </w:tcBorders>
            <w:vAlign w:val="center"/>
          </w:tcPr>
          <w:p w14:paraId="0D249D85">
            <w:pPr>
              <w:jc w:val="center"/>
              <w:rPr>
                <w:color w:val="auto"/>
              </w:rPr>
            </w:pPr>
            <w:r>
              <w:rPr>
                <w:color w:val="auto"/>
              </w:rPr>
              <w:t>270</w:t>
            </w:r>
          </w:p>
        </w:tc>
        <w:tc>
          <w:tcPr>
            <w:tcW w:w="834" w:type="pct"/>
            <w:gridSpan w:val="2"/>
            <w:tcBorders>
              <w:tl2br w:val="nil"/>
              <w:tr2bl w:val="nil"/>
            </w:tcBorders>
            <w:vAlign w:val="center"/>
          </w:tcPr>
          <w:p w14:paraId="50BBB6C8">
            <w:pPr>
              <w:jc w:val="center"/>
              <w:rPr>
                <w:color w:val="auto"/>
              </w:rPr>
            </w:pPr>
            <w:r>
              <w:rPr>
                <w:color w:val="auto"/>
              </w:rPr>
              <w:t>1000</w:t>
            </w:r>
          </w:p>
        </w:tc>
      </w:tr>
      <w:tr w14:paraId="355BA8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6BCB3C5">
            <w:pPr>
              <w:jc w:val="center"/>
              <w:rPr>
                <w:color w:val="auto"/>
              </w:rPr>
            </w:pPr>
            <w:r>
              <w:rPr>
                <w:color w:val="auto"/>
              </w:rPr>
              <w:t>28</w:t>
            </w:r>
          </w:p>
        </w:tc>
        <w:tc>
          <w:tcPr>
            <w:tcW w:w="1415" w:type="pct"/>
            <w:tcBorders>
              <w:tl2br w:val="nil"/>
              <w:tr2bl w:val="nil"/>
            </w:tcBorders>
            <w:vAlign w:val="center"/>
          </w:tcPr>
          <w:p w14:paraId="60494A02">
            <w:pPr>
              <w:jc w:val="center"/>
              <w:rPr>
                <w:color w:val="auto"/>
              </w:rPr>
            </w:pPr>
            <w:r>
              <w:rPr>
                <w:color w:val="auto"/>
              </w:rPr>
              <w:t>1,2-二氯苯</w:t>
            </w:r>
          </w:p>
        </w:tc>
        <w:tc>
          <w:tcPr>
            <w:tcW w:w="1405" w:type="pct"/>
            <w:tcBorders>
              <w:tl2br w:val="nil"/>
              <w:tr2bl w:val="nil"/>
            </w:tcBorders>
            <w:vAlign w:val="center"/>
          </w:tcPr>
          <w:p w14:paraId="76A90677">
            <w:pPr>
              <w:jc w:val="center"/>
              <w:rPr>
                <w:color w:val="auto"/>
              </w:rPr>
            </w:pPr>
            <w:r>
              <w:rPr>
                <w:color w:val="auto"/>
              </w:rPr>
              <w:t>95-50-1</w:t>
            </w:r>
          </w:p>
        </w:tc>
        <w:tc>
          <w:tcPr>
            <w:tcW w:w="821" w:type="pct"/>
            <w:tcBorders>
              <w:tl2br w:val="nil"/>
              <w:tr2bl w:val="nil"/>
            </w:tcBorders>
            <w:vAlign w:val="center"/>
          </w:tcPr>
          <w:p w14:paraId="4D69F7F8">
            <w:pPr>
              <w:jc w:val="center"/>
              <w:rPr>
                <w:color w:val="auto"/>
              </w:rPr>
            </w:pPr>
            <w:r>
              <w:rPr>
                <w:color w:val="auto"/>
              </w:rPr>
              <w:t>560</w:t>
            </w:r>
          </w:p>
        </w:tc>
        <w:tc>
          <w:tcPr>
            <w:tcW w:w="834" w:type="pct"/>
            <w:gridSpan w:val="2"/>
            <w:tcBorders>
              <w:tl2br w:val="nil"/>
              <w:tr2bl w:val="nil"/>
            </w:tcBorders>
            <w:vAlign w:val="center"/>
          </w:tcPr>
          <w:p w14:paraId="755ABEEE">
            <w:pPr>
              <w:jc w:val="center"/>
              <w:rPr>
                <w:color w:val="auto"/>
              </w:rPr>
            </w:pPr>
            <w:r>
              <w:rPr>
                <w:color w:val="auto"/>
              </w:rPr>
              <w:t>560</w:t>
            </w:r>
          </w:p>
        </w:tc>
      </w:tr>
      <w:tr w14:paraId="4A9A1D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85BE9AE">
            <w:pPr>
              <w:jc w:val="center"/>
              <w:rPr>
                <w:color w:val="auto"/>
              </w:rPr>
            </w:pPr>
            <w:r>
              <w:rPr>
                <w:color w:val="auto"/>
              </w:rPr>
              <w:t>29</w:t>
            </w:r>
          </w:p>
        </w:tc>
        <w:tc>
          <w:tcPr>
            <w:tcW w:w="1415" w:type="pct"/>
            <w:tcBorders>
              <w:tl2br w:val="nil"/>
              <w:tr2bl w:val="nil"/>
            </w:tcBorders>
            <w:vAlign w:val="center"/>
          </w:tcPr>
          <w:p w14:paraId="19206E03">
            <w:pPr>
              <w:jc w:val="center"/>
              <w:rPr>
                <w:color w:val="auto"/>
              </w:rPr>
            </w:pPr>
            <w:r>
              <w:rPr>
                <w:color w:val="auto"/>
              </w:rPr>
              <w:t>1,4-二氯苯</w:t>
            </w:r>
          </w:p>
        </w:tc>
        <w:tc>
          <w:tcPr>
            <w:tcW w:w="1405" w:type="pct"/>
            <w:tcBorders>
              <w:tl2br w:val="nil"/>
              <w:tr2bl w:val="nil"/>
            </w:tcBorders>
            <w:vAlign w:val="center"/>
          </w:tcPr>
          <w:p w14:paraId="0C292C9B">
            <w:pPr>
              <w:jc w:val="center"/>
              <w:rPr>
                <w:color w:val="auto"/>
              </w:rPr>
            </w:pPr>
            <w:r>
              <w:rPr>
                <w:color w:val="auto"/>
              </w:rPr>
              <w:t>106-46-7</w:t>
            </w:r>
          </w:p>
        </w:tc>
        <w:tc>
          <w:tcPr>
            <w:tcW w:w="821" w:type="pct"/>
            <w:tcBorders>
              <w:tl2br w:val="nil"/>
              <w:tr2bl w:val="nil"/>
            </w:tcBorders>
            <w:vAlign w:val="center"/>
          </w:tcPr>
          <w:p w14:paraId="22A0DCAD">
            <w:pPr>
              <w:jc w:val="center"/>
              <w:rPr>
                <w:color w:val="auto"/>
              </w:rPr>
            </w:pPr>
            <w:r>
              <w:rPr>
                <w:color w:val="auto"/>
              </w:rPr>
              <w:t>20</w:t>
            </w:r>
          </w:p>
        </w:tc>
        <w:tc>
          <w:tcPr>
            <w:tcW w:w="834" w:type="pct"/>
            <w:gridSpan w:val="2"/>
            <w:tcBorders>
              <w:tl2br w:val="nil"/>
              <w:tr2bl w:val="nil"/>
            </w:tcBorders>
            <w:vAlign w:val="center"/>
          </w:tcPr>
          <w:p w14:paraId="103E8C54">
            <w:pPr>
              <w:jc w:val="center"/>
              <w:rPr>
                <w:color w:val="auto"/>
              </w:rPr>
            </w:pPr>
            <w:r>
              <w:rPr>
                <w:color w:val="auto"/>
              </w:rPr>
              <w:t>200</w:t>
            </w:r>
          </w:p>
        </w:tc>
      </w:tr>
      <w:tr w14:paraId="70DF4D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577010B">
            <w:pPr>
              <w:jc w:val="center"/>
              <w:rPr>
                <w:color w:val="auto"/>
              </w:rPr>
            </w:pPr>
            <w:r>
              <w:rPr>
                <w:color w:val="auto"/>
              </w:rPr>
              <w:t>30</w:t>
            </w:r>
          </w:p>
        </w:tc>
        <w:tc>
          <w:tcPr>
            <w:tcW w:w="1415" w:type="pct"/>
            <w:tcBorders>
              <w:tl2br w:val="nil"/>
              <w:tr2bl w:val="nil"/>
            </w:tcBorders>
            <w:vAlign w:val="center"/>
          </w:tcPr>
          <w:p w14:paraId="116FD139">
            <w:pPr>
              <w:jc w:val="center"/>
              <w:rPr>
                <w:color w:val="auto"/>
              </w:rPr>
            </w:pPr>
            <w:r>
              <w:rPr>
                <w:color w:val="auto"/>
              </w:rPr>
              <w:t>乙苯</w:t>
            </w:r>
          </w:p>
        </w:tc>
        <w:tc>
          <w:tcPr>
            <w:tcW w:w="1405" w:type="pct"/>
            <w:tcBorders>
              <w:tl2br w:val="nil"/>
              <w:tr2bl w:val="nil"/>
            </w:tcBorders>
            <w:vAlign w:val="center"/>
          </w:tcPr>
          <w:p w14:paraId="09BA4377">
            <w:pPr>
              <w:jc w:val="center"/>
              <w:rPr>
                <w:color w:val="auto"/>
              </w:rPr>
            </w:pPr>
            <w:r>
              <w:rPr>
                <w:color w:val="auto"/>
              </w:rPr>
              <w:t>100-41-4</w:t>
            </w:r>
          </w:p>
        </w:tc>
        <w:tc>
          <w:tcPr>
            <w:tcW w:w="821" w:type="pct"/>
            <w:tcBorders>
              <w:tl2br w:val="nil"/>
              <w:tr2bl w:val="nil"/>
            </w:tcBorders>
            <w:vAlign w:val="center"/>
          </w:tcPr>
          <w:p w14:paraId="49BAD1D8">
            <w:pPr>
              <w:jc w:val="center"/>
              <w:rPr>
                <w:color w:val="auto"/>
              </w:rPr>
            </w:pPr>
            <w:r>
              <w:rPr>
                <w:color w:val="auto"/>
              </w:rPr>
              <w:t>28</w:t>
            </w:r>
          </w:p>
        </w:tc>
        <w:tc>
          <w:tcPr>
            <w:tcW w:w="834" w:type="pct"/>
            <w:gridSpan w:val="2"/>
            <w:tcBorders>
              <w:tl2br w:val="nil"/>
              <w:tr2bl w:val="nil"/>
            </w:tcBorders>
            <w:vAlign w:val="center"/>
          </w:tcPr>
          <w:p w14:paraId="1F112C5A">
            <w:pPr>
              <w:jc w:val="center"/>
              <w:rPr>
                <w:color w:val="auto"/>
              </w:rPr>
            </w:pPr>
            <w:r>
              <w:rPr>
                <w:color w:val="auto"/>
              </w:rPr>
              <w:t>280</w:t>
            </w:r>
          </w:p>
        </w:tc>
      </w:tr>
      <w:tr w14:paraId="177730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41A20CA0">
            <w:pPr>
              <w:jc w:val="center"/>
              <w:rPr>
                <w:color w:val="auto"/>
              </w:rPr>
            </w:pPr>
            <w:r>
              <w:rPr>
                <w:color w:val="auto"/>
              </w:rPr>
              <w:t>31</w:t>
            </w:r>
          </w:p>
        </w:tc>
        <w:tc>
          <w:tcPr>
            <w:tcW w:w="1415" w:type="pct"/>
            <w:tcBorders>
              <w:tl2br w:val="nil"/>
              <w:tr2bl w:val="nil"/>
            </w:tcBorders>
            <w:vAlign w:val="center"/>
          </w:tcPr>
          <w:p w14:paraId="00CB2148">
            <w:pPr>
              <w:jc w:val="center"/>
              <w:rPr>
                <w:color w:val="auto"/>
              </w:rPr>
            </w:pPr>
            <w:r>
              <w:rPr>
                <w:color w:val="auto"/>
              </w:rPr>
              <w:t>苯乙烯</w:t>
            </w:r>
          </w:p>
        </w:tc>
        <w:tc>
          <w:tcPr>
            <w:tcW w:w="1405" w:type="pct"/>
            <w:tcBorders>
              <w:tl2br w:val="nil"/>
              <w:tr2bl w:val="nil"/>
            </w:tcBorders>
            <w:vAlign w:val="center"/>
          </w:tcPr>
          <w:p w14:paraId="0BC881C1">
            <w:pPr>
              <w:jc w:val="center"/>
              <w:rPr>
                <w:color w:val="auto"/>
              </w:rPr>
            </w:pPr>
            <w:r>
              <w:rPr>
                <w:color w:val="auto"/>
              </w:rPr>
              <w:t>100-42-5</w:t>
            </w:r>
          </w:p>
        </w:tc>
        <w:tc>
          <w:tcPr>
            <w:tcW w:w="821" w:type="pct"/>
            <w:tcBorders>
              <w:tl2br w:val="nil"/>
              <w:tr2bl w:val="nil"/>
            </w:tcBorders>
            <w:vAlign w:val="center"/>
          </w:tcPr>
          <w:p w14:paraId="26267E3E">
            <w:pPr>
              <w:jc w:val="center"/>
              <w:rPr>
                <w:color w:val="auto"/>
              </w:rPr>
            </w:pPr>
            <w:r>
              <w:rPr>
                <w:color w:val="auto"/>
              </w:rPr>
              <w:t>1290</w:t>
            </w:r>
          </w:p>
        </w:tc>
        <w:tc>
          <w:tcPr>
            <w:tcW w:w="834" w:type="pct"/>
            <w:gridSpan w:val="2"/>
            <w:tcBorders>
              <w:tl2br w:val="nil"/>
              <w:tr2bl w:val="nil"/>
            </w:tcBorders>
            <w:vAlign w:val="center"/>
          </w:tcPr>
          <w:p w14:paraId="2DC5C72F">
            <w:pPr>
              <w:jc w:val="center"/>
              <w:rPr>
                <w:color w:val="auto"/>
              </w:rPr>
            </w:pPr>
            <w:r>
              <w:rPr>
                <w:color w:val="auto"/>
              </w:rPr>
              <w:t>1290</w:t>
            </w:r>
          </w:p>
        </w:tc>
      </w:tr>
      <w:tr w14:paraId="1A659E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5280053A">
            <w:pPr>
              <w:jc w:val="center"/>
              <w:rPr>
                <w:color w:val="auto"/>
              </w:rPr>
            </w:pPr>
            <w:r>
              <w:rPr>
                <w:color w:val="auto"/>
              </w:rPr>
              <w:t>32</w:t>
            </w:r>
          </w:p>
        </w:tc>
        <w:tc>
          <w:tcPr>
            <w:tcW w:w="1415" w:type="pct"/>
            <w:tcBorders>
              <w:tl2br w:val="nil"/>
              <w:tr2bl w:val="nil"/>
            </w:tcBorders>
            <w:vAlign w:val="center"/>
          </w:tcPr>
          <w:p w14:paraId="14556039">
            <w:pPr>
              <w:jc w:val="center"/>
              <w:rPr>
                <w:color w:val="auto"/>
              </w:rPr>
            </w:pPr>
            <w:r>
              <w:rPr>
                <w:color w:val="auto"/>
              </w:rPr>
              <w:t>甲苯</w:t>
            </w:r>
          </w:p>
        </w:tc>
        <w:tc>
          <w:tcPr>
            <w:tcW w:w="1405" w:type="pct"/>
            <w:tcBorders>
              <w:tl2br w:val="nil"/>
              <w:tr2bl w:val="nil"/>
            </w:tcBorders>
            <w:vAlign w:val="center"/>
          </w:tcPr>
          <w:p w14:paraId="2A5913EB">
            <w:pPr>
              <w:jc w:val="center"/>
              <w:rPr>
                <w:color w:val="auto"/>
              </w:rPr>
            </w:pPr>
            <w:r>
              <w:rPr>
                <w:color w:val="auto"/>
              </w:rPr>
              <w:t>108-88-3</w:t>
            </w:r>
          </w:p>
        </w:tc>
        <w:tc>
          <w:tcPr>
            <w:tcW w:w="821" w:type="pct"/>
            <w:tcBorders>
              <w:tl2br w:val="nil"/>
              <w:tr2bl w:val="nil"/>
            </w:tcBorders>
            <w:vAlign w:val="center"/>
          </w:tcPr>
          <w:p w14:paraId="365DF477">
            <w:pPr>
              <w:jc w:val="center"/>
              <w:rPr>
                <w:color w:val="auto"/>
              </w:rPr>
            </w:pPr>
            <w:r>
              <w:rPr>
                <w:color w:val="auto"/>
              </w:rPr>
              <w:t>1200</w:t>
            </w:r>
          </w:p>
        </w:tc>
        <w:tc>
          <w:tcPr>
            <w:tcW w:w="834" w:type="pct"/>
            <w:gridSpan w:val="2"/>
            <w:tcBorders>
              <w:tl2br w:val="nil"/>
              <w:tr2bl w:val="nil"/>
            </w:tcBorders>
            <w:vAlign w:val="center"/>
          </w:tcPr>
          <w:p w14:paraId="4D7847C1">
            <w:pPr>
              <w:jc w:val="center"/>
              <w:rPr>
                <w:color w:val="auto"/>
              </w:rPr>
            </w:pPr>
            <w:r>
              <w:rPr>
                <w:color w:val="auto"/>
              </w:rPr>
              <w:t>1200</w:t>
            </w:r>
          </w:p>
        </w:tc>
      </w:tr>
      <w:tr w14:paraId="7B356C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47879A84">
            <w:pPr>
              <w:jc w:val="center"/>
              <w:rPr>
                <w:color w:val="auto"/>
              </w:rPr>
            </w:pPr>
            <w:r>
              <w:rPr>
                <w:color w:val="auto"/>
              </w:rPr>
              <w:t>33</w:t>
            </w:r>
          </w:p>
        </w:tc>
        <w:tc>
          <w:tcPr>
            <w:tcW w:w="1415" w:type="pct"/>
            <w:tcBorders>
              <w:tl2br w:val="nil"/>
              <w:tr2bl w:val="nil"/>
            </w:tcBorders>
            <w:vAlign w:val="center"/>
          </w:tcPr>
          <w:p w14:paraId="383F9C56">
            <w:pPr>
              <w:jc w:val="center"/>
              <w:rPr>
                <w:color w:val="auto"/>
              </w:rPr>
            </w:pPr>
            <w:r>
              <w:rPr>
                <w:color w:val="auto"/>
              </w:rPr>
              <w:t>间二甲苯+对二甲苯</w:t>
            </w:r>
          </w:p>
        </w:tc>
        <w:tc>
          <w:tcPr>
            <w:tcW w:w="1405" w:type="pct"/>
            <w:tcBorders>
              <w:tl2br w:val="nil"/>
              <w:tr2bl w:val="nil"/>
            </w:tcBorders>
            <w:vAlign w:val="center"/>
          </w:tcPr>
          <w:p w14:paraId="7B5D55AC">
            <w:pPr>
              <w:jc w:val="center"/>
              <w:rPr>
                <w:color w:val="auto"/>
              </w:rPr>
            </w:pPr>
            <w:r>
              <w:rPr>
                <w:color w:val="auto"/>
              </w:rPr>
              <w:t>108-38-3；106-42-3</w:t>
            </w:r>
          </w:p>
        </w:tc>
        <w:tc>
          <w:tcPr>
            <w:tcW w:w="821" w:type="pct"/>
            <w:tcBorders>
              <w:tl2br w:val="nil"/>
              <w:tr2bl w:val="nil"/>
            </w:tcBorders>
            <w:vAlign w:val="center"/>
          </w:tcPr>
          <w:p w14:paraId="46AC9DCC">
            <w:pPr>
              <w:jc w:val="center"/>
              <w:rPr>
                <w:color w:val="auto"/>
              </w:rPr>
            </w:pPr>
            <w:r>
              <w:rPr>
                <w:color w:val="auto"/>
              </w:rPr>
              <w:t>570</w:t>
            </w:r>
          </w:p>
        </w:tc>
        <w:tc>
          <w:tcPr>
            <w:tcW w:w="834" w:type="pct"/>
            <w:gridSpan w:val="2"/>
            <w:tcBorders>
              <w:tl2br w:val="nil"/>
              <w:tr2bl w:val="nil"/>
            </w:tcBorders>
            <w:vAlign w:val="center"/>
          </w:tcPr>
          <w:p w14:paraId="672E6DC1">
            <w:pPr>
              <w:jc w:val="center"/>
              <w:rPr>
                <w:color w:val="auto"/>
              </w:rPr>
            </w:pPr>
            <w:r>
              <w:rPr>
                <w:color w:val="auto"/>
              </w:rPr>
              <w:t>570</w:t>
            </w:r>
          </w:p>
        </w:tc>
      </w:tr>
      <w:tr w14:paraId="6C19A1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4B8B112A">
            <w:pPr>
              <w:jc w:val="center"/>
              <w:rPr>
                <w:color w:val="auto"/>
              </w:rPr>
            </w:pPr>
            <w:r>
              <w:rPr>
                <w:color w:val="auto"/>
              </w:rPr>
              <w:t>34</w:t>
            </w:r>
          </w:p>
        </w:tc>
        <w:tc>
          <w:tcPr>
            <w:tcW w:w="1415" w:type="pct"/>
            <w:tcBorders>
              <w:tl2br w:val="nil"/>
              <w:tr2bl w:val="nil"/>
            </w:tcBorders>
            <w:vAlign w:val="center"/>
          </w:tcPr>
          <w:p w14:paraId="311E48F5">
            <w:pPr>
              <w:jc w:val="center"/>
              <w:rPr>
                <w:color w:val="auto"/>
              </w:rPr>
            </w:pPr>
            <w:r>
              <w:rPr>
                <w:color w:val="auto"/>
              </w:rPr>
              <w:t>邻二甲苯</w:t>
            </w:r>
          </w:p>
        </w:tc>
        <w:tc>
          <w:tcPr>
            <w:tcW w:w="1405" w:type="pct"/>
            <w:tcBorders>
              <w:tl2br w:val="nil"/>
              <w:tr2bl w:val="nil"/>
            </w:tcBorders>
            <w:vAlign w:val="center"/>
          </w:tcPr>
          <w:p w14:paraId="71E1AA87">
            <w:pPr>
              <w:jc w:val="center"/>
              <w:rPr>
                <w:color w:val="auto"/>
              </w:rPr>
            </w:pPr>
            <w:r>
              <w:rPr>
                <w:color w:val="auto"/>
              </w:rPr>
              <w:t>95-47-6</w:t>
            </w:r>
          </w:p>
        </w:tc>
        <w:tc>
          <w:tcPr>
            <w:tcW w:w="821" w:type="pct"/>
            <w:tcBorders>
              <w:tl2br w:val="nil"/>
              <w:tr2bl w:val="nil"/>
            </w:tcBorders>
            <w:vAlign w:val="center"/>
          </w:tcPr>
          <w:p w14:paraId="795800D7">
            <w:pPr>
              <w:jc w:val="center"/>
              <w:rPr>
                <w:color w:val="auto"/>
              </w:rPr>
            </w:pPr>
            <w:r>
              <w:rPr>
                <w:color w:val="auto"/>
              </w:rPr>
              <w:t>640</w:t>
            </w:r>
          </w:p>
        </w:tc>
        <w:tc>
          <w:tcPr>
            <w:tcW w:w="834" w:type="pct"/>
            <w:gridSpan w:val="2"/>
            <w:tcBorders>
              <w:tl2br w:val="nil"/>
              <w:tr2bl w:val="nil"/>
            </w:tcBorders>
            <w:vAlign w:val="center"/>
          </w:tcPr>
          <w:p w14:paraId="4025256D">
            <w:pPr>
              <w:jc w:val="center"/>
              <w:rPr>
                <w:color w:val="auto"/>
              </w:rPr>
            </w:pPr>
            <w:r>
              <w:rPr>
                <w:color w:val="auto"/>
              </w:rPr>
              <w:t>640</w:t>
            </w:r>
          </w:p>
        </w:tc>
      </w:tr>
      <w:tr w14:paraId="772984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000" w:type="pct"/>
            <w:gridSpan w:val="6"/>
            <w:tcBorders>
              <w:tl2br w:val="nil"/>
              <w:tr2bl w:val="nil"/>
            </w:tcBorders>
            <w:vAlign w:val="center"/>
          </w:tcPr>
          <w:p w14:paraId="2E43B953">
            <w:pPr>
              <w:jc w:val="center"/>
              <w:rPr>
                <w:color w:val="auto"/>
              </w:rPr>
            </w:pPr>
            <w:r>
              <w:rPr>
                <w:color w:val="auto"/>
              </w:rPr>
              <w:t>半挥发性有机物</w:t>
            </w:r>
          </w:p>
        </w:tc>
      </w:tr>
      <w:tr w14:paraId="26C988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0EBD1F28">
            <w:pPr>
              <w:jc w:val="center"/>
              <w:rPr>
                <w:color w:val="auto"/>
              </w:rPr>
            </w:pPr>
            <w:r>
              <w:rPr>
                <w:color w:val="auto"/>
              </w:rPr>
              <w:t>35</w:t>
            </w:r>
          </w:p>
        </w:tc>
        <w:tc>
          <w:tcPr>
            <w:tcW w:w="1415" w:type="pct"/>
            <w:tcBorders>
              <w:tl2br w:val="nil"/>
              <w:tr2bl w:val="nil"/>
            </w:tcBorders>
            <w:vAlign w:val="center"/>
          </w:tcPr>
          <w:p w14:paraId="0860E906">
            <w:pPr>
              <w:jc w:val="center"/>
              <w:rPr>
                <w:color w:val="auto"/>
              </w:rPr>
            </w:pPr>
            <w:r>
              <w:rPr>
                <w:color w:val="auto"/>
              </w:rPr>
              <w:t>硝基苯</w:t>
            </w:r>
          </w:p>
        </w:tc>
        <w:tc>
          <w:tcPr>
            <w:tcW w:w="1405" w:type="pct"/>
            <w:tcBorders>
              <w:tl2br w:val="nil"/>
              <w:tr2bl w:val="nil"/>
            </w:tcBorders>
            <w:vAlign w:val="center"/>
          </w:tcPr>
          <w:p w14:paraId="08D83418">
            <w:pPr>
              <w:jc w:val="center"/>
              <w:rPr>
                <w:color w:val="auto"/>
              </w:rPr>
            </w:pPr>
            <w:r>
              <w:rPr>
                <w:color w:val="auto"/>
              </w:rPr>
              <w:t>98-95-3</w:t>
            </w:r>
          </w:p>
        </w:tc>
        <w:tc>
          <w:tcPr>
            <w:tcW w:w="823" w:type="pct"/>
            <w:gridSpan w:val="2"/>
            <w:tcBorders>
              <w:tl2br w:val="nil"/>
              <w:tr2bl w:val="nil"/>
            </w:tcBorders>
            <w:vAlign w:val="center"/>
          </w:tcPr>
          <w:p w14:paraId="695336F0">
            <w:pPr>
              <w:jc w:val="center"/>
              <w:rPr>
                <w:color w:val="auto"/>
              </w:rPr>
            </w:pPr>
            <w:r>
              <w:rPr>
                <w:color w:val="auto"/>
              </w:rPr>
              <w:t>76</w:t>
            </w:r>
          </w:p>
        </w:tc>
        <w:tc>
          <w:tcPr>
            <w:tcW w:w="831" w:type="pct"/>
            <w:tcBorders>
              <w:tl2br w:val="nil"/>
              <w:tr2bl w:val="nil"/>
            </w:tcBorders>
            <w:vAlign w:val="center"/>
          </w:tcPr>
          <w:p w14:paraId="386F7433">
            <w:pPr>
              <w:jc w:val="center"/>
              <w:rPr>
                <w:color w:val="auto"/>
              </w:rPr>
            </w:pPr>
            <w:r>
              <w:rPr>
                <w:color w:val="auto"/>
              </w:rPr>
              <w:t>760</w:t>
            </w:r>
          </w:p>
        </w:tc>
      </w:tr>
      <w:tr w14:paraId="3C110D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C7E6ED4">
            <w:pPr>
              <w:jc w:val="center"/>
              <w:rPr>
                <w:color w:val="auto"/>
              </w:rPr>
            </w:pPr>
            <w:r>
              <w:rPr>
                <w:color w:val="auto"/>
              </w:rPr>
              <w:t>36</w:t>
            </w:r>
          </w:p>
        </w:tc>
        <w:tc>
          <w:tcPr>
            <w:tcW w:w="1415" w:type="pct"/>
            <w:tcBorders>
              <w:tl2br w:val="nil"/>
              <w:tr2bl w:val="nil"/>
            </w:tcBorders>
            <w:vAlign w:val="center"/>
          </w:tcPr>
          <w:p w14:paraId="396E7CBA">
            <w:pPr>
              <w:jc w:val="center"/>
              <w:rPr>
                <w:color w:val="auto"/>
              </w:rPr>
            </w:pPr>
            <w:r>
              <w:rPr>
                <w:color w:val="auto"/>
              </w:rPr>
              <w:t>苯胺</w:t>
            </w:r>
          </w:p>
        </w:tc>
        <w:tc>
          <w:tcPr>
            <w:tcW w:w="1405" w:type="pct"/>
            <w:tcBorders>
              <w:tl2br w:val="nil"/>
              <w:tr2bl w:val="nil"/>
            </w:tcBorders>
            <w:vAlign w:val="center"/>
          </w:tcPr>
          <w:p w14:paraId="5EB3D0DF">
            <w:pPr>
              <w:jc w:val="center"/>
              <w:rPr>
                <w:color w:val="auto"/>
              </w:rPr>
            </w:pPr>
            <w:r>
              <w:rPr>
                <w:color w:val="auto"/>
              </w:rPr>
              <w:t>62-53-3</w:t>
            </w:r>
          </w:p>
        </w:tc>
        <w:tc>
          <w:tcPr>
            <w:tcW w:w="823" w:type="pct"/>
            <w:gridSpan w:val="2"/>
            <w:tcBorders>
              <w:tl2br w:val="nil"/>
              <w:tr2bl w:val="nil"/>
            </w:tcBorders>
            <w:vAlign w:val="center"/>
          </w:tcPr>
          <w:p w14:paraId="3360EB08">
            <w:pPr>
              <w:jc w:val="center"/>
              <w:rPr>
                <w:color w:val="auto"/>
              </w:rPr>
            </w:pPr>
            <w:r>
              <w:rPr>
                <w:color w:val="auto"/>
              </w:rPr>
              <w:t>260</w:t>
            </w:r>
          </w:p>
        </w:tc>
        <w:tc>
          <w:tcPr>
            <w:tcW w:w="831" w:type="pct"/>
            <w:tcBorders>
              <w:tl2br w:val="nil"/>
              <w:tr2bl w:val="nil"/>
            </w:tcBorders>
            <w:vAlign w:val="center"/>
          </w:tcPr>
          <w:p w14:paraId="28255A97">
            <w:pPr>
              <w:jc w:val="center"/>
              <w:rPr>
                <w:color w:val="auto"/>
              </w:rPr>
            </w:pPr>
            <w:r>
              <w:rPr>
                <w:color w:val="auto"/>
              </w:rPr>
              <w:t>663</w:t>
            </w:r>
          </w:p>
        </w:tc>
      </w:tr>
      <w:tr w14:paraId="060895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75466FE0">
            <w:pPr>
              <w:jc w:val="center"/>
              <w:rPr>
                <w:color w:val="auto"/>
              </w:rPr>
            </w:pPr>
            <w:r>
              <w:rPr>
                <w:color w:val="auto"/>
              </w:rPr>
              <w:t>37</w:t>
            </w:r>
          </w:p>
        </w:tc>
        <w:tc>
          <w:tcPr>
            <w:tcW w:w="1415" w:type="pct"/>
            <w:tcBorders>
              <w:tl2br w:val="nil"/>
              <w:tr2bl w:val="nil"/>
            </w:tcBorders>
            <w:vAlign w:val="center"/>
          </w:tcPr>
          <w:p w14:paraId="2A3ECFE6">
            <w:pPr>
              <w:jc w:val="center"/>
              <w:rPr>
                <w:color w:val="auto"/>
              </w:rPr>
            </w:pPr>
            <w:r>
              <w:rPr>
                <w:color w:val="auto"/>
              </w:rPr>
              <w:t>2-氯酚</w:t>
            </w:r>
          </w:p>
        </w:tc>
        <w:tc>
          <w:tcPr>
            <w:tcW w:w="1405" w:type="pct"/>
            <w:tcBorders>
              <w:tl2br w:val="nil"/>
              <w:tr2bl w:val="nil"/>
            </w:tcBorders>
            <w:vAlign w:val="center"/>
          </w:tcPr>
          <w:p w14:paraId="46BA7735">
            <w:pPr>
              <w:jc w:val="center"/>
              <w:rPr>
                <w:color w:val="auto"/>
              </w:rPr>
            </w:pPr>
            <w:r>
              <w:rPr>
                <w:color w:val="auto"/>
              </w:rPr>
              <w:t>95-57-3</w:t>
            </w:r>
          </w:p>
        </w:tc>
        <w:tc>
          <w:tcPr>
            <w:tcW w:w="823" w:type="pct"/>
            <w:gridSpan w:val="2"/>
            <w:tcBorders>
              <w:tl2br w:val="nil"/>
              <w:tr2bl w:val="nil"/>
            </w:tcBorders>
            <w:vAlign w:val="center"/>
          </w:tcPr>
          <w:p w14:paraId="7A7BFF1F">
            <w:pPr>
              <w:jc w:val="center"/>
              <w:rPr>
                <w:color w:val="auto"/>
              </w:rPr>
            </w:pPr>
            <w:r>
              <w:rPr>
                <w:color w:val="auto"/>
              </w:rPr>
              <w:t>2256</w:t>
            </w:r>
          </w:p>
        </w:tc>
        <w:tc>
          <w:tcPr>
            <w:tcW w:w="831" w:type="pct"/>
            <w:tcBorders>
              <w:tl2br w:val="nil"/>
              <w:tr2bl w:val="nil"/>
            </w:tcBorders>
            <w:vAlign w:val="center"/>
          </w:tcPr>
          <w:p w14:paraId="01F7446C">
            <w:pPr>
              <w:jc w:val="center"/>
              <w:rPr>
                <w:color w:val="auto"/>
              </w:rPr>
            </w:pPr>
            <w:r>
              <w:rPr>
                <w:color w:val="auto"/>
              </w:rPr>
              <w:t>4500</w:t>
            </w:r>
          </w:p>
        </w:tc>
      </w:tr>
      <w:tr w14:paraId="255543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26DD716">
            <w:pPr>
              <w:jc w:val="center"/>
              <w:rPr>
                <w:color w:val="auto"/>
              </w:rPr>
            </w:pPr>
            <w:r>
              <w:rPr>
                <w:color w:val="auto"/>
              </w:rPr>
              <w:t>38</w:t>
            </w:r>
          </w:p>
        </w:tc>
        <w:tc>
          <w:tcPr>
            <w:tcW w:w="1415" w:type="pct"/>
            <w:tcBorders>
              <w:tl2br w:val="nil"/>
              <w:tr2bl w:val="nil"/>
            </w:tcBorders>
            <w:vAlign w:val="center"/>
          </w:tcPr>
          <w:p w14:paraId="1AE133DD">
            <w:pPr>
              <w:jc w:val="center"/>
              <w:rPr>
                <w:color w:val="auto"/>
              </w:rPr>
            </w:pPr>
            <w:r>
              <w:rPr>
                <w:color w:val="auto"/>
              </w:rPr>
              <w:t>苯并[a]蒽</w:t>
            </w:r>
          </w:p>
        </w:tc>
        <w:tc>
          <w:tcPr>
            <w:tcW w:w="1405" w:type="pct"/>
            <w:tcBorders>
              <w:tl2br w:val="nil"/>
              <w:tr2bl w:val="nil"/>
            </w:tcBorders>
            <w:vAlign w:val="center"/>
          </w:tcPr>
          <w:p w14:paraId="4C8F5773">
            <w:pPr>
              <w:jc w:val="center"/>
              <w:rPr>
                <w:color w:val="auto"/>
              </w:rPr>
            </w:pPr>
            <w:r>
              <w:rPr>
                <w:color w:val="auto"/>
              </w:rPr>
              <w:t>56-55-3</w:t>
            </w:r>
          </w:p>
        </w:tc>
        <w:tc>
          <w:tcPr>
            <w:tcW w:w="823" w:type="pct"/>
            <w:gridSpan w:val="2"/>
            <w:tcBorders>
              <w:tl2br w:val="nil"/>
              <w:tr2bl w:val="nil"/>
            </w:tcBorders>
            <w:vAlign w:val="center"/>
          </w:tcPr>
          <w:p w14:paraId="321AB4C7">
            <w:pPr>
              <w:jc w:val="center"/>
              <w:rPr>
                <w:color w:val="auto"/>
              </w:rPr>
            </w:pPr>
            <w:r>
              <w:rPr>
                <w:color w:val="auto"/>
              </w:rPr>
              <w:t>15</w:t>
            </w:r>
          </w:p>
        </w:tc>
        <w:tc>
          <w:tcPr>
            <w:tcW w:w="831" w:type="pct"/>
            <w:tcBorders>
              <w:tl2br w:val="nil"/>
              <w:tr2bl w:val="nil"/>
            </w:tcBorders>
            <w:vAlign w:val="center"/>
          </w:tcPr>
          <w:p w14:paraId="4595F7EE">
            <w:pPr>
              <w:jc w:val="center"/>
              <w:rPr>
                <w:color w:val="auto"/>
              </w:rPr>
            </w:pPr>
            <w:r>
              <w:rPr>
                <w:color w:val="auto"/>
              </w:rPr>
              <w:t>151</w:t>
            </w:r>
          </w:p>
        </w:tc>
      </w:tr>
      <w:tr w14:paraId="2C72D0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5316B6E2">
            <w:pPr>
              <w:jc w:val="center"/>
              <w:rPr>
                <w:color w:val="auto"/>
              </w:rPr>
            </w:pPr>
            <w:r>
              <w:rPr>
                <w:color w:val="auto"/>
              </w:rPr>
              <w:t>39</w:t>
            </w:r>
          </w:p>
        </w:tc>
        <w:tc>
          <w:tcPr>
            <w:tcW w:w="1415" w:type="pct"/>
            <w:tcBorders>
              <w:tl2br w:val="nil"/>
              <w:tr2bl w:val="nil"/>
            </w:tcBorders>
            <w:vAlign w:val="center"/>
          </w:tcPr>
          <w:p w14:paraId="2972EAC6">
            <w:pPr>
              <w:jc w:val="center"/>
              <w:rPr>
                <w:color w:val="auto"/>
              </w:rPr>
            </w:pPr>
            <w:r>
              <w:rPr>
                <w:color w:val="auto"/>
              </w:rPr>
              <w:t>苯并[a]芘</w:t>
            </w:r>
          </w:p>
        </w:tc>
        <w:tc>
          <w:tcPr>
            <w:tcW w:w="1405" w:type="pct"/>
            <w:tcBorders>
              <w:tl2br w:val="nil"/>
              <w:tr2bl w:val="nil"/>
            </w:tcBorders>
            <w:vAlign w:val="center"/>
          </w:tcPr>
          <w:p w14:paraId="38A56C45">
            <w:pPr>
              <w:jc w:val="center"/>
              <w:rPr>
                <w:color w:val="auto"/>
              </w:rPr>
            </w:pPr>
            <w:r>
              <w:rPr>
                <w:color w:val="auto"/>
              </w:rPr>
              <w:t>50-32-8</w:t>
            </w:r>
          </w:p>
        </w:tc>
        <w:tc>
          <w:tcPr>
            <w:tcW w:w="823" w:type="pct"/>
            <w:gridSpan w:val="2"/>
            <w:tcBorders>
              <w:tl2br w:val="nil"/>
              <w:tr2bl w:val="nil"/>
            </w:tcBorders>
            <w:vAlign w:val="center"/>
          </w:tcPr>
          <w:p w14:paraId="3D3771B4">
            <w:pPr>
              <w:jc w:val="center"/>
              <w:rPr>
                <w:color w:val="auto"/>
              </w:rPr>
            </w:pPr>
            <w:r>
              <w:rPr>
                <w:color w:val="auto"/>
              </w:rPr>
              <w:t>1.5</w:t>
            </w:r>
          </w:p>
        </w:tc>
        <w:tc>
          <w:tcPr>
            <w:tcW w:w="831" w:type="pct"/>
            <w:tcBorders>
              <w:tl2br w:val="nil"/>
              <w:tr2bl w:val="nil"/>
            </w:tcBorders>
            <w:vAlign w:val="center"/>
          </w:tcPr>
          <w:p w14:paraId="1311C9AE">
            <w:pPr>
              <w:jc w:val="center"/>
              <w:rPr>
                <w:color w:val="auto"/>
              </w:rPr>
            </w:pPr>
            <w:r>
              <w:rPr>
                <w:color w:val="auto"/>
              </w:rPr>
              <w:t>15</w:t>
            </w:r>
          </w:p>
        </w:tc>
      </w:tr>
      <w:tr w14:paraId="3DAB75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4BA3A91C">
            <w:pPr>
              <w:jc w:val="center"/>
              <w:rPr>
                <w:color w:val="auto"/>
              </w:rPr>
            </w:pPr>
            <w:r>
              <w:rPr>
                <w:color w:val="auto"/>
              </w:rPr>
              <w:t>40</w:t>
            </w:r>
          </w:p>
        </w:tc>
        <w:tc>
          <w:tcPr>
            <w:tcW w:w="1415" w:type="pct"/>
            <w:tcBorders>
              <w:tl2br w:val="nil"/>
              <w:tr2bl w:val="nil"/>
            </w:tcBorders>
            <w:vAlign w:val="center"/>
          </w:tcPr>
          <w:p w14:paraId="609B67B8">
            <w:pPr>
              <w:jc w:val="center"/>
              <w:rPr>
                <w:color w:val="auto"/>
              </w:rPr>
            </w:pPr>
            <w:r>
              <w:rPr>
                <w:color w:val="auto"/>
              </w:rPr>
              <w:t>苯并[b]荧蒽</w:t>
            </w:r>
          </w:p>
        </w:tc>
        <w:tc>
          <w:tcPr>
            <w:tcW w:w="1405" w:type="pct"/>
            <w:tcBorders>
              <w:tl2br w:val="nil"/>
              <w:tr2bl w:val="nil"/>
            </w:tcBorders>
            <w:vAlign w:val="center"/>
          </w:tcPr>
          <w:p w14:paraId="44E6E1CC">
            <w:pPr>
              <w:jc w:val="center"/>
              <w:rPr>
                <w:color w:val="auto"/>
              </w:rPr>
            </w:pPr>
            <w:r>
              <w:rPr>
                <w:color w:val="auto"/>
              </w:rPr>
              <w:t>205-99-2</w:t>
            </w:r>
          </w:p>
        </w:tc>
        <w:tc>
          <w:tcPr>
            <w:tcW w:w="823" w:type="pct"/>
            <w:gridSpan w:val="2"/>
            <w:tcBorders>
              <w:tl2br w:val="nil"/>
              <w:tr2bl w:val="nil"/>
            </w:tcBorders>
            <w:vAlign w:val="center"/>
          </w:tcPr>
          <w:p w14:paraId="687134C9">
            <w:pPr>
              <w:jc w:val="center"/>
              <w:rPr>
                <w:color w:val="auto"/>
              </w:rPr>
            </w:pPr>
            <w:r>
              <w:rPr>
                <w:color w:val="auto"/>
              </w:rPr>
              <w:t>15</w:t>
            </w:r>
          </w:p>
        </w:tc>
        <w:tc>
          <w:tcPr>
            <w:tcW w:w="831" w:type="pct"/>
            <w:tcBorders>
              <w:tl2br w:val="nil"/>
              <w:tr2bl w:val="nil"/>
            </w:tcBorders>
            <w:vAlign w:val="center"/>
          </w:tcPr>
          <w:p w14:paraId="5A02EF84">
            <w:pPr>
              <w:jc w:val="center"/>
              <w:rPr>
                <w:color w:val="auto"/>
              </w:rPr>
            </w:pPr>
            <w:r>
              <w:rPr>
                <w:color w:val="auto"/>
              </w:rPr>
              <w:t>151</w:t>
            </w:r>
          </w:p>
        </w:tc>
      </w:tr>
      <w:tr w14:paraId="4DDFB1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75C36061">
            <w:pPr>
              <w:jc w:val="center"/>
              <w:rPr>
                <w:color w:val="auto"/>
              </w:rPr>
            </w:pPr>
            <w:r>
              <w:rPr>
                <w:color w:val="auto"/>
              </w:rPr>
              <w:t>41</w:t>
            </w:r>
          </w:p>
        </w:tc>
        <w:tc>
          <w:tcPr>
            <w:tcW w:w="1415" w:type="pct"/>
            <w:tcBorders>
              <w:tl2br w:val="nil"/>
              <w:tr2bl w:val="nil"/>
            </w:tcBorders>
            <w:vAlign w:val="center"/>
          </w:tcPr>
          <w:p w14:paraId="63556E62">
            <w:pPr>
              <w:jc w:val="center"/>
              <w:rPr>
                <w:color w:val="auto"/>
              </w:rPr>
            </w:pPr>
            <w:r>
              <w:rPr>
                <w:color w:val="auto"/>
              </w:rPr>
              <w:t>苯并[k] 荧蒽</w:t>
            </w:r>
          </w:p>
        </w:tc>
        <w:tc>
          <w:tcPr>
            <w:tcW w:w="1405" w:type="pct"/>
            <w:tcBorders>
              <w:tl2br w:val="nil"/>
              <w:tr2bl w:val="nil"/>
            </w:tcBorders>
            <w:vAlign w:val="center"/>
          </w:tcPr>
          <w:p w14:paraId="5F789D43">
            <w:pPr>
              <w:jc w:val="center"/>
              <w:rPr>
                <w:color w:val="auto"/>
              </w:rPr>
            </w:pPr>
            <w:r>
              <w:rPr>
                <w:color w:val="auto"/>
              </w:rPr>
              <w:t>207-08-9</w:t>
            </w:r>
          </w:p>
        </w:tc>
        <w:tc>
          <w:tcPr>
            <w:tcW w:w="823" w:type="pct"/>
            <w:gridSpan w:val="2"/>
            <w:tcBorders>
              <w:tl2br w:val="nil"/>
              <w:tr2bl w:val="nil"/>
            </w:tcBorders>
            <w:vAlign w:val="center"/>
          </w:tcPr>
          <w:p w14:paraId="3135F041">
            <w:pPr>
              <w:jc w:val="center"/>
              <w:rPr>
                <w:color w:val="auto"/>
              </w:rPr>
            </w:pPr>
            <w:r>
              <w:rPr>
                <w:color w:val="auto"/>
              </w:rPr>
              <w:t>151</w:t>
            </w:r>
          </w:p>
        </w:tc>
        <w:tc>
          <w:tcPr>
            <w:tcW w:w="831" w:type="pct"/>
            <w:tcBorders>
              <w:tl2br w:val="nil"/>
              <w:tr2bl w:val="nil"/>
            </w:tcBorders>
            <w:vAlign w:val="center"/>
          </w:tcPr>
          <w:p w14:paraId="7D4EAA14">
            <w:pPr>
              <w:jc w:val="center"/>
              <w:rPr>
                <w:color w:val="auto"/>
              </w:rPr>
            </w:pPr>
            <w:r>
              <w:rPr>
                <w:color w:val="auto"/>
              </w:rPr>
              <w:t>1500</w:t>
            </w:r>
          </w:p>
        </w:tc>
      </w:tr>
      <w:tr w14:paraId="5FBF11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19A9A5F7">
            <w:pPr>
              <w:jc w:val="center"/>
              <w:rPr>
                <w:color w:val="auto"/>
              </w:rPr>
            </w:pPr>
            <w:r>
              <w:rPr>
                <w:color w:val="auto"/>
              </w:rPr>
              <w:t>42</w:t>
            </w:r>
          </w:p>
        </w:tc>
        <w:tc>
          <w:tcPr>
            <w:tcW w:w="1415" w:type="pct"/>
            <w:tcBorders>
              <w:tl2br w:val="nil"/>
              <w:tr2bl w:val="nil"/>
            </w:tcBorders>
            <w:vAlign w:val="center"/>
          </w:tcPr>
          <w:p w14:paraId="1C50B120">
            <w:pPr>
              <w:jc w:val="center"/>
              <w:rPr>
                <w:color w:val="auto"/>
              </w:rPr>
            </w:pPr>
            <w:r>
              <w:rPr>
                <w:color w:val="auto"/>
              </w:rPr>
              <w:t>䓛</w:t>
            </w:r>
          </w:p>
        </w:tc>
        <w:tc>
          <w:tcPr>
            <w:tcW w:w="1405" w:type="pct"/>
            <w:tcBorders>
              <w:tl2br w:val="nil"/>
              <w:tr2bl w:val="nil"/>
            </w:tcBorders>
            <w:vAlign w:val="center"/>
          </w:tcPr>
          <w:p w14:paraId="5EA7DB89">
            <w:pPr>
              <w:jc w:val="center"/>
              <w:rPr>
                <w:color w:val="auto"/>
              </w:rPr>
            </w:pPr>
            <w:r>
              <w:rPr>
                <w:color w:val="auto"/>
              </w:rPr>
              <w:t>218-01-9</w:t>
            </w:r>
          </w:p>
        </w:tc>
        <w:tc>
          <w:tcPr>
            <w:tcW w:w="823" w:type="pct"/>
            <w:gridSpan w:val="2"/>
            <w:tcBorders>
              <w:tl2br w:val="nil"/>
              <w:tr2bl w:val="nil"/>
            </w:tcBorders>
            <w:vAlign w:val="center"/>
          </w:tcPr>
          <w:p w14:paraId="689DF879">
            <w:pPr>
              <w:jc w:val="center"/>
              <w:rPr>
                <w:color w:val="auto"/>
              </w:rPr>
            </w:pPr>
            <w:r>
              <w:rPr>
                <w:color w:val="auto"/>
              </w:rPr>
              <w:t>1293</w:t>
            </w:r>
          </w:p>
        </w:tc>
        <w:tc>
          <w:tcPr>
            <w:tcW w:w="831" w:type="pct"/>
            <w:tcBorders>
              <w:tl2br w:val="nil"/>
              <w:tr2bl w:val="nil"/>
            </w:tcBorders>
            <w:vAlign w:val="center"/>
          </w:tcPr>
          <w:p w14:paraId="0F5234C5">
            <w:pPr>
              <w:jc w:val="center"/>
              <w:rPr>
                <w:color w:val="auto"/>
              </w:rPr>
            </w:pPr>
            <w:r>
              <w:rPr>
                <w:color w:val="auto"/>
              </w:rPr>
              <w:t>12900</w:t>
            </w:r>
          </w:p>
        </w:tc>
      </w:tr>
      <w:tr w14:paraId="04B8F7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401DB3F0">
            <w:pPr>
              <w:jc w:val="center"/>
              <w:rPr>
                <w:color w:val="auto"/>
              </w:rPr>
            </w:pPr>
            <w:r>
              <w:rPr>
                <w:color w:val="auto"/>
              </w:rPr>
              <w:t>43</w:t>
            </w:r>
          </w:p>
        </w:tc>
        <w:tc>
          <w:tcPr>
            <w:tcW w:w="1415" w:type="pct"/>
            <w:tcBorders>
              <w:tl2br w:val="nil"/>
              <w:tr2bl w:val="nil"/>
            </w:tcBorders>
            <w:vAlign w:val="center"/>
          </w:tcPr>
          <w:p w14:paraId="4E8CD7CD">
            <w:pPr>
              <w:jc w:val="center"/>
              <w:rPr>
                <w:color w:val="auto"/>
              </w:rPr>
            </w:pPr>
            <w:r>
              <w:rPr>
                <w:color w:val="auto"/>
              </w:rPr>
              <w:t>二苯并[a,h]蒽</w:t>
            </w:r>
          </w:p>
        </w:tc>
        <w:tc>
          <w:tcPr>
            <w:tcW w:w="1405" w:type="pct"/>
            <w:tcBorders>
              <w:tl2br w:val="nil"/>
              <w:tr2bl w:val="nil"/>
            </w:tcBorders>
            <w:vAlign w:val="center"/>
          </w:tcPr>
          <w:p w14:paraId="0C3FB69B">
            <w:pPr>
              <w:jc w:val="center"/>
              <w:rPr>
                <w:color w:val="auto"/>
              </w:rPr>
            </w:pPr>
            <w:r>
              <w:rPr>
                <w:color w:val="auto"/>
              </w:rPr>
              <w:t>53-70-3</w:t>
            </w:r>
          </w:p>
        </w:tc>
        <w:tc>
          <w:tcPr>
            <w:tcW w:w="823" w:type="pct"/>
            <w:gridSpan w:val="2"/>
            <w:tcBorders>
              <w:tl2br w:val="nil"/>
              <w:tr2bl w:val="nil"/>
            </w:tcBorders>
            <w:vAlign w:val="center"/>
          </w:tcPr>
          <w:p w14:paraId="034D17B4">
            <w:pPr>
              <w:jc w:val="center"/>
              <w:rPr>
                <w:color w:val="auto"/>
              </w:rPr>
            </w:pPr>
            <w:r>
              <w:rPr>
                <w:color w:val="auto"/>
              </w:rPr>
              <w:t>1.5</w:t>
            </w:r>
          </w:p>
        </w:tc>
        <w:tc>
          <w:tcPr>
            <w:tcW w:w="831" w:type="pct"/>
            <w:tcBorders>
              <w:tl2br w:val="nil"/>
              <w:tr2bl w:val="nil"/>
            </w:tcBorders>
            <w:vAlign w:val="center"/>
          </w:tcPr>
          <w:p w14:paraId="3F92FB21">
            <w:pPr>
              <w:jc w:val="center"/>
              <w:rPr>
                <w:color w:val="auto"/>
              </w:rPr>
            </w:pPr>
            <w:r>
              <w:rPr>
                <w:color w:val="auto"/>
              </w:rPr>
              <w:t>15</w:t>
            </w:r>
          </w:p>
        </w:tc>
      </w:tr>
      <w:tr w14:paraId="67A6BB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46F465C5">
            <w:pPr>
              <w:jc w:val="center"/>
              <w:rPr>
                <w:color w:val="auto"/>
              </w:rPr>
            </w:pPr>
            <w:r>
              <w:rPr>
                <w:color w:val="auto"/>
              </w:rPr>
              <w:t>44</w:t>
            </w:r>
          </w:p>
        </w:tc>
        <w:tc>
          <w:tcPr>
            <w:tcW w:w="1415" w:type="pct"/>
            <w:tcBorders>
              <w:tl2br w:val="nil"/>
              <w:tr2bl w:val="nil"/>
            </w:tcBorders>
            <w:vAlign w:val="center"/>
          </w:tcPr>
          <w:p w14:paraId="28F108C4">
            <w:pPr>
              <w:jc w:val="center"/>
              <w:rPr>
                <w:color w:val="auto"/>
              </w:rPr>
            </w:pPr>
            <w:r>
              <w:rPr>
                <w:color w:val="auto"/>
              </w:rPr>
              <w:t>茚并[1,2,3-cd]芘</w:t>
            </w:r>
          </w:p>
        </w:tc>
        <w:tc>
          <w:tcPr>
            <w:tcW w:w="1405" w:type="pct"/>
            <w:tcBorders>
              <w:tl2br w:val="nil"/>
              <w:tr2bl w:val="nil"/>
            </w:tcBorders>
            <w:vAlign w:val="center"/>
          </w:tcPr>
          <w:p w14:paraId="41EA04A5">
            <w:pPr>
              <w:jc w:val="center"/>
              <w:rPr>
                <w:color w:val="auto"/>
              </w:rPr>
            </w:pPr>
            <w:r>
              <w:rPr>
                <w:color w:val="auto"/>
              </w:rPr>
              <w:t>193-39-5</w:t>
            </w:r>
          </w:p>
        </w:tc>
        <w:tc>
          <w:tcPr>
            <w:tcW w:w="823" w:type="pct"/>
            <w:gridSpan w:val="2"/>
            <w:tcBorders>
              <w:tl2br w:val="nil"/>
              <w:tr2bl w:val="nil"/>
            </w:tcBorders>
            <w:vAlign w:val="center"/>
          </w:tcPr>
          <w:p w14:paraId="49C105AF">
            <w:pPr>
              <w:jc w:val="center"/>
              <w:rPr>
                <w:color w:val="auto"/>
              </w:rPr>
            </w:pPr>
            <w:r>
              <w:rPr>
                <w:color w:val="auto"/>
              </w:rPr>
              <w:t>15</w:t>
            </w:r>
          </w:p>
        </w:tc>
        <w:tc>
          <w:tcPr>
            <w:tcW w:w="831" w:type="pct"/>
            <w:tcBorders>
              <w:tl2br w:val="nil"/>
              <w:tr2bl w:val="nil"/>
            </w:tcBorders>
            <w:vAlign w:val="center"/>
          </w:tcPr>
          <w:p w14:paraId="0D03D8F4">
            <w:pPr>
              <w:jc w:val="center"/>
              <w:rPr>
                <w:color w:val="auto"/>
              </w:rPr>
            </w:pPr>
            <w:r>
              <w:rPr>
                <w:color w:val="auto"/>
              </w:rPr>
              <w:t>151</w:t>
            </w:r>
          </w:p>
        </w:tc>
      </w:tr>
      <w:tr w14:paraId="2FD143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0285DCD5">
            <w:pPr>
              <w:jc w:val="center"/>
              <w:rPr>
                <w:color w:val="auto"/>
              </w:rPr>
            </w:pPr>
            <w:r>
              <w:rPr>
                <w:color w:val="auto"/>
              </w:rPr>
              <w:t>45</w:t>
            </w:r>
          </w:p>
        </w:tc>
        <w:tc>
          <w:tcPr>
            <w:tcW w:w="1415" w:type="pct"/>
            <w:tcBorders>
              <w:tl2br w:val="nil"/>
              <w:tr2bl w:val="nil"/>
            </w:tcBorders>
            <w:vAlign w:val="center"/>
          </w:tcPr>
          <w:p w14:paraId="647592A5">
            <w:pPr>
              <w:jc w:val="center"/>
              <w:rPr>
                <w:color w:val="auto"/>
              </w:rPr>
            </w:pPr>
            <w:r>
              <w:rPr>
                <w:color w:val="auto"/>
              </w:rPr>
              <w:t>萘</w:t>
            </w:r>
          </w:p>
        </w:tc>
        <w:tc>
          <w:tcPr>
            <w:tcW w:w="1405" w:type="pct"/>
            <w:tcBorders>
              <w:tl2br w:val="nil"/>
              <w:tr2bl w:val="nil"/>
            </w:tcBorders>
            <w:vAlign w:val="center"/>
          </w:tcPr>
          <w:p w14:paraId="0D87B7C9">
            <w:pPr>
              <w:jc w:val="center"/>
              <w:rPr>
                <w:color w:val="auto"/>
              </w:rPr>
            </w:pPr>
            <w:r>
              <w:rPr>
                <w:color w:val="auto"/>
              </w:rPr>
              <w:t>91-20-3</w:t>
            </w:r>
          </w:p>
        </w:tc>
        <w:tc>
          <w:tcPr>
            <w:tcW w:w="823" w:type="pct"/>
            <w:gridSpan w:val="2"/>
            <w:tcBorders>
              <w:tl2br w:val="nil"/>
              <w:tr2bl w:val="nil"/>
            </w:tcBorders>
            <w:vAlign w:val="center"/>
          </w:tcPr>
          <w:p w14:paraId="2AA25D75">
            <w:pPr>
              <w:jc w:val="center"/>
              <w:rPr>
                <w:color w:val="auto"/>
              </w:rPr>
            </w:pPr>
            <w:r>
              <w:rPr>
                <w:color w:val="auto"/>
              </w:rPr>
              <w:t>70</w:t>
            </w:r>
          </w:p>
        </w:tc>
        <w:tc>
          <w:tcPr>
            <w:tcW w:w="831" w:type="pct"/>
            <w:tcBorders>
              <w:tl2br w:val="nil"/>
              <w:tr2bl w:val="nil"/>
            </w:tcBorders>
            <w:vAlign w:val="center"/>
          </w:tcPr>
          <w:p w14:paraId="31E81743">
            <w:pPr>
              <w:jc w:val="center"/>
              <w:rPr>
                <w:color w:val="auto"/>
              </w:rPr>
            </w:pPr>
            <w:r>
              <w:rPr>
                <w:color w:val="auto"/>
              </w:rPr>
              <w:t>700</w:t>
            </w:r>
          </w:p>
        </w:tc>
      </w:tr>
      <w:tr w14:paraId="1736DD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000" w:type="pct"/>
            <w:gridSpan w:val="6"/>
            <w:tcBorders>
              <w:tl2br w:val="nil"/>
              <w:tr2bl w:val="nil"/>
            </w:tcBorders>
            <w:vAlign w:val="center"/>
          </w:tcPr>
          <w:p w14:paraId="0A0FB246">
            <w:pPr>
              <w:jc w:val="center"/>
              <w:rPr>
                <w:color w:val="auto"/>
              </w:rPr>
            </w:pPr>
            <w:r>
              <w:rPr>
                <w:color w:val="auto"/>
              </w:rPr>
              <w:t>其他项目</w:t>
            </w:r>
          </w:p>
        </w:tc>
      </w:tr>
      <w:tr w14:paraId="52E5AF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3" w:type="pct"/>
            <w:tcBorders>
              <w:tl2br w:val="nil"/>
              <w:tr2bl w:val="nil"/>
            </w:tcBorders>
            <w:vAlign w:val="center"/>
          </w:tcPr>
          <w:p w14:paraId="2EEEA2A7">
            <w:pPr>
              <w:jc w:val="center"/>
              <w:rPr>
                <w:color w:val="auto"/>
              </w:rPr>
            </w:pPr>
            <w:r>
              <w:rPr>
                <w:color w:val="auto"/>
              </w:rPr>
              <w:t>1</w:t>
            </w:r>
          </w:p>
        </w:tc>
        <w:tc>
          <w:tcPr>
            <w:tcW w:w="1415" w:type="pct"/>
            <w:tcBorders>
              <w:tl2br w:val="nil"/>
              <w:tr2bl w:val="nil"/>
            </w:tcBorders>
            <w:vAlign w:val="center"/>
          </w:tcPr>
          <w:p w14:paraId="13E2AA8D">
            <w:pPr>
              <w:jc w:val="center"/>
              <w:rPr>
                <w:rFonts w:hint="eastAsia" w:eastAsia="宋体"/>
                <w:color w:val="auto"/>
                <w:lang w:val="en-US" w:eastAsia="zh-CN"/>
              </w:rPr>
            </w:pPr>
            <w:r>
              <w:rPr>
                <w:rFonts w:hint="eastAsia"/>
                <w:color w:val="auto"/>
                <w:lang w:val="en-US" w:eastAsia="zh-CN"/>
              </w:rPr>
              <w:t>二噁英</w:t>
            </w:r>
          </w:p>
        </w:tc>
        <w:tc>
          <w:tcPr>
            <w:tcW w:w="1405" w:type="pct"/>
            <w:tcBorders>
              <w:tl2br w:val="nil"/>
              <w:tr2bl w:val="nil"/>
            </w:tcBorders>
            <w:vAlign w:val="center"/>
          </w:tcPr>
          <w:p w14:paraId="79B59A71">
            <w:pPr>
              <w:jc w:val="center"/>
              <w:rPr>
                <w:color w:val="auto"/>
              </w:rPr>
            </w:pPr>
            <w:r>
              <w:rPr>
                <w:color w:val="auto"/>
              </w:rPr>
              <w:t>——</w:t>
            </w:r>
          </w:p>
        </w:tc>
        <w:tc>
          <w:tcPr>
            <w:tcW w:w="824" w:type="pct"/>
            <w:gridSpan w:val="2"/>
            <w:tcBorders>
              <w:tl2br w:val="nil"/>
              <w:tr2bl w:val="nil"/>
            </w:tcBorders>
            <w:vAlign w:val="center"/>
          </w:tcPr>
          <w:p w14:paraId="46F2DC3C">
            <w:pPr>
              <w:jc w:val="center"/>
              <w:rPr>
                <w:rFonts w:hint="default" w:eastAsia="宋体"/>
                <w:color w:val="auto"/>
                <w:lang w:val="en-US" w:eastAsia="zh-CN"/>
              </w:rPr>
            </w:pPr>
            <w:r>
              <w:rPr>
                <w:rFonts w:hint="eastAsia"/>
                <w:color w:val="auto"/>
                <w:lang w:val="en-US" w:eastAsia="zh-CN"/>
              </w:rPr>
              <w:t>4×10</w:t>
            </w:r>
            <w:r>
              <w:rPr>
                <w:rFonts w:hint="eastAsia"/>
                <w:color w:val="auto"/>
                <w:vertAlign w:val="superscript"/>
                <w:lang w:val="en-US" w:eastAsia="zh-CN"/>
              </w:rPr>
              <w:t>-5</w:t>
            </w:r>
          </w:p>
        </w:tc>
        <w:tc>
          <w:tcPr>
            <w:tcW w:w="830" w:type="pct"/>
            <w:tcBorders>
              <w:tl2br w:val="nil"/>
              <w:tr2bl w:val="nil"/>
            </w:tcBorders>
            <w:vAlign w:val="center"/>
          </w:tcPr>
          <w:p w14:paraId="6DF7B4F3">
            <w:pPr>
              <w:jc w:val="center"/>
              <w:rPr>
                <w:rFonts w:hint="default"/>
                <w:color w:val="auto"/>
                <w:lang w:val="en-US"/>
              </w:rPr>
            </w:pPr>
            <w:r>
              <w:rPr>
                <w:rFonts w:hint="eastAsia"/>
                <w:color w:val="auto"/>
                <w:lang w:val="en-US" w:eastAsia="zh-CN"/>
              </w:rPr>
              <w:t>4×10</w:t>
            </w:r>
            <w:r>
              <w:rPr>
                <w:rFonts w:hint="eastAsia"/>
                <w:color w:val="auto"/>
                <w:vertAlign w:val="superscript"/>
                <w:lang w:val="en-US" w:eastAsia="zh-CN"/>
              </w:rPr>
              <w:t>-4</w:t>
            </w:r>
          </w:p>
        </w:tc>
      </w:tr>
    </w:tbl>
    <w:p w14:paraId="756856C3">
      <w:pPr>
        <w:adjustRightInd w:val="0"/>
        <w:snapToGrid w:val="0"/>
        <w:spacing w:line="360" w:lineRule="auto"/>
        <w:outlineLvl w:val="2"/>
        <w:rPr>
          <w:b/>
          <w:bCs/>
          <w:color w:val="auto"/>
          <w:sz w:val="24"/>
          <w:szCs w:val="32"/>
        </w:rPr>
      </w:pPr>
      <w:bookmarkStart w:id="111" w:name="_Toc32661"/>
      <w:bookmarkStart w:id="112" w:name="_Toc2912"/>
    </w:p>
    <w:p w14:paraId="50806C6F">
      <w:pPr>
        <w:adjustRightInd w:val="0"/>
        <w:snapToGrid w:val="0"/>
        <w:spacing w:line="360" w:lineRule="auto"/>
        <w:outlineLvl w:val="2"/>
        <w:rPr>
          <w:b/>
          <w:bCs/>
          <w:color w:val="auto"/>
          <w:sz w:val="24"/>
          <w:szCs w:val="32"/>
        </w:rPr>
      </w:pPr>
      <w:r>
        <w:rPr>
          <w:b/>
          <w:bCs/>
          <w:color w:val="auto"/>
          <w:sz w:val="24"/>
          <w:szCs w:val="32"/>
        </w:rPr>
        <w:t>1.6.2 污染物排放标准</w:t>
      </w:r>
      <w:bookmarkEnd w:id="111"/>
      <w:bookmarkEnd w:id="112"/>
    </w:p>
    <w:p w14:paraId="69CCBDC8">
      <w:pPr>
        <w:adjustRightInd w:val="0"/>
        <w:snapToGrid w:val="0"/>
        <w:spacing w:line="360" w:lineRule="auto"/>
        <w:ind w:firstLine="480" w:firstLineChars="200"/>
        <w:rPr>
          <w:color w:val="auto"/>
          <w:sz w:val="24"/>
          <w:szCs w:val="32"/>
        </w:rPr>
      </w:pPr>
      <w:bookmarkStart w:id="113" w:name="_Toc21008"/>
      <w:bookmarkStart w:id="114" w:name="_Toc10687"/>
      <w:bookmarkStart w:id="115" w:name="_Toc17193"/>
      <w:bookmarkStart w:id="116" w:name="_Toc17000"/>
      <w:r>
        <w:rPr>
          <w:color w:val="auto"/>
          <w:sz w:val="24"/>
          <w:szCs w:val="32"/>
        </w:rPr>
        <w:t>1、废气污染物排放标准</w:t>
      </w:r>
      <w:bookmarkEnd w:id="113"/>
      <w:bookmarkEnd w:id="114"/>
      <w:bookmarkEnd w:id="115"/>
      <w:bookmarkEnd w:id="116"/>
    </w:p>
    <w:p w14:paraId="137F2DA7">
      <w:pPr>
        <w:adjustRightInd w:val="0"/>
        <w:snapToGrid w:val="0"/>
        <w:spacing w:line="360" w:lineRule="auto"/>
        <w:ind w:firstLine="482" w:firstLineChars="200"/>
        <w:rPr>
          <w:color w:val="auto"/>
          <w:sz w:val="24"/>
        </w:rPr>
      </w:pPr>
      <w:bookmarkStart w:id="117" w:name="_Toc17154"/>
      <w:r>
        <w:rPr>
          <w:b/>
          <w:bCs/>
          <w:color w:val="auto"/>
          <w:sz w:val="24"/>
        </w:rPr>
        <w:t>原环评评价阶段：</w:t>
      </w:r>
      <w:bookmarkEnd w:id="117"/>
      <w:r>
        <w:rPr>
          <w:color w:val="auto"/>
          <w:sz w:val="24"/>
        </w:rPr>
        <w:t>项目营运期烟尘、SO</w:t>
      </w:r>
      <w:r>
        <w:rPr>
          <w:color w:val="auto"/>
          <w:sz w:val="24"/>
          <w:vertAlign w:val="subscript"/>
        </w:rPr>
        <w:t>2</w:t>
      </w:r>
      <w:r>
        <w:rPr>
          <w:color w:val="auto"/>
          <w:sz w:val="24"/>
        </w:rPr>
        <w:t>、NO</w:t>
      </w:r>
      <w:r>
        <w:rPr>
          <w:color w:val="auto"/>
          <w:sz w:val="24"/>
          <w:vertAlign w:val="subscript"/>
        </w:rPr>
        <w:t>X</w:t>
      </w:r>
      <w:r>
        <w:rPr>
          <w:color w:val="auto"/>
          <w:sz w:val="24"/>
        </w:rPr>
        <w:t>、氟化物、HCl、二噁英类、砷及其化合物、铅及其化合物、锡及其化合物、镉及其化合物、铬及其化合物</w:t>
      </w:r>
      <w:r>
        <w:rPr>
          <w:rFonts w:hint="eastAsia"/>
          <w:color w:val="auto"/>
          <w:sz w:val="24"/>
          <w:lang w:val="en-US" w:eastAsia="zh-CN"/>
        </w:rPr>
        <w:t>有组织废气</w:t>
      </w:r>
      <w:r>
        <w:rPr>
          <w:color w:val="auto"/>
          <w:sz w:val="24"/>
        </w:rPr>
        <w:t>排放参照执行《再生铜、铝、铅、锌工业污染物排放标准》（GB 31574-2015）中表3大气污染物排放限值</w:t>
      </w:r>
      <w:r>
        <w:rPr>
          <w:rFonts w:hint="eastAsia"/>
          <w:color w:val="auto"/>
          <w:sz w:val="24"/>
          <w:lang w:eastAsia="zh-CN"/>
        </w:rPr>
        <w:t>；</w:t>
      </w:r>
      <w:r>
        <w:rPr>
          <w:rFonts w:hint="default" w:ascii="Times New Roman" w:hAnsi="Times New Roman" w:eastAsia="宋体" w:cs="Times New Roman"/>
          <w:color w:val="auto"/>
          <w:kern w:val="0"/>
          <w:sz w:val="24"/>
          <w:szCs w:val="20"/>
        </w:rPr>
        <w:t>无组织废气氯化氢、</w:t>
      </w:r>
      <w:r>
        <w:rPr>
          <w:rFonts w:hint="eastAsia" w:ascii="Times New Roman" w:hAnsi="Times New Roman" w:eastAsia="宋体" w:cs="Times New Roman"/>
          <w:color w:val="auto"/>
          <w:kern w:val="0"/>
          <w:sz w:val="24"/>
          <w:szCs w:val="20"/>
          <w:lang w:eastAsia="zh-CN"/>
        </w:rPr>
        <w:t>氟化物</w:t>
      </w:r>
      <w:r>
        <w:rPr>
          <w:rFonts w:hint="default" w:ascii="Times New Roman" w:hAnsi="Times New Roman" w:eastAsia="宋体" w:cs="Times New Roman"/>
          <w:color w:val="auto"/>
          <w:kern w:val="0"/>
          <w:sz w:val="24"/>
          <w:szCs w:val="20"/>
        </w:rPr>
        <w:t>、砷及其化合物、铅及其化合物、锡及其化合物、镉及其化合物、铬及其化合物等污染物排放限值执行《再生铜、铝、铅、锌工业污染物排放标准》（GB31574-2015）表5 企业边界大气污染物限值，</w:t>
      </w:r>
      <w:r>
        <w:rPr>
          <w:rFonts w:hint="default" w:ascii="Times New Roman" w:hAnsi="Times New Roman" w:eastAsia="宋体" w:cs="Times New Roman"/>
          <w:color w:val="auto"/>
          <w:sz w:val="24"/>
          <w:szCs w:val="22"/>
        </w:rPr>
        <w:t>无组织排放的颗粒物厂界监控浓度执行《大气污染物综合排放标准》（GB16297-1996）表2无组织排放浓度限值</w:t>
      </w:r>
      <w:r>
        <w:rPr>
          <w:rFonts w:hint="default" w:ascii="Times New Roman" w:hAnsi="Times New Roman" w:eastAsia="宋体" w:cs="Times New Roman"/>
          <w:color w:val="auto"/>
          <w:kern w:val="0"/>
          <w:sz w:val="24"/>
          <w:szCs w:val="20"/>
        </w:rPr>
        <w:t>。</w:t>
      </w:r>
      <w:r>
        <w:rPr>
          <w:color w:val="auto"/>
          <w:sz w:val="24"/>
        </w:rPr>
        <w:t>具体限值详见下表：</w:t>
      </w:r>
    </w:p>
    <w:p w14:paraId="110723A2">
      <w:pPr>
        <w:adjustRightInd w:val="0"/>
        <w:snapToGrid w:val="0"/>
        <w:spacing w:line="360" w:lineRule="auto"/>
        <w:jc w:val="center"/>
        <w:rPr>
          <w:b/>
          <w:bCs/>
          <w:color w:val="auto"/>
          <w:sz w:val="24"/>
          <w:szCs w:val="32"/>
        </w:rPr>
      </w:pPr>
      <w:r>
        <w:rPr>
          <w:b/>
          <w:bCs/>
          <w:color w:val="auto"/>
          <w:sz w:val="24"/>
          <w:szCs w:val="32"/>
        </w:rPr>
        <w:t>表1-</w:t>
      </w:r>
      <w:r>
        <w:rPr>
          <w:rFonts w:hint="eastAsia"/>
          <w:b/>
          <w:bCs/>
          <w:color w:val="auto"/>
          <w:sz w:val="24"/>
          <w:szCs w:val="32"/>
          <w:lang w:val="en-US" w:eastAsia="zh-CN"/>
        </w:rPr>
        <w:t>10</w:t>
      </w:r>
      <w:r>
        <w:rPr>
          <w:b/>
          <w:bCs/>
          <w:color w:val="auto"/>
          <w:sz w:val="24"/>
          <w:szCs w:val="32"/>
        </w:rPr>
        <w:t xml:space="preserve"> </w:t>
      </w:r>
      <w:r>
        <w:rPr>
          <w:b/>
          <w:bCs/>
          <w:color w:val="auto"/>
          <w:sz w:val="24"/>
        </w:rPr>
        <w:t>原环评评价阶段</w:t>
      </w:r>
      <w:r>
        <w:rPr>
          <w:rFonts w:hint="eastAsia" w:ascii="Times New Roman" w:hAnsi="Times New Roman" w:eastAsia="宋体" w:cs="Times New Roman"/>
          <w:b/>
          <w:bCs/>
          <w:color w:val="auto"/>
          <w:sz w:val="24"/>
          <w:szCs w:val="24"/>
          <w:lang w:val="en-US" w:eastAsia="zh-CN"/>
        </w:rPr>
        <w:t>项目有组织废气污染物排放执行标准</w:t>
      </w:r>
    </w:p>
    <w:tbl>
      <w:tblPr>
        <w:tblStyle w:val="31"/>
        <w:tblW w:w="4998"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108" w:type="dxa"/>
          <w:bottom w:w="0" w:type="dxa"/>
          <w:right w:w="108" w:type="dxa"/>
        </w:tblCellMar>
      </w:tblPr>
      <w:tblGrid>
        <w:gridCol w:w="2073"/>
        <w:gridCol w:w="863"/>
        <w:gridCol w:w="1159"/>
        <w:gridCol w:w="3255"/>
        <w:gridCol w:w="2608"/>
      </w:tblGrid>
      <w:tr w14:paraId="3090194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vMerge w:val="restart"/>
            <w:tcBorders>
              <w:tl2br w:val="nil"/>
              <w:tr2bl w:val="nil"/>
            </w:tcBorders>
            <w:shd w:val="clear" w:color="auto" w:fill="auto"/>
            <w:noWrap w:val="0"/>
            <w:vAlign w:val="center"/>
          </w:tcPr>
          <w:p w14:paraId="63241777">
            <w:pPr>
              <w:spacing w:before="31" w:beforeLines="10" w:line="264" w:lineRule="auto"/>
              <w:jc w:val="center"/>
              <w:rPr>
                <w:b/>
                <w:color w:val="auto"/>
              </w:rPr>
            </w:pPr>
            <w:r>
              <w:rPr>
                <w:b/>
                <w:color w:val="auto"/>
              </w:rPr>
              <w:t>污染物项目</w:t>
            </w:r>
          </w:p>
        </w:tc>
        <w:tc>
          <w:tcPr>
            <w:tcW w:w="2649" w:type="pct"/>
            <w:gridSpan w:val="3"/>
            <w:tcBorders>
              <w:tl2br w:val="nil"/>
              <w:tr2bl w:val="nil"/>
            </w:tcBorders>
            <w:shd w:val="clear" w:color="auto" w:fill="auto"/>
            <w:noWrap w:val="0"/>
            <w:vAlign w:val="center"/>
          </w:tcPr>
          <w:p w14:paraId="60412067">
            <w:pPr>
              <w:spacing w:before="31" w:beforeLines="10" w:line="264" w:lineRule="auto"/>
              <w:jc w:val="center"/>
              <w:rPr>
                <w:b/>
                <w:color w:val="auto"/>
              </w:rPr>
            </w:pPr>
            <w:r>
              <w:rPr>
                <w:b/>
                <w:color w:val="auto"/>
              </w:rPr>
              <w:t>新建企业大气污染物排放限值</w:t>
            </w:r>
          </w:p>
        </w:tc>
        <w:tc>
          <w:tcPr>
            <w:tcW w:w="1309" w:type="pct"/>
            <w:vMerge w:val="restart"/>
            <w:tcBorders>
              <w:tl2br w:val="nil"/>
              <w:tr2bl w:val="nil"/>
            </w:tcBorders>
            <w:shd w:val="clear" w:color="auto" w:fill="auto"/>
            <w:noWrap w:val="0"/>
            <w:vAlign w:val="center"/>
          </w:tcPr>
          <w:p w14:paraId="1FDF2F77">
            <w:pPr>
              <w:spacing w:before="31" w:beforeLines="10" w:line="264" w:lineRule="auto"/>
              <w:jc w:val="center"/>
              <w:rPr>
                <w:b/>
                <w:color w:val="auto"/>
              </w:rPr>
            </w:pPr>
            <w:r>
              <w:rPr>
                <w:b/>
                <w:color w:val="auto"/>
              </w:rPr>
              <w:t>标准来源</w:t>
            </w:r>
          </w:p>
        </w:tc>
      </w:tr>
      <w:tr w14:paraId="582633D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vMerge w:val="continue"/>
            <w:tcBorders>
              <w:tl2br w:val="nil"/>
              <w:tr2bl w:val="nil"/>
            </w:tcBorders>
            <w:shd w:val="clear" w:color="auto" w:fill="auto"/>
            <w:noWrap w:val="0"/>
            <w:vAlign w:val="center"/>
          </w:tcPr>
          <w:p w14:paraId="4CC88ABD">
            <w:pPr>
              <w:spacing w:before="31" w:beforeLines="10" w:line="264" w:lineRule="auto"/>
              <w:jc w:val="center"/>
              <w:rPr>
                <w:b/>
                <w:color w:val="auto"/>
              </w:rPr>
            </w:pPr>
          </w:p>
        </w:tc>
        <w:tc>
          <w:tcPr>
            <w:tcW w:w="1015" w:type="pct"/>
            <w:gridSpan w:val="2"/>
            <w:tcBorders>
              <w:tl2br w:val="nil"/>
              <w:tr2bl w:val="nil"/>
            </w:tcBorders>
            <w:shd w:val="clear" w:color="auto" w:fill="auto"/>
            <w:noWrap w:val="0"/>
            <w:vAlign w:val="center"/>
          </w:tcPr>
          <w:p w14:paraId="6468DD57">
            <w:pPr>
              <w:spacing w:before="31" w:beforeLines="10" w:line="264" w:lineRule="auto"/>
              <w:jc w:val="center"/>
              <w:rPr>
                <w:b/>
                <w:color w:val="auto"/>
              </w:rPr>
            </w:pPr>
            <w:r>
              <w:rPr>
                <w:b/>
                <w:color w:val="auto"/>
                <w:szCs w:val="21"/>
              </w:rPr>
              <w:t>限值(mg/m</w:t>
            </w:r>
            <w:r>
              <w:rPr>
                <w:b/>
                <w:color w:val="auto"/>
                <w:szCs w:val="21"/>
                <w:vertAlign w:val="superscript"/>
              </w:rPr>
              <w:t>3</w:t>
            </w:r>
            <w:r>
              <w:rPr>
                <w:b/>
                <w:color w:val="auto"/>
                <w:szCs w:val="21"/>
              </w:rPr>
              <w:t>)</w:t>
            </w:r>
          </w:p>
        </w:tc>
        <w:tc>
          <w:tcPr>
            <w:tcW w:w="1634" w:type="pct"/>
            <w:tcBorders>
              <w:tl2br w:val="nil"/>
              <w:tr2bl w:val="nil"/>
            </w:tcBorders>
            <w:shd w:val="clear" w:color="auto" w:fill="auto"/>
            <w:noWrap w:val="0"/>
            <w:vAlign w:val="center"/>
          </w:tcPr>
          <w:p w14:paraId="0B73F48A">
            <w:pPr>
              <w:spacing w:before="31" w:beforeLines="10" w:line="264" w:lineRule="auto"/>
              <w:jc w:val="center"/>
              <w:rPr>
                <w:b/>
                <w:color w:val="auto"/>
              </w:rPr>
            </w:pPr>
            <w:r>
              <w:rPr>
                <w:b/>
                <w:color w:val="auto"/>
                <w:szCs w:val="21"/>
              </w:rPr>
              <w:t>污染物排放监控位置</w:t>
            </w:r>
          </w:p>
        </w:tc>
        <w:tc>
          <w:tcPr>
            <w:tcW w:w="1309" w:type="pct"/>
            <w:vMerge w:val="continue"/>
            <w:tcBorders>
              <w:tl2br w:val="nil"/>
              <w:tr2bl w:val="nil"/>
            </w:tcBorders>
            <w:shd w:val="clear" w:color="auto" w:fill="auto"/>
            <w:noWrap w:val="0"/>
            <w:vAlign w:val="center"/>
          </w:tcPr>
          <w:p w14:paraId="4BA06A76">
            <w:pPr>
              <w:spacing w:before="31" w:beforeLines="10" w:line="264" w:lineRule="auto"/>
              <w:jc w:val="center"/>
              <w:rPr>
                <w:b/>
                <w:color w:val="auto"/>
              </w:rPr>
            </w:pPr>
          </w:p>
        </w:tc>
      </w:tr>
      <w:tr w14:paraId="471D988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02B48D20">
            <w:pPr>
              <w:spacing w:before="31" w:beforeLines="10" w:line="264" w:lineRule="auto"/>
              <w:jc w:val="center"/>
              <w:rPr>
                <w:color w:val="auto"/>
                <w:szCs w:val="21"/>
              </w:rPr>
            </w:pPr>
            <w:r>
              <w:rPr>
                <w:color w:val="auto"/>
                <w:szCs w:val="21"/>
              </w:rPr>
              <w:t>颗粒物</w:t>
            </w:r>
          </w:p>
        </w:tc>
        <w:tc>
          <w:tcPr>
            <w:tcW w:w="1015" w:type="pct"/>
            <w:gridSpan w:val="2"/>
            <w:tcBorders>
              <w:tl2br w:val="nil"/>
              <w:tr2bl w:val="nil"/>
            </w:tcBorders>
            <w:shd w:val="clear" w:color="auto" w:fill="auto"/>
            <w:noWrap w:val="0"/>
            <w:vAlign w:val="center"/>
          </w:tcPr>
          <w:p w14:paraId="6177CA12">
            <w:pPr>
              <w:spacing w:before="31" w:beforeLines="10" w:line="264" w:lineRule="auto"/>
              <w:jc w:val="center"/>
              <w:rPr>
                <w:color w:val="auto"/>
                <w:szCs w:val="21"/>
              </w:rPr>
            </w:pPr>
            <w:r>
              <w:rPr>
                <w:color w:val="auto"/>
                <w:szCs w:val="21"/>
              </w:rPr>
              <w:t>30</w:t>
            </w:r>
          </w:p>
        </w:tc>
        <w:tc>
          <w:tcPr>
            <w:tcW w:w="1634" w:type="pct"/>
            <w:vMerge w:val="restart"/>
            <w:tcBorders>
              <w:tl2br w:val="nil"/>
              <w:tr2bl w:val="nil"/>
            </w:tcBorders>
            <w:shd w:val="clear" w:color="auto" w:fill="auto"/>
            <w:noWrap w:val="0"/>
            <w:vAlign w:val="center"/>
          </w:tcPr>
          <w:p w14:paraId="4BC7AA29">
            <w:pPr>
              <w:spacing w:before="31" w:beforeLines="10" w:line="264" w:lineRule="auto"/>
              <w:jc w:val="center"/>
              <w:rPr>
                <w:color w:val="auto"/>
                <w:szCs w:val="21"/>
              </w:rPr>
            </w:pPr>
            <w:r>
              <w:rPr>
                <w:rFonts w:hint="eastAsia"/>
                <w:color w:val="auto"/>
                <w:szCs w:val="21"/>
                <w:lang w:val="en-US" w:eastAsia="zh-CN"/>
              </w:rPr>
              <w:t>DA001</w:t>
            </w:r>
            <w:r>
              <w:rPr>
                <w:color w:val="auto"/>
                <w:szCs w:val="21"/>
              </w:rPr>
              <w:t>排气筒</w:t>
            </w:r>
          </w:p>
        </w:tc>
        <w:tc>
          <w:tcPr>
            <w:tcW w:w="1309" w:type="pct"/>
            <w:vMerge w:val="restart"/>
            <w:tcBorders>
              <w:tl2br w:val="nil"/>
              <w:tr2bl w:val="nil"/>
            </w:tcBorders>
            <w:shd w:val="clear" w:color="auto" w:fill="auto"/>
            <w:noWrap w:val="0"/>
            <w:vAlign w:val="center"/>
          </w:tcPr>
          <w:p w14:paraId="49F04823">
            <w:pPr>
              <w:spacing w:before="31" w:beforeLines="10" w:line="264" w:lineRule="auto"/>
              <w:jc w:val="center"/>
              <w:rPr>
                <w:b/>
                <w:color w:val="auto"/>
                <w:szCs w:val="21"/>
              </w:rPr>
            </w:pPr>
            <w:r>
              <w:rPr>
                <w:color w:val="auto"/>
                <w:szCs w:val="21"/>
              </w:rPr>
              <w:t>《再生铜、铝、铅、锌工业污染物排放标准》（GB 31574-2015）</w:t>
            </w:r>
          </w:p>
        </w:tc>
      </w:tr>
      <w:tr w14:paraId="67DFC92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2FD5583E">
            <w:pPr>
              <w:spacing w:before="31" w:beforeLines="10" w:line="264" w:lineRule="auto"/>
              <w:jc w:val="center"/>
              <w:rPr>
                <w:color w:val="auto"/>
                <w:szCs w:val="21"/>
              </w:rPr>
            </w:pPr>
            <w:r>
              <w:rPr>
                <w:color w:val="auto"/>
                <w:szCs w:val="21"/>
              </w:rPr>
              <w:t>SO</w:t>
            </w:r>
            <w:r>
              <w:rPr>
                <w:color w:val="auto"/>
                <w:szCs w:val="21"/>
                <w:vertAlign w:val="subscript"/>
              </w:rPr>
              <w:t>2</w:t>
            </w:r>
          </w:p>
        </w:tc>
        <w:tc>
          <w:tcPr>
            <w:tcW w:w="1015" w:type="pct"/>
            <w:gridSpan w:val="2"/>
            <w:tcBorders>
              <w:tl2br w:val="nil"/>
              <w:tr2bl w:val="nil"/>
            </w:tcBorders>
            <w:shd w:val="clear" w:color="auto" w:fill="auto"/>
            <w:noWrap w:val="0"/>
            <w:vAlign w:val="center"/>
          </w:tcPr>
          <w:p w14:paraId="1BAEDE67">
            <w:pPr>
              <w:spacing w:before="31" w:beforeLines="10" w:line="264" w:lineRule="auto"/>
              <w:jc w:val="center"/>
              <w:rPr>
                <w:color w:val="auto"/>
                <w:szCs w:val="21"/>
              </w:rPr>
            </w:pPr>
            <w:r>
              <w:rPr>
                <w:color w:val="auto"/>
                <w:szCs w:val="21"/>
              </w:rPr>
              <w:t>150</w:t>
            </w:r>
          </w:p>
        </w:tc>
        <w:tc>
          <w:tcPr>
            <w:tcW w:w="1634" w:type="pct"/>
            <w:vMerge w:val="continue"/>
            <w:tcBorders>
              <w:tl2br w:val="nil"/>
              <w:tr2bl w:val="nil"/>
            </w:tcBorders>
            <w:shd w:val="clear" w:color="auto" w:fill="auto"/>
            <w:noWrap w:val="0"/>
            <w:vAlign w:val="center"/>
          </w:tcPr>
          <w:p w14:paraId="0D680B30">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3CF166CE">
            <w:pPr>
              <w:spacing w:before="31" w:beforeLines="10" w:line="264" w:lineRule="auto"/>
              <w:jc w:val="center"/>
              <w:rPr>
                <w:b/>
                <w:color w:val="auto"/>
                <w:szCs w:val="21"/>
              </w:rPr>
            </w:pPr>
          </w:p>
        </w:tc>
      </w:tr>
      <w:tr w14:paraId="31695ED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11F1B085">
            <w:pPr>
              <w:spacing w:before="31" w:beforeLines="10" w:line="264" w:lineRule="auto"/>
              <w:jc w:val="center"/>
              <w:rPr>
                <w:color w:val="auto"/>
                <w:szCs w:val="21"/>
              </w:rPr>
            </w:pPr>
            <w:r>
              <w:rPr>
                <w:color w:val="auto"/>
                <w:szCs w:val="21"/>
              </w:rPr>
              <w:t>NO</w:t>
            </w:r>
            <w:r>
              <w:rPr>
                <w:color w:val="auto"/>
                <w:szCs w:val="21"/>
                <w:vertAlign w:val="subscript"/>
              </w:rPr>
              <w:t>X</w:t>
            </w:r>
          </w:p>
        </w:tc>
        <w:tc>
          <w:tcPr>
            <w:tcW w:w="1015" w:type="pct"/>
            <w:gridSpan w:val="2"/>
            <w:tcBorders>
              <w:tl2br w:val="nil"/>
              <w:tr2bl w:val="nil"/>
            </w:tcBorders>
            <w:shd w:val="clear" w:color="auto" w:fill="auto"/>
            <w:noWrap w:val="0"/>
            <w:vAlign w:val="center"/>
          </w:tcPr>
          <w:p w14:paraId="5A69C76C">
            <w:pPr>
              <w:spacing w:before="31" w:beforeLines="10" w:line="264" w:lineRule="auto"/>
              <w:jc w:val="center"/>
              <w:rPr>
                <w:color w:val="auto"/>
                <w:szCs w:val="21"/>
              </w:rPr>
            </w:pPr>
            <w:r>
              <w:rPr>
                <w:color w:val="auto"/>
                <w:szCs w:val="21"/>
              </w:rPr>
              <w:t>200</w:t>
            </w:r>
          </w:p>
        </w:tc>
        <w:tc>
          <w:tcPr>
            <w:tcW w:w="1634" w:type="pct"/>
            <w:vMerge w:val="continue"/>
            <w:tcBorders>
              <w:tl2br w:val="nil"/>
              <w:tr2bl w:val="nil"/>
            </w:tcBorders>
            <w:shd w:val="clear" w:color="auto" w:fill="auto"/>
            <w:noWrap w:val="0"/>
            <w:vAlign w:val="center"/>
          </w:tcPr>
          <w:p w14:paraId="377D928C">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54727BB1">
            <w:pPr>
              <w:spacing w:before="31" w:beforeLines="10" w:line="264" w:lineRule="auto"/>
              <w:jc w:val="center"/>
              <w:rPr>
                <w:b/>
                <w:color w:val="auto"/>
                <w:szCs w:val="21"/>
              </w:rPr>
            </w:pPr>
          </w:p>
        </w:tc>
      </w:tr>
      <w:tr w14:paraId="5EC2198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3BB1776B">
            <w:pPr>
              <w:spacing w:before="31" w:beforeLines="10" w:line="264" w:lineRule="auto"/>
              <w:jc w:val="center"/>
              <w:rPr>
                <w:color w:val="auto"/>
                <w:szCs w:val="21"/>
              </w:rPr>
            </w:pPr>
            <w:r>
              <w:rPr>
                <w:color w:val="auto"/>
                <w:szCs w:val="21"/>
              </w:rPr>
              <w:t>氟化物</w:t>
            </w:r>
          </w:p>
        </w:tc>
        <w:tc>
          <w:tcPr>
            <w:tcW w:w="1015" w:type="pct"/>
            <w:gridSpan w:val="2"/>
            <w:tcBorders>
              <w:tl2br w:val="nil"/>
              <w:tr2bl w:val="nil"/>
            </w:tcBorders>
            <w:shd w:val="clear" w:color="auto" w:fill="auto"/>
            <w:noWrap w:val="0"/>
            <w:vAlign w:val="center"/>
          </w:tcPr>
          <w:p w14:paraId="133FDC14">
            <w:pPr>
              <w:spacing w:before="31" w:beforeLines="10" w:line="264" w:lineRule="auto"/>
              <w:jc w:val="center"/>
              <w:rPr>
                <w:color w:val="auto"/>
                <w:szCs w:val="21"/>
              </w:rPr>
            </w:pPr>
            <w:r>
              <w:rPr>
                <w:color w:val="auto"/>
                <w:szCs w:val="21"/>
              </w:rPr>
              <w:t>3</w:t>
            </w:r>
          </w:p>
        </w:tc>
        <w:tc>
          <w:tcPr>
            <w:tcW w:w="1634" w:type="pct"/>
            <w:vMerge w:val="continue"/>
            <w:tcBorders>
              <w:tl2br w:val="nil"/>
              <w:tr2bl w:val="nil"/>
            </w:tcBorders>
            <w:shd w:val="clear" w:color="auto" w:fill="auto"/>
            <w:noWrap w:val="0"/>
            <w:vAlign w:val="center"/>
          </w:tcPr>
          <w:p w14:paraId="48D781FF">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1A5AE5A3">
            <w:pPr>
              <w:spacing w:before="31" w:beforeLines="10" w:line="264" w:lineRule="auto"/>
              <w:jc w:val="center"/>
              <w:rPr>
                <w:b/>
                <w:color w:val="auto"/>
                <w:szCs w:val="21"/>
              </w:rPr>
            </w:pPr>
          </w:p>
        </w:tc>
      </w:tr>
      <w:tr w14:paraId="7683F40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2A323420">
            <w:pPr>
              <w:spacing w:before="31" w:beforeLines="10" w:line="264" w:lineRule="auto"/>
              <w:jc w:val="center"/>
              <w:rPr>
                <w:color w:val="auto"/>
                <w:szCs w:val="21"/>
              </w:rPr>
            </w:pPr>
            <w:r>
              <w:rPr>
                <w:color w:val="auto"/>
                <w:szCs w:val="21"/>
              </w:rPr>
              <w:t>HCl</w:t>
            </w:r>
          </w:p>
        </w:tc>
        <w:tc>
          <w:tcPr>
            <w:tcW w:w="1015" w:type="pct"/>
            <w:gridSpan w:val="2"/>
            <w:tcBorders>
              <w:tl2br w:val="nil"/>
              <w:tr2bl w:val="nil"/>
            </w:tcBorders>
            <w:shd w:val="clear" w:color="auto" w:fill="auto"/>
            <w:noWrap w:val="0"/>
            <w:vAlign w:val="center"/>
          </w:tcPr>
          <w:p w14:paraId="02C29088">
            <w:pPr>
              <w:spacing w:before="31" w:beforeLines="10" w:line="264" w:lineRule="auto"/>
              <w:jc w:val="center"/>
              <w:rPr>
                <w:color w:val="auto"/>
                <w:szCs w:val="21"/>
              </w:rPr>
            </w:pPr>
            <w:r>
              <w:rPr>
                <w:color w:val="auto"/>
                <w:szCs w:val="21"/>
              </w:rPr>
              <w:t>30</w:t>
            </w:r>
          </w:p>
        </w:tc>
        <w:tc>
          <w:tcPr>
            <w:tcW w:w="1634" w:type="pct"/>
            <w:vMerge w:val="continue"/>
            <w:tcBorders>
              <w:tl2br w:val="nil"/>
              <w:tr2bl w:val="nil"/>
            </w:tcBorders>
            <w:shd w:val="clear" w:color="auto" w:fill="auto"/>
            <w:noWrap w:val="0"/>
            <w:vAlign w:val="center"/>
          </w:tcPr>
          <w:p w14:paraId="4C723171">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61AA3E8E">
            <w:pPr>
              <w:spacing w:before="31" w:beforeLines="10" w:line="264" w:lineRule="auto"/>
              <w:jc w:val="center"/>
              <w:rPr>
                <w:b/>
                <w:color w:val="auto"/>
                <w:szCs w:val="21"/>
              </w:rPr>
            </w:pPr>
          </w:p>
        </w:tc>
      </w:tr>
      <w:tr w14:paraId="76CE77D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21501578">
            <w:pPr>
              <w:spacing w:before="31" w:beforeLines="10" w:line="264" w:lineRule="auto"/>
              <w:jc w:val="center"/>
              <w:rPr>
                <w:color w:val="auto"/>
                <w:szCs w:val="21"/>
              </w:rPr>
            </w:pPr>
            <w:r>
              <w:rPr>
                <w:color w:val="auto"/>
                <w:szCs w:val="21"/>
              </w:rPr>
              <w:t>二噁英类</w:t>
            </w:r>
          </w:p>
        </w:tc>
        <w:tc>
          <w:tcPr>
            <w:tcW w:w="1015" w:type="pct"/>
            <w:gridSpan w:val="2"/>
            <w:tcBorders>
              <w:tl2br w:val="nil"/>
              <w:tr2bl w:val="nil"/>
            </w:tcBorders>
            <w:shd w:val="clear" w:color="auto" w:fill="auto"/>
            <w:noWrap w:val="0"/>
            <w:vAlign w:val="center"/>
          </w:tcPr>
          <w:p w14:paraId="20DD0273">
            <w:pPr>
              <w:spacing w:before="31" w:beforeLines="10" w:line="264" w:lineRule="auto"/>
              <w:jc w:val="center"/>
              <w:rPr>
                <w:color w:val="auto"/>
                <w:szCs w:val="21"/>
              </w:rPr>
            </w:pPr>
            <w:r>
              <w:rPr>
                <w:color w:val="auto"/>
                <w:szCs w:val="21"/>
              </w:rPr>
              <w:t>0.5ng TEQ/m</w:t>
            </w:r>
            <w:r>
              <w:rPr>
                <w:color w:val="auto"/>
                <w:szCs w:val="21"/>
                <w:vertAlign w:val="superscript"/>
              </w:rPr>
              <w:t>3</w:t>
            </w:r>
          </w:p>
        </w:tc>
        <w:tc>
          <w:tcPr>
            <w:tcW w:w="1634" w:type="pct"/>
            <w:vMerge w:val="continue"/>
            <w:tcBorders>
              <w:tl2br w:val="nil"/>
              <w:tr2bl w:val="nil"/>
            </w:tcBorders>
            <w:shd w:val="clear" w:color="auto" w:fill="auto"/>
            <w:noWrap w:val="0"/>
            <w:vAlign w:val="center"/>
          </w:tcPr>
          <w:p w14:paraId="693D6604">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5F08D2A4">
            <w:pPr>
              <w:spacing w:before="31" w:beforeLines="10" w:line="264" w:lineRule="auto"/>
              <w:jc w:val="center"/>
              <w:rPr>
                <w:b/>
                <w:color w:val="auto"/>
                <w:szCs w:val="21"/>
              </w:rPr>
            </w:pPr>
          </w:p>
        </w:tc>
      </w:tr>
      <w:tr w14:paraId="036A4AE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1599E916">
            <w:pPr>
              <w:spacing w:before="31" w:beforeLines="10" w:line="264" w:lineRule="auto"/>
              <w:jc w:val="center"/>
              <w:rPr>
                <w:color w:val="auto"/>
                <w:szCs w:val="21"/>
              </w:rPr>
            </w:pPr>
            <w:r>
              <w:rPr>
                <w:color w:val="auto"/>
                <w:szCs w:val="21"/>
              </w:rPr>
              <w:t>砷及其化合物</w:t>
            </w:r>
          </w:p>
        </w:tc>
        <w:tc>
          <w:tcPr>
            <w:tcW w:w="1015" w:type="pct"/>
            <w:gridSpan w:val="2"/>
            <w:tcBorders>
              <w:tl2br w:val="nil"/>
              <w:tr2bl w:val="nil"/>
            </w:tcBorders>
            <w:shd w:val="clear" w:color="auto" w:fill="auto"/>
            <w:noWrap w:val="0"/>
            <w:vAlign w:val="center"/>
          </w:tcPr>
          <w:p w14:paraId="35F76BAE">
            <w:pPr>
              <w:spacing w:before="31" w:beforeLines="10" w:line="264" w:lineRule="auto"/>
              <w:jc w:val="center"/>
              <w:rPr>
                <w:color w:val="auto"/>
                <w:szCs w:val="21"/>
              </w:rPr>
            </w:pPr>
            <w:r>
              <w:rPr>
                <w:color w:val="auto"/>
                <w:szCs w:val="21"/>
              </w:rPr>
              <w:t>0.4</w:t>
            </w:r>
          </w:p>
        </w:tc>
        <w:tc>
          <w:tcPr>
            <w:tcW w:w="1634" w:type="pct"/>
            <w:vMerge w:val="continue"/>
            <w:tcBorders>
              <w:tl2br w:val="nil"/>
              <w:tr2bl w:val="nil"/>
            </w:tcBorders>
            <w:shd w:val="clear" w:color="auto" w:fill="auto"/>
            <w:noWrap w:val="0"/>
            <w:vAlign w:val="center"/>
          </w:tcPr>
          <w:p w14:paraId="0269F58D">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1AC90947">
            <w:pPr>
              <w:spacing w:before="31" w:beforeLines="10" w:line="264" w:lineRule="auto"/>
              <w:jc w:val="center"/>
              <w:rPr>
                <w:b/>
                <w:color w:val="auto"/>
                <w:szCs w:val="21"/>
              </w:rPr>
            </w:pPr>
          </w:p>
        </w:tc>
      </w:tr>
      <w:tr w14:paraId="61E2368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32AD84B3">
            <w:pPr>
              <w:spacing w:before="31" w:beforeLines="10" w:line="264" w:lineRule="auto"/>
              <w:jc w:val="center"/>
              <w:rPr>
                <w:color w:val="auto"/>
                <w:szCs w:val="21"/>
              </w:rPr>
            </w:pPr>
            <w:r>
              <w:rPr>
                <w:color w:val="auto"/>
                <w:szCs w:val="21"/>
              </w:rPr>
              <w:t>铅及其化合物</w:t>
            </w:r>
          </w:p>
        </w:tc>
        <w:tc>
          <w:tcPr>
            <w:tcW w:w="1015" w:type="pct"/>
            <w:gridSpan w:val="2"/>
            <w:tcBorders>
              <w:tl2br w:val="nil"/>
              <w:tr2bl w:val="nil"/>
            </w:tcBorders>
            <w:shd w:val="clear" w:color="auto" w:fill="auto"/>
            <w:noWrap w:val="0"/>
            <w:vAlign w:val="center"/>
          </w:tcPr>
          <w:p w14:paraId="34141F07">
            <w:pPr>
              <w:spacing w:before="31" w:beforeLines="10" w:line="264" w:lineRule="auto"/>
              <w:jc w:val="center"/>
              <w:rPr>
                <w:color w:val="auto"/>
                <w:szCs w:val="21"/>
              </w:rPr>
            </w:pPr>
            <w:r>
              <w:rPr>
                <w:color w:val="auto"/>
                <w:szCs w:val="21"/>
              </w:rPr>
              <w:t>1</w:t>
            </w:r>
          </w:p>
        </w:tc>
        <w:tc>
          <w:tcPr>
            <w:tcW w:w="1634" w:type="pct"/>
            <w:vMerge w:val="continue"/>
            <w:tcBorders>
              <w:tl2br w:val="nil"/>
              <w:tr2bl w:val="nil"/>
            </w:tcBorders>
            <w:shd w:val="clear" w:color="auto" w:fill="auto"/>
            <w:noWrap w:val="0"/>
            <w:vAlign w:val="center"/>
          </w:tcPr>
          <w:p w14:paraId="1CCEC555">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6852E064">
            <w:pPr>
              <w:spacing w:before="31" w:beforeLines="10" w:line="264" w:lineRule="auto"/>
              <w:jc w:val="center"/>
              <w:rPr>
                <w:b/>
                <w:color w:val="auto"/>
                <w:szCs w:val="21"/>
              </w:rPr>
            </w:pPr>
          </w:p>
        </w:tc>
      </w:tr>
      <w:tr w14:paraId="130E1D7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6E8725A8">
            <w:pPr>
              <w:spacing w:before="31" w:beforeLines="10" w:line="264" w:lineRule="auto"/>
              <w:jc w:val="center"/>
              <w:rPr>
                <w:color w:val="auto"/>
                <w:szCs w:val="21"/>
              </w:rPr>
            </w:pPr>
            <w:r>
              <w:rPr>
                <w:color w:val="auto"/>
                <w:szCs w:val="21"/>
              </w:rPr>
              <w:t>锡及其化合物</w:t>
            </w:r>
          </w:p>
        </w:tc>
        <w:tc>
          <w:tcPr>
            <w:tcW w:w="1015" w:type="pct"/>
            <w:gridSpan w:val="2"/>
            <w:tcBorders>
              <w:tl2br w:val="nil"/>
              <w:tr2bl w:val="nil"/>
            </w:tcBorders>
            <w:shd w:val="clear" w:color="auto" w:fill="auto"/>
            <w:noWrap w:val="0"/>
            <w:vAlign w:val="center"/>
          </w:tcPr>
          <w:p w14:paraId="55A4EE12">
            <w:pPr>
              <w:spacing w:before="31" w:beforeLines="10" w:line="264" w:lineRule="auto"/>
              <w:jc w:val="center"/>
              <w:rPr>
                <w:color w:val="auto"/>
                <w:szCs w:val="21"/>
              </w:rPr>
            </w:pPr>
            <w:r>
              <w:rPr>
                <w:color w:val="auto"/>
                <w:szCs w:val="21"/>
              </w:rPr>
              <w:t>1</w:t>
            </w:r>
          </w:p>
        </w:tc>
        <w:tc>
          <w:tcPr>
            <w:tcW w:w="1634" w:type="pct"/>
            <w:vMerge w:val="continue"/>
            <w:tcBorders>
              <w:tl2br w:val="nil"/>
              <w:tr2bl w:val="nil"/>
            </w:tcBorders>
            <w:shd w:val="clear" w:color="auto" w:fill="auto"/>
            <w:noWrap w:val="0"/>
            <w:vAlign w:val="center"/>
          </w:tcPr>
          <w:p w14:paraId="08212D3E">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3C5BE694">
            <w:pPr>
              <w:spacing w:before="31" w:beforeLines="10" w:line="264" w:lineRule="auto"/>
              <w:jc w:val="center"/>
              <w:rPr>
                <w:b/>
                <w:color w:val="auto"/>
                <w:szCs w:val="21"/>
              </w:rPr>
            </w:pPr>
          </w:p>
        </w:tc>
      </w:tr>
      <w:tr w14:paraId="37884B4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16C31261">
            <w:pPr>
              <w:spacing w:before="31" w:beforeLines="10" w:line="264" w:lineRule="auto"/>
              <w:jc w:val="center"/>
              <w:rPr>
                <w:color w:val="auto"/>
                <w:szCs w:val="21"/>
              </w:rPr>
            </w:pPr>
            <w:r>
              <w:rPr>
                <w:color w:val="auto"/>
                <w:szCs w:val="21"/>
              </w:rPr>
              <w:t>镉及其化合物</w:t>
            </w:r>
          </w:p>
        </w:tc>
        <w:tc>
          <w:tcPr>
            <w:tcW w:w="1015" w:type="pct"/>
            <w:gridSpan w:val="2"/>
            <w:tcBorders>
              <w:tl2br w:val="nil"/>
              <w:tr2bl w:val="nil"/>
            </w:tcBorders>
            <w:shd w:val="clear" w:color="auto" w:fill="auto"/>
            <w:noWrap w:val="0"/>
            <w:vAlign w:val="center"/>
          </w:tcPr>
          <w:p w14:paraId="7F9B889C">
            <w:pPr>
              <w:spacing w:before="31" w:beforeLines="10" w:line="264" w:lineRule="auto"/>
              <w:jc w:val="center"/>
              <w:rPr>
                <w:color w:val="auto"/>
                <w:szCs w:val="21"/>
              </w:rPr>
            </w:pPr>
            <w:r>
              <w:rPr>
                <w:color w:val="auto"/>
                <w:szCs w:val="21"/>
              </w:rPr>
              <w:t>0.05</w:t>
            </w:r>
          </w:p>
        </w:tc>
        <w:tc>
          <w:tcPr>
            <w:tcW w:w="1634" w:type="pct"/>
            <w:vMerge w:val="continue"/>
            <w:tcBorders>
              <w:tl2br w:val="nil"/>
              <w:tr2bl w:val="nil"/>
            </w:tcBorders>
            <w:shd w:val="clear" w:color="auto" w:fill="auto"/>
            <w:noWrap w:val="0"/>
            <w:vAlign w:val="center"/>
          </w:tcPr>
          <w:p w14:paraId="1B0CF574">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3B92FF1D">
            <w:pPr>
              <w:spacing w:before="31" w:beforeLines="10" w:line="264" w:lineRule="auto"/>
              <w:jc w:val="center"/>
              <w:rPr>
                <w:b/>
                <w:color w:val="auto"/>
                <w:szCs w:val="21"/>
              </w:rPr>
            </w:pPr>
          </w:p>
        </w:tc>
      </w:tr>
      <w:tr w14:paraId="04D49A9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18919213">
            <w:pPr>
              <w:spacing w:before="31" w:beforeLines="10" w:line="264" w:lineRule="auto"/>
              <w:jc w:val="center"/>
              <w:rPr>
                <w:color w:val="auto"/>
                <w:szCs w:val="21"/>
              </w:rPr>
            </w:pPr>
            <w:r>
              <w:rPr>
                <w:color w:val="auto"/>
                <w:szCs w:val="21"/>
              </w:rPr>
              <w:t>铬及其化合物</w:t>
            </w:r>
          </w:p>
        </w:tc>
        <w:tc>
          <w:tcPr>
            <w:tcW w:w="1015" w:type="pct"/>
            <w:gridSpan w:val="2"/>
            <w:tcBorders>
              <w:tl2br w:val="nil"/>
              <w:tr2bl w:val="nil"/>
            </w:tcBorders>
            <w:shd w:val="clear" w:color="auto" w:fill="auto"/>
            <w:noWrap w:val="0"/>
            <w:vAlign w:val="center"/>
          </w:tcPr>
          <w:p w14:paraId="1F28B52F">
            <w:pPr>
              <w:spacing w:before="31" w:beforeLines="10" w:line="264" w:lineRule="auto"/>
              <w:jc w:val="center"/>
              <w:rPr>
                <w:color w:val="auto"/>
                <w:szCs w:val="21"/>
              </w:rPr>
            </w:pPr>
            <w:r>
              <w:rPr>
                <w:rFonts w:hint="eastAsia"/>
                <w:color w:val="auto"/>
                <w:szCs w:val="21"/>
              </w:rPr>
              <w:t>1</w:t>
            </w:r>
          </w:p>
        </w:tc>
        <w:tc>
          <w:tcPr>
            <w:tcW w:w="1634" w:type="pct"/>
            <w:vMerge w:val="continue"/>
            <w:tcBorders>
              <w:tl2br w:val="nil"/>
              <w:tr2bl w:val="nil"/>
            </w:tcBorders>
            <w:shd w:val="clear" w:color="auto" w:fill="auto"/>
            <w:noWrap w:val="0"/>
            <w:vAlign w:val="center"/>
          </w:tcPr>
          <w:p w14:paraId="611B4DFF">
            <w:pPr>
              <w:spacing w:before="31" w:beforeLines="10" w:line="264" w:lineRule="auto"/>
              <w:jc w:val="center"/>
              <w:rPr>
                <w:color w:val="auto"/>
                <w:szCs w:val="21"/>
              </w:rPr>
            </w:pPr>
          </w:p>
        </w:tc>
        <w:tc>
          <w:tcPr>
            <w:tcW w:w="1309" w:type="pct"/>
            <w:vMerge w:val="continue"/>
            <w:tcBorders>
              <w:tl2br w:val="nil"/>
              <w:tr2bl w:val="nil"/>
            </w:tcBorders>
            <w:shd w:val="clear" w:color="auto" w:fill="auto"/>
            <w:noWrap w:val="0"/>
            <w:vAlign w:val="center"/>
          </w:tcPr>
          <w:p w14:paraId="5D3C018E">
            <w:pPr>
              <w:spacing w:before="31" w:beforeLines="10" w:line="264" w:lineRule="auto"/>
              <w:jc w:val="center"/>
              <w:rPr>
                <w:b/>
                <w:color w:val="auto"/>
                <w:szCs w:val="21"/>
              </w:rPr>
            </w:pPr>
          </w:p>
        </w:tc>
      </w:tr>
      <w:tr w14:paraId="6A3C05B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1041" w:type="pct"/>
            <w:tcBorders>
              <w:tl2br w:val="nil"/>
              <w:tr2bl w:val="nil"/>
            </w:tcBorders>
            <w:shd w:val="clear" w:color="auto" w:fill="auto"/>
            <w:noWrap w:val="0"/>
            <w:vAlign w:val="center"/>
          </w:tcPr>
          <w:p w14:paraId="411054E4">
            <w:pPr>
              <w:spacing w:before="31" w:beforeLines="10" w:line="264" w:lineRule="auto"/>
              <w:jc w:val="center"/>
              <w:rPr>
                <w:color w:val="auto"/>
                <w:szCs w:val="21"/>
              </w:rPr>
            </w:pPr>
            <w:r>
              <w:rPr>
                <w:color w:val="auto"/>
                <w:szCs w:val="21"/>
              </w:rPr>
              <w:t>单位产品基准排气量（m</w:t>
            </w:r>
            <w:r>
              <w:rPr>
                <w:color w:val="auto"/>
                <w:szCs w:val="21"/>
                <w:vertAlign w:val="superscript"/>
              </w:rPr>
              <w:t>3</w:t>
            </w:r>
            <w:r>
              <w:rPr>
                <w:color w:val="auto"/>
                <w:szCs w:val="21"/>
              </w:rPr>
              <w:t>/吨产品）</w:t>
            </w:r>
          </w:p>
        </w:tc>
        <w:tc>
          <w:tcPr>
            <w:tcW w:w="433" w:type="pct"/>
            <w:tcBorders>
              <w:tl2br w:val="nil"/>
              <w:tr2bl w:val="nil"/>
            </w:tcBorders>
            <w:shd w:val="clear" w:color="auto" w:fill="auto"/>
            <w:noWrap w:val="0"/>
            <w:vAlign w:val="center"/>
          </w:tcPr>
          <w:p w14:paraId="3B5E83BE">
            <w:pPr>
              <w:spacing w:before="31" w:beforeLines="10" w:line="264" w:lineRule="auto"/>
              <w:jc w:val="center"/>
              <w:rPr>
                <w:color w:val="auto"/>
                <w:szCs w:val="21"/>
              </w:rPr>
            </w:pPr>
            <w:r>
              <w:rPr>
                <w:color w:val="auto"/>
                <w:szCs w:val="21"/>
              </w:rPr>
              <w:t>炉窑</w:t>
            </w:r>
          </w:p>
        </w:tc>
        <w:tc>
          <w:tcPr>
            <w:tcW w:w="582" w:type="pct"/>
            <w:tcBorders>
              <w:tl2br w:val="nil"/>
              <w:tr2bl w:val="nil"/>
            </w:tcBorders>
            <w:shd w:val="clear" w:color="auto" w:fill="auto"/>
            <w:noWrap w:val="0"/>
            <w:vAlign w:val="center"/>
          </w:tcPr>
          <w:p w14:paraId="63FFC195">
            <w:pPr>
              <w:spacing w:before="31" w:beforeLines="10" w:line="264" w:lineRule="auto"/>
              <w:jc w:val="center"/>
              <w:rPr>
                <w:color w:val="auto"/>
                <w:szCs w:val="21"/>
              </w:rPr>
            </w:pPr>
            <w:r>
              <w:rPr>
                <w:color w:val="auto"/>
                <w:szCs w:val="21"/>
              </w:rPr>
              <w:t>10000</w:t>
            </w:r>
          </w:p>
        </w:tc>
        <w:tc>
          <w:tcPr>
            <w:tcW w:w="1634" w:type="pct"/>
            <w:tcBorders>
              <w:tl2br w:val="nil"/>
              <w:tr2bl w:val="nil"/>
            </w:tcBorders>
            <w:shd w:val="clear" w:color="auto" w:fill="auto"/>
            <w:noWrap w:val="0"/>
            <w:vAlign w:val="center"/>
          </w:tcPr>
          <w:p w14:paraId="6C32F5E9">
            <w:pPr>
              <w:spacing w:before="31" w:beforeLines="10" w:line="264" w:lineRule="auto"/>
              <w:jc w:val="center"/>
              <w:rPr>
                <w:color w:val="auto"/>
                <w:szCs w:val="21"/>
              </w:rPr>
            </w:pPr>
            <w:r>
              <w:rPr>
                <w:color w:val="auto"/>
                <w:szCs w:val="21"/>
              </w:rPr>
              <w:t>排气量计量位置与污染物排放监控位置一致</w:t>
            </w:r>
          </w:p>
        </w:tc>
        <w:tc>
          <w:tcPr>
            <w:tcW w:w="1309" w:type="pct"/>
            <w:vMerge w:val="continue"/>
            <w:tcBorders>
              <w:tl2br w:val="nil"/>
              <w:tr2bl w:val="nil"/>
            </w:tcBorders>
            <w:shd w:val="clear" w:color="auto" w:fill="auto"/>
            <w:noWrap w:val="0"/>
            <w:vAlign w:val="center"/>
          </w:tcPr>
          <w:p w14:paraId="5D43C39B">
            <w:pPr>
              <w:spacing w:before="31" w:beforeLines="10" w:line="264" w:lineRule="auto"/>
              <w:jc w:val="center"/>
              <w:rPr>
                <w:b/>
                <w:color w:val="auto"/>
                <w:szCs w:val="21"/>
              </w:rPr>
            </w:pPr>
          </w:p>
        </w:tc>
      </w:tr>
    </w:tbl>
    <w:p w14:paraId="28404486">
      <w:pPr>
        <w:adjustRightInd w:val="0"/>
        <w:snapToGrid w:val="0"/>
        <w:spacing w:line="360" w:lineRule="auto"/>
        <w:jc w:val="center"/>
        <w:rPr>
          <w:b/>
          <w:bCs/>
          <w:color w:val="auto"/>
          <w:sz w:val="24"/>
        </w:rPr>
      </w:pPr>
      <w:r>
        <w:rPr>
          <w:b/>
          <w:bCs/>
          <w:color w:val="auto"/>
          <w:sz w:val="24"/>
        </w:rPr>
        <w:t>表1-1</w:t>
      </w:r>
      <w:r>
        <w:rPr>
          <w:rFonts w:hint="eastAsia"/>
          <w:b/>
          <w:bCs/>
          <w:color w:val="auto"/>
          <w:sz w:val="24"/>
          <w:lang w:val="en-US" w:eastAsia="zh-CN"/>
        </w:rPr>
        <w:t xml:space="preserve">1 </w:t>
      </w:r>
      <w:r>
        <w:rPr>
          <w:b/>
          <w:bCs/>
          <w:color w:val="auto"/>
          <w:sz w:val="24"/>
        </w:rPr>
        <w:t>原环评评价阶段</w:t>
      </w:r>
      <w:r>
        <w:rPr>
          <w:rFonts w:hint="eastAsia" w:ascii="Times New Roman" w:hAnsi="Times New Roman" w:eastAsia="宋体" w:cs="Times New Roman"/>
          <w:b/>
          <w:bCs/>
          <w:color w:val="auto"/>
          <w:sz w:val="24"/>
          <w:szCs w:val="24"/>
          <w:lang w:val="en-US" w:eastAsia="zh-CN"/>
        </w:rPr>
        <w:t>无组织废气排放执行标准</w:t>
      </w:r>
    </w:p>
    <w:tbl>
      <w:tblPr>
        <w:tblStyle w:val="3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400"/>
        <w:gridCol w:w="3424"/>
        <w:gridCol w:w="3138"/>
      </w:tblGrid>
      <w:tr w14:paraId="3834DE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07091BF1">
            <w:pPr>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污染物</w:t>
            </w:r>
          </w:p>
        </w:tc>
        <w:tc>
          <w:tcPr>
            <w:tcW w:w="1718" w:type="pct"/>
            <w:vAlign w:val="center"/>
          </w:tcPr>
          <w:p w14:paraId="6C1891B7">
            <w:pPr>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最高允许排放浓度（mg/m</w:t>
            </w:r>
            <w:r>
              <w:rPr>
                <w:rFonts w:hint="default" w:ascii="Times New Roman" w:hAnsi="Times New Roman" w:eastAsia="宋体" w:cs="Times New Roman"/>
                <w:b/>
                <w:bCs/>
                <w:color w:val="auto"/>
                <w:sz w:val="21"/>
                <w:szCs w:val="21"/>
                <w:vertAlign w:val="superscript"/>
              </w:rPr>
              <w:t>3</w:t>
            </w:r>
            <w:r>
              <w:rPr>
                <w:rFonts w:hint="default" w:ascii="Times New Roman" w:hAnsi="Times New Roman" w:eastAsia="宋体" w:cs="Times New Roman"/>
                <w:b/>
                <w:bCs/>
                <w:color w:val="auto"/>
                <w:sz w:val="21"/>
                <w:szCs w:val="21"/>
              </w:rPr>
              <w:t>）</w:t>
            </w:r>
          </w:p>
        </w:tc>
        <w:tc>
          <w:tcPr>
            <w:tcW w:w="1574" w:type="pct"/>
            <w:vAlign w:val="center"/>
          </w:tcPr>
          <w:p w14:paraId="0F0D755F">
            <w:pPr>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标准来源</w:t>
            </w:r>
          </w:p>
        </w:tc>
      </w:tr>
      <w:tr w14:paraId="09D7F6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5EC58CEE">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氯化氢</w:t>
            </w:r>
          </w:p>
        </w:tc>
        <w:tc>
          <w:tcPr>
            <w:tcW w:w="1718" w:type="pct"/>
            <w:vAlign w:val="center"/>
          </w:tcPr>
          <w:p w14:paraId="5019FCFA">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w:t>
            </w:r>
          </w:p>
        </w:tc>
        <w:tc>
          <w:tcPr>
            <w:tcW w:w="1574" w:type="pct"/>
            <w:vMerge w:val="restart"/>
            <w:vAlign w:val="center"/>
          </w:tcPr>
          <w:p w14:paraId="253684A3">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《再生铜、铝、铅、锌工业污染物排放标准》（GB31574-2015）表5企业边界大气污染物限值</w:t>
            </w:r>
          </w:p>
        </w:tc>
      </w:tr>
      <w:tr w14:paraId="2F4CAC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6A783487">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氟化物</w:t>
            </w:r>
          </w:p>
        </w:tc>
        <w:tc>
          <w:tcPr>
            <w:tcW w:w="1718" w:type="pct"/>
            <w:vAlign w:val="center"/>
          </w:tcPr>
          <w:p w14:paraId="24151D2C">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0.02</w:t>
            </w:r>
          </w:p>
        </w:tc>
        <w:tc>
          <w:tcPr>
            <w:tcW w:w="1574" w:type="pct"/>
            <w:vMerge w:val="continue"/>
            <w:vAlign w:val="center"/>
          </w:tcPr>
          <w:p w14:paraId="17ED58A5">
            <w:pPr>
              <w:adjustRightInd w:val="0"/>
              <w:snapToGrid w:val="0"/>
              <w:jc w:val="center"/>
              <w:rPr>
                <w:rFonts w:hint="default" w:ascii="Times New Roman" w:hAnsi="Times New Roman" w:eastAsia="宋体" w:cs="Times New Roman"/>
                <w:color w:val="auto"/>
                <w:sz w:val="21"/>
                <w:szCs w:val="21"/>
              </w:rPr>
            </w:pPr>
          </w:p>
        </w:tc>
      </w:tr>
      <w:tr w14:paraId="3BC738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14052490">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砷及其化合物</w:t>
            </w:r>
          </w:p>
        </w:tc>
        <w:tc>
          <w:tcPr>
            <w:tcW w:w="1718" w:type="pct"/>
            <w:vAlign w:val="center"/>
          </w:tcPr>
          <w:p w14:paraId="72C35EF6">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0.01</w:t>
            </w:r>
          </w:p>
        </w:tc>
        <w:tc>
          <w:tcPr>
            <w:tcW w:w="1574" w:type="pct"/>
            <w:vMerge w:val="continue"/>
            <w:vAlign w:val="center"/>
          </w:tcPr>
          <w:p w14:paraId="21CAF770">
            <w:pPr>
              <w:adjustRightInd w:val="0"/>
              <w:snapToGrid w:val="0"/>
              <w:jc w:val="center"/>
              <w:rPr>
                <w:rFonts w:hint="default" w:ascii="Times New Roman" w:hAnsi="Times New Roman" w:eastAsia="宋体" w:cs="Times New Roman"/>
                <w:color w:val="auto"/>
                <w:sz w:val="21"/>
                <w:szCs w:val="21"/>
              </w:rPr>
            </w:pPr>
          </w:p>
        </w:tc>
      </w:tr>
      <w:tr w14:paraId="72C7E2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67E9D003">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铅及其化合物</w:t>
            </w:r>
          </w:p>
        </w:tc>
        <w:tc>
          <w:tcPr>
            <w:tcW w:w="1718" w:type="pct"/>
            <w:vAlign w:val="center"/>
          </w:tcPr>
          <w:p w14:paraId="3A7E31CC">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0.006</w:t>
            </w:r>
          </w:p>
        </w:tc>
        <w:tc>
          <w:tcPr>
            <w:tcW w:w="1574" w:type="pct"/>
            <w:vMerge w:val="continue"/>
            <w:vAlign w:val="center"/>
          </w:tcPr>
          <w:p w14:paraId="10E99D41">
            <w:pPr>
              <w:adjustRightInd w:val="0"/>
              <w:snapToGrid w:val="0"/>
              <w:jc w:val="center"/>
              <w:rPr>
                <w:rFonts w:hint="default" w:ascii="Times New Roman" w:hAnsi="Times New Roman" w:eastAsia="宋体" w:cs="Times New Roman"/>
                <w:color w:val="auto"/>
                <w:sz w:val="21"/>
                <w:szCs w:val="21"/>
              </w:rPr>
            </w:pPr>
          </w:p>
        </w:tc>
      </w:tr>
      <w:tr w14:paraId="165B0C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40860FE0">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锡及其化合物</w:t>
            </w:r>
          </w:p>
        </w:tc>
        <w:tc>
          <w:tcPr>
            <w:tcW w:w="1718" w:type="pct"/>
            <w:vAlign w:val="center"/>
          </w:tcPr>
          <w:p w14:paraId="0F92E079">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0.24</w:t>
            </w:r>
          </w:p>
        </w:tc>
        <w:tc>
          <w:tcPr>
            <w:tcW w:w="1574" w:type="pct"/>
            <w:vMerge w:val="continue"/>
            <w:vAlign w:val="center"/>
          </w:tcPr>
          <w:p w14:paraId="14301575">
            <w:pPr>
              <w:adjustRightInd w:val="0"/>
              <w:snapToGrid w:val="0"/>
              <w:jc w:val="center"/>
              <w:rPr>
                <w:rFonts w:hint="default" w:ascii="Times New Roman" w:hAnsi="Times New Roman" w:eastAsia="宋体" w:cs="Times New Roman"/>
                <w:color w:val="auto"/>
                <w:sz w:val="21"/>
                <w:szCs w:val="21"/>
              </w:rPr>
            </w:pPr>
          </w:p>
        </w:tc>
      </w:tr>
      <w:tr w14:paraId="6CA5F3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30894323">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镉及其化合物</w:t>
            </w:r>
          </w:p>
        </w:tc>
        <w:tc>
          <w:tcPr>
            <w:tcW w:w="1718" w:type="pct"/>
            <w:vAlign w:val="center"/>
          </w:tcPr>
          <w:p w14:paraId="4E4B82BF">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0.0002</w:t>
            </w:r>
          </w:p>
        </w:tc>
        <w:tc>
          <w:tcPr>
            <w:tcW w:w="1574" w:type="pct"/>
            <w:vMerge w:val="continue"/>
            <w:vAlign w:val="center"/>
          </w:tcPr>
          <w:p w14:paraId="3C9DCB1E">
            <w:pPr>
              <w:adjustRightInd w:val="0"/>
              <w:snapToGrid w:val="0"/>
              <w:jc w:val="center"/>
              <w:rPr>
                <w:rFonts w:hint="default" w:ascii="Times New Roman" w:hAnsi="Times New Roman" w:eastAsia="宋体" w:cs="Times New Roman"/>
                <w:color w:val="auto"/>
                <w:sz w:val="21"/>
                <w:szCs w:val="21"/>
              </w:rPr>
            </w:pPr>
          </w:p>
        </w:tc>
      </w:tr>
      <w:tr w14:paraId="040587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671D204C">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铬及其化合物</w:t>
            </w:r>
          </w:p>
        </w:tc>
        <w:tc>
          <w:tcPr>
            <w:tcW w:w="1718" w:type="pct"/>
            <w:vAlign w:val="center"/>
          </w:tcPr>
          <w:p w14:paraId="74AB6000">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0.006</w:t>
            </w:r>
          </w:p>
        </w:tc>
        <w:tc>
          <w:tcPr>
            <w:tcW w:w="1574" w:type="pct"/>
            <w:vMerge w:val="continue"/>
            <w:vAlign w:val="center"/>
          </w:tcPr>
          <w:p w14:paraId="6D50AF4A">
            <w:pPr>
              <w:adjustRightInd w:val="0"/>
              <w:snapToGrid w:val="0"/>
              <w:jc w:val="center"/>
              <w:rPr>
                <w:rFonts w:hint="default" w:ascii="Times New Roman" w:hAnsi="Times New Roman" w:eastAsia="宋体" w:cs="Times New Roman"/>
                <w:color w:val="auto"/>
                <w:sz w:val="21"/>
                <w:szCs w:val="21"/>
              </w:rPr>
            </w:pPr>
          </w:p>
        </w:tc>
      </w:tr>
      <w:tr w14:paraId="3A6A08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1706" w:type="pct"/>
            <w:vAlign w:val="center"/>
          </w:tcPr>
          <w:p w14:paraId="623FFA63">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颗粒物</w:t>
            </w:r>
          </w:p>
        </w:tc>
        <w:tc>
          <w:tcPr>
            <w:tcW w:w="1718" w:type="pct"/>
            <w:vAlign w:val="center"/>
          </w:tcPr>
          <w:p w14:paraId="79D89937">
            <w:pPr>
              <w:adjustRightInd w:val="0"/>
              <w:snapToGrid w:val="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1574" w:type="pct"/>
            <w:vAlign w:val="center"/>
          </w:tcPr>
          <w:p w14:paraId="7DBDC667">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《大气污染物综合排放标准》</w:t>
            </w:r>
          </w:p>
          <w:p w14:paraId="2AC1D938">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（GB16297-1996）</w:t>
            </w:r>
          </w:p>
        </w:tc>
      </w:tr>
    </w:tbl>
    <w:p w14:paraId="5FEA5EA8">
      <w:pPr>
        <w:adjustRightInd w:val="0"/>
        <w:snapToGrid w:val="0"/>
        <w:spacing w:before="152" w:beforeLines="50" w:line="360" w:lineRule="auto"/>
        <w:ind w:firstLine="482" w:firstLineChars="200"/>
        <w:rPr>
          <w:rFonts w:hint="default" w:ascii="Times New Roman" w:hAnsi="Times New Roman" w:eastAsia="宋体" w:cs="Times New Roman"/>
          <w:color w:val="auto"/>
          <w:kern w:val="0"/>
          <w:sz w:val="24"/>
          <w:szCs w:val="20"/>
        </w:rPr>
      </w:pPr>
      <w:bookmarkStart w:id="118" w:name="_Toc15749"/>
      <w:bookmarkStart w:id="119" w:name="_Toc15765"/>
      <w:bookmarkStart w:id="120" w:name="_Toc16606"/>
      <w:r>
        <w:rPr>
          <w:b/>
          <w:bCs/>
          <w:color w:val="auto"/>
          <w:sz w:val="24"/>
        </w:rPr>
        <w:t>后评价阶段：</w:t>
      </w:r>
      <w:bookmarkStart w:id="121" w:name="OLE_LINK487"/>
      <w:r>
        <w:rPr>
          <w:rFonts w:hint="eastAsia" w:cs="Times New Roman"/>
          <w:color w:val="auto"/>
          <w:kern w:val="0"/>
          <w:sz w:val="24"/>
          <w:szCs w:val="20"/>
          <w:lang w:val="en-US" w:eastAsia="zh-CN"/>
        </w:rPr>
        <w:t>DA001排气筒排放</w:t>
      </w:r>
      <w:r>
        <w:rPr>
          <w:rFonts w:hint="default" w:ascii="Times New Roman" w:hAnsi="Times New Roman" w:eastAsia="宋体" w:cs="Times New Roman"/>
          <w:color w:val="auto"/>
          <w:kern w:val="0"/>
          <w:sz w:val="24"/>
          <w:szCs w:val="20"/>
        </w:rPr>
        <w:t>SO</w:t>
      </w:r>
      <w:r>
        <w:rPr>
          <w:rFonts w:hint="default" w:ascii="Times New Roman" w:hAnsi="Times New Roman" w:eastAsia="宋体" w:cs="Times New Roman"/>
          <w:color w:val="auto"/>
          <w:kern w:val="0"/>
          <w:sz w:val="24"/>
          <w:szCs w:val="20"/>
          <w:vertAlign w:val="subscript"/>
        </w:rPr>
        <w:t>2</w:t>
      </w:r>
      <w:r>
        <w:rPr>
          <w:rFonts w:hint="default" w:ascii="Times New Roman" w:hAnsi="Times New Roman" w:eastAsia="宋体" w:cs="Times New Roman"/>
          <w:color w:val="auto"/>
          <w:kern w:val="0"/>
          <w:sz w:val="24"/>
          <w:szCs w:val="20"/>
        </w:rPr>
        <w:t>、NO</w:t>
      </w:r>
      <w:r>
        <w:rPr>
          <w:rFonts w:hint="default" w:ascii="Times New Roman" w:hAnsi="Times New Roman" w:eastAsia="宋体" w:cs="Times New Roman"/>
          <w:color w:val="auto"/>
          <w:kern w:val="0"/>
          <w:sz w:val="24"/>
          <w:szCs w:val="20"/>
          <w:vertAlign w:val="subscript"/>
        </w:rPr>
        <w:t>x</w:t>
      </w:r>
      <w:r>
        <w:rPr>
          <w:rFonts w:hint="default" w:ascii="Times New Roman" w:hAnsi="Times New Roman" w:eastAsia="宋体" w:cs="Times New Roman"/>
          <w:color w:val="auto"/>
          <w:kern w:val="0"/>
          <w:sz w:val="24"/>
          <w:szCs w:val="20"/>
        </w:rPr>
        <w:t>、颗粒物、氯化氢、</w:t>
      </w:r>
      <w:r>
        <w:rPr>
          <w:rFonts w:hint="eastAsia" w:ascii="Times New Roman" w:hAnsi="Times New Roman" w:eastAsia="宋体" w:cs="Times New Roman"/>
          <w:color w:val="auto"/>
          <w:kern w:val="0"/>
          <w:sz w:val="24"/>
          <w:szCs w:val="20"/>
          <w:lang w:eastAsia="zh-CN"/>
        </w:rPr>
        <w:t>氟化物</w:t>
      </w:r>
      <w:r>
        <w:rPr>
          <w:rFonts w:hint="default" w:ascii="Times New Roman" w:hAnsi="Times New Roman" w:eastAsia="宋体" w:cs="Times New Roman"/>
          <w:color w:val="auto"/>
          <w:kern w:val="0"/>
          <w:sz w:val="24"/>
          <w:szCs w:val="20"/>
        </w:rPr>
        <w:t>、二噁英类、砷及其化合物、铅及其化合物、锡及其化合物、镉及其化合物、铬及其化合物</w:t>
      </w:r>
      <w:bookmarkEnd w:id="121"/>
      <w:r>
        <w:rPr>
          <w:rFonts w:hint="default" w:ascii="Times New Roman" w:hAnsi="Times New Roman" w:eastAsia="宋体" w:cs="Times New Roman"/>
          <w:color w:val="auto"/>
          <w:kern w:val="0"/>
          <w:sz w:val="24"/>
          <w:szCs w:val="20"/>
        </w:rPr>
        <w:t>等执行</w:t>
      </w:r>
      <w:bookmarkStart w:id="122" w:name="OLE_LINK488"/>
      <w:r>
        <w:rPr>
          <w:rFonts w:hint="default" w:ascii="Times New Roman" w:hAnsi="Times New Roman" w:eastAsia="宋体" w:cs="Times New Roman"/>
          <w:color w:val="auto"/>
          <w:kern w:val="0"/>
          <w:sz w:val="24"/>
          <w:szCs w:val="20"/>
        </w:rPr>
        <w:t>《再生铜、铝、铅、锌工业污染物排放标准》（GB31574-2015）表4大气污染物特别排放限值</w:t>
      </w:r>
      <w:bookmarkEnd w:id="122"/>
      <w:r>
        <w:rPr>
          <w:rFonts w:hint="eastAsia" w:cs="Times New Roman"/>
          <w:color w:val="auto"/>
          <w:kern w:val="0"/>
          <w:sz w:val="24"/>
          <w:szCs w:val="20"/>
          <w:lang w:eastAsia="zh-CN"/>
        </w:rPr>
        <w:t>；</w:t>
      </w:r>
      <w:r>
        <w:rPr>
          <w:rFonts w:hint="default" w:ascii="Times New Roman" w:hAnsi="Times New Roman" w:eastAsia="宋体" w:cs="Times New Roman"/>
          <w:color w:val="auto"/>
          <w:kern w:val="0"/>
          <w:sz w:val="24"/>
          <w:szCs w:val="20"/>
        </w:rPr>
        <w:t>无组织废气氯化氢、</w:t>
      </w:r>
      <w:r>
        <w:rPr>
          <w:rFonts w:hint="eastAsia" w:ascii="Times New Roman" w:hAnsi="Times New Roman" w:eastAsia="宋体" w:cs="Times New Roman"/>
          <w:color w:val="auto"/>
          <w:kern w:val="0"/>
          <w:sz w:val="24"/>
          <w:szCs w:val="20"/>
          <w:lang w:eastAsia="zh-CN"/>
        </w:rPr>
        <w:t>氟化物</w:t>
      </w:r>
      <w:r>
        <w:rPr>
          <w:rFonts w:hint="default" w:ascii="Times New Roman" w:hAnsi="Times New Roman" w:eastAsia="宋体" w:cs="Times New Roman"/>
          <w:color w:val="auto"/>
          <w:kern w:val="0"/>
          <w:sz w:val="24"/>
          <w:szCs w:val="20"/>
        </w:rPr>
        <w:t>、砷及其化合物、铅及其化合物、锡及其化合物、镉及其化合物、铬及其化合物等污染物排放限值执行《再生铜、铝、铅、锌工业污染物排放标准》（GB31574-2015）表5 企业边界大气污染物限值</w:t>
      </w:r>
      <w:r>
        <w:rPr>
          <w:rFonts w:hint="eastAsia" w:cs="Times New Roman"/>
          <w:color w:val="auto"/>
          <w:kern w:val="0"/>
          <w:sz w:val="24"/>
          <w:szCs w:val="20"/>
          <w:lang w:eastAsia="zh-CN"/>
        </w:rPr>
        <w:t>；</w:t>
      </w:r>
      <w:r>
        <w:rPr>
          <w:rFonts w:hint="eastAsia" w:cs="Times New Roman"/>
          <w:color w:val="auto"/>
          <w:kern w:val="0"/>
          <w:sz w:val="24"/>
          <w:szCs w:val="20"/>
          <w:lang w:val="en-US" w:eastAsia="zh-CN"/>
        </w:rPr>
        <w:t>DA002排气筒排放氨执行《恶臭污染物排放标准》(GB14554-93)中排放限值，</w:t>
      </w:r>
      <w:r>
        <w:rPr>
          <w:rFonts w:hint="default" w:ascii="Times New Roman" w:hAnsi="Times New Roman" w:eastAsia="宋体" w:cs="Times New Roman"/>
          <w:color w:val="auto"/>
          <w:sz w:val="24"/>
          <w:szCs w:val="22"/>
        </w:rPr>
        <w:t>无组织排放的颗粒物厂界监控浓度执行《大气污染物综合排放标准》（GB16297-1996）表2无组织排放浓度限值</w:t>
      </w:r>
      <w:r>
        <w:rPr>
          <w:rFonts w:hint="default" w:ascii="Times New Roman" w:hAnsi="Times New Roman" w:eastAsia="宋体" w:cs="Times New Roman"/>
          <w:color w:val="auto"/>
          <w:kern w:val="0"/>
          <w:sz w:val="24"/>
          <w:szCs w:val="20"/>
        </w:rPr>
        <w:t>。</w:t>
      </w:r>
    </w:p>
    <w:p w14:paraId="6B3EB4B4">
      <w:pPr>
        <w:adjustRightInd w:val="0"/>
        <w:snapToGrid w:val="0"/>
        <w:spacing w:line="360" w:lineRule="auto"/>
        <w:jc w:val="center"/>
        <w:rPr>
          <w:b/>
          <w:bCs/>
          <w:color w:val="auto"/>
          <w:sz w:val="24"/>
          <w:szCs w:val="32"/>
        </w:rPr>
      </w:pPr>
      <w:r>
        <w:rPr>
          <w:b/>
          <w:bCs/>
          <w:color w:val="auto"/>
          <w:sz w:val="24"/>
          <w:szCs w:val="32"/>
        </w:rPr>
        <w:t>表1-</w:t>
      </w:r>
      <w:r>
        <w:rPr>
          <w:rFonts w:hint="eastAsia"/>
          <w:b/>
          <w:bCs/>
          <w:color w:val="auto"/>
          <w:sz w:val="24"/>
          <w:szCs w:val="32"/>
          <w:lang w:val="en-US" w:eastAsia="zh-CN"/>
        </w:rPr>
        <w:t>12</w:t>
      </w:r>
      <w:r>
        <w:rPr>
          <w:b/>
          <w:bCs/>
          <w:color w:val="auto"/>
          <w:sz w:val="24"/>
          <w:szCs w:val="32"/>
        </w:rPr>
        <w:t xml:space="preserve"> </w:t>
      </w:r>
      <w:r>
        <w:rPr>
          <w:b/>
          <w:bCs/>
          <w:color w:val="auto"/>
          <w:sz w:val="24"/>
        </w:rPr>
        <w:t>后评价阶段</w:t>
      </w:r>
      <w:r>
        <w:rPr>
          <w:rFonts w:hint="eastAsia" w:ascii="Times New Roman" w:hAnsi="Times New Roman" w:eastAsia="宋体" w:cs="Times New Roman"/>
          <w:b/>
          <w:bCs/>
          <w:color w:val="auto"/>
          <w:sz w:val="24"/>
          <w:szCs w:val="24"/>
          <w:lang w:val="en-US" w:eastAsia="zh-CN"/>
        </w:rPr>
        <w:t>项目有组织废气污染物排放执行标准</w:t>
      </w:r>
    </w:p>
    <w:tbl>
      <w:tblPr>
        <w:tblStyle w:val="31"/>
        <w:tblW w:w="4993"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108" w:type="dxa"/>
          <w:bottom w:w="0" w:type="dxa"/>
          <w:right w:w="108" w:type="dxa"/>
        </w:tblCellMar>
      </w:tblPr>
      <w:tblGrid>
        <w:gridCol w:w="1635"/>
        <w:gridCol w:w="1831"/>
        <w:gridCol w:w="2002"/>
        <w:gridCol w:w="2414"/>
        <w:gridCol w:w="2066"/>
      </w:tblGrid>
      <w:tr w14:paraId="1A8C23D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vMerge w:val="restart"/>
            <w:tcBorders>
              <w:tl2br w:val="nil"/>
              <w:tr2bl w:val="nil"/>
            </w:tcBorders>
            <w:shd w:val="clear" w:color="auto" w:fill="auto"/>
            <w:noWrap w:val="0"/>
            <w:vAlign w:val="center"/>
          </w:tcPr>
          <w:p w14:paraId="3FF67164">
            <w:pPr>
              <w:spacing w:before="31" w:beforeLines="10" w:line="264" w:lineRule="auto"/>
              <w:jc w:val="center"/>
              <w:rPr>
                <w:b/>
                <w:color w:val="auto"/>
              </w:rPr>
            </w:pPr>
            <w:r>
              <w:rPr>
                <w:b/>
                <w:color w:val="auto"/>
              </w:rPr>
              <w:t>污染物项目</w:t>
            </w:r>
          </w:p>
        </w:tc>
        <w:tc>
          <w:tcPr>
            <w:tcW w:w="3139" w:type="pct"/>
            <w:gridSpan w:val="3"/>
            <w:tcBorders>
              <w:tl2br w:val="nil"/>
              <w:tr2bl w:val="nil"/>
            </w:tcBorders>
            <w:shd w:val="clear" w:color="auto" w:fill="auto"/>
            <w:noWrap w:val="0"/>
            <w:vAlign w:val="center"/>
          </w:tcPr>
          <w:p w14:paraId="00759600">
            <w:pPr>
              <w:spacing w:before="31" w:beforeLines="10" w:line="264" w:lineRule="auto"/>
              <w:jc w:val="center"/>
              <w:rPr>
                <w:b/>
                <w:color w:val="auto"/>
              </w:rPr>
            </w:pPr>
            <w:r>
              <w:rPr>
                <w:b/>
                <w:color w:val="auto"/>
              </w:rPr>
              <w:t>新建企业大气污染物排放限值</w:t>
            </w:r>
          </w:p>
        </w:tc>
        <w:tc>
          <w:tcPr>
            <w:tcW w:w="1038" w:type="pct"/>
            <w:vMerge w:val="restart"/>
            <w:tcBorders>
              <w:tl2br w:val="nil"/>
              <w:tr2bl w:val="nil"/>
            </w:tcBorders>
            <w:shd w:val="clear" w:color="auto" w:fill="auto"/>
            <w:noWrap w:val="0"/>
            <w:vAlign w:val="center"/>
          </w:tcPr>
          <w:p w14:paraId="49A0ED96">
            <w:pPr>
              <w:spacing w:before="31" w:beforeLines="10" w:line="264" w:lineRule="auto"/>
              <w:jc w:val="center"/>
              <w:rPr>
                <w:b/>
                <w:color w:val="auto"/>
              </w:rPr>
            </w:pPr>
            <w:r>
              <w:rPr>
                <w:b/>
                <w:color w:val="auto"/>
              </w:rPr>
              <w:t>标准来源</w:t>
            </w:r>
          </w:p>
        </w:tc>
      </w:tr>
      <w:tr w14:paraId="088E70C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vMerge w:val="continue"/>
            <w:tcBorders>
              <w:tl2br w:val="nil"/>
              <w:tr2bl w:val="nil"/>
            </w:tcBorders>
            <w:shd w:val="clear" w:color="auto" w:fill="auto"/>
            <w:noWrap w:val="0"/>
            <w:vAlign w:val="center"/>
          </w:tcPr>
          <w:p w14:paraId="0290ADD2">
            <w:pPr>
              <w:spacing w:before="31" w:beforeLines="10" w:line="264" w:lineRule="auto"/>
              <w:jc w:val="center"/>
              <w:rPr>
                <w:b/>
                <w:color w:val="auto"/>
              </w:rPr>
            </w:pPr>
          </w:p>
        </w:tc>
        <w:tc>
          <w:tcPr>
            <w:tcW w:w="920" w:type="pct"/>
            <w:tcBorders>
              <w:tl2br w:val="nil"/>
              <w:tr2bl w:val="nil"/>
            </w:tcBorders>
            <w:shd w:val="clear" w:color="auto" w:fill="auto"/>
            <w:noWrap w:val="0"/>
            <w:vAlign w:val="center"/>
          </w:tcPr>
          <w:p w14:paraId="2357BFF1">
            <w:pPr>
              <w:spacing w:before="31" w:beforeLines="10" w:line="264" w:lineRule="auto"/>
              <w:jc w:val="center"/>
              <w:rPr>
                <w:b/>
                <w:color w:val="auto"/>
              </w:rPr>
            </w:pPr>
            <w:r>
              <w:rPr>
                <w:rFonts w:hint="eastAsia"/>
                <w:b/>
                <w:color w:val="auto"/>
                <w:szCs w:val="21"/>
                <w:lang w:val="en-US" w:eastAsia="zh-CN"/>
              </w:rPr>
              <w:t>排放浓度</w:t>
            </w:r>
            <w:r>
              <w:rPr>
                <w:b/>
                <w:color w:val="auto"/>
                <w:szCs w:val="21"/>
              </w:rPr>
              <w:t>(mg/m</w:t>
            </w:r>
            <w:r>
              <w:rPr>
                <w:b/>
                <w:color w:val="auto"/>
                <w:szCs w:val="21"/>
                <w:vertAlign w:val="superscript"/>
              </w:rPr>
              <w:t>3</w:t>
            </w:r>
            <w:r>
              <w:rPr>
                <w:b/>
                <w:color w:val="auto"/>
                <w:szCs w:val="21"/>
              </w:rPr>
              <w:t>)</w:t>
            </w:r>
          </w:p>
        </w:tc>
        <w:tc>
          <w:tcPr>
            <w:tcW w:w="1005" w:type="pct"/>
            <w:tcBorders>
              <w:tl2br w:val="nil"/>
              <w:tr2bl w:val="nil"/>
            </w:tcBorders>
            <w:shd w:val="clear" w:color="auto" w:fill="auto"/>
            <w:noWrap w:val="0"/>
            <w:vAlign w:val="center"/>
          </w:tcPr>
          <w:p w14:paraId="2E491548">
            <w:pPr>
              <w:spacing w:before="31" w:beforeLines="10" w:line="264" w:lineRule="auto"/>
              <w:jc w:val="center"/>
              <w:rPr>
                <w:rFonts w:hint="default"/>
                <w:b/>
                <w:color w:val="auto"/>
                <w:szCs w:val="21"/>
                <w:lang w:val="en-US" w:eastAsia="zh-CN"/>
              </w:rPr>
            </w:pPr>
            <w:r>
              <w:rPr>
                <w:rFonts w:hint="eastAsia"/>
                <w:b/>
                <w:color w:val="auto"/>
                <w:szCs w:val="21"/>
                <w:lang w:val="en-US" w:eastAsia="zh-CN"/>
              </w:rPr>
              <w:t>排放速率（kg/h）</w:t>
            </w:r>
          </w:p>
        </w:tc>
        <w:tc>
          <w:tcPr>
            <w:tcW w:w="1213" w:type="pct"/>
            <w:tcBorders>
              <w:tl2br w:val="nil"/>
              <w:tr2bl w:val="nil"/>
            </w:tcBorders>
            <w:shd w:val="clear" w:color="auto" w:fill="auto"/>
            <w:noWrap w:val="0"/>
            <w:vAlign w:val="center"/>
          </w:tcPr>
          <w:p w14:paraId="2C73CEFE">
            <w:pPr>
              <w:spacing w:before="31" w:beforeLines="10" w:line="264" w:lineRule="auto"/>
              <w:jc w:val="center"/>
              <w:rPr>
                <w:b/>
                <w:color w:val="auto"/>
              </w:rPr>
            </w:pPr>
            <w:r>
              <w:rPr>
                <w:b/>
                <w:color w:val="auto"/>
                <w:szCs w:val="21"/>
              </w:rPr>
              <w:t>污染物排放监控位置</w:t>
            </w:r>
          </w:p>
        </w:tc>
        <w:tc>
          <w:tcPr>
            <w:tcW w:w="1038" w:type="pct"/>
            <w:vMerge w:val="continue"/>
            <w:tcBorders>
              <w:tl2br w:val="nil"/>
              <w:tr2bl w:val="nil"/>
            </w:tcBorders>
            <w:shd w:val="clear" w:color="auto" w:fill="auto"/>
            <w:noWrap w:val="0"/>
            <w:vAlign w:val="center"/>
          </w:tcPr>
          <w:p w14:paraId="28DFE386">
            <w:pPr>
              <w:spacing w:before="31" w:beforeLines="10" w:line="264" w:lineRule="auto"/>
              <w:jc w:val="center"/>
              <w:rPr>
                <w:b/>
                <w:color w:val="auto"/>
              </w:rPr>
            </w:pPr>
          </w:p>
        </w:tc>
      </w:tr>
      <w:tr w14:paraId="79C8171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5B14AC5F">
            <w:pPr>
              <w:spacing w:before="31" w:beforeLines="10" w:line="264" w:lineRule="auto"/>
              <w:jc w:val="center"/>
              <w:rPr>
                <w:color w:val="auto"/>
                <w:szCs w:val="21"/>
              </w:rPr>
            </w:pPr>
            <w:r>
              <w:rPr>
                <w:color w:val="auto"/>
                <w:szCs w:val="21"/>
              </w:rPr>
              <w:t>颗粒物</w:t>
            </w:r>
          </w:p>
        </w:tc>
        <w:tc>
          <w:tcPr>
            <w:tcW w:w="920" w:type="pct"/>
            <w:tcBorders>
              <w:tl2br w:val="nil"/>
              <w:tr2bl w:val="nil"/>
            </w:tcBorders>
            <w:shd w:val="clear" w:color="auto" w:fill="auto"/>
            <w:noWrap w:val="0"/>
            <w:vAlign w:val="center"/>
          </w:tcPr>
          <w:p w14:paraId="49BFA6F5">
            <w:pPr>
              <w:spacing w:before="31" w:beforeLines="10" w:line="264" w:lineRule="auto"/>
              <w:jc w:val="center"/>
              <w:rPr>
                <w:color w:val="auto"/>
                <w:szCs w:val="21"/>
              </w:rPr>
            </w:pPr>
            <w:r>
              <w:rPr>
                <w:color w:val="auto"/>
                <w:szCs w:val="21"/>
              </w:rPr>
              <w:t>30</w:t>
            </w:r>
          </w:p>
        </w:tc>
        <w:tc>
          <w:tcPr>
            <w:tcW w:w="1005" w:type="pct"/>
            <w:tcBorders>
              <w:tl2br w:val="nil"/>
              <w:tr2bl w:val="nil"/>
            </w:tcBorders>
            <w:shd w:val="clear" w:color="auto" w:fill="auto"/>
            <w:noWrap w:val="0"/>
            <w:vAlign w:val="center"/>
          </w:tcPr>
          <w:p w14:paraId="306D03CE">
            <w:pPr>
              <w:spacing w:before="31" w:beforeLines="10" w:line="264" w:lineRule="auto"/>
              <w:jc w:val="center"/>
              <w:rPr>
                <w:rFonts w:hint="eastAsia" w:eastAsia="宋体"/>
                <w:color w:val="auto"/>
                <w:szCs w:val="21"/>
                <w:lang w:val="en-US" w:eastAsia="zh-CN"/>
              </w:rPr>
            </w:pPr>
            <w:r>
              <w:rPr>
                <w:rFonts w:hint="eastAsia"/>
                <w:color w:val="auto"/>
                <w:szCs w:val="21"/>
                <w:lang w:val="en-US" w:eastAsia="zh-CN"/>
              </w:rPr>
              <w:t>/</w:t>
            </w:r>
          </w:p>
        </w:tc>
        <w:tc>
          <w:tcPr>
            <w:tcW w:w="1213" w:type="pct"/>
            <w:vMerge w:val="restart"/>
            <w:tcBorders>
              <w:tl2br w:val="nil"/>
              <w:tr2bl w:val="nil"/>
            </w:tcBorders>
            <w:shd w:val="clear" w:color="auto" w:fill="auto"/>
            <w:noWrap w:val="0"/>
            <w:vAlign w:val="center"/>
          </w:tcPr>
          <w:p w14:paraId="59DEEED2">
            <w:pPr>
              <w:spacing w:before="31" w:beforeLines="10" w:line="264" w:lineRule="auto"/>
              <w:jc w:val="center"/>
              <w:rPr>
                <w:color w:val="auto"/>
                <w:szCs w:val="21"/>
              </w:rPr>
            </w:pPr>
            <w:r>
              <w:rPr>
                <w:rFonts w:hint="eastAsia"/>
                <w:color w:val="auto"/>
                <w:szCs w:val="21"/>
                <w:lang w:val="en-US" w:eastAsia="zh-CN"/>
              </w:rPr>
              <w:t>DA001</w:t>
            </w:r>
            <w:r>
              <w:rPr>
                <w:color w:val="auto"/>
                <w:szCs w:val="21"/>
              </w:rPr>
              <w:t>排气筒</w:t>
            </w:r>
          </w:p>
        </w:tc>
        <w:tc>
          <w:tcPr>
            <w:tcW w:w="1038" w:type="pct"/>
            <w:vMerge w:val="restart"/>
            <w:tcBorders>
              <w:tl2br w:val="nil"/>
              <w:tr2bl w:val="nil"/>
            </w:tcBorders>
            <w:shd w:val="clear" w:color="auto" w:fill="auto"/>
            <w:noWrap w:val="0"/>
            <w:vAlign w:val="center"/>
          </w:tcPr>
          <w:p w14:paraId="126A109D">
            <w:pPr>
              <w:spacing w:before="31" w:beforeLines="10" w:line="264" w:lineRule="auto"/>
              <w:jc w:val="center"/>
              <w:rPr>
                <w:b/>
                <w:color w:val="auto"/>
                <w:szCs w:val="21"/>
              </w:rPr>
            </w:pPr>
            <w:r>
              <w:rPr>
                <w:color w:val="auto"/>
                <w:szCs w:val="21"/>
              </w:rPr>
              <w:t>《再生铜、铝、铅、锌工业污染物排放标准》（GB 31574-2015）</w:t>
            </w:r>
          </w:p>
        </w:tc>
      </w:tr>
      <w:tr w14:paraId="291AEDE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6987C35B">
            <w:pPr>
              <w:spacing w:before="31" w:beforeLines="10" w:line="264" w:lineRule="auto"/>
              <w:jc w:val="center"/>
              <w:rPr>
                <w:color w:val="auto"/>
                <w:szCs w:val="21"/>
              </w:rPr>
            </w:pPr>
            <w:r>
              <w:rPr>
                <w:color w:val="auto"/>
                <w:szCs w:val="21"/>
              </w:rPr>
              <w:t>SO</w:t>
            </w:r>
            <w:r>
              <w:rPr>
                <w:color w:val="auto"/>
                <w:szCs w:val="21"/>
                <w:vertAlign w:val="subscript"/>
              </w:rPr>
              <w:t>2</w:t>
            </w:r>
          </w:p>
        </w:tc>
        <w:tc>
          <w:tcPr>
            <w:tcW w:w="920" w:type="pct"/>
            <w:tcBorders>
              <w:tl2br w:val="nil"/>
              <w:tr2bl w:val="nil"/>
            </w:tcBorders>
            <w:shd w:val="clear" w:color="auto" w:fill="auto"/>
            <w:noWrap w:val="0"/>
            <w:vAlign w:val="center"/>
          </w:tcPr>
          <w:p w14:paraId="62A5A0DD">
            <w:pPr>
              <w:spacing w:before="31" w:beforeLines="10" w:line="264" w:lineRule="auto"/>
              <w:jc w:val="center"/>
              <w:rPr>
                <w:color w:val="auto"/>
                <w:szCs w:val="21"/>
              </w:rPr>
            </w:pPr>
            <w:r>
              <w:rPr>
                <w:color w:val="auto"/>
                <w:szCs w:val="21"/>
              </w:rPr>
              <w:t>150</w:t>
            </w:r>
          </w:p>
        </w:tc>
        <w:tc>
          <w:tcPr>
            <w:tcW w:w="1005" w:type="pct"/>
            <w:tcBorders>
              <w:tl2br w:val="nil"/>
              <w:tr2bl w:val="nil"/>
            </w:tcBorders>
            <w:shd w:val="clear" w:color="auto" w:fill="auto"/>
            <w:noWrap w:val="0"/>
            <w:vAlign w:val="center"/>
          </w:tcPr>
          <w:p w14:paraId="523C0991">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2DA02C00">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4128C5F7">
            <w:pPr>
              <w:spacing w:before="31" w:beforeLines="10" w:line="264" w:lineRule="auto"/>
              <w:jc w:val="center"/>
              <w:rPr>
                <w:b/>
                <w:color w:val="auto"/>
                <w:szCs w:val="21"/>
              </w:rPr>
            </w:pPr>
          </w:p>
        </w:tc>
      </w:tr>
      <w:tr w14:paraId="7A0CE6A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6F2E864A">
            <w:pPr>
              <w:spacing w:before="31" w:beforeLines="10" w:line="264" w:lineRule="auto"/>
              <w:jc w:val="center"/>
              <w:rPr>
                <w:color w:val="auto"/>
                <w:szCs w:val="21"/>
              </w:rPr>
            </w:pPr>
            <w:r>
              <w:rPr>
                <w:color w:val="auto"/>
                <w:szCs w:val="21"/>
              </w:rPr>
              <w:t>NO</w:t>
            </w:r>
            <w:r>
              <w:rPr>
                <w:color w:val="auto"/>
                <w:szCs w:val="21"/>
                <w:vertAlign w:val="subscript"/>
              </w:rPr>
              <w:t>X</w:t>
            </w:r>
          </w:p>
        </w:tc>
        <w:tc>
          <w:tcPr>
            <w:tcW w:w="920" w:type="pct"/>
            <w:tcBorders>
              <w:tl2br w:val="nil"/>
              <w:tr2bl w:val="nil"/>
            </w:tcBorders>
            <w:shd w:val="clear" w:color="auto" w:fill="auto"/>
            <w:noWrap w:val="0"/>
            <w:vAlign w:val="center"/>
          </w:tcPr>
          <w:p w14:paraId="5B4FAD06">
            <w:pPr>
              <w:spacing w:before="31" w:beforeLines="10" w:line="264" w:lineRule="auto"/>
              <w:jc w:val="center"/>
              <w:rPr>
                <w:color w:val="auto"/>
                <w:szCs w:val="21"/>
              </w:rPr>
            </w:pPr>
            <w:r>
              <w:rPr>
                <w:color w:val="auto"/>
                <w:szCs w:val="21"/>
              </w:rPr>
              <w:t>200</w:t>
            </w:r>
          </w:p>
        </w:tc>
        <w:tc>
          <w:tcPr>
            <w:tcW w:w="1005" w:type="pct"/>
            <w:tcBorders>
              <w:tl2br w:val="nil"/>
              <w:tr2bl w:val="nil"/>
            </w:tcBorders>
            <w:shd w:val="clear" w:color="auto" w:fill="auto"/>
            <w:noWrap w:val="0"/>
            <w:vAlign w:val="center"/>
          </w:tcPr>
          <w:p w14:paraId="5F24ED93">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26934F94">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273FD53B">
            <w:pPr>
              <w:spacing w:before="31" w:beforeLines="10" w:line="264" w:lineRule="auto"/>
              <w:jc w:val="center"/>
              <w:rPr>
                <w:b/>
                <w:color w:val="auto"/>
                <w:szCs w:val="21"/>
              </w:rPr>
            </w:pPr>
          </w:p>
        </w:tc>
      </w:tr>
      <w:tr w14:paraId="7E67993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3A6CF101">
            <w:pPr>
              <w:spacing w:before="31" w:beforeLines="10" w:line="264" w:lineRule="auto"/>
              <w:jc w:val="center"/>
              <w:rPr>
                <w:color w:val="auto"/>
                <w:szCs w:val="21"/>
              </w:rPr>
            </w:pPr>
            <w:r>
              <w:rPr>
                <w:color w:val="auto"/>
                <w:szCs w:val="21"/>
              </w:rPr>
              <w:t>氟化物</w:t>
            </w:r>
          </w:p>
        </w:tc>
        <w:tc>
          <w:tcPr>
            <w:tcW w:w="920" w:type="pct"/>
            <w:tcBorders>
              <w:tl2br w:val="nil"/>
              <w:tr2bl w:val="nil"/>
            </w:tcBorders>
            <w:shd w:val="clear" w:color="auto" w:fill="auto"/>
            <w:noWrap w:val="0"/>
            <w:vAlign w:val="center"/>
          </w:tcPr>
          <w:p w14:paraId="1D02B650">
            <w:pPr>
              <w:spacing w:before="31" w:beforeLines="10" w:line="264" w:lineRule="auto"/>
              <w:jc w:val="center"/>
              <w:rPr>
                <w:color w:val="auto"/>
                <w:szCs w:val="21"/>
              </w:rPr>
            </w:pPr>
            <w:r>
              <w:rPr>
                <w:color w:val="auto"/>
                <w:szCs w:val="21"/>
              </w:rPr>
              <w:t>3</w:t>
            </w:r>
          </w:p>
        </w:tc>
        <w:tc>
          <w:tcPr>
            <w:tcW w:w="1005" w:type="pct"/>
            <w:tcBorders>
              <w:tl2br w:val="nil"/>
              <w:tr2bl w:val="nil"/>
            </w:tcBorders>
            <w:shd w:val="clear" w:color="auto" w:fill="auto"/>
            <w:noWrap w:val="0"/>
            <w:vAlign w:val="center"/>
          </w:tcPr>
          <w:p w14:paraId="2966C292">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3637F2F0">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5C85577D">
            <w:pPr>
              <w:spacing w:before="31" w:beforeLines="10" w:line="264" w:lineRule="auto"/>
              <w:jc w:val="center"/>
              <w:rPr>
                <w:b/>
                <w:color w:val="auto"/>
                <w:szCs w:val="21"/>
              </w:rPr>
            </w:pPr>
          </w:p>
        </w:tc>
      </w:tr>
      <w:tr w14:paraId="019ED62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76D8FF56">
            <w:pPr>
              <w:spacing w:before="31" w:beforeLines="10" w:line="264" w:lineRule="auto"/>
              <w:jc w:val="center"/>
              <w:rPr>
                <w:color w:val="auto"/>
                <w:szCs w:val="21"/>
              </w:rPr>
            </w:pPr>
            <w:r>
              <w:rPr>
                <w:color w:val="auto"/>
                <w:szCs w:val="21"/>
              </w:rPr>
              <w:t>HCl</w:t>
            </w:r>
          </w:p>
        </w:tc>
        <w:tc>
          <w:tcPr>
            <w:tcW w:w="920" w:type="pct"/>
            <w:tcBorders>
              <w:tl2br w:val="nil"/>
              <w:tr2bl w:val="nil"/>
            </w:tcBorders>
            <w:shd w:val="clear" w:color="auto" w:fill="auto"/>
            <w:noWrap w:val="0"/>
            <w:vAlign w:val="center"/>
          </w:tcPr>
          <w:p w14:paraId="6D051DCD">
            <w:pPr>
              <w:spacing w:before="31" w:beforeLines="10" w:line="264" w:lineRule="auto"/>
              <w:jc w:val="center"/>
              <w:rPr>
                <w:color w:val="auto"/>
                <w:szCs w:val="21"/>
              </w:rPr>
            </w:pPr>
            <w:r>
              <w:rPr>
                <w:color w:val="auto"/>
                <w:szCs w:val="21"/>
              </w:rPr>
              <w:t>30</w:t>
            </w:r>
          </w:p>
        </w:tc>
        <w:tc>
          <w:tcPr>
            <w:tcW w:w="1005" w:type="pct"/>
            <w:tcBorders>
              <w:tl2br w:val="nil"/>
              <w:tr2bl w:val="nil"/>
            </w:tcBorders>
            <w:shd w:val="clear" w:color="auto" w:fill="auto"/>
            <w:noWrap w:val="0"/>
            <w:vAlign w:val="center"/>
          </w:tcPr>
          <w:p w14:paraId="41BD04CE">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67975A31">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11011DB1">
            <w:pPr>
              <w:spacing w:before="31" w:beforeLines="10" w:line="264" w:lineRule="auto"/>
              <w:jc w:val="center"/>
              <w:rPr>
                <w:b/>
                <w:color w:val="auto"/>
                <w:szCs w:val="21"/>
              </w:rPr>
            </w:pPr>
          </w:p>
        </w:tc>
      </w:tr>
      <w:tr w14:paraId="5A62514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2923D8A8">
            <w:pPr>
              <w:spacing w:before="31" w:beforeLines="10" w:line="264" w:lineRule="auto"/>
              <w:jc w:val="center"/>
              <w:rPr>
                <w:color w:val="auto"/>
                <w:szCs w:val="21"/>
              </w:rPr>
            </w:pPr>
            <w:r>
              <w:rPr>
                <w:color w:val="auto"/>
                <w:szCs w:val="21"/>
              </w:rPr>
              <w:t>二噁英类</w:t>
            </w:r>
          </w:p>
        </w:tc>
        <w:tc>
          <w:tcPr>
            <w:tcW w:w="920" w:type="pct"/>
            <w:tcBorders>
              <w:tl2br w:val="nil"/>
              <w:tr2bl w:val="nil"/>
            </w:tcBorders>
            <w:shd w:val="clear" w:color="auto" w:fill="auto"/>
            <w:noWrap w:val="0"/>
            <w:vAlign w:val="center"/>
          </w:tcPr>
          <w:p w14:paraId="02672B21">
            <w:pPr>
              <w:spacing w:before="31" w:beforeLines="10" w:line="264" w:lineRule="auto"/>
              <w:jc w:val="center"/>
              <w:rPr>
                <w:color w:val="auto"/>
                <w:szCs w:val="21"/>
              </w:rPr>
            </w:pPr>
            <w:r>
              <w:rPr>
                <w:color w:val="auto"/>
                <w:szCs w:val="21"/>
              </w:rPr>
              <w:t>0.5ng TEQ/m</w:t>
            </w:r>
            <w:r>
              <w:rPr>
                <w:color w:val="auto"/>
                <w:szCs w:val="21"/>
                <w:vertAlign w:val="superscript"/>
              </w:rPr>
              <w:t>3</w:t>
            </w:r>
          </w:p>
        </w:tc>
        <w:tc>
          <w:tcPr>
            <w:tcW w:w="1005" w:type="pct"/>
            <w:tcBorders>
              <w:tl2br w:val="nil"/>
              <w:tr2bl w:val="nil"/>
            </w:tcBorders>
            <w:shd w:val="clear" w:color="auto" w:fill="auto"/>
            <w:noWrap w:val="0"/>
            <w:vAlign w:val="center"/>
          </w:tcPr>
          <w:p w14:paraId="557D5DB4">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72ADDF4E">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0338CED6">
            <w:pPr>
              <w:spacing w:before="31" w:beforeLines="10" w:line="264" w:lineRule="auto"/>
              <w:jc w:val="center"/>
              <w:rPr>
                <w:b/>
                <w:color w:val="auto"/>
                <w:szCs w:val="21"/>
              </w:rPr>
            </w:pPr>
          </w:p>
        </w:tc>
      </w:tr>
      <w:tr w14:paraId="39BE88F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11C627BD">
            <w:pPr>
              <w:spacing w:before="31" w:beforeLines="10" w:line="264" w:lineRule="auto"/>
              <w:jc w:val="center"/>
              <w:rPr>
                <w:color w:val="auto"/>
                <w:szCs w:val="21"/>
              </w:rPr>
            </w:pPr>
            <w:r>
              <w:rPr>
                <w:color w:val="auto"/>
                <w:szCs w:val="21"/>
              </w:rPr>
              <w:t>砷及其化合物</w:t>
            </w:r>
          </w:p>
        </w:tc>
        <w:tc>
          <w:tcPr>
            <w:tcW w:w="920" w:type="pct"/>
            <w:tcBorders>
              <w:tl2br w:val="nil"/>
              <w:tr2bl w:val="nil"/>
            </w:tcBorders>
            <w:shd w:val="clear" w:color="auto" w:fill="auto"/>
            <w:noWrap w:val="0"/>
            <w:vAlign w:val="center"/>
          </w:tcPr>
          <w:p w14:paraId="5E4FDA32">
            <w:pPr>
              <w:spacing w:before="31" w:beforeLines="10" w:line="264" w:lineRule="auto"/>
              <w:jc w:val="center"/>
              <w:rPr>
                <w:color w:val="auto"/>
                <w:szCs w:val="21"/>
              </w:rPr>
            </w:pPr>
            <w:r>
              <w:rPr>
                <w:color w:val="auto"/>
                <w:szCs w:val="21"/>
              </w:rPr>
              <w:t>0.4</w:t>
            </w:r>
          </w:p>
        </w:tc>
        <w:tc>
          <w:tcPr>
            <w:tcW w:w="1005" w:type="pct"/>
            <w:tcBorders>
              <w:tl2br w:val="nil"/>
              <w:tr2bl w:val="nil"/>
            </w:tcBorders>
            <w:shd w:val="clear" w:color="auto" w:fill="auto"/>
            <w:noWrap w:val="0"/>
            <w:vAlign w:val="center"/>
          </w:tcPr>
          <w:p w14:paraId="7C805001">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286577E0">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7BA06AEB">
            <w:pPr>
              <w:spacing w:before="31" w:beforeLines="10" w:line="264" w:lineRule="auto"/>
              <w:jc w:val="center"/>
              <w:rPr>
                <w:b/>
                <w:color w:val="auto"/>
                <w:szCs w:val="21"/>
              </w:rPr>
            </w:pPr>
          </w:p>
        </w:tc>
      </w:tr>
      <w:tr w14:paraId="7501D82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28840C24">
            <w:pPr>
              <w:spacing w:before="31" w:beforeLines="10" w:line="264" w:lineRule="auto"/>
              <w:jc w:val="center"/>
              <w:rPr>
                <w:color w:val="auto"/>
                <w:szCs w:val="21"/>
              </w:rPr>
            </w:pPr>
            <w:r>
              <w:rPr>
                <w:color w:val="auto"/>
                <w:szCs w:val="21"/>
              </w:rPr>
              <w:t>铅及其化合物</w:t>
            </w:r>
          </w:p>
        </w:tc>
        <w:tc>
          <w:tcPr>
            <w:tcW w:w="920" w:type="pct"/>
            <w:tcBorders>
              <w:tl2br w:val="nil"/>
              <w:tr2bl w:val="nil"/>
            </w:tcBorders>
            <w:shd w:val="clear" w:color="auto" w:fill="auto"/>
            <w:noWrap w:val="0"/>
            <w:vAlign w:val="center"/>
          </w:tcPr>
          <w:p w14:paraId="24C59840">
            <w:pPr>
              <w:spacing w:before="31" w:beforeLines="10" w:line="264" w:lineRule="auto"/>
              <w:jc w:val="center"/>
              <w:rPr>
                <w:color w:val="auto"/>
                <w:szCs w:val="21"/>
              </w:rPr>
            </w:pPr>
            <w:r>
              <w:rPr>
                <w:color w:val="auto"/>
                <w:szCs w:val="21"/>
              </w:rPr>
              <w:t>1</w:t>
            </w:r>
          </w:p>
        </w:tc>
        <w:tc>
          <w:tcPr>
            <w:tcW w:w="1005" w:type="pct"/>
            <w:tcBorders>
              <w:tl2br w:val="nil"/>
              <w:tr2bl w:val="nil"/>
            </w:tcBorders>
            <w:shd w:val="clear" w:color="auto" w:fill="auto"/>
            <w:noWrap w:val="0"/>
            <w:vAlign w:val="center"/>
          </w:tcPr>
          <w:p w14:paraId="60EEDB52">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347DFA3A">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1CFE9ED1">
            <w:pPr>
              <w:spacing w:before="31" w:beforeLines="10" w:line="264" w:lineRule="auto"/>
              <w:jc w:val="center"/>
              <w:rPr>
                <w:b/>
                <w:color w:val="auto"/>
                <w:szCs w:val="21"/>
              </w:rPr>
            </w:pPr>
          </w:p>
        </w:tc>
      </w:tr>
      <w:tr w14:paraId="4A0DD70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3F42CDF4">
            <w:pPr>
              <w:spacing w:before="31" w:beforeLines="10" w:line="264" w:lineRule="auto"/>
              <w:jc w:val="center"/>
              <w:rPr>
                <w:color w:val="auto"/>
                <w:szCs w:val="21"/>
              </w:rPr>
            </w:pPr>
            <w:r>
              <w:rPr>
                <w:color w:val="auto"/>
                <w:szCs w:val="21"/>
              </w:rPr>
              <w:t>锡及其化合物</w:t>
            </w:r>
          </w:p>
        </w:tc>
        <w:tc>
          <w:tcPr>
            <w:tcW w:w="920" w:type="pct"/>
            <w:tcBorders>
              <w:tl2br w:val="nil"/>
              <w:tr2bl w:val="nil"/>
            </w:tcBorders>
            <w:shd w:val="clear" w:color="auto" w:fill="auto"/>
            <w:noWrap w:val="0"/>
            <w:vAlign w:val="center"/>
          </w:tcPr>
          <w:p w14:paraId="29BACEDF">
            <w:pPr>
              <w:spacing w:before="31" w:beforeLines="10" w:line="264" w:lineRule="auto"/>
              <w:jc w:val="center"/>
              <w:rPr>
                <w:color w:val="auto"/>
                <w:szCs w:val="21"/>
              </w:rPr>
            </w:pPr>
            <w:r>
              <w:rPr>
                <w:color w:val="auto"/>
                <w:szCs w:val="21"/>
              </w:rPr>
              <w:t>1</w:t>
            </w:r>
          </w:p>
        </w:tc>
        <w:tc>
          <w:tcPr>
            <w:tcW w:w="1005" w:type="pct"/>
            <w:tcBorders>
              <w:tl2br w:val="nil"/>
              <w:tr2bl w:val="nil"/>
            </w:tcBorders>
            <w:shd w:val="clear" w:color="auto" w:fill="auto"/>
            <w:noWrap w:val="0"/>
            <w:vAlign w:val="center"/>
          </w:tcPr>
          <w:p w14:paraId="10EBEE99">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5FA8A163">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0AB72F2B">
            <w:pPr>
              <w:spacing w:before="31" w:beforeLines="10" w:line="264" w:lineRule="auto"/>
              <w:jc w:val="center"/>
              <w:rPr>
                <w:b/>
                <w:color w:val="auto"/>
                <w:szCs w:val="21"/>
              </w:rPr>
            </w:pPr>
          </w:p>
        </w:tc>
      </w:tr>
      <w:tr w14:paraId="4230EDE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540F8093">
            <w:pPr>
              <w:spacing w:before="31" w:beforeLines="10" w:line="264" w:lineRule="auto"/>
              <w:jc w:val="center"/>
              <w:rPr>
                <w:color w:val="auto"/>
                <w:szCs w:val="21"/>
              </w:rPr>
            </w:pPr>
            <w:r>
              <w:rPr>
                <w:color w:val="auto"/>
                <w:szCs w:val="21"/>
              </w:rPr>
              <w:t>镉及其化合物</w:t>
            </w:r>
          </w:p>
        </w:tc>
        <w:tc>
          <w:tcPr>
            <w:tcW w:w="920" w:type="pct"/>
            <w:tcBorders>
              <w:tl2br w:val="nil"/>
              <w:tr2bl w:val="nil"/>
            </w:tcBorders>
            <w:shd w:val="clear" w:color="auto" w:fill="auto"/>
            <w:noWrap w:val="0"/>
            <w:vAlign w:val="center"/>
          </w:tcPr>
          <w:p w14:paraId="5F1062B1">
            <w:pPr>
              <w:spacing w:before="31" w:beforeLines="10" w:line="264" w:lineRule="auto"/>
              <w:jc w:val="center"/>
              <w:rPr>
                <w:color w:val="auto"/>
                <w:szCs w:val="21"/>
              </w:rPr>
            </w:pPr>
            <w:r>
              <w:rPr>
                <w:color w:val="auto"/>
                <w:szCs w:val="21"/>
              </w:rPr>
              <w:t>0.05</w:t>
            </w:r>
          </w:p>
        </w:tc>
        <w:tc>
          <w:tcPr>
            <w:tcW w:w="1005" w:type="pct"/>
            <w:tcBorders>
              <w:tl2br w:val="nil"/>
              <w:tr2bl w:val="nil"/>
            </w:tcBorders>
            <w:shd w:val="clear" w:color="auto" w:fill="auto"/>
            <w:noWrap w:val="0"/>
            <w:vAlign w:val="center"/>
          </w:tcPr>
          <w:p w14:paraId="36C7B10E">
            <w:pPr>
              <w:spacing w:before="31" w:beforeLines="10" w:line="264" w:lineRule="auto"/>
              <w:jc w:val="center"/>
              <w:rPr>
                <w:color w:val="auto"/>
                <w:szCs w:val="21"/>
              </w:rPr>
            </w:pPr>
            <w:r>
              <w:rPr>
                <w:rFonts w:hint="eastAsia"/>
                <w:color w:val="auto"/>
                <w:szCs w:val="21"/>
                <w:lang w:val="en-US" w:eastAsia="zh-CN"/>
              </w:rPr>
              <w:t>/</w:t>
            </w:r>
          </w:p>
        </w:tc>
        <w:tc>
          <w:tcPr>
            <w:tcW w:w="1213" w:type="pct"/>
            <w:vMerge w:val="continue"/>
            <w:tcBorders>
              <w:tl2br w:val="nil"/>
              <w:tr2bl w:val="nil"/>
            </w:tcBorders>
            <w:shd w:val="clear" w:color="auto" w:fill="auto"/>
            <w:noWrap w:val="0"/>
            <w:vAlign w:val="center"/>
          </w:tcPr>
          <w:p w14:paraId="7CE0FCE6">
            <w:pPr>
              <w:spacing w:before="31" w:beforeLines="10" w:line="264" w:lineRule="auto"/>
              <w:jc w:val="center"/>
              <w:rPr>
                <w:color w:val="auto"/>
                <w:szCs w:val="21"/>
              </w:rPr>
            </w:pPr>
          </w:p>
        </w:tc>
        <w:tc>
          <w:tcPr>
            <w:tcW w:w="1038" w:type="pct"/>
            <w:vMerge w:val="continue"/>
            <w:tcBorders>
              <w:tl2br w:val="nil"/>
              <w:tr2bl w:val="nil"/>
            </w:tcBorders>
            <w:shd w:val="clear" w:color="auto" w:fill="auto"/>
            <w:noWrap w:val="0"/>
            <w:vAlign w:val="center"/>
          </w:tcPr>
          <w:p w14:paraId="51CFCA1E">
            <w:pPr>
              <w:spacing w:before="31" w:beforeLines="10" w:line="264" w:lineRule="auto"/>
              <w:jc w:val="center"/>
              <w:rPr>
                <w:b/>
                <w:color w:val="auto"/>
                <w:szCs w:val="21"/>
              </w:rPr>
            </w:pPr>
          </w:p>
        </w:tc>
      </w:tr>
      <w:tr w14:paraId="029C1A7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25319D21">
            <w:pPr>
              <w:spacing w:before="31" w:beforeLines="10" w:line="264" w:lineRule="auto"/>
              <w:jc w:val="center"/>
              <w:rPr>
                <w:color w:val="auto"/>
                <w:szCs w:val="21"/>
              </w:rPr>
            </w:pPr>
            <w:r>
              <w:rPr>
                <w:color w:val="auto"/>
                <w:szCs w:val="21"/>
              </w:rPr>
              <w:t>铬及其化合物</w:t>
            </w:r>
          </w:p>
        </w:tc>
        <w:tc>
          <w:tcPr>
            <w:tcW w:w="920" w:type="pct"/>
            <w:tcBorders>
              <w:tl2br w:val="nil"/>
              <w:tr2bl w:val="nil"/>
            </w:tcBorders>
            <w:shd w:val="clear" w:color="auto" w:fill="auto"/>
            <w:noWrap w:val="0"/>
            <w:vAlign w:val="center"/>
          </w:tcPr>
          <w:p w14:paraId="7073839E">
            <w:pPr>
              <w:spacing w:before="31" w:beforeLines="10" w:line="264" w:lineRule="auto"/>
              <w:jc w:val="center"/>
              <w:rPr>
                <w:color w:val="auto"/>
                <w:szCs w:val="21"/>
              </w:rPr>
            </w:pPr>
            <w:r>
              <w:rPr>
                <w:rFonts w:hint="eastAsia"/>
                <w:color w:val="auto"/>
                <w:szCs w:val="21"/>
              </w:rPr>
              <w:t>1</w:t>
            </w:r>
          </w:p>
        </w:tc>
        <w:tc>
          <w:tcPr>
            <w:tcW w:w="1005" w:type="pct"/>
            <w:tcBorders>
              <w:tl2br w:val="nil"/>
              <w:tr2bl w:val="nil"/>
            </w:tcBorders>
            <w:shd w:val="clear" w:color="auto" w:fill="auto"/>
            <w:noWrap w:val="0"/>
            <w:vAlign w:val="center"/>
          </w:tcPr>
          <w:p w14:paraId="39EB7B5E">
            <w:pPr>
              <w:spacing w:before="31" w:beforeLines="10" w:line="264" w:lineRule="auto"/>
              <w:jc w:val="center"/>
              <w:rPr>
                <w:rFonts w:hint="eastAsia"/>
                <w:color w:val="auto"/>
                <w:szCs w:val="21"/>
              </w:rPr>
            </w:pPr>
            <w:r>
              <w:rPr>
                <w:rFonts w:hint="eastAsia"/>
                <w:color w:val="auto"/>
                <w:szCs w:val="21"/>
                <w:lang w:val="en-US" w:eastAsia="zh-CN"/>
              </w:rPr>
              <w:t>/</w:t>
            </w:r>
          </w:p>
        </w:tc>
        <w:tc>
          <w:tcPr>
            <w:tcW w:w="1213" w:type="pct"/>
            <w:vMerge w:val="continue"/>
            <w:tcBorders>
              <w:bottom w:val="single" w:color="auto" w:sz="4" w:space="0"/>
              <w:tl2br w:val="nil"/>
              <w:tr2bl w:val="nil"/>
            </w:tcBorders>
            <w:shd w:val="clear" w:color="auto" w:fill="auto"/>
            <w:noWrap w:val="0"/>
            <w:vAlign w:val="center"/>
          </w:tcPr>
          <w:p w14:paraId="587A8863">
            <w:pPr>
              <w:spacing w:before="31" w:beforeLines="10" w:line="264" w:lineRule="auto"/>
              <w:jc w:val="center"/>
              <w:rPr>
                <w:color w:val="auto"/>
                <w:szCs w:val="21"/>
              </w:rPr>
            </w:pPr>
          </w:p>
        </w:tc>
        <w:tc>
          <w:tcPr>
            <w:tcW w:w="1038" w:type="pct"/>
            <w:vMerge w:val="continue"/>
            <w:tcBorders>
              <w:bottom w:val="single" w:color="auto" w:sz="4" w:space="0"/>
              <w:tl2br w:val="nil"/>
              <w:tr2bl w:val="nil"/>
            </w:tcBorders>
            <w:shd w:val="clear" w:color="auto" w:fill="auto"/>
            <w:noWrap w:val="0"/>
            <w:vAlign w:val="center"/>
          </w:tcPr>
          <w:p w14:paraId="0D2D3EB6">
            <w:pPr>
              <w:spacing w:before="31" w:beforeLines="10" w:line="264" w:lineRule="auto"/>
              <w:jc w:val="center"/>
              <w:rPr>
                <w:b/>
                <w:color w:val="auto"/>
                <w:szCs w:val="21"/>
              </w:rPr>
            </w:pPr>
          </w:p>
        </w:tc>
      </w:tr>
      <w:tr w14:paraId="3684F31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53AB681B">
            <w:pPr>
              <w:spacing w:before="31" w:beforeLines="10" w:line="264" w:lineRule="auto"/>
              <w:jc w:val="center"/>
              <w:rPr>
                <w:rFonts w:hint="eastAsia" w:eastAsia="宋体"/>
                <w:color w:val="auto"/>
                <w:szCs w:val="21"/>
                <w:lang w:val="en-US" w:eastAsia="zh-CN"/>
              </w:rPr>
            </w:pPr>
            <w:r>
              <w:rPr>
                <w:rFonts w:hint="eastAsia"/>
                <w:color w:val="auto"/>
                <w:szCs w:val="21"/>
                <w:lang w:val="en-US" w:eastAsia="zh-CN"/>
              </w:rPr>
              <w:t>氨</w:t>
            </w:r>
          </w:p>
        </w:tc>
        <w:tc>
          <w:tcPr>
            <w:tcW w:w="920" w:type="pct"/>
            <w:tcBorders>
              <w:tl2br w:val="nil"/>
              <w:tr2bl w:val="nil"/>
            </w:tcBorders>
            <w:shd w:val="clear" w:color="auto" w:fill="auto"/>
            <w:noWrap w:val="0"/>
            <w:vAlign w:val="center"/>
          </w:tcPr>
          <w:p w14:paraId="3D68365E">
            <w:pPr>
              <w:spacing w:before="31" w:beforeLines="10" w:line="264" w:lineRule="auto"/>
              <w:jc w:val="center"/>
              <w:rPr>
                <w:rFonts w:hint="eastAsia"/>
                <w:color w:val="auto"/>
                <w:szCs w:val="21"/>
              </w:rPr>
            </w:pPr>
            <w:r>
              <w:rPr>
                <w:rFonts w:hint="eastAsia"/>
                <w:color w:val="auto"/>
                <w:szCs w:val="21"/>
                <w:lang w:val="en-US" w:eastAsia="zh-CN"/>
              </w:rPr>
              <w:t>/</w:t>
            </w:r>
          </w:p>
        </w:tc>
        <w:tc>
          <w:tcPr>
            <w:tcW w:w="1005" w:type="pct"/>
            <w:tcBorders>
              <w:tl2br w:val="nil"/>
              <w:tr2bl w:val="nil"/>
            </w:tcBorders>
            <w:shd w:val="clear" w:color="auto" w:fill="auto"/>
            <w:noWrap w:val="0"/>
            <w:vAlign w:val="center"/>
          </w:tcPr>
          <w:p w14:paraId="02C18A7F">
            <w:pPr>
              <w:spacing w:before="31" w:beforeLines="10" w:line="264" w:lineRule="auto"/>
              <w:jc w:val="center"/>
              <w:rPr>
                <w:rFonts w:hint="default" w:eastAsia="宋体"/>
                <w:color w:val="auto"/>
                <w:szCs w:val="21"/>
                <w:lang w:val="en-US" w:eastAsia="zh-CN"/>
              </w:rPr>
            </w:pPr>
            <w:r>
              <w:rPr>
                <w:rFonts w:hint="eastAsia"/>
                <w:color w:val="auto"/>
                <w:szCs w:val="21"/>
                <w:lang w:val="en-US" w:eastAsia="zh-CN"/>
              </w:rPr>
              <w:t>4.9</w:t>
            </w:r>
            <w:bookmarkStart w:id="385" w:name="_GoBack"/>
            <w:bookmarkEnd w:id="385"/>
          </w:p>
        </w:tc>
        <w:tc>
          <w:tcPr>
            <w:tcW w:w="1213" w:type="pct"/>
            <w:tcBorders>
              <w:top w:val="single" w:color="auto" w:sz="4" w:space="0"/>
              <w:bottom w:val="single" w:color="auto" w:sz="4" w:space="0"/>
              <w:tl2br w:val="nil"/>
              <w:tr2bl w:val="nil"/>
            </w:tcBorders>
            <w:shd w:val="clear" w:color="auto" w:fill="auto"/>
            <w:noWrap w:val="0"/>
            <w:vAlign w:val="center"/>
          </w:tcPr>
          <w:p w14:paraId="2AE42031">
            <w:pPr>
              <w:spacing w:before="31" w:beforeLines="10" w:line="264" w:lineRule="auto"/>
              <w:jc w:val="center"/>
              <w:rPr>
                <w:color w:val="auto"/>
                <w:szCs w:val="21"/>
              </w:rPr>
            </w:pPr>
            <w:r>
              <w:rPr>
                <w:rFonts w:hint="eastAsia"/>
                <w:color w:val="auto"/>
                <w:szCs w:val="21"/>
                <w:lang w:val="en-US" w:eastAsia="zh-CN"/>
              </w:rPr>
              <w:t>DA002</w:t>
            </w:r>
            <w:r>
              <w:rPr>
                <w:color w:val="auto"/>
                <w:szCs w:val="21"/>
              </w:rPr>
              <w:t>排气筒</w:t>
            </w:r>
          </w:p>
        </w:tc>
        <w:tc>
          <w:tcPr>
            <w:tcW w:w="1038" w:type="pct"/>
            <w:tcBorders>
              <w:top w:val="single" w:color="auto" w:sz="4" w:space="0"/>
              <w:bottom w:val="single" w:color="auto" w:sz="4" w:space="0"/>
              <w:tl2br w:val="nil"/>
              <w:tr2bl w:val="nil"/>
            </w:tcBorders>
            <w:shd w:val="clear" w:color="auto" w:fill="auto"/>
            <w:noWrap w:val="0"/>
            <w:vAlign w:val="center"/>
          </w:tcPr>
          <w:p w14:paraId="7999C5FC">
            <w:pPr>
              <w:spacing w:before="31" w:beforeLines="10" w:line="264" w:lineRule="auto"/>
              <w:jc w:val="center"/>
              <w:rPr>
                <w:b w:val="0"/>
                <w:bCs/>
                <w:color w:val="auto"/>
                <w:szCs w:val="21"/>
              </w:rPr>
            </w:pPr>
            <w:r>
              <w:rPr>
                <w:rFonts w:hint="eastAsia"/>
                <w:b w:val="0"/>
                <w:bCs/>
                <w:color w:val="auto"/>
                <w:szCs w:val="21"/>
              </w:rPr>
              <w:t>《恶臭污染物排放标准》(GB14554-93)</w:t>
            </w:r>
          </w:p>
        </w:tc>
      </w:tr>
      <w:tr w14:paraId="2220DA9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blHeader/>
        </w:trPr>
        <w:tc>
          <w:tcPr>
            <w:tcW w:w="822" w:type="pct"/>
            <w:tcBorders>
              <w:tl2br w:val="nil"/>
              <w:tr2bl w:val="nil"/>
            </w:tcBorders>
            <w:shd w:val="clear" w:color="auto" w:fill="auto"/>
            <w:noWrap w:val="0"/>
            <w:vAlign w:val="center"/>
          </w:tcPr>
          <w:p w14:paraId="4ACECF4D">
            <w:pPr>
              <w:spacing w:before="31" w:beforeLines="10" w:line="264" w:lineRule="auto"/>
              <w:jc w:val="center"/>
              <w:rPr>
                <w:color w:val="auto"/>
                <w:szCs w:val="21"/>
              </w:rPr>
            </w:pPr>
            <w:r>
              <w:rPr>
                <w:color w:val="auto"/>
                <w:szCs w:val="21"/>
              </w:rPr>
              <w:t>单位产品基准排气量（m</w:t>
            </w:r>
            <w:r>
              <w:rPr>
                <w:color w:val="auto"/>
                <w:szCs w:val="21"/>
                <w:vertAlign w:val="superscript"/>
              </w:rPr>
              <w:t>3</w:t>
            </w:r>
            <w:r>
              <w:rPr>
                <w:color w:val="auto"/>
                <w:szCs w:val="21"/>
              </w:rPr>
              <w:t>/吨产品）</w:t>
            </w:r>
          </w:p>
        </w:tc>
        <w:tc>
          <w:tcPr>
            <w:tcW w:w="1926" w:type="pct"/>
            <w:gridSpan w:val="2"/>
            <w:tcBorders>
              <w:tl2br w:val="nil"/>
              <w:tr2bl w:val="nil"/>
            </w:tcBorders>
            <w:shd w:val="clear" w:color="auto" w:fill="auto"/>
            <w:noWrap w:val="0"/>
            <w:vAlign w:val="center"/>
          </w:tcPr>
          <w:p w14:paraId="04AF7949">
            <w:pPr>
              <w:spacing w:before="31" w:beforeLines="10" w:line="264" w:lineRule="auto"/>
              <w:jc w:val="center"/>
              <w:rPr>
                <w:color w:val="auto"/>
                <w:szCs w:val="21"/>
              </w:rPr>
            </w:pPr>
            <w:r>
              <w:rPr>
                <w:color w:val="auto"/>
                <w:szCs w:val="21"/>
              </w:rPr>
              <w:t>炉窑</w:t>
            </w:r>
          </w:p>
          <w:p w14:paraId="03878F02">
            <w:pPr>
              <w:spacing w:before="31" w:beforeLines="10" w:line="264" w:lineRule="auto"/>
              <w:jc w:val="center"/>
              <w:rPr>
                <w:color w:val="auto"/>
                <w:szCs w:val="21"/>
              </w:rPr>
            </w:pPr>
            <w:r>
              <w:rPr>
                <w:color w:val="auto"/>
                <w:szCs w:val="21"/>
              </w:rPr>
              <w:t>10000</w:t>
            </w:r>
          </w:p>
        </w:tc>
        <w:tc>
          <w:tcPr>
            <w:tcW w:w="1213" w:type="pct"/>
            <w:tcBorders>
              <w:top w:val="single" w:color="auto" w:sz="4" w:space="0"/>
              <w:tl2br w:val="nil"/>
              <w:tr2bl w:val="nil"/>
            </w:tcBorders>
            <w:shd w:val="clear" w:color="auto" w:fill="auto"/>
            <w:noWrap w:val="0"/>
            <w:vAlign w:val="center"/>
          </w:tcPr>
          <w:p w14:paraId="6C44619E">
            <w:pPr>
              <w:spacing w:before="31" w:beforeLines="10" w:line="264" w:lineRule="auto"/>
              <w:jc w:val="center"/>
              <w:rPr>
                <w:color w:val="auto"/>
                <w:szCs w:val="21"/>
              </w:rPr>
            </w:pPr>
            <w:r>
              <w:rPr>
                <w:color w:val="auto"/>
                <w:szCs w:val="21"/>
              </w:rPr>
              <w:t>排气量计量位置与污染物排放监控位置一致</w:t>
            </w:r>
          </w:p>
        </w:tc>
        <w:tc>
          <w:tcPr>
            <w:tcW w:w="1038" w:type="pct"/>
            <w:tcBorders>
              <w:top w:val="single" w:color="auto" w:sz="4" w:space="0"/>
              <w:tl2br w:val="nil"/>
              <w:tr2bl w:val="nil"/>
            </w:tcBorders>
            <w:shd w:val="clear" w:color="auto" w:fill="auto"/>
            <w:noWrap w:val="0"/>
            <w:vAlign w:val="center"/>
          </w:tcPr>
          <w:p w14:paraId="48C30AE9">
            <w:pPr>
              <w:spacing w:before="31" w:beforeLines="10" w:line="264" w:lineRule="auto"/>
              <w:jc w:val="center"/>
              <w:rPr>
                <w:rFonts w:hint="eastAsia" w:eastAsia="宋体"/>
                <w:b/>
                <w:color w:val="auto"/>
                <w:szCs w:val="21"/>
                <w:lang w:val="en-US" w:eastAsia="zh-CN"/>
              </w:rPr>
            </w:pPr>
            <w:r>
              <w:rPr>
                <w:color w:val="auto"/>
                <w:szCs w:val="21"/>
              </w:rPr>
              <w:t>《再生铜、铝、铅、锌工业污染物排放标准》（GB 31574-2015）</w:t>
            </w:r>
          </w:p>
        </w:tc>
      </w:tr>
    </w:tbl>
    <w:p w14:paraId="1C0FF590">
      <w:pPr>
        <w:adjustRightInd w:val="0"/>
        <w:snapToGrid w:val="0"/>
        <w:spacing w:line="360" w:lineRule="auto"/>
        <w:jc w:val="center"/>
        <w:rPr>
          <w:b/>
          <w:bCs/>
          <w:color w:val="auto"/>
          <w:sz w:val="24"/>
        </w:rPr>
      </w:pPr>
      <w:r>
        <w:rPr>
          <w:b/>
          <w:bCs/>
          <w:color w:val="auto"/>
          <w:sz w:val="24"/>
        </w:rPr>
        <w:t>表1-1</w:t>
      </w:r>
      <w:r>
        <w:rPr>
          <w:rFonts w:hint="eastAsia"/>
          <w:b/>
          <w:bCs/>
          <w:color w:val="auto"/>
          <w:sz w:val="24"/>
          <w:lang w:val="en-US" w:eastAsia="zh-CN"/>
        </w:rPr>
        <w:t xml:space="preserve">3 </w:t>
      </w:r>
      <w:r>
        <w:rPr>
          <w:b/>
          <w:bCs/>
          <w:color w:val="auto"/>
          <w:sz w:val="24"/>
        </w:rPr>
        <w:t>后评价阶段</w:t>
      </w:r>
      <w:r>
        <w:rPr>
          <w:rFonts w:hint="eastAsia" w:ascii="Times New Roman" w:hAnsi="Times New Roman" w:eastAsia="宋体" w:cs="Times New Roman"/>
          <w:b/>
          <w:bCs/>
          <w:color w:val="auto"/>
          <w:sz w:val="24"/>
          <w:szCs w:val="24"/>
          <w:lang w:val="en-US" w:eastAsia="zh-CN"/>
        </w:rPr>
        <w:t>无组织废气排放执行标准</w:t>
      </w:r>
    </w:p>
    <w:tbl>
      <w:tblPr>
        <w:tblStyle w:val="3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400"/>
        <w:gridCol w:w="3424"/>
        <w:gridCol w:w="3138"/>
      </w:tblGrid>
      <w:tr w14:paraId="13BFF1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0F7EA5BA">
            <w:pPr>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污染物</w:t>
            </w:r>
          </w:p>
        </w:tc>
        <w:tc>
          <w:tcPr>
            <w:tcW w:w="1718" w:type="pct"/>
            <w:vAlign w:val="center"/>
          </w:tcPr>
          <w:p w14:paraId="42C85122">
            <w:pPr>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最高允许排放浓度（mg/m</w:t>
            </w:r>
            <w:r>
              <w:rPr>
                <w:rFonts w:hint="default" w:ascii="Times New Roman" w:hAnsi="Times New Roman" w:eastAsia="宋体" w:cs="Times New Roman"/>
                <w:b/>
                <w:bCs/>
                <w:color w:val="auto"/>
                <w:sz w:val="21"/>
                <w:szCs w:val="21"/>
                <w:vertAlign w:val="superscript"/>
              </w:rPr>
              <w:t>3</w:t>
            </w:r>
            <w:r>
              <w:rPr>
                <w:rFonts w:hint="default" w:ascii="Times New Roman" w:hAnsi="Times New Roman" w:eastAsia="宋体" w:cs="Times New Roman"/>
                <w:b/>
                <w:bCs/>
                <w:color w:val="auto"/>
                <w:sz w:val="21"/>
                <w:szCs w:val="21"/>
              </w:rPr>
              <w:t>）</w:t>
            </w:r>
          </w:p>
        </w:tc>
        <w:tc>
          <w:tcPr>
            <w:tcW w:w="1574" w:type="pct"/>
            <w:vAlign w:val="center"/>
          </w:tcPr>
          <w:p w14:paraId="5948CEC3">
            <w:pPr>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标准来源</w:t>
            </w:r>
          </w:p>
        </w:tc>
      </w:tr>
      <w:tr w14:paraId="187C47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5CB6591A">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氯化氢</w:t>
            </w:r>
          </w:p>
        </w:tc>
        <w:tc>
          <w:tcPr>
            <w:tcW w:w="1718" w:type="pct"/>
            <w:vAlign w:val="center"/>
          </w:tcPr>
          <w:p w14:paraId="2CFC55A0">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w:t>
            </w:r>
          </w:p>
        </w:tc>
        <w:tc>
          <w:tcPr>
            <w:tcW w:w="1574" w:type="pct"/>
            <w:vMerge w:val="restart"/>
            <w:vAlign w:val="center"/>
          </w:tcPr>
          <w:p w14:paraId="1A52BD5B">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《再生铜、铝、铅、锌工业污染物排放标准》（GB31574-2015）表5企业边界大气污染物限值</w:t>
            </w:r>
          </w:p>
        </w:tc>
      </w:tr>
      <w:tr w14:paraId="514DB3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4984838D">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氟化物</w:t>
            </w:r>
          </w:p>
        </w:tc>
        <w:tc>
          <w:tcPr>
            <w:tcW w:w="1718" w:type="pct"/>
            <w:vAlign w:val="center"/>
          </w:tcPr>
          <w:p w14:paraId="31C60EFB">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0.02</w:t>
            </w:r>
          </w:p>
        </w:tc>
        <w:tc>
          <w:tcPr>
            <w:tcW w:w="1574" w:type="pct"/>
            <w:vMerge w:val="continue"/>
            <w:vAlign w:val="center"/>
          </w:tcPr>
          <w:p w14:paraId="41A03D97">
            <w:pPr>
              <w:adjustRightInd w:val="0"/>
              <w:snapToGrid w:val="0"/>
              <w:jc w:val="center"/>
              <w:rPr>
                <w:rFonts w:hint="default" w:ascii="Times New Roman" w:hAnsi="Times New Roman" w:eastAsia="宋体" w:cs="Times New Roman"/>
                <w:color w:val="auto"/>
                <w:sz w:val="21"/>
                <w:szCs w:val="21"/>
              </w:rPr>
            </w:pPr>
          </w:p>
        </w:tc>
      </w:tr>
      <w:tr w14:paraId="48EC4F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45579D04">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砷及其化合物</w:t>
            </w:r>
          </w:p>
        </w:tc>
        <w:tc>
          <w:tcPr>
            <w:tcW w:w="1718" w:type="pct"/>
            <w:vAlign w:val="center"/>
          </w:tcPr>
          <w:p w14:paraId="3B3C258A">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0.01</w:t>
            </w:r>
          </w:p>
        </w:tc>
        <w:tc>
          <w:tcPr>
            <w:tcW w:w="1574" w:type="pct"/>
            <w:vMerge w:val="continue"/>
            <w:vAlign w:val="center"/>
          </w:tcPr>
          <w:p w14:paraId="68089596">
            <w:pPr>
              <w:adjustRightInd w:val="0"/>
              <w:snapToGrid w:val="0"/>
              <w:jc w:val="center"/>
              <w:rPr>
                <w:rFonts w:hint="default" w:ascii="Times New Roman" w:hAnsi="Times New Roman" w:eastAsia="宋体" w:cs="Times New Roman"/>
                <w:color w:val="auto"/>
                <w:sz w:val="21"/>
                <w:szCs w:val="21"/>
              </w:rPr>
            </w:pPr>
          </w:p>
        </w:tc>
      </w:tr>
      <w:tr w14:paraId="35B66B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131B621E">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铅及其化合物</w:t>
            </w:r>
          </w:p>
        </w:tc>
        <w:tc>
          <w:tcPr>
            <w:tcW w:w="1718" w:type="pct"/>
            <w:vAlign w:val="center"/>
          </w:tcPr>
          <w:p w14:paraId="2C9864E1">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0.006</w:t>
            </w:r>
          </w:p>
        </w:tc>
        <w:tc>
          <w:tcPr>
            <w:tcW w:w="1574" w:type="pct"/>
            <w:vMerge w:val="continue"/>
            <w:vAlign w:val="center"/>
          </w:tcPr>
          <w:p w14:paraId="682CE3F3">
            <w:pPr>
              <w:adjustRightInd w:val="0"/>
              <w:snapToGrid w:val="0"/>
              <w:jc w:val="center"/>
              <w:rPr>
                <w:rFonts w:hint="default" w:ascii="Times New Roman" w:hAnsi="Times New Roman" w:eastAsia="宋体" w:cs="Times New Roman"/>
                <w:color w:val="auto"/>
                <w:sz w:val="21"/>
                <w:szCs w:val="21"/>
              </w:rPr>
            </w:pPr>
          </w:p>
        </w:tc>
      </w:tr>
      <w:tr w14:paraId="08F7A0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1BAC8FB2">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锡及其化合物</w:t>
            </w:r>
          </w:p>
        </w:tc>
        <w:tc>
          <w:tcPr>
            <w:tcW w:w="1718" w:type="pct"/>
            <w:vAlign w:val="center"/>
          </w:tcPr>
          <w:p w14:paraId="6BDAD6A5">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0.24</w:t>
            </w:r>
          </w:p>
        </w:tc>
        <w:tc>
          <w:tcPr>
            <w:tcW w:w="1574" w:type="pct"/>
            <w:vMerge w:val="continue"/>
            <w:vAlign w:val="center"/>
          </w:tcPr>
          <w:p w14:paraId="3BFFFE66">
            <w:pPr>
              <w:adjustRightInd w:val="0"/>
              <w:snapToGrid w:val="0"/>
              <w:jc w:val="center"/>
              <w:rPr>
                <w:rFonts w:hint="default" w:ascii="Times New Roman" w:hAnsi="Times New Roman" w:eastAsia="宋体" w:cs="Times New Roman"/>
                <w:color w:val="auto"/>
                <w:sz w:val="21"/>
                <w:szCs w:val="21"/>
              </w:rPr>
            </w:pPr>
          </w:p>
        </w:tc>
      </w:tr>
      <w:tr w14:paraId="02785C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19E57C3A">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镉及其化合物</w:t>
            </w:r>
          </w:p>
        </w:tc>
        <w:tc>
          <w:tcPr>
            <w:tcW w:w="1718" w:type="pct"/>
            <w:vAlign w:val="center"/>
          </w:tcPr>
          <w:p w14:paraId="6AB2B87C">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0.0002</w:t>
            </w:r>
          </w:p>
        </w:tc>
        <w:tc>
          <w:tcPr>
            <w:tcW w:w="1574" w:type="pct"/>
            <w:vMerge w:val="continue"/>
            <w:vAlign w:val="center"/>
          </w:tcPr>
          <w:p w14:paraId="193840CD">
            <w:pPr>
              <w:adjustRightInd w:val="0"/>
              <w:snapToGrid w:val="0"/>
              <w:jc w:val="center"/>
              <w:rPr>
                <w:rFonts w:hint="default" w:ascii="Times New Roman" w:hAnsi="Times New Roman" w:eastAsia="宋体" w:cs="Times New Roman"/>
                <w:color w:val="auto"/>
                <w:sz w:val="21"/>
                <w:szCs w:val="21"/>
              </w:rPr>
            </w:pPr>
          </w:p>
        </w:tc>
      </w:tr>
      <w:tr w14:paraId="350019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6" w:type="pct"/>
            <w:vAlign w:val="center"/>
          </w:tcPr>
          <w:p w14:paraId="53D39949">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铬及其化合物</w:t>
            </w:r>
          </w:p>
        </w:tc>
        <w:tc>
          <w:tcPr>
            <w:tcW w:w="1718" w:type="pct"/>
            <w:vAlign w:val="center"/>
          </w:tcPr>
          <w:p w14:paraId="70A45299">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0.006</w:t>
            </w:r>
          </w:p>
        </w:tc>
        <w:tc>
          <w:tcPr>
            <w:tcW w:w="1574" w:type="pct"/>
            <w:vMerge w:val="continue"/>
            <w:vAlign w:val="center"/>
          </w:tcPr>
          <w:p w14:paraId="2B5E74A3">
            <w:pPr>
              <w:adjustRightInd w:val="0"/>
              <w:snapToGrid w:val="0"/>
              <w:jc w:val="center"/>
              <w:rPr>
                <w:rFonts w:hint="default" w:ascii="Times New Roman" w:hAnsi="Times New Roman" w:eastAsia="宋体" w:cs="Times New Roman"/>
                <w:color w:val="auto"/>
                <w:sz w:val="21"/>
                <w:szCs w:val="21"/>
              </w:rPr>
            </w:pPr>
          </w:p>
        </w:tc>
      </w:tr>
      <w:tr w14:paraId="2926B0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1706" w:type="pct"/>
            <w:vAlign w:val="center"/>
          </w:tcPr>
          <w:p w14:paraId="538CDF63">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颗粒物</w:t>
            </w:r>
          </w:p>
        </w:tc>
        <w:tc>
          <w:tcPr>
            <w:tcW w:w="1718" w:type="pct"/>
            <w:vAlign w:val="center"/>
          </w:tcPr>
          <w:p w14:paraId="0F6EC77D">
            <w:pPr>
              <w:adjustRightInd w:val="0"/>
              <w:snapToGrid w:val="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1574" w:type="pct"/>
            <w:vAlign w:val="center"/>
          </w:tcPr>
          <w:p w14:paraId="3A47C485">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《大气污染物综合排放标准》</w:t>
            </w:r>
          </w:p>
          <w:p w14:paraId="2ECC0470">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（GB16297-1996）</w:t>
            </w:r>
          </w:p>
        </w:tc>
      </w:tr>
    </w:tbl>
    <w:p w14:paraId="630B13FA">
      <w:pPr>
        <w:adjustRightInd w:val="0"/>
        <w:snapToGrid w:val="0"/>
        <w:spacing w:line="360" w:lineRule="auto"/>
        <w:ind w:firstLine="480" w:firstLineChars="200"/>
        <w:rPr>
          <w:color w:val="auto"/>
          <w:sz w:val="24"/>
          <w:szCs w:val="32"/>
        </w:rPr>
      </w:pPr>
      <w:bookmarkStart w:id="123" w:name="_Toc15819"/>
    </w:p>
    <w:p w14:paraId="187548BA">
      <w:pPr>
        <w:adjustRightInd w:val="0"/>
        <w:snapToGrid w:val="0"/>
        <w:spacing w:line="360" w:lineRule="auto"/>
        <w:ind w:firstLine="480" w:firstLineChars="200"/>
        <w:rPr>
          <w:color w:val="auto"/>
          <w:sz w:val="24"/>
          <w:szCs w:val="32"/>
        </w:rPr>
      </w:pPr>
      <w:r>
        <w:rPr>
          <w:color w:val="auto"/>
          <w:sz w:val="24"/>
          <w:szCs w:val="32"/>
        </w:rPr>
        <w:t>2、废水污染物排放标准</w:t>
      </w:r>
      <w:bookmarkEnd w:id="118"/>
      <w:bookmarkEnd w:id="119"/>
      <w:bookmarkEnd w:id="120"/>
      <w:bookmarkEnd w:id="123"/>
    </w:p>
    <w:p w14:paraId="525E1600">
      <w:pPr>
        <w:adjustRightInd w:val="0"/>
        <w:snapToGrid w:val="0"/>
        <w:spacing w:line="360" w:lineRule="auto"/>
        <w:ind w:firstLine="482" w:firstLineChars="200"/>
        <w:rPr>
          <w:color w:val="auto"/>
          <w:sz w:val="24"/>
          <w:szCs w:val="32"/>
        </w:rPr>
      </w:pPr>
      <w:bookmarkStart w:id="124" w:name="_Toc322"/>
      <w:r>
        <w:rPr>
          <w:b/>
          <w:bCs/>
          <w:color w:val="auto"/>
          <w:sz w:val="24"/>
          <w:szCs w:val="32"/>
        </w:rPr>
        <w:t>原环评评价阶段：</w:t>
      </w:r>
      <w:r>
        <w:rPr>
          <w:color w:val="auto"/>
          <w:sz w:val="24"/>
          <w:szCs w:val="32"/>
        </w:rPr>
        <w:t>废水排放执行濉溪县第二污水处理厂接管限值要求。</w:t>
      </w:r>
      <w:bookmarkEnd w:id="124"/>
      <w:bookmarkStart w:id="125" w:name="_Toc1368"/>
    </w:p>
    <w:p w14:paraId="00E70C85">
      <w:pPr>
        <w:adjustRightInd w:val="0"/>
        <w:snapToGrid w:val="0"/>
        <w:spacing w:line="360" w:lineRule="auto"/>
        <w:ind w:firstLine="482" w:firstLineChars="200"/>
        <w:rPr>
          <w:color w:val="auto"/>
          <w:sz w:val="24"/>
        </w:rPr>
      </w:pPr>
      <w:r>
        <w:rPr>
          <w:b/>
          <w:bCs/>
          <w:color w:val="auto"/>
          <w:sz w:val="24"/>
          <w:szCs w:val="32"/>
        </w:rPr>
        <w:t>后评价阶段：</w:t>
      </w:r>
      <w:r>
        <w:rPr>
          <w:color w:val="auto"/>
          <w:sz w:val="24"/>
          <w:szCs w:val="28"/>
        </w:rPr>
        <w:t>本项目生活污水经化粪池预处理后，接管</w:t>
      </w:r>
      <w:r>
        <w:rPr>
          <w:rFonts w:hint="eastAsia"/>
          <w:color w:val="auto"/>
          <w:sz w:val="24"/>
          <w:szCs w:val="28"/>
          <w:lang w:val="en-US" w:eastAsia="zh-CN"/>
        </w:rPr>
        <w:t>至</w:t>
      </w:r>
      <w:r>
        <w:rPr>
          <w:color w:val="auto"/>
          <w:sz w:val="24"/>
          <w:szCs w:val="28"/>
        </w:rPr>
        <w:t>开发区污水管网</w:t>
      </w:r>
      <w:r>
        <w:rPr>
          <w:color w:val="auto"/>
          <w:sz w:val="24"/>
          <w:szCs w:val="32"/>
        </w:rPr>
        <w:t>，</w:t>
      </w:r>
      <w:r>
        <w:rPr>
          <w:rFonts w:hint="eastAsia"/>
          <w:color w:val="auto"/>
          <w:sz w:val="24"/>
          <w:szCs w:val="32"/>
          <w:lang w:val="en-US" w:eastAsia="zh-CN"/>
        </w:rPr>
        <w:t>项目</w:t>
      </w:r>
      <w:r>
        <w:rPr>
          <w:color w:val="auto"/>
          <w:sz w:val="24"/>
          <w:szCs w:val="32"/>
        </w:rPr>
        <w:t>污染因子不变，废水排放仍执行濉溪县第二污水处理厂接管限值</w:t>
      </w:r>
      <w:r>
        <w:rPr>
          <w:rFonts w:hint="eastAsia"/>
          <w:color w:val="auto"/>
          <w:sz w:val="24"/>
          <w:szCs w:val="32"/>
          <w:lang w:val="en-US" w:eastAsia="zh-CN"/>
        </w:rPr>
        <w:t>要求</w:t>
      </w:r>
      <w:r>
        <w:rPr>
          <w:color w:val="auto"/>
          <w:sz w:val="24"/>
          <w:szCs w:val="32"/>
        </w:rPr>
        <w:t>。</w:t>
      </w:r>
      <w:r>
        <w:rPr>
          <w:color w:val="auto"/>
          <w:sz w:val="24"/>
        </w:rPr>
        <w:t>具体限值详见下表：</w:t>
      </w:r>
    </w:p>
    <w:bookmarkEnd w:id="125"/>
    <w:p w14:paraId="3AD7ECDC">
      <w:pPr>
        <w:adjustRightInd w:val="0"/>
        <w:snapToGrid w:val="0"/>
        <w:spacing w:line="360" w:lineRule="auto"/>
        <w:jc w:val="center"/>
        <w:rPr>
          <w:b/>
          <w:bCs/>
          <w:color w:val="auto"/>
          <w:sz w:val="24"/>
          <w:szCs w:val="32"/>
        </w:rPr>
      </w:pPr>
      <w:r>
        <w:rPr>
          <w:b/>
          <w:bCs/>
          <w:color w:val="auto"/>
          <w:sz w:val="24"/>
          <w:szCs w:val="32"/>
        </w:rPr>
        <w:t>表1-1</w:t>
      </w:r>
      <w:r>
        <w:rPr>
          <w:rFonts w:hint="eastAsia"/>
          <w:b/>
          <w:bCs/>
          <w:color w:val="auto"/>
          <w:sz w:val="24"/>
          <w:szCs w:val="32"/>
          <w:lang w:val="en-US" w:eastAsia="zh-CN"/>
        </w:rPr>
        <w:t>4</w:t>
      </w:r>
      <w:r>
        <w:rPr>
          <w:b/>
          <w:bCs/>
          <w:color w:val="auto"/>
          <w:sz w:val="24"/>
          <w:szCs w:val="32"/>
        </w:rPr>
        <w:t xml:space="preserve"> 后评价阶段废水污染物排放标准 （单位：mg/L）</w:t>
      </w:r>
    </w:p>
    <w:tbl>
      <w:tblPr>
        <w:tblStyle w:val="31"/>
        <w:tblW w:w="4993" w:type="pct"/>
        <w:jc w:val="center"/>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Layout w:type="autofit"/>
        <w:tblCellMar>
          <w:top w:w="0" w:type="dxa"/>
          <w:left w:w="108" w:type="dxa"/>
          <w:bottom w:w="0" w:type="dxa"/>
          <w:right w:w="108" w:type="dxa"/>
        </w:tblCellMar>
      </w:tblPr>
      <w:tblGrid>
        <w:gridCol w:w="3329"/>
        <w:gridCol w:w="6619"/>
      </w:tblGrid>
      <w:tr w14:paraId="0555C6F5">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454" w:hRule="atLeast"/>
          <w:jc w:val="center"/>
        </w:trPr>
        <w:tc>
          <w:tcPr>
            <w:tcW w:w="1673" w:type="pct"/>
            <w:tcBorders>
              <w:tl2br w:val="nil"/>
              <w:tr2bl w:val="nil"/>
            </w:tcBorders>
            <w:vAlign w:val="center"/>
          </w:tcPr>
          <w:p w14:paraId="08A683A7">
            <w:pPr>
              <w:jc w:val="center"/>
              <w:rPr>
                <w:b/>
                <w:bCs/>
                <w:color w:val="auto"/>
              </w:rPr>
            </w:pPr>
            <w:r>
              <w:rPr>
                <w:b/>
                <w:bCs/>
                <w:color w:val="auto"/>
              </w:rPr>
              <w:t>污染物</w:t>
            </w:r>
          </w:p>
        </w:tc>
        <w:tc>
          <w:tcPr>
            <w:tcW w:w="3326" w:type="pct"/>
            <w:tcBorders>
              <w:tl2br w:val="nil"/>
              <w:tr2bl w:val="nil"/>
            </w:tcBorders>
            <w:vAlign w:val="center"/>
          </w:tcPr>
          <w:p w14:paraId="7715406F">
            <w:pPr>
              <w:jc w:val="center"/>
              <w:rPr>
                <w:b/>
                <w:bCs/>
                <w:color w:val="auto"/>
              </w:rPr>
            </w:pPr>
            <w:r>
              <w:rPr>
                <w:b/>
                <w:bCs/>
                <w:color w:val="auto"/>
              </w:rPr>
              <w:t>濉溪县第二污水处理厂接管限值</w:t>
            </w:r>
          </w:p>
        </w:tc>
      </w:tr>
      <w:tr w14:paraId="43AC3F82">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454" w:hRule="atLeast"/>
          <w:jc w:val="center"/>
        </w:trPr>
        <w:tc>
          <w:tcPr>
            <w:tcW w:w="1673" w:type="pct"/>
            <w:tcBorders>
              <w:tl2br w:val="nil"/>
              <w:tr2bl w:val="nil"/>
            </w:tcBorders>
            <w:vAlign w:val="center"/>
          </w:tcPr>
          <w:p w14:paraId="46BE5662">
            <w:pPr>
              <w:jc w:val="center"/>
              <w:rPr>
                <w:color w:val="auto"/>
              </w:rPr>
            </w:pPr>
            <w:r>
              <w:rPr>
                <w:color w:val="auto"/>
              </w:rPr>
              <w:t>pH</w:t>
            </w:r>
          </w:p>
        </w:tc>
        <w:tc>
          <w:tcPr>
            <w:tcW w:w="3326" w:type="pct"/>
            <w:tcBorders>
              <w:tl2br w:val="nil"/>
              <w:tr2bl w:val="nil"/>
            </w:tcBorders>
            <w:vAlign w:val="center"/>
          </w:tcPr>
          <w:p w14:paraId="0F04BBFB">
            <w:pPr>
              <w:jc w:val="center"/>
              <w:rPr>
                <w:color w:val="auto"/>
              </w:rPr>
            </w:pPr>
            <w:r>
              <w:rPr>
                <w:color w:val="auto"/>
              </w:rPr>
              <w:t>6～9（无量纲）</w:t>
            </w:r>
          </w:p>
        </w:tc>
      </w:tr>
      <w:tr w14:paraId="17F8E180">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454" w:hRule="atLeast"/>
          <w:jc w:val="center"/>
        </w:trPr>
        <w:tc>
          <w:tcPr>
            <w:tcW w:w="1673" w:type="pct"/>
            <w:tcBorders>
              <w:tl2br w:val="nil"/>
              <w:tr2bl w:val="nil"/>
            </w:tcBorders>
            <w:vAlign w:val="center"/>
          </w:tcPr>
          <w:p w14:paraId="420D4853">
            <w:pPr>
              <w:jc w:val="center"/>
              <w:rPr>
                <w:color w:val="auto"/>
              </w:rPr>
            </w:pPr>
            <w:r>
              <w:rPr>
                <w:color w:val="auto"/>
              </w:rPr>
              <w:t>COD</w:t>
            </w:r>
          </w:p>
        </w:tc>
        <w:tc>
          <w:tcPr>
            <w:tcW w:w="3326" w:type="pct"/>
            <w:tcBorders>
              <w:tl2br w:val="nil"/>
              <w:tr2bl w:val="nil"/>
            </w:tcBorders>
            <w:vAlign w:val="center"/>
          </w:tcPr>
          <w:p w14:paraId="129C79C9">
            <w:pPr>
              <w:jc w:val="center"/>
              <w:rPr>
                <w:rFonts w:hint="default" w:eastAsia="宋体"/>
                <w:color w:val="auto"/>
                <w:lang w:val="en-US" w:eastAsia="zh-CN"/>
              </w:rPr>
            </w:pPr>
            <w:r>
              <w:rPr>
                <w:rFonts w:hint="eastAsia"/>
                <w:color w:val="auto"/>
                <w:lang w:val="en-US" w:eastAsia="zh-CN"/>
              </w:rPr>
              <w:t>420</w:t>
            </w:r>
          </w:p>
        </w:tc>
      </w:tr>
      <w:tr w14:paraId="04020F72">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454" w:hRule="atLeast"/>
          <w:jc w:val="center"/>
        </w:trPr>
        <w:tc>
          <w:tcPr>
            <w:tcW w:w="1673" w:type="pct"/>
            <w:tcBorders>
              <w:tl2br w:val="nil"/>
              <w:tr2bl w:val="nil"/>
            </w:tcBorders>
            <w:vAlign w:val="center"/>
          </w:tcPr>
          <w:p w14:paraId="41EF97EF">
            <w:pPr>
              <w:jc w:val="center"/>
              <w:rPr>
                <w:color w:val="auto"/>
              </w:rPr>
            </w:pPr>
            <w:r>
              <w:rPr>
                <w:color w:val="auto"/>
              </w:rPr>
              <w:t>BOD</w:t>
            </w:r>
            <w:r>
              <w:rPr>
                <w:color w:val="auto"/>
                <w:vertAlign w:val="subscript"/>
              </w:rPr>
              <w:t>5</w:t>
            </w:r>
          </w:p>
        </w:tc>
        <w:tc>
          <w:tcPr>
            <w:tcW w:w="3326" w:type="pct"/>
            <w:tcBorders>
              <w:tl2br w:val="nil"/>
              <w:tr2bl w:val="nil"/>
            </w:tcBorders>
            <w:vAlign w:val="center"/>
          </w:tcPr>
          <w:p w14:paraId="1FA47AA7">
            <w:pPr>
              <w:jc w:val="center"/>
              <w:rPr>
                <w:rFonts w:hint="default" w:eastAsia="宋体"/>
                <w:color w:val="auto"/>
                <w:lang w:val="en-US" w:eastAsia="zh-CN"/>
              </w:rPr>
            </w:pPr>
            <w:r>
              <w:rPr>
                <w:rFonts w:hint="eastAsia"/>
                <w:color w:val="auto"/>
                <w:lang w:val="en-US" w:eastAsia="zh-CN"/>
              </w:rPr>
              <w:t>150</w:t>
            </w:r>
          </w:p>
        </w:tc>
      </w:tr>
      <w:tr w14:paraId="5351293E">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454" w:hRule="atLeast"/>
          <w:jc w:val="center"/>
        </w:trPr>
        <w:tc>
          <w:tcPr>
            <w:tcW w:w="1673" w:type="pct"/>
            <w:tcBorders>
              <w:tl2br w:val="nil"/>
              <w:tr2bl w:val="nil"/>
            </w:tcBorders>
            <w:vAlign w:val="center"/>
          </w:tcPr>
          <w:p w14:paraId="5E17336C">
            <w:pPr>
              <w:jc w:val="center"/>
              <w:rPr>
                <w:color w:val="auto"/>
              </w:rPr>
            </w:pPr>
            <w:r>
              <w:rPr>
                <w:color w:val="auto"/>
              </w:rPr>
              <w:t>SS</w:t>
            </w:r>
          </w:p>
        </w:tc>
        <w:tc>
          <w:tcPr>
            <w:tcW w:w="3326" w:type="pct"/>
            <w:tcBorders>
              <w:tl2br w:val="nil"/>
              <w:tr2bl w:val="nil"/>
            </w:tcBorders>
            <w:vAlign w:val="center"/>
          </w:tcPr>
          <w:p w14:paraId="3B1C9A1D">
            <w:pPr>
              <w:jc w:val="center"/>
              <w:rPr>
                <w:rFonts w:hint="default" w:eastAsia="宋体"/>
                <w:color w:val="auto"/>
                <w:lang w:val="en-US" w:eastAsia="zh-CN"/>
              </w:rPr>
            </w:pPr>
            <w:r>
              <w:rPr>
                <w:rFonts w:hint="eastAsia"/>
                <w:color w:val="auto"/>
                <w:lang w:val="en-US" w:eastAsia="zh-CN"/>
              </w:rPr>
              <w:t>250</w:t>
            </w:r>
          </w:p>
        </w:tc>
      </w:tr>
      <w:tr w14:paraId="2CAE4ECE">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454" w:hRule="atLeast"/>
          <w:jc w:val="center"/>
        </w:trPr>
        <w:tc>
          <w:tcPr>
            <w:tcW w:w="1673" w:type="pct"/>
            <w:tcBorders>
              <w:tl2br w:val="nil"/>
              <w:tr2bl w:val="nil"/>
            </w:tcBorders>
            <w:vAlign w:val="center"/>
          </w:tcPr>
          <w:p w14:paraId="6BA82023">
            <w:pPr>
              <w:jc w:val="center"/>
              <w:rPr>
                <w:color w:val="auto"/>
              </w:rPr>
            </w:pPr>
            <w:r>
              <w:rPr>
                <w:color w:val="auto"/>
              </w:rPr>
              <w:t>NH</w:t>
            </w:r>
            <w:r>
              <w:rPr>
                <w:color w:val="auto"/>
                <w:vertAlign w:val="subscript"/>
              </w:rPr>
              <w:t>3</w:t>
            </w:r>
            <w:r>
              <w:rPr>
                <w:color w:val="auto"/>
              </w:rPr>
              <w:t>-N</w:t>
            </w:r>
          </w:p>
        </w:tc>
        <w:tc>
          <w:tcPr>
            <w:tcW w:w="3326" w:type="pct"/>
            <w:tcBorders>
              <w:tl2br w:val="nil"/>
              <w:tr2bl w:val="nil"/>
            </w:tcBorders>
            <w:vAlign w:val="center"/>
          </w:tcPr>
          <w:p w14:paraId="2BE5DF25">
            <w:pPr>
              <w:jc w:val="center"/>
              <w:rPr>
                <w:rFonts w:hint="default" w:eastAsia="宋体"/>
                <w:color w:val="auto"/>
                <w:lang w:val="en-US" w:eastAsia="zh-CN"/>
              </w:rPr>
            </w:pPr>
            <w:r>
              <w:rPr>
                <w:rFonts w:hint="eastAsia"/>
                <w:color w:val="auto"/>
                <w:lang w:val="en-US" w:eastAsia="zh-CN"/>
              </w:rPr>
              <w:t>30</w:t>
            </w:r>
          </w:p>
        </w:tc>
      </w:tr>
      <w:tr w14:paraId="690B0010">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454" w:hRule="atLeast"/>
          <w:jc w:val="center"/>
        </w:trPr>
        <w:tc>
          <w:tcPr>
            <w:tcW w:w="1673" w:type="pct"/>
            <w:tcBorders>
              <w:tl2br w:val="nil"/>
              <w:tr2bl w:val="nil"/>
            </w:tcBorders>
            <w:vAlign w:val="center"/>
          </w:tcPr>
          <w:p w14:paraId="36120FCD">
            <w:pPr>
              <w:jc w:val="center"/>
              <w:rPr>
                <w:color w:val="auto"/>
              </w:rPr>
            </w:pPr>
            <w:r>
              <w:rPr>
                <w:color w:val="auto"/>
              </w:rPr>
              <w:t>总磷</w:t>
            </w:r>
          </w:p>
        </w:tc>
        <w:tc>
          <w:tcPr>
            <w:tcW w:w="3326" w:type="pct"/>
            <w:tcBorders>
              <w:tl2br w:val="nil"/>
              <w:tr2bl w:val="nil"/>
            </w:tcBorders>
            <w:vAlign w:val="center"/>
          </w:tcPr>
          <w:p w14:paraId="6DF4F294">
            <w:pPr>
              <w:jc w:val="center"/>
              <w:rPr>
                <w:rFonts w:hint="default" w:eastAsia="宋体"/>
                <w:color w:val="auto"/>
                <w:lang w:val="en-US" w:eastAsia="zh-CN"/>
              </w:rPr>
            </w:pPr>
            <w:r>
              <w:rPr>
                <w:rFonts w:hint="eastAsia"/>
                <w:color w:val="auto"/>
                <w:lang w:val="en-US" w:eastAsia="zh-CN"/>
              </w:rPr>
              <w:t>2.5</w:t>
            </w:r>
          </w:p>
        </w:tc>
      </w:tr>
    </w:tbl>
    <w:p w14:paraId="0D472CD0">
      <w:pPr>
        <w:adjustRightInd w:val="0"/>
        <w:snapToGrid w:val="0"/>
        <w:spacing w:line="360" w:lineRule="auto"/>
        <w:ind w:firstLine="480" w:firstLineChars="200"/>
        <w:rPr>
          <w:color w:val="auto"/>
          <w:sz w:val="24"/>
          <w:szCs w:val="32"/>
        </w:rPr>
      </w:pPr>
      <w:bookmarkStart w:id="126" w:name="_Toc24111"/>
      <w:bookmarkStart w:id="127" w:name="_Toc10460"/>
      <w:bookmarkStart w:id="128" w:name="_Toc13374"/>
      <w:bookmarkStart w:id="129" w:name="_Toc4053"/>
    </w:p>
    <w:p w14:paraId="660E6005">
      <w:pPr>
        <w:adjustRightInd w:val="0"/>
        <w:snapToGrid w:val="0"/>
        <w:spacing w:line="360" w:lineRule="auto"/>
        <w:ind w:firstLine="480" w:firstLineChars="200"/>
        <w:rPr>
          <w:color w:val="auto"/>
          <w:sz w:val="24"/>
          <w:szCs w:val="32"/>
        </w:rPr>
      </w:pPr>
      <w:r>
        <w:rPr>
          <w:color w:val="auto"/>
          <w:sz w:val="24"/>
          <w:szCs w:val="32"/>
        </w:rPr>
        <w:t>3、厂界噪声排放标准</w:t>
      </w:r>
      <w:bookmarkEnd w:id="126"/>
      <w:bookmarkEnd w:id="127"/>
      <w:bookmarkEnd w:id="128"/>
      <w:bookmarkEnd w:id="129"/>
    </w:p>
    <w:p w14:paraId="50868378">
      <w:pPr>
        <w:adjustRightInd w:val="0"/>
        <w:snapToGrid w:val="0"/>
        <w:spacing w:line="360" w:lineRule="auto"/>
        <w:ind w:firstLine="482" w:firstLineChars="200"/>
        <w:rPr>
          <w:color w:val="auto"/>
          <w:sz w:val="24"/>
          <w:szCs w:val="32"/>
        </w:rPr>
      </w:pPr>
      <w:r>
        <w:rPr>
          <w:b/>
          <w:bCs/>
          <w:color w:val="auto"/>
          <w:sz w:val="24"/>
        </w:rPr>
        <w:t>原环评评价阶段：</w:t>
      </w:r>
      <w:r>
        <w:rPr>
          <w:color w:val="auto"/>
          <w:sz w:val="24"/>
          <w:szCs w:val="32"/>
        </w:rPr>
        <w:t>营运期厂界噪声排放执行《工业企业厂界环境噪声排放标准》（GB12348-2008）中</w:t>
      </w:r>
      <w:r>
        <w:rPr>
          <w:rFonts w:hint="eastAsia"/>
          <w:color w:val="auto"/>
          <w:sz w:val="24"/>
          <w:szCs w:val="32"/>
          <w:lang w:val="en-US" w:eastAsia="zh-CN"/>
        </w:rPr>
        <w:t>2</w:t>
      </w:r>
      <w:r>
        <w:rPr>
          <w:color w:val="auto"/>
          <w:sz w:val="24"/>
          <w:szCs w:val="32"/>
        </w:rPr>
        <w:t>类标准要求。</w:t>
      </w:r>
    </w:p>
    <w:p w14:paraId="536E82C3">
      <w:pPr>
        <w:adjustRightInd w:val="0"/>
        <w:snapToGrid w:val="0"/>
        <w:spacing w:line="360" w:lineRule="auto"/>
        <w:ind w:firstLine="482" w:firstLineChars="200"/>
        <w:rPr>
          <w:color w:val="auto"/>
          <w:sz w:val="24"/>
          <w:szCs w:val="32"/>
        </w:rPr>
      </w:pPr>
      <w:r>
        <w:rPr>
          <w:b/>
          <w:bCs/>
          <w:color w:val="auto"/>
          <w:sz w:val="24"/>
        </w:rPr>
        <w:t>后评价阶段：</w:t>
      </w:r>
      <w:r>
        <w:rPr>
          <w:color w:val="auto"/>
          <w:sz w:val="24"/>
          <w:szCs w:val="32"/>
        </w:rPr>
        <w:t>营运期厂界噪声排放仍执行《工业企业厂界环境噪声排放标准》（GB12348-2008）中3类标准要求。具体限值详见下表：</w:t>
      </w:r>
    </w:p>
    <w:p w14:paraId="519B4975">
      <w:pPr>
        <w:adjustRightInd w:val="0"/>
        <w:snapToGrid w:val="0"/>
        <w:spacing w:line="360" w:lineRule="auto"/>
        <w:jc w:val="center"/>
        <w:rPr>
          <w:b/>
          <w:bCs/>
          <w:color w:val="auto"/>
          <w:sz w:val="24"/>
          <w:szCs w:val="32"/>
        </w:rPr>
      </w:pPr>
      <w:r>
        <w:rPr>
          <w:b/>
          <w:bCs/>
          <w:color w:val="auto"/>
          <w:sz w:val="24"/>
          <w:szCs w:val="32"/>
        </w:rPr>
        <w:t>表1-1</w:t>
      </w:r>
      <w:r>
        <w:rPr>
          <w:rFonts w:hint="eastAsia"/>
          <w:b/>
          <w:bCs/>
          <w:color w:val="auto"/>
          <w:sz w:val="24"/>
          <w:szCs w:val="32"/>
          <w:lang w:val="en-US" w:eastAsia="zh-CN"/>
        </w:rPr>
        <w:t>5</w:t>
      </w:r>
      <w:r>
        <w:rPr>
          <w:b/>
          <w:bCs/>
          <w:color w:val="auto"/>
          <w:sz w:val="24"/>
          <w:szCs w:val="32"/>
        </w:rPr>
        <w:t xml:space="preserve"> </w:t>
      </w:r>
      <w:r>
        <w:rPr>
          <w:b/>
          <w:bCs/>
          <w:color w:val="auto"/>
          <w:sz w:val="24"/>
        </w:rPr>
        <w:t>后评价阶段</w:t>
      </w:r>
      <w:r>
        <w:rPr>
          <w:b/>
          <w:bCs/>
          <w:color w:val="auto"/>
          <w:sz w:val="24"/>
          <w:szCs w:val="32"/>
        </w:rPr>
        <w:t>厂界噪声排放标准</w:t>
      </w:r>
    </w:p>
    <w:tbl>
      <w:tblPr>
        <w:tblStyle w:val="31"/>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831"/>
        <w:gridCol w:w="3060"/>
        <w:gridCol w:w="3063"/>
      </w:tblGrid>
      <w:tr w14:paraId="0FB632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924" w:type="pct"/>
            <w:vMerge w:val="restart"/>
            <w:tcBorders>
              <w:tl2br w:val="nil"/>
              <w:tr2bl w:val="nil"/>
            </w:tcBorders>
            <w:vAlign w:val="center"/>
          </w:tcPr>
          <w:p w14:paraId="4D5DE671">
            <w:pPr>
              <w:jc w:val="center"/>
              <w:rPr>
                <w:b/>
                <w:bCs/>
                <w:color w:val="auto"/>
              </w:rPr>
            </w:pPr>
            <w:r>
              <w:rPr>
                <w:b/>
                <w:bCs/>
                <w:color w:val="auto"/>
              </w:rPr>
              <w:t>执行标准类别</w:t>
            </w:r>
          </w:p>
        </w:tc>
        <w:tc>
          <w:tcPr>
            <w:tcW w:w="3075" w:type="pct"/>
            <w:gridSpan w:val="2"/>
            <w:tcBorders>
              <w:tl2br w:val="nil"/>
              <w:tr2bl w:val="nil"/>
            </w:tcBorders>
            <w:vAlign w:val="center"/>
          </w:tcPr>
          <w:p w14:paraId="265E6E32">
            <w:pPr>
              <w:jc w:val="center"/>
              <w:rPr>
                <w:b/>
                <w:bCs/>
                <w:color w:val="auto"/>
              </w:rPr>
            </w:pPr>
            <w:r>
              <w:rPr>
                <w:b/>
                <w:bCs/>
                <w:color w:val="auto"/>
              </w:rPr>
              <w:t>标准值[dB(A)]</w:t>
            </w:r>
          </w:p>
        </w:tc>
      </w:tr>
      <w:tr w14:paraId="11B51D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924" w:type="pct"/>
            <w:vMerge w:val="continue"/>
            <w:tcBorders>
              <w:tl2br w:val="nil"/>
              <w:tr2bl w:val="nil"/>
            </w:tcBorders>
            <w:vAlign w:val="center"/>
          </w:tcPr>
          <w:p w14:paraId="5BB3BDE2">
            <w:pPr>
              <w:jc w:val="center"/>
              <w:rPr>
                <w:b/>
                <w:bCs/>
                <w:color w:val="auto"/>
              </w:rPr>
            </w:pPr>
          </w:p>
        </w:tc>
        <w:tc>
          <w:tcPr>
            <w:tcW w:w="1537" w:type="pct"/>
            <w:tcBorders>
              <w:tl2br w:val="nil"/>
              <w:tr2bl w:val="nil"/>
            </w:tcBorders>
            <w:vAlign w:val="center"/>
          </w:tcPr>
          <w:p w14:paraId="19887D1E">
            <w:pPr>
              <w:jc w:val="center"/>
              <w:rPr>
                <w:b/>
                <w:bCs/>
                <w:color w:val="auto"/>
              </w:rPr>
            </w:pPr>
            <w:r>
              <w:rPr>
                <w:b/>
                <w:bCs/>
                <w:color w:val="auto"/>
              </w:rPr>
              <w:t>昼间</w:t>
            </w:r>
          </w:p>
        </w:tc>
        <w:tc>
          <w:tcPr>
            <w:tcW w:w="1537" w:type="pct"/>
            <w:tcBorders>
              <w:tl2br w:val="nil"/>
              <w:tr2bl w:val="nil"/>
            </w:tcBorders>
            <w:vAlign w:val="center"/>
          </w:tcPr>
          <w:p w14:paraId="24349E99">
            <w:pPr>
              <w:jc w:val="center"/>
              <w:rPr>
                <w:b/>
                <w:bCs/>
                <w:color w:val="auto"/>
              </w:rPr>
            </w:pPr>
            <w:r>
              <w:rPr>
                <w:b/>
                <w:bCs/>
                <w:color w:val="auto"/>
              </w:rPr>
              <w:t>夜间</w:t>
            </w:r>
          </w:p>
        </w:tc>
      </w:tr>
      <w:tr w14:paraId="289A69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24" w:type="pct"/>
            <w:tcBorders>
              <w:tl2br w:val="nil"/>
              <w:tr2bl w:val="nil"/>
            </w:tcBorders>
            <w:vAlign w:val="center"/>
          </w:tcPr>
          <w:p w14:paraId="6C4C348C">
            <w:pPr>
              <w:jc w:val="center"/>
              <w:rPr>
                <w:color w:val="auto"/>
              </w:rPr>
            </w:pPr>
            <w:r>
              <w:rPr>
                <w:color w:val="auto"/>
              </w:rPr>
              <w:t>GB12348-2008中3类标准</w:t>
            </w:r>
          </w:p>
        </w:tc>
        <w:tc>
          <w:tcPr>
            <w:tcW w:w="1537" w:type="pct"/>
            <w:tcBorders>
              <w:tl2br w:val="nil"/>
              <w:tr2bl w:val="nil"/>
            </w:tcBorders>
            <w:vAlign w:val="center"/>
          </w:tcPr>
          <w:p w14:paraId="4288BD32">
            <w:pPr>
              <w:jc w:val="center"/>
              <w:rPr>
                <w:color w:val="auto"/>
              </w:rPr>
            </w:pPr>
            <w:r>
              <w:rPr>
                <w:color w:val="auto"/>
              </w:rPr>
              <w:t>65</w:t>
            </w:r>
          </w:p>
        </w:tc>
        <w:tc>
          <w:tcPr>
            <w:tcW w:w="1537" w:type="pct"/>
            <w:tcBorders>
              <w:tl2br w:val="nil"/>
              <w:tr2bl w:val="nil"/>
            </w:tcBorders>
            <w:vAlign w:val="center"/>
          </w:tcPr>
          <w:p w14:paraId="12CEF505">
            <w:pPr>
              <w:jc w:val="center"/>
              <w:rPr>
                <w:color w:val="auto"/>
              </w:rPr>
            </w:pPr>
            <w:r>
              <w:rPr>
                <w:color w:val="auto"/>
              </w:rPr>
              <w:t>55</w:t>
            </w:r>
          </w:p>
        </w:tc>
      </w:tr>
    </w:tbl>
    <w:p w14:paraId="46D6E527">
      <w:pPr>
        <w:adjustRightInd w:val="0"/>
        <w:snapToGrid w:val="0"/>
        <w:spacing w:before="152" w:beforeLines="50" w:line="360" w:lineRule="auto"/>
        <w:ind w:firstLine="480" w:firstLineChars="200"/>
        <w:rPr>
          <w:color w:val="auto"/>
          <w:sz w:val="24"/>
          <w:szCs w:val="32"/>
        </w:rPr>
      </w:pPr>
      <w:bookmarkStart w:id="130" w:name="_Toc25998"/>
      <w:bookmarkStart w:id="131" w:name="_Toc32215"/>
      <w:bookmarkStart w:id="132" w:name="_Toc12482"/>
      <w:bookmarkStart w:id="133" w:name="_Toc24116"/>
      <w:r>
        <w:rPr>
          <w:color w:val="auto"/>
          <w:sz w:val="24"/>
          <w:szCs w:val="32"/>
        </w:rPr>
        <w:t>4、固体废弃物执行标准</w:t>
      </w:r>
      <w:bookmarkEnd w:id="130"/>
      <w:bookmarkEnd w:id="131"/>
      <w:bookmarkEnd w:id="132"/>
      <w:bookmarkEnd w:id="133"/>
    </w:p>
    <w:p w14:paraId="3D21E82D">
      <w:pPr>
        <w:adjustRightInd w:val="0"/>
        <w:snapToGrid w:val="0"/>
        <w:spacing w:line="360" w:lineRule="auto"/>
        <w:ind w:firstLine="482" w:firstLineChars="200"/>
        <w:rPr>
          <w:color w:val="auto"/>
          <w:sz w:val="24"/>
          <w:szCs w:val="32"/>
        </w:rPr>
      </w:pPr>
      <w:bookmarkStart w:id="134" w:name="_Toc426556293"/>
      <w:r>
        <w:rPr>
          <w:b/>
          <w:bCs/>
          <w:color w:val="auto"/>
          <w:sz w:val="24"/>
        </w:rPr>
        <w:t>原环评评价阶段：</w:t>
      </w:r>
      <w:r>
        <w:rPr>
          <w:color w:val="auto"/>
          <w:sz w:val="24"/>
        </w:rPr>
        <w:t>一般固体废弃物处置执行GB18599—2001《一般工业固体废物贮存、处置场污染控制标准》；危险废物执行《危险废物贮存污染控制标准》（GB18597-2001）及2013年修改单有关规定。</w:t>
      </w:r>
    </w:p>
    <w:p w14:paraId="58D4EC79">
      <w:pPr>
        <w:adjustRightInd w:val="0"/>
        <w:snapToGrid w:val="0"/>
        <w:spacing w:line="360" w:lineRule="auto"/>
        <w:ind w:firstLine="482" w:firstLineChars="200"/>
        <w:rPr>
          <w:color w:val="auto"/>
          <w:sz w:val="24"/>
          <w:szCs w:val="32"/>
        </w:rPr>
      </w:pPr>
      <w:r>
        <w:rPr>
          <w:b/>
          <w:bCs/>
          <w:color w:val="auto"/>
          <w:sz w:val="24"/>
        </w:rPr>
        <w:t>后评价阶段：</w:t>
      </w:r>
      <w:r>
        <w:rPr>
          <w:color w:val="auto"/>
          <w:sz w:val="24"/>
          <w:szCs w:val="32"/>
        </w:rPr>
        <w:t>由于标准更新，现阶段一般工业固体废物贮存参照执行《中华人民共和国固体废物污染环境防治法》，其贮存场所应满足《一般工业固体废物贮存和填埋污染控制标准》（GB18599-2020）中防渗漏、防雨淋、防扬尘等环境保护要求；危险废物贮存执行《危险废物贮存污染控制标准》（GB18597-2023）中有关规定。</w:t>
      </w:r>
    </w:p>
    <w:p w14:paraId="7B80CDE6">
      <w:pPr>
        <w:adjustRightInd w:val="0"/>
        <w:snapToGrid w:val="0"/>
        <w:spacing w:line="360" w:lineRule="auto"/>
        <w:outlineLvl w:val="1"/>
        <w:rPr>
          <w:b/>
          <w:bCs/>
          <w:color w:val="auto"/>
          <w:sz w:val="28"/>
          <w:szCs w:val="36"/>
        </w:rPr>
      </w:pPr>
      <w:bookmarkStart w:id="135" w:name="_Toc22910"/>
      <w:r>
        <w:rPr>
          <w:b/>
          <w:bCs/>
          <w:color w:val="auto"/>
          <w:sz w:val="28"/>
          <w:szCs w:val="36"/>
        </w:rPr>
        <w:t>1.7政策与规划相符性</w:t>
      </w:r>
      <w:bookmarkEnd w:id="135"/>
    </w:p>
    <w:p w14:paraId="1767D8A2">
      <w:pPr>
        <w:adjustRightInd w:val="0"/>
        <w:snapToGrid w:val="0"/>
        <w:spacing w:line="360" w:lineRule="auto"/>
        <w:ind w:firstLine="480" w:firstLineChars="200"/>
        <w:rPr>
          <w:color w:val="auto"/>
          <w:sz w:val="24"/>
          <w:szCs w:val="32"/>
        </w:rPr>
      </w:pPr>
      <w:bookmarkStart w:id="136" w:name="_Toc26694"/>
      <w:bookmarkStart w:id="137" w:name="_Toc16993"/>
      <w:bookmarkStart w:id="138" w:name="_Toc30881"/>
      <w:bookmarkStart w:id="139" w:name="_Toc4741"/>
      <w:r>
        <w:rPr>
          <w:color w:val="auto"/>
          <w:sz w:val="24"/>
          <w:szCs w:val="32"/>
        </w:rPr>
        <w:t>1、产业政策符合性分析</w:t>
      </w:r>
      <w:bookmarkEnd w:id="136"/>
      <w:bookmarkEnd w:id="137"/>
      <w:bookmarkEnd w:id="138"/>
      <w:bookmarkEnd w:id="139"/>
    </w:p>
    <w:p w14:paraId="4EEEF208">
      <w:pPr>
        <w:adjustRightInd w:val="0"/>
        <w:snapToGrid w:val="0"/>
        <w:spacing w:line="360" w:lineRule="auto"/>
        <w:ind w:firstLine="480" w:firstLineChars="200"/>
        <w:rPr>
          <w:rFonts w:hint="default"/>
          <w:color w:val="auto"/>
          <w:sz w:val="24"/>
          <w:szCs w:val="32"/>
        </w:rPr>
      </w:pPr>
      <w:bookmarkStart w:id="140" w:name="OLE_LINK489"/>
      <w:r>
        <w:rPr>
          <w:rFonts w:hint="default"/>
          <w:color w:val="auto"/>
          <w:sz w:val="24"/>
          <w:szCs w:val="32"/>
          <w:lang w:val="en-US" w:eastAsia="zh-CN"/>
        </w:rPr>
        <w:t>对照《产业结构调整指导目录（2024年本）》，本项目</w:t>
      </w:r>
      <w:r>
        <w:rPr>
          <w:rFonts w:hint="default"/>
          <w:color w:val="auto"/>
          <w:sz w:val="24"/>
          <w:szCs w:val="32"/>
        </w:rPr>
        <w:t>项目属于第一类</w:t>
      </w:r>
      <w:r>
        <w:rPr>
          <w:rFonts w:hint="eastAsia"/>
          <w:color w:val="auto"/>
          <w:sz w:val="24"/>
          <w:szCs w:val="32"/>
        </w:rPr>
        <w:t>“鼓励类”</w:t>
      </w:r>
      <w:r>
        <w:rPr>
          <w:rFonts w:hint="default"/>
          <w:color w:val="auto"/>
          <w:sz w:val="24"/>
          <w:szCs w:val="32"/>
        </w:rPr>
        <w:t>第九项</w:t>
      </w:r>
      <w:r>
        <w:rPr>
          <w:rFonts w:hint="eastAsia"/>
          <w:color w:val="auto"/>
          <w:sz w:val="24"/>
          <w:szCs w:val="32"/>
        </w:rPr>
        <w:t>“有色金属”</w:t>
      </w:r>
      <w:r>
        <w:rPr>
          <w:rFonts w:hint="default"/>
          <w:color w:val="auto"/>
          <w:sz w:val="24"/>
          <w:szCs w:val="32"/>
        </w:rPr>
        <w:t>第3条</w:t>
      </w:r>
      <w:r>
        <w:rPr>
          <w:rFonts w:hint="eastAsia"/>
          <w:color w:val="auto"/>
          <w:sz w:val="24"/>
          <w:szCs w:val="32"/>
        </w:rPr>
        <w:t>“综合利用</w:t>
      </w:r>
      <w:r>
        <w:rPr>
          <w:rFonts w:hint="eastAsia"/>
          <w:color w:val="auto"/>
          <w:sz w:val="24"/>
          <w:szCs w:val="32"/>
          <w:lang w:eastAsia="zh-CN"/>
        </w:rPr>
        <w:t>：</w:t>
      </w:r>
      <w:r>
        <w:rPr>
          <w:rFonts w:hint="eastAsia"/>
          <w:color w:val="auto"/>
          <w:sz w:val="24"/>
          <w:szCs w:val="32"/>
        </w:rPr>
        <w:t>高效、节能、低污染、规模化再生资源回收与综合利用。</w:t>
      </w:r>
      <w:r>
        <w:rPr>
          <w:rFonts w:hint="default"/>
          <w:color w:val="auto"/>
          <w:sz w:val="24"/>
          <w:szCs w:val="32"/>
        </w:rPr>
        <w:t>①废杂有色金属回收利用</w:t>
      </w:r>
      <w:r>
        <w:rPr>
          <w:rFonts w:hint="default"/>
          <w:color w:val="auto"/>
          <w:sz w:val="24"/>
          <w:szCs w:val="32"/>
          <w:lang w:eastAsia="zh-CN"/>
        </w:rPr>
        <w:t>；</w:t>
      </w:r>
      <w:r>
        <w:rPr>
          <w:rFonts w:hint="default"/>
          <w:color w:val="auto"/>
          <w:sz w:val="24"/>
          <w:szCs w:val="32"/>
        </w:rPr>
        <w:t>②有价元素的综合利用</w:t>
      </w:r>
      <w:r>
        <w:rPr>
          <w:rFonts w:hint="default"/>
          <w:color w:val="auto"/>
          <w:sz w:val="24"/>
          <w:szCs w:val="32"/>
          <w:lang w:eastAsia="zh-CN"/>
        </w:rPr>
        <w:t>；</w:t>
      </w:r>
      <w:r>
        <w:rPr>
          <w:rFonts w:hint="default"/>
          <w:color w:val="auto"/>
          <w:sz w:val="24"/>
          <w:szCs w:val="32"/>
        </w:rPr>
        <w:t>③赤泥及其它冶炼废渣综合利用</w:t>
      </w:r>
      <w:r>
        <w:rPr>
          <w:rFonts w:hint="default"/>
          <w:color w:val="auto"/>
          <w:sz w:val="24"/>
          <w:szCs w:val="32"/>
          <w:lang w:eastAsia="zh-CN"/>
        </w:rPr>
        <w:t>；</w:t>
      </w:r>
      <w:r>
        <w:rPr>
          <w:rFonts w:hint="default"/>
          <w:color w:val="auto"/>
          <w:sz w:val="24"/>
          <w:szCs w:val="32"/>
        </w:rPr>
        <w:t>④高铝粉煤灰提取氧化铝等</w:t>
      </w:r>
      <w:r>
        <w:rPr>
          <w:rFonts w:hint="default"/>
          <w:color w:val="auto"/>
          <w:sz w:val="24"/>
          <w:szCs w:val="32"/>
          <w:lang w:eastAsia="zh-CN"/>
        </w:rPr>
        <w:t>；</w:t>
      </w:r>
      <w:r>
        <w:rPr>
          <w:rFonts w:hint="default"/>
          <w:color w:val="auto"/>
          <w:sz w:val="24"/>
          <w:szCs w:val="32"/>
        </w:rPr>
        <w:t>钨冶炼废渣的减量化、资源化和无害化利用处置</w:t>
      </w:r>
      <w:r>
        <w:rPr>
          <w:rFonts w:hint="default"/>
          <w:color w:val="auto"/>
          <w:sz w:val="24"/>
          <w:szCs w:val="32"/>
          <w:lang w:eastAsia="zh-CN"/>
        </w:rPr>
        <w:t>；</w:t>
      </w:r>
      <w:r>
        <w:rPr>
          <w:rFonts w:hint="default"/>
          <w:color w:val="auto"/>
          <w:sz w:val="24"/>
          <w:szCs w:val="32"/>
        </w:rPr>
        <w:t>⑥锌湿法冶炼浸出渣资源化利用和无害化处置</w:t>
      </w:r>
      <w:r>
        <w:rPr>
          <w:rFonts w:hint="default"/>
          <w:color w:val="auto"/>
          <w:sz w:val="24"/>
          <w:szCs w:val="32"/>
          <w:lang w:eastAsia="zh-CN"/>
        </w:rPr>
        <w:t>；</w:t>
      </w:r>
      <w:r>
        <w:rPr>
          <w:rFonts w:hint="default"/>
          <w:color w:val="auto"/>
          <w:sz w:val="24"/>
          <w:szCs w:val="32"/>
        </w:rPr>
        <w:t>⑦铝灰渣资源化利用</w:t>
      </w:r>
      <w:r>
        <w:rPr>
          <w:rFonts w:hint="default"/>
          <w:color w:val="auto"/>
          <w:sz w:val="24"/>
          <w:szCs w:val="32"/>
          <w:lang w:eastAsia="zh-CN"/>
        </w:rPr>
        <w:t>；</w:t>
      </w:r>
      <w:r>
        <w:rPr>
          <w:rFonts w:hint="eastAsia"/>
          <w:color w:val="auto"/>
          <w:sz w:val="24"/>
          <w:szCs w:val="32"/>
          <w:lang w:val="en-US" w:eastAsia="zh-CN"/>
        </w:rPr>
        <w:t>⑧</w:t>
      </w:r>
      <w:r>
        <w:rPr>
          <w:rFonts w:hint="default"/>
          <w:color w:val="auto"/>
          <w:sz w:val="24"/>
          <w:szCs w:val="32"/>
        </w:rPr>
        <w:t>再生有色金属新材料</w:t>
      </w:r>
      <w:r>
        <w:rPr>
          <w:rFonts w:hint="eastAsia"/>
          <w:color w:val="auto"/>
          <w:sz w:val="24"/>
          <w:szCs w:val="32"/>
        </w:rPr>
        <w:t>”</w:t>
      </w:r>
      <w:r>
        <w:rPr>
          <w:rFonts w:hint="default"/>
          <w:color w:val="auto"/>
          <w:sz w:val="24"/>
          <w:szCs w:val="32"/>
        </w:rPr>
        <w:t>中废杂有色金属回收利用类项目</w:t>
      </w:r>
      <w:r>
        <w:rPr>
          <w:rFonts w:hint="eastAsia"/>
          <w:color w:val="auto"/>
          <w:sz w:val="24"/>
          <w:szCs w:val="32"/>
          <w:lang w:val="en-US" w:eastAsia="zh-CN"/>
        </w:rPr>
        <w:t>，</w:t>
      </w:r>
      <w:r>
        <w:rPr>
          <w:rFonts w:hint="default"/>
          <w:color w:val="auto"/>
          <w:sz w:val="24"/>
          <w:szCs w:val="32"/>
        </w:rPr>
        <w:t>因此</w:t>
      </w:r>
      <w:r>
        <w:rPr>
          <w:rFonts w:hint="eastAsia"/>
          <w:color w:val="auto"/>
          <w:sz w:val="24"/>
          <w:szCs w:val="32"/>
          <w:lang w:eastAsia="zh-CN"/>
        </w:rPr>
        <w:t>，</w:t>
      </w:r>
      <w:r>
        <w:rPr>
          <w:rFonts w:hint="default"/>
          <w:color w:val="auto"/>
          <w:sz w:val="24"/>
          <w:szCs w:val="32"/>
        </w:rPr>
        <w:t>本项目属于国家鼓励类建设的项目。</w:t>
      </w:r>
      <w:bookmarkEnd w:id="140"/>
    </w:p>
    <w:p w14:paraId="295F7E46">
      <w:pPr>
        <w:adjustRightInd w:val="0"/>
        <w:snapToGrid w:val="0"/>
        <w:spacing w:line="360" w:lineRule="auto"/>
        <w:ind w:firstLine="480" w:firstLineChars="200"/>
        <w:rPr>
          <w:color w:val="auto"/>
          <w:sz w:val="24"/>
          <w:szCs w:val="32"/>
        </w:rPr>
      </w:pPr>
      <w:r>
        <w:rPr>
          <w:color w:val="auto"/>
          <w:sz w:val="24"/>
          <w:szCs w:val="32"/>
        </w:rPr>
        <w:t>2、与《</w:t>
      </w:r>
      <w:bookmarkStart w:id="141" w:name="OLE_LINK492"/>
      <w:r>
        <w:rPr>
          <w:color w:val="auto"/>
          <w:sz w:val="24"/>
          <w:szCs w:val="32"/>
        </w:rPr>
        <w:t>《安徽濉溪经济开发区扩展区总体规划（2020-2035）》</w:t>
      </w:r>
      <w:bookmarkEnd w:id="141"/>
      <w:r>
        <w:rPr>
          <w:color w:val="auto"/>
          <w:sz w:val="24"/>
          <w:szCs w:val="32"/>
        </w:rPr>
        <w:t>环境影响报告书》及审查意见符合性分析</w:t>
      </w:r>
    </w:p>
    <w:p w14:paraId="5A9B15AD">
      <w:pPr>
        <w:adjustRightInd w:val="0"/>
        <w:snapToGrid w:val="0"/>
        <w:spacing w:line="360" w:lineRule="auto"/>
        <w:ind w:firstLine="480" w:firstLineChars="200"/>
        <w:rPr>
          <w:rFonts w:hint="eastAsia"/>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1</w:t>
      </w:r>
      <w:r>
        <w:rPr>
          <w:rFonts w:hint="eastAsia"/>
          <w:color w:val="auto"/>
          <w:sz w:val="24"/>
          <w:szCs w:val="32"/>
          <w:lang w:eastAsia="zh-CN"/>
        </w:rPr>
        <w:t>）</w:t>
      </w:r>
      <w:r>
        <w:rPr>
          <w:rFonts w:hint="eastAsia"/>
          <w:color w:val="auto"/>
          <w:sz w:val="24"/>
          <w:szCs w:val="32"/>
          <w:lang w:val="en-US" w:eastAsia="zh-CN"/>
        </w:rPr>
        <w:t>规划范围</w:t>
      </w:r>
    </w:p>
    <w:p w14:paraId="4F4CBD5D">
      <w:pPr>
        <w:adjustRightInd w:val="0"/>
        <w:snapToGrid w:val="0"/>
        <w:spacing w:line="360" w:lineRule="auto"/>
        <w:ind w:firstLine="480" w:firstLineChars="200"/>
        <w:rPr>
          <w:rFonts w:hint="default"/>
          <w:color w:val="auto"/>
          <w:sz w:val="24"/>
          <w:szCs w:val="32"/>
        </w:rPr>
      </w:pPr>
      <w:r>
        <w:rPr>
          <w:rFonts w:hint="default"/>
          <w:color w:val="auto"/>
          <w:sz w:val="24"/>
          <w:szCs w:val="32"/>
        </w:rPr>
        <w:t>2020年11月安徽濉溪经济开发区管理委员会委托安徽城乡规划设计研究院编制了《安徽濉溪经济开发区扩展区总体规划（2020-2035）》，2020年1月5日，濉溪县人民政府出具了《关于设立濉溪经济开发区扩展区的批复》（濉政秘[2021]3号），同意设立濉溪经济开发区扩展区，并明确扩展区为县级工业集中区，由濉溪经济开发区代管。规范范围分为两个区块，总面积为634.21公顷。</w:t>
      </w:r>
    </w:p>
    <w:p w14:paraId="37D8EA85">
      <w:pPr>
        <w:adjustRightInd w:val="0"/>
        <w:snapToGrid w:val="0"/>
        <w:spacing w:line="360" w:lineRule="auto"/>
        <w:ind w:firstLine="480" w:firstLineChars="200"/>
        <w:rPr>
          <w:rFonts w:hint="default"/>
          <w:color w:val="auto"/>
          <w:sz w:val="24"/>
          <w:szCs w:val="32"/>
        </w:rPr>
      </w:pPr>
      <w:r>
        <w:rPr>
          <w:rFonts w:hint="default"/>
          <w:color w:val="auto"/>
          <w:sz w:val="24"/>
          <w:szCs w:val="32"/>
        </w:rPr>
        <w:t>区块一位于刘桥镇工业园区，北至淮北鼎丰混凝土有限公司，南至沟，东至道路，西至塌陷坑塘、濉溪县刘桥镇陈集村村民委员会，面积6.30公顷；</w:t>
      </w:r>
    </w:p>
    <w:p w14:paraId="7169911B">
      <w:pPr>
        <w:adjustRightInd w:val="0"/>
        <w:snapToGrid w:val="0"/>
        <w:spacing w:line="360" w:lineRule="auto"/>
        <w:ind w:firstLine="480" w:firstLineChars="200"/>
        <w:rPr>
          <w:rFonts w:hint="default"/>
          <w:color w:val="auto"/>
          <w:sz w:val="24"/>
          <w:szCs w:val="32"/>
        </w:rPr>
      </w:pPr>
      <w:r>
        <w:rPr>
          <w:rFonts w:hint="default"/>
          <w:color w:val="auto"/>
          <w:sz w:val="24"/>
          <w:szCs w:val="32"/>
        </w:rPr>
        <w:t>区块二北至刘桥路，南抵巴河北路，东至杨槐路，西至育才路，面积627.91公顷。规划主导产业为新能源新材料、高端装备制造业、节能环保产业，具体位置及要求如下：</w:t>
      </w:r>
    </w:p>
    <w:p w14:paraId="60A98E9C">
      <w:pPr>
        <w:adjustRightInd w:val="0"/>
        <w:snapToGrid w:val="0"/>
        <w:spacing w:line="360" w:lineRule="auto"/>
        <w:ind w:firstLine="480" w:firstLineChars="200"/>
        <w:rPr>
          <w:rFonts w:hint="eastAsia"/>
          <w:color w:val="auto"/>
          <w:sz w:val="24"/>
          <w:szCs w:val="32"/>
          <w:lang w:eastAsia="zh-CN"/>
        </w:rPr>
      </w:pPr>
      <w:r>
        <w:rPr>
          <w:rFonts w:hint="eastAsia"/>
          <w:color w:val="auto"/>
          <w:sz w:val="24"/>
          <w:szCs w:val="32"/>
          <w:lang w:val="en-US" w:eastAsia="zh-CN"/>
        </w:rPr>
        <w:t>①</w:t>
      </w:r>
      <w:r>
        <w:rPr>
          <w:rFonts w:hint="eastAsia"/>
          <w:color w:val="auto"/>
          <w:sz w:val="24"/>
          <w:szCs w:val="32"/>
          <w:lang w:eastAsia="zh-CN"/>
        </w:rPr>
        <w:t>新材料专业园：位于园区北部，东至杨楼沟，南到玉兰大道，西近育才路，北至范围线，用地面积205.16公顷。该专业园内部侧重安排新型材料技术研发与材料运用。</w:t>
      </w:r>
    </w:p>
    <w:p w14:paraId="6B0A05D4">
      <w:pPr>
        <w:adjustRightInd w:val="0"/>
        <w:snapToGrid w:val="0"/>
        <w:spacing w:line="360" w:lineRule="auto"/>
        <w:ind w:firstLine="480" w:firstLineChars="200"/>
        <w:rPr>
          <w:rFonts w:hint="eastAsia"/>
          <w:color w:val="auto"/>
          <w:sz w:val="24"/>
          <w:szCs w:val="32"/>
          <w:lang w:eastAsia="zh-CN"/>
        </w:rPr>
      </w:pPr>
      <w:r>
        <w:rPr>
          <w:rFonts w:hint="eastAsia"/>
          <w:color w:val="auto"/>
          <w:sz w:val="24"/>
          <w:szCs w:val="32"/>
          <w:lang w:val="en-US" w:eastAsia="zh-CN"/>
        </w:rPr>
        <w:t>②</w:t>
      </w:r>
      <w:r>
        <w:rPr>
          <w:rFonts w:hint="eastAsia"/>
          <w:color w:val="auto"/>
          <w:sz w:val="24"/>
          <w:szCs w:val="32"/>
          <w:lang w:eastAsia="zh-CN"/>
        </w:rPr>
        <w:t>高端装备制造专业园：区块一位于园区西南部，东到利民沟，南至白杨西路路，西近育才路，北临玉兰大道，用地面积96.11公顷。区块二位于刘桥工业园区内，面积6.30公顷。总面积102.41公顷。该专业园内部进一步细分为智能设备、高端装备、环保设备制造区。</w:t>
      </w:r>
    </w:p>
    <w:p w14:paraId="1EB61A52">
      <w:pPr>
        <w:adjustRightInd w:val="0"/>
        <w:snapToGrid w:val="0"/>
        <w:spacing w:line="360" w:lineRule="auto"/>
        <w:ind w:firstLine="480" w:firstLineChars="200"/>
        <w:rPr>
          <w:rFonts w:hint="eastAsia"/>
          <w:color w:val="auto"/>
          <w:sz w:val="24"/>
          <w:szCs w:val="32"/>
          <w:lang w:eastAsia="zh-CN"/>
        </w:rPr>
      </w:pPr>
      <w:r>
        <w:rPr>
          <w:rFonts w:hint="eastAsia"/>
          <w:color w:val="auto"/>
          <w:sz w:val="24"/>
          <w:szCs w:val="32"/>
          <w:lang w:val="en-US" w:eastAsia="zh-CN"/>
        </w:rPr>
        <w:t>③</w:t>
      </w:r>
      <w:r>
        <w:rPr>
          <w:rFonts w:hint="eastAsia"/>
          <w:color w:val="auto"/>
          <w:sz w:val="24"/>
          <w:szCs w:val="32"/>
          <w:lang w:eastAsia="zh-CN"/>
        </w:rPr>
        <w:t>新能源专业园：位于东南部，东至范围线，南至巴河北路，西临利民沟，北至玉兰大道，用地面积291.02公顷。该专业园主要发展新能源产品和相关配套技术开发研究。</w:t>
      </w:r>
    </w:p>
    <w:p w14:paraId="54C06B11">
      <w:pPr>
        <w:adjustRightInd w:val="0"/>
        <w:snapToGrid w:val="0"/>
        <w:spacing w:line="360" w:lineRule="auto"/>
        <w:ind w:firstLine="480" w:firstLineChars="200"/>
        <w:rPr>
          <w:rFonts w:hint="eastAsia"/>
          <w:color w:val="auto"/>
          <w:sz w:val="24"/>
          <w:szCs w:val="32"/>
          <w:lang w:val="en-US" w:eastAsia="zh-CN"/>
        </w:rPr>
      </w:pPr>
      <w:r>
        <w:rPr>
          <w:rFonts w:hint="eastAsia"/>
          <w:color w:val="auto"/>
          <w:sz w:val="24"/>
          <w:szCs w:val="32"/>
          <w:lang w:val="en-US" w:eastAsia="zh-CN"/>
        </w:rPr>
        <w:t>本项目位于</w:t>
      </w:r>
      <w:r>
        <w:rPr>
          <w:rFonts w:hint="eastAsia"/>
          <w:color w:val="auto"/>
          <w:sz w:val="24"/>
          <w:szCs w:val="32"/>
          <w:lang w:eastAsia="zh-CN"/>
        </w:rPr>
        <w:t>新能源专业园</w:t>
      </w:r>
      <w:r>
        <w:rPr>
          <w:rFonts w:hint="eastAsia"/>
          <w:color w:val="auto"/>
          <w:sz w:val="24"/>
          <w:szCs w:val="32"/>
          <w:lang w:val="en-US" w:eastAsia="zh-CN"/>
        </w:rPr>
        <w:t>，项目用地性质为工业用地，主要为</w:t>
      </w:r>
      <w:r>
        <w:rPr>
          <w:rFonts w:hint="eastAsia"/>
          <w:color w:val="auto"/>
          <w:sz w:val="24"/>
          <w:szCs w:val="32"/>
          <w:lang w:eastAsia="zh-CN"/>
        </w:rPr>
        <w:t>保级利用超宽幅铝合金板</w:t>
      </w:r>
      <w:r>
        <w:rPr>
          <w:rFonts w:hint="eastAsia"/>
          <w:color w:val="auto"/>
          <w:sz w:val="24"/>
          <w:szCs w:val="32"/>
          <w:lang w:val="en-US" w:eastAsia="zh-CN"/>
        </w:rPr>
        <w:t>产品的生产，属于《国民经济行业分类》（2017）中</w:t>
      </w:r>
      <w:r>
        <w:rPr>
          <w:rFonts w:hint="eastAsia"/>
          <w:color w:val="auto"/>
          <w:sz w:val="24"/>
          <w:szCs w:val="32"/>
          <w:lang w:eastAsia="zh-CN"/>
        </w:rPr>
        <w:t>有色金属冶炼（C3216）</w:t>
      </w:r>
      <w:r>
        <w:rPr>
          <w:rFonts w:hint="eastAsia"/>
          <w:color w:val="auto"/>
          <w:sz w:val="24"/>
          <w:szCs w:val="32"/>
          <w:lang w:val="en-US" w:eastAsia="zh-CN"/>
        </w:rPr>
        <w:t>，</w:t>
      </w:r>
      <w:r>
        <w:rPr>
          <w:rFonts w:hint="eastAsia"/>
          <w:color w:val="auto"/>
          <w:sz w:val="24"/>
          <w:szCs w:val="32"/>
          <w:lang w:eastAsia="zh-CN"/>
        </w:rPr>
        <w:t>符合</w:t>
      </w:r>
      <w:bookmarkStart w:id="142" w:name="OLE_LINK22"/>
      <w:r>
        <w:rPr>
          <w:rFonts w:hint="eastAsia"/>
          <w:color w:val="auto"/>
          <w:sz w:val="24"/>
          <w:szCs w:val="32"/>
          <w:lang w:eastAsia="zh-CN"/>
        </w:rPr>
        <w:t>《安徽濉溪经济开发区扩展区总体规划（2020-2035）》</w:t>
      </w:r>
      <w:bookmarkEnd w:id="142"/>
      <w:r>
        <w:rPr>
          <w:rFonts w:hint="eastAsia"/>
          <w:color w:val="auto"/>
          <w:sz w:val="24"/>
          <w:szCs w:val="32"/>
          <w:lang w:eastAsia="zh-CN"/>
        </w:rPr>
        <w:t>的要求</w:t>
      </w:r>
      <w:r>
        <w:rPr>
          <w:rFonts w:hint="eastAsia"/>
          <w:color w:val="auto"/>
          <w:sz w:val="24"/>
          <w:szCs w:val="32"/>
          <w:lang w:val="en-US" w:eastAsia="zh-CN"/>
        </w:rPr>
        <w:t>，安徽省濉溪经济开发区扩展区总体发展规划图分别见图1-1。因此，本项目符合安徽省濉溪经济开发区扩展区规划。</w:t>
      </w:r>
    </w:p>
    <w:p w14:paraId="17E5FEB8">
      <w:pPr>
        <w:adjustRightInd w:val="0"/>
        <w:snapToGrid w:val="0"/>
        <w:spacing w:line="360" w:lineRule="auto"/>
        <w:ind w:firstLine="480" w:firstLineChars="200"/>
        <w:rPr>
          <w:rFonts w:hint="eastAsia"/>
          <w:color w:val="auto"/>
          <w:sz w:val="24"/>
          <w:szCs w:val="32"/>
          <w:lang w:val="en-US" w:eastAsia="zh-CN"/>
        </w:rPr>
      </w:pPr>
      <w:r>
        <w:rPr>
          <w:rFonts w:hint="eastAsia"/>
          <w:color w:val="auto"/>
          <w:sz w:val="24"/>
          <w:szCs w:val="32"/>
          <w:lang w:val="en-US" w:eastAsia="zh-CN"/>
        </w:rPr>
        <w:t>项目与</w:t>
      </w:r>
      <w:bookmarkStart w:id="143" w:name="OLE_LINK16"/>
      <w:r>
        <w:rPr>
          <w:rFonts w:hint="eastAsia"/>
          <w:color w:val="auto"/>
          <w:sz w:val="24"/>
          <w:szCs w:val="32"/>
          <w:lang w:eastAsia="zh-CN"/>
        </w:rPr>
        <w:t>《</w:t>
      </w:r>
      <w:bookmarkStart w:id="144" w:name="OLE_LINK63"/>
      <w:r>
        <w:rPr>
          <w:rFonts w:hint="eastAsia"/>
          <w:color w:val="auto"/>
          <w:sz w:val="24"/>
          <w:szCs w:val="32"/>
          <w:lang w:eastAsia="zh-CN"/>
        </w:rPr>
        <w:t>安徽濉溪经济开发区</w:t>
      </w:r>
      <w:bookmarkEnd w:id="144"/>
      <w:r>
        <w:rPr>
          <w:rFonts w:hint="eastAsia"/>
          <w:color w:val="auto"/>
          <w:sz w:val="24"/>
          <w:szCs w:val="32"/>
          <w:lang w:eastAsia="zh-CN"/>
        </w:rPr>
        <w:t>扩展区总体规划（2020-2035）</w:t>
      </w:r>
      <w:r>
        <w:rPr>
          <w:rFonts w:hint="eastAsia"/>
          <w:color w:val="auto"/>
          <w:sz w:val="24"/>
          <w:szCs w:val="32"/>
          <w:lang w:val="en-US" w:eastAsia="zh-CN"/>
        </w:rPr>
        <w:t>环境影响报告书</w:t>
      </w:r>
      <w:r>
        <w:rPr>
          <w:rFonts w:hint="eastAsia"/>
          <w:color w:val="auto"/>
          <w:sz w:val="24"/>
          <w:szCs w:val="32"/>
          <w:lang w:eastAsia="zh-CN"/>
        </w:rPr>
        <w:t>》</w:t>
      </w:r>
      <w:bookmarkEnd w:id="143"/>
      <w:r>
        <w:rPr>
          <w:rFonts w:hint="eastAsia"/>
          <w:color w:val="auto"/>
          <w:sz w:val="24"/>
          <w:szCs w:val="32"/>
          <w:lang w:val="en-US" w:eastAsia="zh-CN"/>
        </w:rPr>
        <w:t>及审查意见符合性见下表1-16。</w:t>
      </w:r>
    </w:p>
    <w:p w14:paraId="130B108D">
      <w:pPr>
        <w:adjustRightInd w:val="0"/>
        <w:snapToGrid w:val="0"/>
        <w:spacing w:line="360" w:lineRule="auto"/>
        <w:ind w:firstLine="480" w:firstLineChars="200"/>
        <w:rPr>
          <w:rFonts w:hint="default"/>
          <w:color w:val="auto"/>
          <w:sz w:val="24"/>
          <w:szCs w:val="32"/>
          <w:lang w:val="en-US" w:eastAsia="zh-CN"/>
        </w:rPr>
      </w:pPr>
      <w:r>
        <w:rPr>
          <w:rFonts w:hint="eastAsia"/>
          <w:color w:val="auto"/>
          <w:sz w:val="24"/>
          <w:szCs w:val="32"/>
          <w:lang w:val="en-US" w:eastAsia="zh-CN"/>
        </w:rPr>
        <w:t>项目</w:t>
      </w:r>
      <w:r>
        <w:rPr>
          <w:rFonts w:hint="eastAsia"/>
          <w:color w:val="auto"/>
          <w:sz w:val="24"/>
          <w:szCs w:val="32"/>
          <w:lang w:eastAsia="zh-CN"/>
        </w:rPr>
        <w:t>与安徽濉溪经济开发区生态环境准入清单符合性分析</w:t>
      </w:r>
      <w:r>
        <w:rPr>
          <w:rFonts w:hint="eastAsia"/>
          <w:color w:val="auto"/>
          <w:sz w:val="24"/>
          <w:szCs w:val="32"/>
          <w:lang w:val="en-US" w:eastAsia="zh-CN"/>
        </w:rPr>
        <w:t>见表1-17。</w:t>
      </w:r>
    </w:p>
    <w:p w14:paraId="0CA03B8F">
      <w:pPr>
        <w:adjustRightInd w:val="0"/>
        <w:snapToGrid w:val="0"/>
        <w:spacing w:line="360" w:lineRule="auto"/>
        <w:ind w:firstLine="480" w:firstLineChars="200"/>
        <w:rPr>
          <w:rFonts w:hint="eastAsia"/>
          <w:color w:val="auto"/>
          <w:sz w:val="24"/>
          <w:szCs w:val="32"/>
          <w:lang w:eastAsia="zh-CN"/>
        </w:rPr>
        <w:sectPr>
          <w:footerReference r:id="rId10" w:type="default"/>
          <w:pgSz w:w="11906" w:h="16838"/>
          <w:pgMar w:top="1440" w:right="1080" w:bottom="1440" w:left="1080" w:header="1020" w:footer="992" w:gutter="0"/>
          <w:pgBorders>
            <w:top w:val="none" w:sz="0" w:space="0"/>
            <w:left w:val="none" w:sz="0" w:space="0"/>
            <w:bottom w:val="none" w:sz="0" w:space="0"/>
            <w:right w:val="none" w:sz="0" w:space="0"/>
          </w:pgBorders>
          <w:pgNumType w:fmt="numberInDash" w:start="1"/>
          <w:cols w:space="0" w:num="1"/>
          <w:docGrid w:type="lines" w:linePitch="304" w:charSpace="0"/>
        </w:sectPr>
      </w:pPr>
    </w:p>
    <w:p w14:paraId="483738F7">
      <w:pPr>
        <w:adjustRightInd w:val="0"/>
        <w:snapToGrid w:val="0"/>
        <w:spacing w:line="360" w:lineRule="auto"/>
        <w:jc w:val="center"/>
        <w:rPr>
          <w:rFonts w:hint="default" w:eastAsia="宋体"/>
          <w:color w:val="auto"/>
          <w:sz w:val="24"/>
          <w:szCs w:val="32"/>
          <w:lang w:val="en-US" w:eastAsia="zh-CN"/>
        </w:rPr>
        <w:sectPr>
          <w:pgSz w:w="16838" w:h="11906" w:orient="landscape"/>
          <w:pgMar w:top="1080" w:right="1440" w:bottom="1080" w:left="1440" w:header="1020" w:footer="992" w:gutter="0"/>
          <w:pgBorders>
            <w:top w:val="none" w:sz="0" w:space="0"/>
            <w:left w:val="none" w:sz="0" w:space="0"/>
            <w:bottom w:val="none" w:sz="0" w:space="0"/>
            <w:right w:val="none" w:sz="0" w:space="0"/>
          </w:pgBorders>
          <w:pgNumType w:fmt="numberInDash"/>
          <w:cols w:space="0" w:num="1"/>
          <w:docGrid w:type="lines" w:linePitch="304" w:charSpace="0"/>
        </w:sectPr>
      </w:pPr>
      <w:r>
        <w:rPr>
          <w:color w:val="auto"/>
          <w:sz w:val="24"/>
        </w:rPr>
        <mc:AlternateContent>
          <mc:Choice Requires="wps">
            <w:drawing>
              <wp:anchor distT="0" distB="0" distL="114300" distR="114300" simplePos="0" relativeHeight="251673600" behindDoc="0" locked="0" layoutInCell="1" allowOverlap="1">
                <wp:simplePos x="0" y="0"/>
                <wp:positionH relativeFrom="column">
                  <wp:posOffset>4472940</wp:posOffset>
                </wp:positionH>
                <wp:positionV relativeFrom="paragraph">
                  <wp:posOffset>2181860</wp:posOffset>
                </wp:positionV>
                <wp:extent cx="1177290" cy="339725"/>
                <wp:effectExtent l="4445" t="5080" r="170815" b="741045"/>
                <wp:wrapNone/>
                <wp:docPr id="70" name="圆角矩形标注 70"/>
                <wp:cNvGraphicFramePr/>
                <a:graphic xmlns:a="http://schemas.openxmlformats.org/drawingml/2006/main">
                  <a:graphicData uri="http://schemas.microsoft.com/office/word/2010/wordprocessingShape">
                    <wps:wsp>
                      <wps:cNvSpPr/>
                      <wps:spPr>
                        <a:xfrm>
                          <a:off x="0" y="0"/>
                          <a:ext cx="1177290" cy="339725"/>
                        </a:xfrm>
                        <a:prstGeom prst="wedgeRoundRectCallout">
                          <a:avLst>
                            <a:gd name="adj1" fmla="val 63002"/>
                            <a:gd name="adj2" fmla="val 263457"/>
                            <a:gd name="adj3" fmla="val 16667"/>
                          </a:avLst>
                        </a:prstGeom>
                        <a:ln w="3175"/>
                      </wps:spPr>
                      <wps:style>
                        <a:lnRef idx="2">
                          <a:schemeClr val="accent1">
                            <a:lumMod val="75000"/>
                          </a:schemeClr>
                        </a:lnRef>
                        <a:fillRef idx="1">
                          <a:schemeClr val="accent1"/>
                        </a:fillRef>
                        <a:effectRef idx="0">
                          <a:srgbClr val="FFFFFF"/>
                        </a:effectRef>
                        <a:fontRef idx="minor">
                          <a:schemeClr val="lt1"/>
                        </a:fontRef>
                      </wps:style>
                      <wps:txbx>
                        <w:txbxContent>
                          <w:p w14:paraId="670B85CA">
                            <w:pPr>
                              <w:bidi w:val="0"/>
                              <w:spacing w:line="240" w:lineRule="auto"/>
                              <w:jc w:val="center"/>
                              <w:rPr>
                                <w:rFonts w:hint="default"/>
                                <w:b/>
                                <w:bCs/>
                                <w:sz w:val="22"/>
                                <w:szCs w:val="28"/>
                                <w:lang w:val="en-US" w:eastAsia="zh-CN"/>
                              </w:rPr>
                            </w:pPr>
                            <w:r>
                              <w:rPr>
                                <w:rFonts w:hint="default"/>
                                <w:b/>
                                <w:bCs/>
                                <w:sz w:val="22"/>
                                <w:szCs w:val="28"/>
                                <w:lang w:val="en-US" w:eastAsia="zh-CN"/>
                              </w:rPr>
                              <w:t>项目所在地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52.2pt;margin-top:171.8pt;height:26.75pt;width:92.7pt;z-index:251673600;v-text-anchor:middle;mso-width-relative:page;mso-height-relative:page;" fillcolor="#4F81BD [3204]" filled="t" stroked="t" coordsize="21600,21600" o:gfxdata="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ALUQI63AAAAAsBAAAPAAAAAAAAAAEAIAAAACIAAABkcnMvZG93bnJldi54bWxQSwECFAAU&#10;AAAACACHTuJA3gHgMdECAACeBQAADgAAAAAAAAABACAAAAArAQAAZHJzL2Uyb0RvYy54bWxQSwUG&#10;AAAAAAYABgBZAQAAbgYAAAAA&#10;" adj="24408,67707,14400">
                <v:fill on="t" focussize="0,0"/>
                <v:stroke weight="0.25pt" color="#376092 [2404]" joinstyle="round"/>
                <v:imagedata o:title=""/>
                <o:lock v:ext="edit" aspectratio="f"/>
                <v:textbox>
                  <w:txbxContent>
                    <w:p w14:paraId="670B85CA">
                      <w:pPr>
                        <w:bidi w:val="0"/>
                        <w:spacing w:line="240" w:lineRule="auto"/>
                        <w:jc w:val="center"/>
                        <w:rPr>
                          <w:rFonts w:hint="default"/>
                          <w:b/>
                          <w:bCs/>
                          <w:sz w:val="22"/>
                          <w:szCs w:val="28"/>
                          <w:lang w:val="en-US" w:eastAsia="zh-CN"/>
                        </w:rPr>
                      </w:pPr>
                      <w:r>
                        <w:rPr>
                          <w:rFonts w:hint="default"/>
                          <w:b/>
                          <w:bCs/>
                          <w:sz w:val="22"/>
                          <w:szCs w:val="28"/>
                          <w:lang w:val="en-US" w:eastAsia="zh-CN"/>
                        </w:rPr>
                        <w:t>项目所在地</w:t>
                      </w:r>
                    </w:p>
                  </w:txbxContent>
                </v:textbox>
              </v:shape>
            </w:pict>
          </mc:Fallback>
        </mc:AlternateContent>
      </w:r>
      <w:r>
        <w:rPr>
          <w:color w:val="auto"/>
          <w:sz w:val="24"/>
        </w:rPr>
        <mc:AlternateContent>
          <mc:Choice Requires="wps">
            <w:drawing>
              <wp:anchor distT="0" distB="0" distL="114300" distR="114300" simplePos="0" relativeHeight="251672576" behindDoc="0" locked="0" layoutInCell="1" allowOverlap="1">
                <wp:simplePos x="0" y="0"/>
                <wp:positionH relativeFrom="column">
                  <wp:posOffset>5783580</wp:posOffset>
                </wp:positionH>
                <wp:positionV relativeFrom="paragraph">
                  <wp:posOffset>3148330</wp:posOffset>
                </wp:positionV>
                <wp:extent cx="143510" cy="219710"/>
                <wp:effectExtent l="17145" t="26035" r="29845" b="40005"/>
                <wp:wrapNone/>
                <wp:docPr id="71" name="矩形 71"/>
                <wp:cNvGraphicFramePr/>
                <a:graphic xmlns:a="http://schemas.openxmlformats.org/drawingml/2006/main">
                  <a:graphicData uri="http://schemas.microsoft.com/office/word/2010/wordprocessingShape">
                    <wps:wsp>
                      <wps:cNvSpPr/>
                      <wps:spPr>
                        <a:xfrm rot="6120000">
                          <a:off x="0" y="0"/>
                          <a:ext cx="143510" cy="219710"/>
                        </a:xfrm>
                        <a:prstGeom prst="rect">
                          <a:avLst/>
                        </a:prstGeom>
                        <a:solidFill>
                          <a:srgbClr val="FFFF00">
                            <a:alpha val="36000"/>
                          </a:srgbClr>
                        </a:solidFill>
                        <a:ln w="9525">
                          <a:solidFill>
                            <a:srgbClr val="0A36F2"/>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55.4pt;margin-top:247.9pt;height:17.3pt;width:11.3pt;rotation:6684672f;z-index:251672576;v-text-anchor:middle;mso-width-relative:page;mso-height-relative:page;" fillcolor="#FFFF00" filled="t" stroked="t" coordsize="21600,21600" o:gfxdata="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yI/53tkAAAALAQAADwAAAAAAAAABACAA&#10;AAAiAAAAZHJzL2Rvd25yZXYueG1sUEsBAhQAFAAAAAgAh07iQPf86g9+AgAADAUAAA4AAAAAAAAA&#10;AQAgAAAAKAEAAGRycy9lMm9Eb2MueG1sUEsFBgAAAAAGAAYAWQEAABgGAAAAAA==&#10;">
                <v:fill on="t" opacity="23592f" focussize="0,0"/>
                <v:stroke color="#0A36F2 [2404]" joinstyle="round"/>
                <v:imagedata o:title=""/>
                <o:lock v:ext="edit" aspectratio="f"/>
              </v:rect>
            </w:pict>
          </mc:Fallback>
        </mc:AlternateContent>
      </w:r>
      <w:r>
        <w:rPr>
          <w:rFonts w:hint="eastAsia" w:ascii="宋体" w:hAnsi="宋体" w:cs="宋体"/>
          <w:color w:val="auto"/>
        </w:rPr>
        <w:drawing>
          <wp:inline distT="0" distB="0" distL="114300" distR="114300">
            <wp:extent cx="8975090" cy="5465445"/>
            <wp:effectExtent l="0" t="0" r="16510" b="1905"/>
            <wp:docPr id="570" name="图片 7" descr="07用地布局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图片 7" descr="07用地布局图"/>
                    <pic:cNvPicPr>
                      <a:picLocks noChangeAspect="1"/>
                    </pic:cNvPicPr>
                  </pic:nvPicPr>
                  <pic:blipFill>
                    <a:blip r:embed="rId16"/>
                    <a:stretch>
                      <a:fillRect/>
                    </a:stretch>
                  </pic:blipFill>
                  <pic:spPr>
                    <a:xfrm>
                      <a:off x="0" y="0"/>
                      <a:ext cx="8975090" cy="5465445"/>
                    </a:xfrm>
                    <a:prstGeom prst="rect">
                      <a:avLst/>
                    </a:prstGeom>
                    <a:noFill/>
                    <a:ln>
                      <a:noFill/>
                    </a:ln>
                  </pic:spPr>
                </pic:pic>
              </a:graphicData>
            </a:graphic>
          </wp:inline>
        </w:drawing>
      </w:r>
      <w:r>
        <w:rPr>
          <w:rFonts w:hint="default" w:ascii="Times New Roman" w:hAnsi="Times New Roman" w:cs="Times New Roman"/>
          <w:b/>
          <w:bCs/>
          <w:color w:val="auto"/>
          <w:sz w:val="24"/>
          <w:szCs w:val="24"/>
          <w:lang w:val="en-US" w:eastAsia="zh-CN"/>
        </w:rPr>
        <w:t xml:space="preserve">图1-1 </w:t>
      </w:r>
      <w:r>
        <w:rPr>
          <w:rFonts w:hint="eastAsia" w:ascii="Times New Roman" w:hAnsi="Times New Roman" w:cs="Times New Roman"/>
          <w:b/>
          <w:bCs/>
          <w:color w:val="auto"/>
          <w:sz w:val="24"/>
          <w:szCs w:val="24"/>
          <w:lang w:val="en-US" w:eastAsia="zh-CN"/>
        </w:rPr>
        <w:t>本项目厂址与濉溪经济开发区扩展区用地布局</w:t>
      </w:r>
      <w:r>
        <w:rPr>
          <w:rFonts w:hint="eastAsia" w:cs="Times New Roman"/>
          <w:b/>
          <w:bCs/>
          <w:color w:val="auto"/>
          <w:sz w:val="24"/>
          <w:szCs w:val="24"/>
          <w:lang w:val="en-US" w:eastAsia="zh-CN"/>
        </w:rPr>
        <w:t>示意图</w:t>
      </w:r>
    </w:p>
    <w:p w14:paraId="778EF67B">
      <w:pPr>
        <w:adjustRightInd w:val="0"/>
        <w:snapToGrid w:val="0"/>
        <w:spacing w:line="360" w:lineRule="auto"/>
        <w:jc w:val="center"/>
        <w:rPr>
          <w:rFonts w:hint="default"/>
          <w:b/>
          <w:bCs/>
          <w:color w:val="auto"/>
          <w:sz w:val="24"/>
          <w:szCs w:val="32"/>
          <w:lang w:val="en-US" w:eastAsia="zh-CN"/>
        </w:rPr>
      </w:pPr>
      <w:r>
        <w:rPr>
          <w:rFonts w:hint="eastAsia"/>
          <w:b/>
          <w:bCs/>
          <w:color w:val="auto"/>
          <w:sz w:val="24"/>
          <w:szCs w:val="32"/>
          <w:lang w:val="en-US" w:eastAsia="zh-CN"/>
        </w:rPr>
        <w:t>表1-16 项目与</w:t>
      </w:r>
      <w:bookmarkStart w:id="145" w:name="OLE_LINK491"/>
      <w:r>
        <w:rPr>
          <w:rFonts w:hint="eastAsia"/>
          <w:b/>
          <w:bCs/>
          <w:color w:val="auto"/>
          <w:sz w:val="24"/>
          <w:szCs w:val="32"/>
          <w:lang w:val="en-US" w:eastAsia="zh-CN"/>
        </w:rPr>
        <w:t>安徽濉溪经济开发区</w:t>
      </w:r>
      <w:bookmarkEnd w:id="145"/>
      <w:r>
        <w:rPr>
          <w:rFonts w:hint="eastAsia"/>
          <w:b/>
          <w:bCs/>
          <w:color w:val="auto"/>
          <w:sz w:val="24"/>
          <w:szCs w:val="32"/>
          <w:lang w:val="en-US" w:eastAsia="zh-CN"/>
        </w:rPr>
        <w:t>扩展区总体规划环评及审查意见符合性一览表</w:t>
      </w:r>
    </w:p>
    <w:tbl>
      <w:tblPr>
        <w:tblStyle w:val="31"/>
        <w:tblW w:w="4997"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775"/>
        <w:gridCol w:w="4430"/>
        <w:gridCol w:w="3584"/>
        <w:gridCol w:w="1167"/>
      </w:tblGrid>
      <w:tr w14:paraId="22F970A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389" w:type="pct"/>
            <w:vAlign w:val="center"/>
          </w:tcPr>
          <w:p w14:paraId="67255D07">
            <w:pPr>
              <w:jc w:val="center"/>
              <w:rPr>
                <w:rFonts w:hint="default" w:ascii="Times New Roman" w:hAnsi="Times New Roman" w:eastAsia="宋体" w:cs="Times New Roman"/>
                <w:b/>
                <w:color w:val="auto"/>
                <w:kern w:val="0"/>
                <w:sz w:val="21"/>
                <w:szCs w:val="21"/>
                <w:lang w:bidi="en-US"/>
              </w:rPr>
            </w:pPr>
            <w:r>
              <w:rPr>
                <w:rFonts w:hint="default" w:ascii="Times New Roman" w:hAnsi="Times New Roman" w:eastAsia="宋体" w:cs="Times New Roman"/>
                <w:b/>
                <w:color w:val="auto"/>
                <w:kern w:val="0"/>
                <w:sz w:val="21"/>
                <w:szCs w:val="21"/>
                <w:lang w:bidi="en-US"/>
              </w:rPr>
              <w:t>序号</w:t>
            </w:r>
          </w:p>
        </w:tc>
        <w:tc>
          <w:tcPr>
            <w:tcW w:w="2224" w:type="pct"/>
            <w:vAlign w:val="center"/>
          </w:tcPr>
          <w:p w14:paraId="7A560EA4">
            <w:pPr>
              <w:jc w:val="center"/>
              <w:rPr>
                <w:rFonts w:hint="default" w:ascii="Times New Roman" w:hAnsi="Times New Roman" w:eastAsia="宋体" w:cs="Times New Roman"/>
                <w:b/>
                <w:color w:val="auto"/>
                <w:kern w:val="0"/>
                <w:sz w:val="21"/>
                <w:szCs w:val="21"/>
                <w:lang w:bidi="en-US"/>
              </w:rPr>
            </w:pPr>
            <w:r>
              <w:rPr>
                <w:rFonts w:hint="default" w:ascii="Times New Roman" w:hAnsi="Times New Roman" w:eastAsia="宋体" w:cs="Times New Roman"/>
                <w:b/>
                <w:color w:val="auto"/>
                <w:kern w:val="0"/>
                <w:sz w:val="21"/>
                <w:szCs w:val="21"/>
                <w:lang w:bidi="en-US"/>
              </w:rPr>
              <w:t>环保管控要求</w:t>
            </w:r>
          </w:p>
        </w:tc>
        <w:tc>
          <w:tcPr>
            <w:tcW w:w="1799" w:type="pct"/>
            <w:vAlign w:val="center"/>
          </w:tcPr>
          <w:p w14:paraId="2A4EC7F4">
            <w:pPr>
              <w:jc w:val="center"/>
              <w:rPr>
                <w:rFonts w:hint="default" w:ascii="Times New Roman" w:hAnsi="Times New Roman" w:eastAsia="宋体" w:cs="Times New Roman"/>
                <w:b/>
                <w:color w:val="auto"/>
                <w:kern w:val="0"/>
                <w:sz w:val="21"/>
                <w:szCs w:val="21"/>
                <w:lang w:bidi="en-US"/>
              </w:rPr>
            </w:pPr>
            <w:r>
              <w:rPr>
                <w:rFonts w:hint="default" w:ascii="Times New Roman" w:hAnsi="Times New Roman" w:eastAsia="宋体" w:cs="Times New Roman"/>
                <w:b/>
                <w:color w:val="auto"/>
                <w:kern w:val="0"/>
                <w:sz w:val="21"/>
                <w:szCs w:val="21"/>
                <w:lang w:bidi="en-US"/>
              </w:rPr>
              <w:t>本项目情况</w:t>
            </w:r>
          </w:p>
        </w:tc>
        <w:tc>
          <w:tcPr>
            <w:tcW w:w="586" w:type="pct"/>
            <w:vAlign w:val="center"/>
          </w:tcPr>
          <w:p w14:paraId="066301B6">
            <w:pPr>
              <w:jc w:val="center"/>
              <w:rPr>
                <w:rFonts w:hint="default" w:ascii="Times New Roman" w:hAnsi="Times New Roman" w:eastAsia="宋体" w:cs="Times New Roman"/>
                <w:b/>
                <w:color w:val="auto"/>
                <w:kern w:val="0"/>
                <w:sz w:val="21"/>
                <w:szCs w:val="21"/>
                <w:lang w:bidi="en-US"/>
              </w:rPr>
            </w:pPr>
            <w:r>
              <w:rPr>
                <w:rFonts w:hint="default" w:ascii="Times New Roman" w:hAnsi="Times New Roman" w:eastAsia="宋体" w:cs="Times New Roman"/>
                <w:b/>
                <w:color w:val="auto"/>
                <w:kern w:val="0"/>
                <w:sz w:val="21"/>
                <w:szCs w:val="21"/>
                <w:lang w:bidi="en-US"/>
              </w:rPr>
              <w:t>符合性</w:t>
            </w:r>
          </w:p>
        </w:tc>
      </w:tr>
      <w:tr w14:paraId="62307A5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389" w:type="pct"/>
            <w:vAlign w:val="center"/>
          </w:tcPr>
          <w:p w14:paraId="32C8E2DC">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1</w:t>
            </w:r>
          </w:p>
        </w:tc>
        <w:tc>
          <w:tcPr>
            <w:tcW w:w="2224" w:type="pct"/>
            <w:vAlign w:val="center"/>
          </w:tcPr>
          <w:p w14:paraId="47D088CB">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严格落实本规划与相关规划及环境管理要求的协调性。《规划》应与上位规划、环境保护规划、行业发展规划相协调。</w:t>
            </w:r>
          </w:p>
        </w:tc>
        <w:tc>
          <w:tcPr>
            <w:tcW w:w="1799" w:type="pct"/>
            <w:vAlign w:val="center"/>
          </w:tcPr>
          <w:p w14:paraId="2ED4EC4A">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w:t>
            </w:r>
          </w:p>
        </w:tc>
        <w:tc>
          <w:tcPr>
            <w:tcW w:w="586" w:type="pct"/>
            <w:vAlign w:val="center"/>
          </w:tcPr>
          <w:p w14:paraId="0E7C24F0">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w:t>
            </w:r>
          </w:p>
        </w:tc>
      </w:tr>
      <w:tr w14:paraId="027E4FA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389" w:type="pct"/>
            <w:vAlign w:val="center"/>
          </w:tcPr>
          <w:p w14:paraId="2FDA059D">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2</w:t>
            </w:r>
          </w:p>
        </w:tc>
        <w:tc>
          <w:tcPr>
            <w:tcW w:w="2224" w:type="pct"/>
            <w:vAlign w:val="center"/>
          </w:tcPr>
          <w:p w14:paraId="23364FC1">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根据国家和区域发展战略，加快推进区内产业优化和转型，逐步淘汰不符合区域发展战略要求和环境保护要求的产业。对于废铝再生行业，按照《铝行业准入条件》等提出准入限制条件，并提出优化调整建议。严格产业的环境准入，引进项目的生产工艺、设备、污染治理技术以及单位产品能耗、物耗、污染物排放和资源利用率均需达到相关园区指标要求。</w:t>
            </w:r>
          </w:p>
        </w:tc>
        <w:tc>
          <w:tcPr>
            <w:tcW w:w="1799" w:type="pct"/>
            <w:vAlign w:val="center"/>
          </w:tcPr>
          <w:p w14:paraId="7612E346">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本项目</w:t>
            </w:r>
            <w:r>
              <w:rPr>
                <w:rFonts w:hint="default" w:ascii="Times New Roman" w:hAnsi="Times New Roman" w:eastAsia="宋体" w:cs="Times New Roman"/>
                <w:color w:val="auto"/>
                <w:kern w:val="0"/>
                <w:sz w:val="21"/>
                <w:szCs w:val="21"/>
                <w:lang w:val="en-US" w:eastAsia="zh-CN" w:bidi="en-US"/>
              </w:rPr>
              <w:t>对照《产业结构调整指导目录（2024年本）》，本项目</w:t>
            </w:r>
            <w:r>
              <w:rPr>
                <w:rFonts w:hint="default" w:ascii="Times New Roman" w:hAnsi="Times New Roman" w:eastAsia="宋体" w:cs="Times New Roman"/>
                <w:color w:val="auto"/>
                <w:kern w:val="0"/>
                <w:sz w:val="21"/>
                <w:szCs w:val="21"/>
                <w:lang w:bidi="en-US"/>
              </w:rPr>
              <w:t>项目属于第一类</w:t>
            </w:r>
            <w:r>
              <w:rPr>
                <w:rFonts w:hint="eastAsia" w:ascii="宋体" w:hAnsi="宋体" w:eastAsia="宋体" w:cs="宋体"/>
                <w:color w:val="auto"/>
                <w:kern w:val="0"/>
                <w:sz w:val="21"/>
                <w:szCs w:val="21"/>
                <w:lang w:bidi="en-US"/>
              </w:rPr>
              <w:t>“</w:t>
            </w:r>
            <w:r>
              <w:rPr>
                <w:rFonts w:hint="default" w:ascii="Times New Roman" w:hAnsi="Times New Roman" w:eastAsia="宋体" w:cs="Times New Roman"/>
                <w:color w:val="auto"/>
                <w:kern w:val="0"/>
                <w:sz w:val="21"/>
                <w:szCs w:val="21"/>
                <w:lang w:bidi="en-US"/>
              </w:rPr>
              <w:t>鼓励类</w:t>
            </w:r>
            <w:r>
              <w:rPr>
                <w:rFonts w:hint="eastAsia" w:ascii="宋体" w:hAnsi="宋体" w:eastAsia="宋体" w:cs="宋体"/>
                <w:color w:val="auto"/>
                <w:kern w:val="0"/>
                <w:sz w:val="21"/>
                <w:szCs w:val="21"/>
                <w:lang w:bidi="en-US"/>
              </w:rPr>
              <w:t>”</w:t>
            </w:r>
            <w:r>
              <w:rPr>
                <w:rFonts w:hint="default" w:ascii="Times New Roman" w:hAnsi="Times New Roman" w:eastAsia="宋体" w:cs="Times New Roman"/>
                <w:color w:val="auto"/>
                <w:kern w:val="0"/>
                <w:sz w:val="21"/>
                <w:szCs w:val="21"/>
                <w:lang w:bidi="en-US"/>
              </w:rPr>
              <w:t>第九项</w:t>
            </w:r>
            <w:r>
              <w:rPr>
                <w:rFonts w:hint="eastAsia" w:ascii="宋体" w:hAnsi="宋体" w:eastAsia="宋体" w:cs="宋体"/>
                <w:color w:val="auto"/>
                <w:kern w:val="0"/>
                <w:sz w:val="21"/>
                <w:szCs w:val="21"/>
                <w:lang w:bidi="en-US"/>
              </w:rPr>
              <w:t>“</w:t>
            </w:r>
            <w:r>
              <w:rPr>
                <w:rFonts w:hint="default" w:ascii="Times New Roman" w:hAnsi="Times New Roman" w:eastAsia="宋体" w:cs="Times New Roman"/>
                <w:color w:val="auto"/>
                <w:kern w:val="0"/>
                <w:sz w:val="21"/>
                <w:szCs w:val="21"/>
                <w:lang w:bidi="en-US"/>
              </w:rPr>
              <w:t>有色金属</w:t>
            </w:r>
            <w:r>
              <w:rPr>
                <w:rFonts w:hint="eastAsia" w:ascii="宋体" w:hAnsi="宋体" w:eastAsia="宋体" w:cs="宋体"/>
                <w:color w:val="auto"/>
                <w:kern w:val="0"/>
                <w:sz w:val="21"/>
                <w:szCs w:val="21"/>
                <w:lang w:bidi="en-US"/>
              </w:rPr>
              <w:t>”</w:t>
            </w:r>
            <w:r>
              <w:rPr>
                <w:rFonts w:hint="default" w:ascii="Times New Roman" w:hAnsi="Times New Roman" w:eastAsia="宋体" w:cs="Times New Roman"/>
                <w:color w:val="auto"/>
                <w:kern w:val="0"/>
                <w:sz w:val="21"/>
                <w:szCs w:val="21"/>
                <w:lang w:bidi="en-US"/>
              </w:rPr>
              <w:t>第3条</w:t>
            </w:r>
            <w:r>
              <w:rPr>
                <w:rFonts w:hint="eastAsia" w:ascii="宋体" w:hAnsi="宋体" w:eastAsia="宋体" w:cs="宋体"/>
                <w:color w:val="auto"/>
                <w:kern w:val="0"/>
                <w:sz w:val="21"/>
                <w:szCs w:val="21"/>
                <w:lang w:bidi="en-US"/>
              </w:rPr>
              <w:t>“</w:t>
            </w:r>
            <w:r>
              <w:rPr>
                <w:rFonts w:hint="default" w:ascii="Times New Roman" w:hAnsi="Times New Roman" w:eastAsia="宋体" w:cs="Times New Roman"/>
                <w:color w:val="auto"/>
                <w:kern w:val="0"/>
                <w:sz w:val="21"/>
                <w:szCs w:val="21"/>
                <w:lang w:bidi="en-US"/>
              </w:rPr>
              <w:t>综合利用</w:t>
            </w:r>
            <w:r>
              <w:rPr>
                <w:rFonts w:hint="default" w:ascii="Times New Roman" w:hAnsi="Times New Roman" w:eastAsia="宋体" w:cs="Times New Roman"/>
                <w:color w:val="auto"/>
                <w:kern w:val="0"/>
                <w:sz w:val="21"/>
                <w:szCs w:val="21"/>
                <w:lang w:eastAsia="zh-CN" w:bidi="en-US"/>
              </w:rPr>
              <w:t>：</w:t>
            </w:r>
            <w:r>
              <w:rPr>
                <w:rFonts w:hint="default" w:ascii="Times New Roman" w:hAnsi="Times New Roman" w:eastAsia="宋体" w:cs="Times New Roman"/>
                <w:color w:val="auto"/>
                <w:kern w:val="0"/>
                <w:sz w:val="21"/>
                <w:szCs w:val="21"/>
                <w:lang w:bidi="en-US"/>
              </w:rPr>
              <w:t>高效、节能、低污染、规模化再生资源回收与综合利用</w:t>
            </w:r>
            <w:r>
              <w:rPr>
                <w:rFonts w:hint="eastAsia" w:cs="Times New Roman"/>
                <w:color w:val="auto"/>
                <w:kern w:val="0"/>
                <w:sz w:val="21"/>
                <w:szCs w:val="21"/>
                <w:lang w:val="en-US" w:eastAsia="zh-CN" w:bidi="en-US"/>
              </w:rPr>
              <w:t>项目</w:t>
            </w:r>
            <w:r>
              <w:rPr>
                <w:rFonts w:hint="eastAsia" w:cs="Times New Roman"/>
                <w:color w:val="auto"/>
                <w:kern w:val="0"/>
                <w:sz w:val="21"/>
                <w:szCs w:val="21"/>
                <w:lang w:eastAsia="zh-CN" w:bidi="en-US"/>
              </w:rPr>
              <w:t>”</w:t>
            </w:r>
            <w:r>
              <w:rPr>
                <w:rFonts w:hint="default" w:ascii="Times New Roman" w:hAnsi="Times New Roman" w:eastAsia="宋体" w:cs="Times New Roman"/>
                <w:color w:val="auto"/>
                <w:kern w:val="0"/>
                <w:sz w:val="21"/>
                <w:szCs w:val="21"/>
                <w:lang w:bidi="en-US"/>
              </w:rPr>
              <w:t>。本项目满足相关清洁生产指标要求。</w:t>
            </w:r>
          </w:p>
        </w:tc>
        <w:tc>
          <w:tcPr>
            <w:tcW w:w="586" w:type="pct"/>
            <w:vAlign w:val="center"/>
          </w:tcPr>
          <w:p w14:paraId="661898BE">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符合</w:t>
            </w:r>
          </w:p>
        </w:tc>
      </w:tr>
      <w:tr w14:paraId="018695A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389" w:type="pct"/>
            <w:vAlign w:val="center"/>
          </w:tcPr>
          <w:p w14:paraId="6577835D">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3</w:t>
            </w:r>
          </w:p>
        </w:tc>
        <w:tc>
          <w:tcPr>
            <w:tcW w:w="2224" w:type="pct"/>
            <w:vAlign w:val="center"/>
          </w:tcPr>
          <w:p w14:paraId="0E3D02D6">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完善园区基础设施建设。细化园区集中供热方案及实施计划，结合园区供水、排水和供气（供热）等规划，合理确定开发规模。综合考虑园区排水规划，明确中水回用途径，提高中水利用率。明确加快园区污水管网建设进度。加强危险废物管理，完善危险废物贮存、处置规划。</w:t>
            </w:r>
          </w:p>
        </w:tc>
        <w:tc>
          <w:tcPr>
            <w:tcW w:w="1799" w:type="pct"/>
            <w:vAlign w:val="center"/>
          </w:tcPr>
          <w:p w14:paraId="4863BF18">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本项目</w:t>
            </w:r>
            <w:r>
              <w:rPr>
                <w:rFonts w:hint="eastAsia" w:cs="Times New Roman"/>
                <w:color w:val="auto"/>
                <w:kern w:val="0"/>
                <w:sz w:val="21"/>
                <w:szCs w:val="21"/>
                <w:lang w:val="en-US" w:eastAsia="zh-CN" w:bidi="en-US"/>
              </w:rPr>
              <w:t>依托</w:t>
            </w:r>
            <w:r>
              <w:rPr>
                <w:rFonts w:hint="default" w:ascii="Times New Roman" w:hAnsi="Times New Roman" w:eastAsia="宋体" w:cs="Times New Roman"/>
                <w:color w:val="auto"/>
                <w:kern w:val="0"/>
                <w:sz w:val="21"/>
                <w:szCs w:val="21"/>
                <w:lang w:bidi="en-US"/>
              </w:rPr>
              <w:t>园区供水、供气及排水</w:t>
            </w:r>
            <w:r>
              <w:rPr>
                <w:rFonts w:hint="eastAsia" w:cs="Times New Roman"/>
                <w:color w:val="auto"/>
                <w:kern w:val="0"/>
                <w:sz w:val="21"/>
                <w:szCs w:val="21"/>
                <w:lang w:val="en-US" w:eastAsia="zh-CN" w:bidi="en-US"/>
              </w:rPr>
              <w:t>设施</w:t>
            </w:r>
            <w:r>
              <w:rPr>
                <w:rFonts w:hint="default" w:ascii="Times New Roman" w:hAnsi="Times New Roman" w:eastAsia="宋体" w:cs="Times New Roman"/>
                <w:color w:val="auto"/>
                <w:kern w:val="0"/>
                <w:sz w:val="21"/>
                <w:szCs w:val="21"/>
                <w:lang w:bidi="en-US"/>
              </w:rPr>
              <w:t>。项目所在位置的污水管网已经建设完成。项目生产过程中产生的危险废物</w:t>
            </w:r>
            <w:r>
              <w:rPr>
                <w:rFonts w:hint="eastAsia" w:cs="Times New Roman"/>
                <w:color w:val="auto"/>
                <w:kern w:val="0"/>
                <w:sz w:val="21"/>
                <w:szCs w:val="21"/>
                <w:lang w:val="en-US" w:eastAsia="zh-CN" w:bidi="en-US"/>
              </w:rPr>
              <w:t>已</w:t>
            </w:r>
            <w:r>
              <w:rPr>
                <w:rFonts w:hint="default" w:ascii="Times New Roman" w:hAnsi="Times New Roman" w:eastAsia="宋体" w:cs="Times New Roman"/>
                <w:color w:val="auto"/>
                <w:kern w:val="0"/>
                <w:sz w:val="21"/>
                <w:szCs w:val="21"/>
                <w:lang w:bidi="en-US"/>
              </w:rPr>
              <w:t>按照相关规范要求，严格进行落实。</w:t>
            </w:r>
          </w:p>
        </w:tc>
        <w:tc>
          <w:tcPr>
            <w:tcW w:w="586" w:type="pct"/>
            <w:vAlign w:val="center"/>
          </w:tcPr>
          <w:p w14:paraId="4FA750AA">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符合</w:t>
            </w:r>
          </w:p>
        </w:tc>
      </w:tr>
      <w:tr w14:paraId="43D45F6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389" w:type="pct"/>
            <w:vAlign w:val="center"/>
          </w:tcPr>
          <w:p w14:paraId="204C7D0A">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4</w:t>
            </w:r>
          </w:p>
        </w:tc>
        <w:tc>
          <w:tcPr>
            <w:tcW w:w="2224" w:type="pct"/>
            <w:vAlign w:val="center"/>
          </w:tcPr>
          <w:p w14:paraId="30D2E681">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加强园区环境风险防控。统筹考虑区内污染物排放、水环境保护、环境风险防范、环境管理等，健全区域风险防范体系和生态安全保障体系，加强园区内重要环境风险源的管控，制定并落实园区环境风险应急预案。</w:t>
            </w:r>
          </w:p>
        </w:tc>
        <w:tc>
          <w:tcPr>
            <w:tcW w:w="1799" w:type="pct"/>
            <w:vAlign w:val="center"/>
          </w:tcPr>
          <w:p w14:paraId="7BA6AE82">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val="en-US" w:eastAsia="zh-CN" w:bidi="en-US"/>
              </w:rPr>
              <w:t>项目已按照规定健全环境风险防范体系建设、配套建设环境风险应急与防范措施</w:t>
            </w:r>
            <w:r>
              <w:rPr>
                <w:rFonts w:hint="default" w:ascii="Times New Roman" w:hAnsi="Times New Roman" w:eastAsia="宋体" w:cs="Times New Roman"/>
                <w:color w:val="auto"/>
                <w:kern w:val="0"/>
                <w:sz w:val="21"/>
                <w:szCs w:val="21"/>
                <w:lang w:bidi="en-US"/>
              </w:rPr>
              <w:t>；项目</w:t>
            </w:r>
            <w:r>
              <w:rPr>
                <w:rFonts w:hint="eastAsia" w:cs="Times New Roman"/>
                <w:color w:val="auto"/>
                <w:kern w:val="0"/>
                <w:sz w:val="21"/>
                <w:szCs w:val="21"/>
                <w:lang w:val="en-US" w:eastAsia="zh-CN" w:bidi="en-US"/>
              </w:rPr>
              <w:t>已按照相关规范要求加强固体废物</w:t>
            </w:r>
            <w:r>
              <w:rPr>
                <w:rFonts w:hint="default" w:ascii="Times New Roman" w:hAnsi="Times New Roman" w:eastAsia="宋体" w:cs="Times New Roman"/>
                <w:color w:val="auto"/>
                <w:kern w:val="0"/>
                <w:sz w:val="21"/>
                <w:szCs w:val="21"/>
                <w:lang w:bidi="en-US"/>
              </w:rPr>
              <w:t>台账管理。</w:t>
            </w:r>
          </w:p>
        </w:tc>
        <w:tc>
          <w:tcPr>
            <w:tcW w:w="586" w:type="pct"/>
            <w:vAlign w:val="center"/>
          </w:tcPr>
          <w:p w14:paraId="7907D698">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符合</w:t>
            </w:r>
          </w:p>
        </w:tc>
      </w:tr>
      <w:tr w14:paraId="3A62FF8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389" w:type="pct"/>
            <w:vAlign w:val="center"/>
          </w:tcPr>
          <w:p w14:paraId="215FAE19">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5</w:t>
            </w:r>
          </w:p>
        </w:tc>
        <w:tc>
          <w:tcPr>
            <w:tcW w:w="2224" w:type="pct"/>
            <w:vAlign w:val="center"/>
          </w:tcPr>
          <w:p w14:paraId="60CE09D0">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落实污染物排放总量控制要求，采取有效措施减少COD、氨氮、SO</w:t>
            </w:r>
            <w:r>
              <w:rPr>
                <w:rFonts w:hint="default" w:ascii="Times New Roman" w:hAnsi="Times New Roman" w:eastAsia="宋体" w:cs="Times New Roman"/>
                <w:color w:val="auto"/>
                <w:kern w:val="0"/>
                <w:sz w:val="21"/>
                <w:szCs w:val="21"/>
                <w:vertAlign w:val="subscript"/>
                <w:lang w:bidi="en-US"/>
              </w:rPr>
              <w:t>2</w:t>
            </w:r>
            <w:r>
              <w:rPr>
                <w:rFonts w:hint="default" w:ascii="Times New Roman" w:hAnsi="Times New Roman" w:eastAsia="宋体" w:cs="Times New Roman"/>
                <w:color w:val="auto"/>
                <w:kern w:val="0"/>
                <w:sz w:val="21"/>
                <w:szCs w:val="21"/>
                <w:lang w:bidi="en-US"/>
              </w:rPr>
              <w:t>、NOx、颗粒物、VOCs、重金属等污染物的排放，确保满足区域环境功能要求。</w:t>
            </w:r>
          </w:p>
        </w:tc>
        <w:tc>
          <w:tcPr>
            <w:tcW w:w="1799" w:type="pct"/>
            <w:vAlign w:val="center"/>
          </w:tcPr>
          <w:p w14:paraId="449B09FC">
            <w:pPr>
              <w:jc w:val="center"/>
              <w:rPr>
                <w:rFonts w:hint="default" w:ascii="Times New Roman" w:hAnsi="Times New Roman" w:eastAsia="宋体" w:cs="Times New Roman"/>
                <w:color w:val="auto"/>
                <w:kern w:val="0"/>
                <w:sz w:val="21"/>
                <w:szCs w:val="21"/>
                <w:lang w:bidi="en-US"/>
              </w:rPr>
            </w:pPr>
            <w:r>
              <w:rPr>
                <w:rFonts w:hint="eastAsia"/>
                <w:color w:val="auto"/>
                <w:lang w:val="en-US" w:eastAsia="zh-CN"/>
              </w:rPr>
              <w:t>项目严格执行污染物排放总量控制要求，严格实施环境监测计划工作，</w:t>
            </w:r>
            <w:r>
              <w:rPr>
                <w:rFonts w:hint="default" w:ascii="Times New Roman" w:hAnsi="Times New Roman" w:eastAsia="宋体" w:cs="Times New Roman"/>
                <w:color w:val="auto"/>
                <w:kern w:val="0"/>
                <w:sz w:val="21"/>
                <w:szCs w:val="21"/>
                <w:lang w:bidi="en-US"/>
              </w:rPr>
              <w:t>确保满足区域环境功能要求。</w:t>
            </w:r>
          </w:p>
        </w:tc>
        <w:tc>
          <w:tcPr>
            <w:tcW w:w="586" w:type="pct"/>
            <w:vAlign w:val="center"/>
          </w:tcPr>
          <w:p w14:paraId="442B85E7">
            <w:pPr>
              <w:jc w:val="center"/>
              <w:rPr>
                <w:rFonts w:hint="default" w:ascii="Times New Roman" w:hAnsi="Times New Roman" w:eastAsia="宋体" w:cs="Times New Roman"/>
                <w:color w:val="auto"/>
                <w:kern w:val="0"/>
                <w:sz w:val="21"/>
                <w:szCs w:val="21"/>
                <w:lang w:bidi="en-US"/>
              </w:rPr>
            </w:pPr>
            <w:r>
              <w:rPr>
                <w:rFonts w:hint="default" w:ascii="Times New Roman" w:hAnsi="Times New Roman" w:eastAsia="宋体" w:cs="Times New Roman"/>
                <w:color w:val="auto"/>
                <w:kern w:val="0"/>
                <w:sz w:val="21"/>
                <w:szCs w:val="21"/>
                <w:lang w:bidi="en-US"/>
              </w:rPr>
              <w:t>符合</w:t>
            </w:r>
          </w:p>
        </w:tc>
      </w:tr>
    </w:tbl>
    <w:p w14:paraId="1B42D71F">
      <w:pPr>
        <w:adjustRightInd w:val="0"/>
        <w:snapToGrid w:val="0"/>
        <w:spacing w:line="360" w:lineRule="auto"/>
        <w:rPr>
          <w:rFonts w:hint="eastAsia"/>
          <w:color w:val="auto"/>
          <w:sz w:val="24"/>
          <w:szCs w:val="32"/>
          <w:lang w:eastAsia="zh-CN"/>
        </w:rPr>
      </w:pPr>
    </w:p>
    <w:p w14:paraId="3A89625F">
      <w:pPr>
        <w:adjustRightInd w:val="0"/>
        <w:snapToGrid w:val="0"/>
        <w:spacing w:line="360" w:lineRule="auto"/>
        <w:ind w:firstLine="480" w:firstLineChars="200"/>
        <w:rPr>
          <w:rFonts w:hint="eastAsia"/>
          <w:color w:val="auto"/>
          <w:sz w:val="24"/>
          <w:szCs w:val="32"/>
          <w:lang w:eastAsia="zh-CN"/>
        </w:rPr>
        <w:sectPr>
          <w:pgSz w:w="11906" w:h="16838"/>
          <w:pgMar w:top="1440" w:right="1080" w:bottom="1440" w:left="1080" w:header="1020" w:footer="992" w:gutter="0"/>
          <w:pgBorders>
            <w:top w:val="none" w:sz="0" w:space="0"/>
            <w:left w:val="none" w:sz="0" w:space="0"/>
            <w:bottom w:val="none" w:sz="0" w:space="0"/>
            <w:right w:val="none" w:sz="0" w:space="0"/>
          </w:pgBorders>
          <w:pgNumType w:fmt="numberInDash"/>
          <w:cols w:space="0" w:num="1"/>
          <w:docGrid w:type="lines" w:linePitch="304" w:charSpace="0"/>
        </w:sectPr>
      </w:pPr>
    </w:p>
    <w:p w14:paraId="6A14E6F2">
      <w:pPr>
        <w:adjustRightInd w:val="0"/>
        <w:snapToGrid w:val="0"/>
        <w:spacing w:line="360" w:lineRule="auto"/>
        <w:jc w:val="center"/>
        <w:rPr>
          <w:rFonts w:hint="default"/>
          <w:b/>
          <w:bCs/>
          <w:color w:val="auto"/>
          <w:sz w:val="24"/>
          <w:szCs w:val="32"/>
          <w:lang w:val="en-US" w:eastAsia="zh-CN"/>
        </w:rPr>
      </w:pPr>
      <w:r>
        <w:rPr>
          <w:rFonts w:hint="eastAsia"/>
          <w:b/>
          <w:bCs/>
          <w:color w:val="auto"/>
          <w:sz w:val="24"/>
          <w:szCs w:val="32"/>
          <w:lang w:val="en-US" w:eastAsia="zh-CN"/>
        </w:rPr>
        <w:t>表1-17 安徽濉溪经济开发区生态环境准入清单</w:t>
      </w:r>
    </w:p>
    <w:tbl>
      <w:tblPr>
        <w:tblStyle w:val="32"/>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40"/>
        <w:gridCol w:w="996"/>
        <w:gridCol w:w="708"/>
        <w:gridCol w:w="685"/>
        <w:gridCol w:w="793"/>
        <w:gridCol w:w="1243"/>
        <w:gridCol w:w="1843"/>
        <w:gridCol w:w="6566"/>
      </w:tblGrid>
      <w:tr w14:paraId="23E106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40" w:type="dxa"/>
            <w:tcBorders>
              <w:tl2br w:val="nil"/>
              <w:tr2bl w:val="nil"/>
            </w:tcBorders>
            <w:vAlign w:val="center"/>
          </w:tcPr>
          <w:p w14:paraId="37214CB1">
            <w:pPr>
              <w:widowControl w:val="0"/>
              <w:bidi w:val="0"/>
              <w:spacing w:line="240" w:lineRule="auto"/>
              <w:jc w:val="center"/>
              <w:outlineLvl w:val="1"/>
              <w:rPr>
                <w:rFonts w:hint="default" w:ascii="Times New Roman" w:hAnsi="Times New Roman" w:cs="Times New Roman"/>
                <w:b/>
                <w:bCs/>
                <w:color w:val="auto"/>
                <w:sz w:val="21"/>
                <w:szCs w:val="21"/>
                <w:vertAlign w:val="baseline"/>
                <w:lang w:val="en-US" w:eastAsia="zh-CN"/>
              </w:rPr>
            </w:pPr>
            <w:bookmarkStart w:id="146" w:name="_Toc22110"/>
            <w:bookmarkStart w:id="147" w:name="_Toc29392"/>
            <w:r>
              <w:rPr>
                <w:rFonts w:hint="default" w:ascii="Times New Roman" w:hAnsi="Times New Roman" w:cs="Times New Roman"/>
                <w:b/>
                <w:bCs/>
                <w:color w:val="auto"/>
                <w:sz w:val="21"/>
                <w:szCs w:val="21"/>
                <w:vertAlign w:val="baseline"/>
                <w:lang w:val="en-US" w:eastAsia="zh-CN"/>
              </w:rPr>
              <w:t>开发区主导产业与定位</w:t>
            </w:r>
            <w:bookmarkEnd w:id="146"/>
            <w:bookmarkEnd w:id="147"/>
          </w:p>
        </w:tc>
        <w:tc>
          <w:tcPr>
            <w:tcW w:w="996" w:type="dxa"/>
            <w:tcBorders>
              <w:tl2br w:val="nil"/>
              <w:tr2bl w:val="nil"/>
            </w:tcBorders>
            <w:vAlign w:val="center"/>
          </w:tcPr>
          <w:p w14:paraId="5BADB5AA">
            <w:pPr>
              <w:widowControl w:val="0"/>
              <w:bidi w:val="0"/>
              <w:spacing w:line="240" w:lineRule="auto"/>
              <w:jc w:val="center"/>
              <w:outlineLvl w:val="1"/>
              <w:rPr>
                <w:rFonts w:hint="default" w:ascii="Times New Roman" w:hAnsi="Times New Roman" w:cs="Times New Roman"/>
                <w:b/>
                <w:bCs/>
                <w:color w:val="auto"/>
                <w:sz w:val="21"/>
                <w:szCs w:val="21"/>
                <w:vertAlign w:val="baseline"/>
                <w:lang w:val="en-US" w:eastAsia="zh-CN"/>
              </w:rPr>
            </w:pPr>
            <w:bookmarkStart w:id="148" w:name="_Toc2708"/>
            <w:bookmarkStart w:id="149" w:name="_Toc32510"/>
            <w:r>
              <w:rPr>
                <w:rFonts w:hint="eastAsia" w:ascii="Times New Roman" w:hAnsi="Times New Roman" w:cs="Times New Roman"/>
                <w:b/>
                <w:bCs/>
                <w:color w:val="auto"/>
                <w:sz w:val="21"/>
                <w:szCs w:val="21"/>
                <w:vertAlign w:val="baseline"/>
                <w:lang w:val="en-US" w:eastAsia="zh-CN"/>
              </w:rPr>
              <w:t>规划面积</w:t>
            </w:r>
            <w:bookmarkEnd w:id="148"/>
            <w:bookmarkEnd w:id="149"/>
          </w:p>
        </w:tc>
        <w:tc>
          <w:tcPr>
            <w:tcW w:w="708" w:type="dxa"/>
            <w:tcBorders>
              <w:tl2br w:val="nil"/>
              <w:tr2bl w:val="nil"/>
            </w:tcBorders>
            <w:vAlign w:val="center"/>
          </w:tcPr>
          <w:p w14:paraId="647B6346">
            <w:pPr>
              <w:widowControl w:val="0"/>
              <w:bidi w:val="0"/>
              <w:spacing w:line="240" w:lineRule="auto"/>
              <w:jc w:val="center"/>
              <w:outlineLvl w:val="1"/>
              <w:rPr>
                <w:rFonts w:hint="default" w:ascii="Times New Roman" w:hAnsi="Times New Roman" w:cs="Times New Roman"/>
                <w:b/>
                <w:bCs/>
                <w:color w:val="auto"/>
                <w:sz w:val="21"/>
                <w:szCs w:val="21"/>
                <w:vertAlign w:val="baseline"/>
                <w:lang w:val="en-US" w:eastAsia="zh-CN"/>
              </w:rPr>
            </w:pPr>
            <w:bookmarkStart w:id="150" w:name="_Toc2837"/>
            <w:bookmarkStart w:id="151" w:name="_Toc31439"/>
            <w:r>
              <w:rPr>
                <w:rFonts w:hint="eastAsia" w:ascii="Times New Roman" w:hAnsi="Times New Roman" w:cs="Times New Roman"/>
                <w:b/>
                <w:bCs/>
                <w:color w:val="auto"/>
                <w:sz w:val="21"/>
                <w:szCs w:val="21"/>
                <w:vertAlign w:val="baseline"/>
                <w:lang w:val="en-US" w:eastAsia="zh-CN"/>
              </w:rPr>
              <w:t>清单类型</w:t>
            </w:r>
            <w:bookmarkEnd w:id="150"/>
            <w:bookmarkEnd w:id="151"/>
          </w:p>
        </w:tc>
        <w:tc>
          <w:tcPr>
            <w:tcW w:w="685" w:type="dxa"/>
            <w:tcBorders>
              <w:tl2br w:val="nil"/>
              <w:tr2bl w:val="nil"/>
            </w:tcBorders>
            <w:vAlign w:val="center"/>
          </w:tcPr>
          <w:p w14:paraId="060619EA">
            <w:pPr>
              <w:widowControl w:val="0"/>
              <w:bidi w:val="0"/>
              <w:spacing w:line="240" w:lineRule="auto"/>
              <w:jc w:val="center"/>
              <w:outlineLvl w:val="1"/>
              <w:rPr>
                <w:rFonts w:hint="default" w:ascii="Times New Roman" w:hAnsi="Times New Roman" w:cs="Times New Roman"/>
                <w:b/>
                <w:bCs/>
                <w:color w:val="auto"/>
                <w:sz w:val="21"/>
                <w:szCs w:val="21"/>
                <w:vertAlign w:val="baseline"/>
                <w:lang w:val="en-US" w:eastAsia="zh-CN"/>
              </w:rPr>
            </w:pPr>
            <w:bookmarkStart w:id="152" w:name="_Toc7037"/>
            <w:bookmarkStart w:id="153" w:name="_Toc16860"/>
            <w:r>
              <w:rPr>
                <w:rFonts w:hint="eastAsia" w:ascii="Times New Roman" w:hAnsi="Times New Roman" w:cs="Times New Roman"/>
                <w:b/>
                <w:bCs/>
                <w:color w:val="auto"/>
                <w:sz w:val="21"/>
                <w:szCs w:val="21"/>
                <w:vertAlign w:val="baseline"/>
                <w:lang w:val="en-US" w:eastAsia="zh-CN"/>
              </w:rPr>
              <w:t>管控类别</w:t>
            </w:r>
            <w:bookmarkEnd w:id="152"/>
            <w:bookmarkEnd w:id="153"/>
          </w:p>
        </w:tc>
        <w:tc>
          <w:tcPr>
            <w:tcW w:w="793" w:type="dxa"/>
            <w:tcBorders>
              <w:tl2br w:val="nil"/>
              <w:tr2bl w:val="nil"/>
            </w:tcBorders>
            <w:vAlign w:val="center"/>
          </w:tcPr>
          <w:p w14:paraId="17733ACB">
            <w:pPr>
              <w:widowControl w:val="0"/>
              <w:bidi w:val="0"/>
              <w:spacing w:line="240" w:lineRule="auto"/>
              <w:jc w:val="center"/>
              <w:outlineLvl w:val="1"/>
              <w:rPr>
                <w:rFonts w:hint="default" w:ascii="Times New Roman" w:hAnsi="Times New Roman" w:cs="Times New Roman"/>
                <w:b/>
                <w:bCs/>
                <w:color w:val="auto"/>
                <w:sz w:val="21"/>
                <w:szCs w:val="21"/>
                <w:vertAlign w:val="baseline"/>
                <w:lang w:val="en-US" w:eastAsia="zh-CN"/>
              </w:rPr>
            </w:pPr>
            <w:bookmarkStart w:id="154" w:name="_Toc1427"/>
            <w:bookmarkStart w:id="155" w:name="_Toc23938"/>
            <w:r>
              <w:rPr>
                <w:rFonts w:hint="eastAsia" w:ascii="Times New Roman" w:hAnsi="Times New Roman" w:cs="Times New Roman"/>
                <w:b/>
                <w:bCs/>
                <w:color w:val="auto"/>
                <w:sz w:val="21"/>
                <w:szCs w:val="21"/>
                <w:vertAlign w:val="baseline"/>
                <w:lang w:val="en-US" w:eastAsia="zh-CN"/>
              </w:rPr>
              <w:t>主导产业</w:t>
            </w:r>
            <w:bookmarkEnd w:id="154"/>
            <w:bookmarkEnd w:id="155"/>
          </w:p>
        </w:tc>
        <w:tc>
          <w:tcPr>
            <w:tcW w:w="1243" w:type="dxa"/>
            <w:tcBorders>
              <w:tl2br w:val="nil"/>
              <w:tr2bl w:val="nil"/>
            </w:tcBorders>
            <w:vAlign w:val="center"/>
          </w:tcPr>
          <w:p w14:paraId="36E3E28F">
            <w:pPr>
              <w:widowControl w:val="0"/>
              <w:bidi w:val="0"/>
              <w:spacing w:line="240" w:lineRule="auto"/>
              <w:jc w:val="center"/>
              <w:outlineLvl w:val="1"/>
              <w:rPr>
                <w:rFonts w:hint="default" w:ascii="Times New Roman" w:hAnsi="Times New Roman" w:cs="Times New Roman"/>
                <w:b/>
                <w:bCs/>
                <w:color w:val="auto"/>
                <w:sz w:val="21"/>
                <w:szCs w:val="21"/>
                <w:vertAlign w:val="baseline"/>
                <w:lang w:val="en-US" w:eastAsia="zh-CN"/>
              </w:rPr>
            </w:pPr>
            <w:bookmarkStart w:id="156" w:name="_Toc22206"/>
            <w:bookmarkStart w:id="157" w:name="_Toc694"/>
            <w:r>
              <w:rPr>
                <w:rFonts w:hint="eastAsia" w:ascii="Times New Roman" w:hAnsi="Times New Roman" w:cs="Times New Roman"/>
                <w:b/>
                <w:bCs/>
                <w:color w:val="auto"/>
                <w:sz w:val="21"/>
                <w:szCs w:val="21"/>
                <w:vertAlign w:val="baseline"/>
                <w:lang w:val="en-US" w:eastAsia="zh-CN"/>
              </w:rPr>
              <w:t>区块</w:t>
            </w:r>
            <w:bookmarkEnd w:id="156"/>
            <w:bookmarkEnd w:id="157"/>
          </w:p>
        </w:tc>
        <w:tc>
          <w:tcPr>
            <w:tcW w:w="8409" w:type="dxa"/>
            <w:gridSpan w:val="2"/>
            <w:tcBorders>
              <w:tl2br w:val="nil"/>
              <w:tr2bl w:val="nil"/>
            </w:tcBorders>
            <w:vAlign w:val="center"/>
          </w:tcPr>
          <w:p w14:paraId="082971D8">
            <w:pPr>
              <w:widowControl w:val="0"/>
              <w:bidi w:val="0"/>
              <w:spacing w:line="240" w:lineRule="auto"/>
              <w:jc w:val="center"/>
              <w:outlineLvl w:val="1"/>
              <w:rPr>
                <w:rFonts w:hint="default" w:ascii="Times New Roman" w:hAnsi="Times New Roman" w:cs="Times New Roman"/>
                <w:b/>
                <w:bCs/>
                <w:color w:val="auto"/>
                <w:sz w:val="21"/>
                <w:szCs w:val="21"/>
                <w:vertAlign w:val="baseline"/>
                <w:lang w:val="en-US" w:eastAsia="zh-CN"/>
              </w:rPr>
            </w:pPr>
            <w:bookmarkStart w:id="158" w:name="_Toc20729"/>
            <w:bookmarkStart w:id="159" w:name="_Toc2817"/>
            <w:r>
              <w:rPr>
                <w:rFonts w:hint="eastAsia" w:ascii="Times New Roman" w:hAnsi="Times New Roman" w:cs="Times New Roman"/>
                <w:b/>
                <w:bCs/>
                <w:color w:val="auto"/>
                <w:sz w:val="21"/>
                <w:szCs w:val="21"/>
                <w:vertAlign w:val="baseline"/>
                <w:lang w:val="en-US" w:eastAsia="zh-CN"/>
              </w:rPr>
              <w:t>行业类别</w:t>
            </w:r>
            <w:bookmarkEnd w:id="158"/>
            <w:bookmarkEnd w:id="159"/>
          </w:p>
        </w:tc>
      </w:tr>
      <w:tr w14:paraId="7D2F3E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40" w:type="dxa"/>
            <w:vMerge w:val="restart"/>
            <w:tcBorders>
              <w:tl2br w:val="nil"/>
              <w:tr2bl w:val="nil"/>
            </w:tcBorders>
            <w:vAlign w:val="center"/>
          </w:tcPr>
          <w:p w14:paraId="1DFF4A91">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60" w:name="_Toc7513"/>
            <w:bookmarkStart w:id="161" w:name="_Toc4353"/>
            <w:r>
              <w:rPr>
                <w:rFonts w:hint="default" w:ascii="Times New Roman" w:hAnsi="Times New Roman" w:cs="Times New Roman"/>
                <w:b w:val="0"/>
                <w:bCs w:val="0"/>
                <w:color w:val="auto"/>
                <w:sz w:val="21"/>
                <w:szCs w:val="21"/>
                <w:vertAlign w:val="baseline"/>
                <w:lang w:val="en-US" w:eastAsia="zh-CN"/>
              </w:rPr>
              <w:t>皖北承接长三角产业 转移先行区；全省先进的金属新材料、电气机械制造及化工产业集聚和创新示范区；宜居宜业宜商的绿色活力园区</w:t>
            </w:r>
            <w:bookmarkEnd w:id="160"/>
            <w:bookmarkEnd w:id="161"/>
          </w:p>
        </w:tc>
        <w:tc>
          <w:tcPr>
            <w:tcW w:w="996" w:type="dxa"/>
            <w:vMerge w:val="restart"/>
            <w:tcBorders>
              <w:tl2br w:val="nil"/>
              <w:tr2bl w:val="nil"/>
            </w:tcBorders>
            <w:vAlign w:val="center"/>
          </w:tcPr>
          <w:p w14:paraId="02F0981E">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62" w:name="_Toc7409"/>
            <w:bookmarkStart w:id="163" w:name="_Toc27607"/>
            <w:r>
              <w:rPr>
                <w:rFonts w:hint="default" w:ascii="Times New Roman" w:hAnsi="Times New Roman" w:cs="Times New Roman"/>
                <w:b w:val="0"/>
                <w:bCs w:val="0"/>
                <w:color w:val="auto"/>
                <w:sz w:val="21"/>
                <w:szCs w:val="21"/>
                <w:vertAlign w:val="baseline"/>
                <w:lang w:val="en-US" w:eastAsia="zh-CN"/>
              </w:rPr>
              <w:t>2427.99 公顷</w:t>
            </w:r>
            <w:bookmarkEnd w:id="162"/>
            <w:bookmarkEnd w:id="163"/>
          </w:p>
        </w:tc>
        <w:tc>
          <w:tcPr>
            <w:tcW w:w="708" w:type="dxa"/>
            <w:vMerge w:val="restart"/>
            <w:tcBorders>
              <w:tl2br w:val="nil"/>
              <w:tr2bl w:val="nil"/>
            </w:tcBorders>
            <w:vAlign w:val="center"/>
          </w:tcPr>
          <w:p w14:paraId="27B202AC">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64" w:name="_Toc19580"/>
            <w:bookmarkStart w:id="165" w:name="_Toc6710"/>
            <w:r>
              <w:rPr>
                <w:rFonts w:hint="default" w:ascii="Times New Roman" w:hAnsi="Times New Roman" w:cs="Times New Roman"/>
                <w:b w:val="0"/>
                <w:bCs w:val="0"/>
                <w:color w:val="auto"/>
                <w:sz w:val="21"/>
                <w:szCs w:val="21"/>
                <w:vertAlign w:val="baseline"/>
                <w:lang w:val="en-US" w:eastAsia="zh-CN"/>
              </w:rPr>
              <w:t>产业准入要求</w:t>
            </w:r>
            <w:bookmarkEnd w:id="164"/>
            <w:bookmarkEnd w:id="165"/>
          </w:p>
        </w:tc>
        <w:tc>
          <w:tcPr>
            <w:tcW w:w="685" w:type="dxa"/>
            <w:vMerge w:val="restart"/>
            <w:tcBorders>
              <w:tl2br w:val="nil"/>
              <w:tr2bl w:val="nil"/>
            </w:tcBorders>
            <w:vAlign w:val="center"/>
          </w:tcPr>
          <w:p w14:paraId="16ED00FD">
            <w:pPr>
              <w:widowControl w:val="0"/>
              <w:bidi w:val="0"/>
              <w:spacing w:line="240" w:lineRule="auto"/>
              <w:jc w:val="center"/>
              <w:outlineLvl w:val="1"/>
              <w:rPr>
                <w:rFonts w:hint="eastAsia" w:ascii="Times New Roman" w:hAnsi="Times New Roman" w:cs="Times New Roman"/>
                <w:b w:val="0"/>
                <w:bCs w:val="0"/>
                <w:color w:val="auto"/>
                <w:sz w:val="21"/>
                <w:szCs w:val="21"/>
                <w:vertAlign w:val="baseline"/>
                <w:lang w:val="en-US" w:eastAsia="zh-CN"/>
              </w:rPr>
            </w:pPr>
            <w:bookmarkStart w:id="166" w:name="_Toc577"/>
            <w:bookmarkStart w:id="167" w:name="_Toc23931"/>
            <w:r>
              <w:rPr>
                <w:rFonts w:hint="eastAsia" w:ascii="Times New Roman" w:hAnsi="Times New Roman" w:cs="Times New Roman"/>
                <w:b w:val="0"/>
                <w:bCs w:val="0"/>
                <w:color w:val="auto"/>
                <w:sz w:val="21"/>
                <w:szCs w:val="21"/>
                <w:vertAlign w:val="baseline"/>
                <w:lang w:val="en-US" w:eastAsia="zh-CN"/>
              </w:rPr>
              <w:t>鼓</w:t>
            </w:r>
            <w:bookmarkEnd w:id="166"/>
            <w:bookmarkEnd w:id="167"/>
          </w:p>
          <w:p w14:paraId="7A6268B2">
            <w:pPr>
              <w:widowControl w:val="0"/>
              <w:bidi w:val="0"/>
              <w:spacing w:line="240" w:lineRule="auto"/>
              <w:jc w:val="center"/>
              <w:outlineLvl w:val="1"/>
              <w:rPr>
                <w:rFonts w:hint="eastAsia" w:ascii="Times New Roman" w:hAnsi="Times New Roman" w:cs="Times New Roman"/>
                <w:b w:val="0"/>
                <w:bCs w:val="0"/>
                <w:color w:val="auto"/>
                <w:sz w:val="21"/>
                <w:szCs w:val="21"/>
                <w:vertAlign w:val="baseline"/>
                <w:lang w:val="en-US" w:eastAsia="zh-CN"/>
              </w:rPr>
            </w:pPr>
            <w:bookmarkStart w:id="168" w:name="_Toc16014"/>
            <w:bookmarkStart w:id="169" w:name="_Toc28317"/>
            <w:r>
              <w:rPr>
                <w:rFonts w:hint="eastAsia" w:ascii="Times New Roman" w:hAnsi="Times New Roman" w:cs="Times New Roman"/>
                <w:b w:val="0"/>
                <w:bCs w:val="0"/>
                <w:color w:val="auto"/>
                <w:sz w:val="21"/>
                <w:szCs w:val="21"/>
                <w:vertAlign w:val="baseline"/>
                <w:lang w:val="en-US" w:eastAsia="zh-CN"/>
              </w:rPr>
              <w:t>励</w:t>
            </w:r>
            <w:bookmarkEnd w:id="168"/>
            <w:bookmarkEnd w:id="169"/>
          </w:p>
          <w:p w14:paraId="194389EF">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70" w:name="_Toc580"/>
            <w:bookmarkStart w:id="171" w:name="_Toc18003"/>
            <w:r>
              <w:rPr>
                <w:rFonts w:hint="eastAsia" w:ascii="Times New Roman" w:hAnsi="Times New Roman" w:cs="Times New Roman"/>
                <w:b w:val="0"/>
                <w:bCs w:val="0"/>
                <w:color w:val="auto"/>
                <w:sz w:val="21"/>
                <w:szCs w:val="21"/>
                <w:vertAlign w:val="baseline"/>
                <w:lang w:val="en-US" w:eastAsia="zh-CN"/>
              </w:rPr>
              <w:t>类</w:t>
            </w:r>
            <w:bookmarkEnd w:id="170"/>
            <w:bookmarkEnd w:id="171"/>
          </w:p>
        </w:tc>
        <w:tc>
          <w:tcPr>
            <w:tcW w:w="793" w:type="dxa"/>
            <w:vMerge w:val="restart"/>
            <w:tcBorders>
              <w:tl2br w:val="nil"/>
              <w:tr2bl w:val="nil"/>
            </w:tcBorders>
            <w:vAlign w:val="center"/>
          </w:tcPr>
          <w:p w14:paraId="2BD82693">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72" w:name="_Toc10889"/>
            <w:bookmarkStart w:id="173" w:name="_Toc14453"/>
            <w:r>
              <w:rPr>
                <w:rFonts w:hint="eastAsia" w:ascii="Times New Roman" w:hAnsi="Times New Roman" w:cs="Times New Roman"/>
                <w:b w:val="0"/>
                <w:bCs w:val="0"/>
                <w:color w:val="auto"/>
                <w:sz w:val="21"/>
                <w:szCs w:val="21"/>
                <w:vertAlign w:val="baseline"/>
                <w:lang w:val="en-US" w:eastAsia="zh-CN"/>
              </w:rPr>
              <w:t>金属新材料</w:t>
            </w:r>
            <w:bookmarkEnd w:id="172"/>
            <w:bookmarkEnd w:id="173"/>
          </w:p>
        </w:tc>
        <w:tc>
          <w:tcPr>
            <w:tcW w:w="1243" w:type="dxa"/>
            <w:vMerge w:val="restart"/>
            <w:tcBorders>
              <w:tl2br w:val="nil"/>
              <w:tr2bl w:val="nil"/>
            </w:tcBorders>
            <w:vAlign w:val="center"/>
          </w:tcPr>
          <w:p w14:paraId="4952E227">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74" w:name="_Toc32701"/>
            <w:bookmarkStart w:id="175" w:name="_Toc26222"/>
            <w:r>
              <w:rPr>
                <w:rFonts w:hint="default" w:ascii="Times New Roman" w:hAnsi="Times New Roman" w:cs="Times New Roman"/>
                <w:b w:val="0"/>
                <w:bCs w:val="0"/>
                <w:color w:val="auto"/>
                <w:sz w:val="21"/>
                <w:szCs w:val="21"/>
                <w:vertAlign w:val="baseline"/>
                <w:lang w:val="en-US" w:eastAsia="zh-CN"/>
              </w:rPr>
              <w:t>区块一 北部、区块二北部、区块 四</w:t>
            </w:r>
            <w:bookmarkEnd w:id="174"/>
            <w:bookmarkEnd w:id="175"/>
          </w:p>
          <w:p w14:paraId="69201B82">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1843" w:type="dxa"/>
            <w:tcBorders>
              <w:tl2br w:val="nil"/>
              <w:tr2bl w:val="nil"/>
            </w:tcBorders>
            <w:vAlign w:val="center"/>
          </w:tcPr>
          <w:p w14:paraId="54B416A9">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76" w:name="_Toc28426"/>
            <w:bookmarkStart w:id="177" w:name="_Toc11605"/>
            <w:r>
              <w:rPr>
                <w:rFonts w:hint="eastAsia" w:ascii="Times New Roman" w:hAnsi="Times New Roman" w:cs="Times New Roman"/>
                <w:b w:val="0"/>
                <w:bCs w:val="0"/>
                <w:color w:val="auto"/>
                <w:sz w:val="21"/>
                <w:szCs w:val="21"/>
                <w:vertAlign w:val="baseline"/>
                <w:lang w:val="en-US" w:eastAsia="zh-CN"/>
              </w:rPr>
              <w:t>31 黑色金属冶炼和压延加工业</w:t>
            </w:r>
            <w:bookmarkEnd w:id="176"/>
            <w:bookmarkEnd w:id="177"/>
          </w:p>
        </w:tc>
        <w:tc>
          <w:tcPr>
            <w:tcW w:w="6566" w:type="dxa"/>
            <w:tcBorders>
              <w:tl2br w:val="nil"/>
              <w:tr2bl w:val="nil"/>
            </w:tcBorders>
            <w:vAlign w:val="center"/>
          </w:tcPr>
          <w:p w14:paraId="343EDB34">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78" w:name="_Toc3157"/>
            <w:bookmarkStart w:id="179" w:name="_Toc2448"/>
            <w:r>
              <w:rPr>
                <w:rFonts w:hint="default" w:ascii="Times New Roman" w:hAnsi="Times New Roman" w:cs="Times New Roman"/>
                <w:b w:val="0"/>
                <w:bCs w:val="0"/>
                <w:color w:val="auto"/>
                <w:sz w:val="21"/>
                <w:szCs w:val="21"/>
                <w:vertAlign w:val="baseline"/>
                <w:lang w:val="en-US" w:eastAsia="zh-CN"/>
              </w:rPr>
              <w:t>313 钢压延加工相关清洁生产提标改造项目；</w:t>
            </w:r>
            <w:bookmarkEnd w:id="178"/>
            <w:bookmarkEnd w:id="179"/>
          </w:p>
        </w:tc>
      </w:tr>
      <w:tr w14:paraId="68A91B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1340" w:type="dxa"/>
            <w:vMerge w:val="continue"/>
            <w:tcBorders>
              <w:tl2br w:val="nil"/>
              <w:tr2bl w:val="nil"/>
            </w:tcBorders>
            <w:vAlign w:val="center"/>
          </w:tcPr>
          <w:p w14:paraId="79D5AA0A">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996" w:type="dxa"/>
            <w:vMerge w:val="continue"/>
            <w:tcBorders>
              <w:tl2br w:val="nil"/>
              <w:tr2bl w:val="nil"/>
            </w:tcBorders>
            <w:vAlign w:val="center"/>
          </w:tcPr>
          <w:p w14:paraId="4FCBFD8E">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708" w:type="dxa"/>
            <w:vMerge w:val="continue"/>
            <w:tcBorders>
              <w:tl2br w:val="nil"/>
              <w:tr2bl w:val="nil"/>
            </w:tcBorders>
            <w:vAlign w:val="center"/>
          </w:tcPr>
          <w:p w14:paraId="1A15B10F">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685" w:type="dxa"/>
            <w:vMerge w:val="continue"/>
            <w:tcBorders>
              <w:tl2br w:val="nil"/>
              <w:tr2bl w:val="nil"/>
            </w:tcBorders>
            <w:vAlign w:val="center"/>
          </w:tcPr>
          <w:p w14:paraId="4F096534">
            <w:pPr>
              <w:widowControl w:val="0"/>
              <w:bidi w:val="0"/>
              <w:spacing w:line="240" w:lineRule="auto"/>
              <w:jc w:val="center"/>
              <w:outlineLvl w:val="9"/>
              <w:rPr>
                <w:rFonts w:hint="eastAsia" w:ascii="Times New Roman" w:hAnsi="Times New Roman" w:cs="Times New Roman"/>
                <w:b w:val="0"/>
                <w:bCs w:val="0"/>
                <w:color w:val="auto"/>
                <w:sz w:val="21"/>
                <w:szCs w:val="21"/>
                <w:vertAlign w:val="baseline"/>
                <w:lang w:val="en-US" w:eastAsia="zh-CN"/>
              </w:rPr>
            </w:pPr>
          </w:p>
        </w:tc>
        <w:tc>
          <w:tcPr>
            <w:tcW w:w="793" w:type="dxa"/>
            <w:vMerge w:val="continue"/>
            <w:tcBorders>
              <w:tl2br w:val="nil"/>
              <w:tr2bl w:val="nil"/>
            </w:tcBorders>
            <w:vAlign w:val="center"/>
          </w:tcPr>
          <w:p w14:paraId="3993E165">
            <w:pPr>
              <w:widowControl w:val="0"/>
              <w:bidi w:val="0"/>
              <w:spacing w:line="240" w:lineRule="auto"/>
              <w:jc w:val="center"/>
              <w:outlineLvl w:val="9"/>
              <w:rPr>
                <w:rFonts w:hint="eastAsia" w:ascii="Times New Roman" w:hAnsi="Times New Roman" w:cs="Times New Roman"/>
                <w:b w:val="0"/>
                <w:bCs w:val="0"/>
                <w:color w:val="auto"/>
                <w:sz w:val="21"/>
                <w:szCs w:val="21"/>
                <w:vertAlign w:val="baseline"/>
                <w:lang w:val="en-US" w:eastAsia="zh-CN"/>
              </w:rPr>
            </w:pPr>
          </w:p>
        </w:tc>
        <w:tc>
          <w:tcPr>
            <w:tcW w:w="1243" w:type="dxa"/>
            <w:vMerge w:val="continue"/>
            <w:tcBorders>
              <w:tl2br w:val="nil"/>
              <w:tr2bl w:val="nil"/>
            </w:tcBorders>
            <w:vAlign w:val="center"/>
          </w:tcPr>
          <w:p w14:paraId="17DB5AFA">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1843" w:type="dxa"/>
            <w:tcBorders>
              <w:tl2br w:val="nil"/>
              <w:tr2bl w:val="nil"/>
            </w:tcBorders>
            <w:vAlign w:val="center"/>
          </w:tcPr>
          <w:p w14:paraId="34EA85BE">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80" w:name="_Toc8615"/>
            <w:bookmarkStart w:id="181" w:name="_Toc8487"/>
            <w:r>
              <w:rPr>
                <w:rFonts w:hint="eastAsia" w:ascii="Times New Roman" w:hAnsi="Times New Roman" w:cs="Times New Roman"/>
                <w:b w:val="0"/>
                <w:bCs w:val="0"/>
                <w:color w:val="auto"/>
                <w:sz w:val="21"/>
                <w:szCs w:val="21"/>
                <w:vertAlign w:val="baseline"/>
                <w:lang w:val="en-US" w:eastAsia="zh-CN"/>
              </w:rPr>
              <w:t>32 有色金属冶炼和压延加工业</w:t>
            </w:r>
            <w:bookmarkEnd w:id="180"/>
            <w:bookmarkEnd w:id="181"/>
          </w:p>
        </w:tc>
        <w:tc>
          <w:tcPr>
            <w:tcW w:w="6566" w:type="dxa"/>
            <w:tcBorders>
              <w:tl2br w:val="nil"/>
              <w:tr2bl w:val="nil"/>
            </w:tcBorders>
            <w:vAlign w:val="center"/>
          </w:tcPr>
          <w:p w14:paraId="1CF58695">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82" w:name="_Toc8812"/>
            <w:bookmarkStart w:id="183" w:name="_Toc924"/>
            <w:r>
              <w:rPr>
                <w:rFonts w:hint="default" w:ascii="Times New Roman" w:hAnsi="Times New Roman" w:cs="Times New Roman"/>
                <w:b w:val="0"/>
                <w:bCs w:val="0"/>
                <w:color w:val="auto"/>
                <w:sz w:val="21"/>
                <w:szCs w:val="21"/>
                <w:vertAlign w:val="baseline"/>
                <w:lang w:val="en-US" w:eastAsia="zh-CN"/>
              </w:rPr>
              <w:t>321 常用有色金属冶炼相关清洁生产提标改造项目；</w:t>
            </w:r>
            <w:bookmarkEnd w:id="182"/>
            <w:bookmarkEnd w:id="183"/>
            <w:r>
              <w:rPr>
                <w:rFonts w:hint="default" w:ascii="Times New Roman" w:hAnsi="Times New Roman" w:cs="Times New Roman"/>
                <w:b w:val="0"/>
                <w:bCs w:val="0"/>
                <w:color w:val="auto"/>
                <w:sz w:val="21"/>
                <w:szCs w:val="21"/>
                <w:vertAlign w:val="baseline"/>
                <w:lang w:val="en-US" w:eastAsia="zh-CN"/>
              </w:rPr>
              <w:t xml:space="preserve"> </w:t>
            </w:r>
          </w:p>
          <w:p w14:paraId="37EF083B">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84" w:name="_Toc5857"/>
            <w:bookmarkStart w:id="185" w:name="_Toc1154"/>
            <w:r>
              <w:rPr>
                <w:rFonts w:hint="default" w:ascii="Times New Roman" w:hAnsi="Times New Roman" w:cs="Times New Roman"/>
                <w:b w:val="0"/>
                <w:bCs w:val="0"/>
                <w:color w:val="auto"/>
                <w:sz w:val="21"/>
                <w:szCs w:val="21"/>
                <w:vertAlign w:val="baseline"/>
                <w:lang w:val="en-US" w:eastAsia="zh-CN"/>
              </w:rPr>
              <w:t>324 有色金属合金制造相关清洁生产提标改造项目；</w:t>
            </w:r>
            <w:bookmarkEnd w:id="184"/>
            <w:bookmarkEnd w:id="185"/>
            <w:r>
              <w:rPr>
                <w:rFonts w:hint="default" w:ascii="Times New Roman" w:hAnsi="Times New Roman" w:cs="Times New Roman"/>
                <w:b w:val="0"/>
                <w:bCs w:val="0"/>
                <w:color w:val="auto"/>
                <w:sz w:val="21"/>
                <w:szCs w:val="21"/>
                <w:vertAlign w:val="baseline"/>
                <w:lang w:val="en-US" w:eastAsia="zh-CN"/>
              </w:rPr>
              <w:t xml:space="preserve"> </w:t>
            </w:r>
          </w:p>
          <w:p w14:paraId="7A7F4CC6">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86" w:name="_Toc27239"/>
            <w:bookmarkStart w:id="187" w:name="_Toc23852"/>
            <w:r>
              <w:rPr>
                <w:rFonts w:hint="default" w:ascii="Times New Roman" w:hAnsi="Times New Roman" w:cs="Times New Roman"/>
                <w:b w:val="0"/>
                <w:bCs w:val="0"/>
                <w:color w:val="auto"/>
                <w:sz w:val="21"/>
                <w:szCs w:val="21"/>
                <w:vertAlign w:val="baseline"/>
                <w:lang w:val="en-US" w:eastAsia="zh-CN"/>
              </w:rPr>
              <w:t>325 有色金属压延加工相关清洁生产提标改造项目；</w:t>
            </w:r>
            <w:bookmarkEnd w:id="186"/>
            <w:bookmarkEnd w:id="187"/>
          </w:p>
        </w:tc>
      </w:tr>
      <w:tr w14:paraId="5D9082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8" w:hRule="atLeast"/>
        </w:trPr>
        <w:tc>
          <w:tcPr>
            <w:tcW w:w="1340" w:type="dxa"/>
            <w:vMerge w:val="continue"/>
            <w:tcBorders>
              <w:tl2br w:val="nil"/>
              <w:tr2bl w:val="nil"/>
            </w:tcBorders>
            <w:vAlign w:val="center"/>
          </w:tcPr>
          <w:p w14:paraId="025035D2">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996" w:type="dxa"/>
            <w:vMerge w:val="continue"/>
            <w:tcBorders>
              <w:tl2br w:val="nil"/>
              <w:tr2bl w:val="nil"/>
            </w:tcBorders>
            <w:vAlign w:val="center"/>
          </w:tcPr>
          <w:p w14:paraId="47A094C7">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708" w:type="dxa"/>
            <w:vMerge w:val="continue"/>
            <w:tcBorders>
              <w:tl2br w:val="nil"/>
              <w:tr2bl w:val="nil"/>
            </w:tcBorders>
            <w:vAlign w:val="center"/>
          </w:tcPr>
          <w:p w14:paraId="62AE6DF7">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685" w:type="dxa"/>
            <w:vMerge w:val="continue"/>
            <w:tcBorders>
              <w:tl2br w:val="nil"/>
              <w:tr2bl w:val="nil"/>
            </w:tcBorders>
            <w:vAlign w:val="center"/>
          </w:tcPr>
          <w:p w14:paraId="69570C9A">
            <w:pPr>
              <w:widowControl w:val="0"/>
              <w:bidi w:val="0"/>
              <w:spacing w:line="240" w:lineRule="auto"/>
              <w:jc w:val="center"/>
              <w:outlineLvl w:val="9"/>
              <w:rPr>
                <w:rFonts w:hint="eastAsia" w:ascii="Times New Roman" w:hAnsi="Times New Roman" w:cs="Times New Roman"/>
                <w:b w:val="0"/>
                <w:bCs w:val="0"/>
                <w:color w:val="auto"/>
                <w:sz w:val="21"/>
                <w:szCs w:val="21"/>
                <w:vertAlign w:val="baseline"/>
                <w:lang w:val="en-US" w:eastAsia="zh-CN"/>
              </w:rPr>
            </w:pPr>
          </w:p>
        </w:tc>
        <w:tc>
          <w:tcPr>
            <w:tcW w:w="793" w:type="dxa"/>
            <w:vMerge w:val="continue"/>
            <w:tcBorders>
              <w:tl2br w:val="nil"/>
              <w:tr2bl w:val="nil"/>
            </w:tcBorders>
            <w:vAlign w:val="center"/>
          </w:tcPr>
          <w:p w14:paraId="6AEDF93A">
            <w:pPr>
              <w:widowControl w:val="0"/>
              <w:bidi w:val="0"/>
              <w:spacing w:line="240" w:lineRule="auto"/>
              <w:jc w:val="center"/>
              <w:outlineLvl w:val="9"/>
              <w:rPr>
                <w:rFonts w:hint="eastAsia" w:ascii="Times New Roman" w:hAnsi="Times New Roman" w:cs="Times New Roman"/>
                <w:b w:val="0"/>
                <w:bCs w:val="0"/>
                <w:color w:val="auto"/>
                <w:sz w:val="21"/>
                <w:szCs w:val="21"/>
                <w:vertAlign w:val="baseline"/>
                <w:lang w:val="en-US" w:eastAsia="zh-CN"/>
              </w:rPr>
            </w:pPr>
          </w:p>
        </w:tc>
        <w:tc>
          <w:tcPr>
            <w:tcW w:w="1243" w:type="dxa"/>
            <w:vMerge w:val="continue"/>
            <w:tcBorders>
              <w:tl2br w:val="nil"/>
              <w:tr2bl w:val="nil"/>
            </w:tcBorders>
            <w:vAlign w:val="center"/>
          </w:tcPr>
          <w:p w14:paraId="3066A971">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1843" w:type="dxa"/>
            <w:tcBorders>
              <w:tl2br w:val="nil"/>
              <w:tr2bl w:val="nil"/>
            </w:tcBorders>
            <w:vAlign w:val="center"/>
          </w:tcPr>
          <w:p w14:paraId="083D7E4E">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88" w:name="_Toc23955"/>
            <w:bookmarkStart w:id="189" w:name="_Toc1168"/>
            <w:r>
              <w:rPr>
                <w:rFonts w:hint="eastAsia" w:ascii="Times New Roman" w:hAnsi="Times New Roman" w:cs="Times New Roman"/>
                <w:b w:val="0"/>
                <w:bCs w:val="0"/>
                <w:color w:val="auto"/>
                <w:sz w:val="21"/>
                <w:szCs w:val="21"/>
                <w:vertAlign w:val="baseline"/>
                <w:lang w:val="en-US" w:eastAsia="zh-CN"/>
              </w:rPr>
              <w:t>33 金属制品业</w:t>
            </w:r>
            <w:bookmarkEnd w:id="188"/>
            <w:bookmarkEnd w:id="189"/>
          </w:p>
        </w:tc>
        <w:tc>
          <w:tcPr>
            <w:tcW w:w="6566" w:type="dxa"/>
            <w:tcBorders>
              <w:tl2br w:val="nil"/>
              <w:tr2bl w:val="nil"/>
            </w:tcBorders>
            <w:vAlign w:val="center"/>
          </w:tcPr>
          <w:p w14:paraId="66A0540A">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90" w:name="_Toc31104"/>
            <w:bookmarkStart w:id="191" w:name="_Toc28653"/>
            <w:r>
              <w:rPr>
                <w:rFonts w:hint="default" w:ascii="Times New Roman" w:hAnsi="Times New Roman" w:cs="Times New Roman"/>
                <w:b w:val="0"/>
                <w:bCs w:val="0"/>
                <w:color w:val="auto"/>
                <w:sz w:val="21"/>
                <w:szCs w:val="21"/>
                <w:vertAlign w:val="baseline"/>
                <w:lang w:val="en-US" w:eastAsia="zh-CN"/>
              </w:rPr>
              <w:t>331 结构性金属制品制造</w:t>
            </w:r>
            <w:r>
              <w:rPr>
                <w:rFonts w:hint="eastAsia" w:ascii="Times New Roman" w:hAnsi="Times New Roman" w:cs="Times New Roman"/>
                <w:b w:val="0"/>
                <w:bCs w:val="0"/>
                <w:color w:val="auto"/>
                <w:sz w:val="21"/>
                <w:szCs w:val="21"/>
                <w:vertAlign w:val="baseline"/>
                <w:lang w:val="en-US" w:eastAsia="zh-CN"/>
              </w:rPr>
              <w:t>；</w:t>
            </w:r>
            <w:r>
              <w:rPr>
                <w:rFonts w:hint="default" w:ascii="Times New Roman" w:hAnsi="Times New Roman" w:cs="Times New Roman"/>
                <w:b w:val="0"/>
                <w:bCs w:val="0"/>
                <w:color w:val="auto"/>
                <w:sz w:val="21"/>
                <w:szCs w:val="21"/>
                <w:vertAlign w:val="baseline"/>
                <w:lang w:val="en-US" w:eastAsia="zh-CN"/>
              </w:rPr>
              <w:t>338 金属制日用品制造等行业对现有项目使用低 VOCs替代的，提标改造项目</w:t>
            </w:r>
            <w:bookmarkEnd w:id="190"/>
            <w:bookmarkEnd w:id="191"/>
          </w:p>
        </w:tc>
      </w:tr>
      <w:tr w14:paraId="59DB28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21" w:hRule="atLeast"/>
        </w:trPr>
        <w:tc>
          <w:tcPr>
            <w:tcW w:w="1340" w:type="dxa"/>
            <w:vMerge w:val="continue"/>
            <w:tcBorders>
              <w:tl2br w:val="nil"/>
              <w:tr2bl w:val="nil"/>
            </w:tcBorders>
            <w:vAlign w:val="center"/>
          </w:tcPr>
          <w:p w14:paraId="54B3C10E">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996" w:type="dxa"/>
            <w:vMerge w:val="continue"/>
            <w:tcBorders>
              <w:tl2br w:val="nil"/>
              <w:tr2bl w:val="nil"/>
            </w:tcBorders>
            <w:vAlign w:val="center"/>
          </w:tcPr>
          <w:p w14:paraId="5FA680EB">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708" w:type="dxa"/>
            <w:vMerge w:val="continue"/>
            <w:tcBorders>
              <w:tl2br w:val="nil"/>
              <w:tr2bl w:val="nil"/>
            </w:tcBorders>
            <w:vAlign w:val="center"/>
          </w:tcPr>
          <w:p w14:paraId="2A22C16B">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685" w:type="dxa"/>
            <w:vMerge w:val="continue"/>
            <w:tcBorders>
              <w:tl2br w:val="nil"/>
              <w:tr2bl w:val="nil"/>
            </w:tcBorders>
            <w:vAlign w:val="center"/>
          </w:tcPr>
          <w:p w14:paraId="14F7D5F6">
            <w:pPr>
              <w:widowControl w:val="0"/>
              <w:bidi w:val="0"/>
              <w:spacing w:line="240" w:lineRule="auto"/>
              <w:jc w:val="center"/>
              <w:outlineLvl w:val="9"/>
              <w:rPr>
                <w:rFonts w:hint="eastAsia" w:ascii="Times New Roman" w:hAnsi="Times New Roman" w:cs="Times New Roman"/>
                <w:b w:val="0"/>
                <w:bCs w:val="0"/>
                <w:color w:val="auto"/>
                <w:sz w:val="21"/>
                <w:szCs w:val="21"/>
                <w:vertAlign w:val="baseline"/>
                <w:lang w:val="en-US" w:eastAsia="zh-CN"/>
              </w:rPr>
            </w:pPr>
          </w:p>
        </w:tc>
        <w:tc>
          <w:tcPr>
            <w:tcW w:w="793" w:type="dxa"/>
            <w:tcBorders>
              <w:tl2br w:val="nil"/>
              <w:tr2bl w:val="nil"/>
            </w:tcBorders>
            <w:vAlign w:val="center"/>
          </w:tcPr>
          <w:p w14:paraId="6164EFDD">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92" w:name="_Toc26661"/>
            <w:bookmarkStart w:id="193" w:name="_Toc18777"/>
            <w:r>
              <w:rPr>
                <w:rFonts w:hint="eastAsia" w:ascii="Times New Roman" w:hAnsi="Times New Roman" w:cs="Times New Roman"/>
                <w:b w:val="0"/>
                <w:bCs w:val="0"/>
                <w:color w:val="auto"/>
                <w:sz w:val="21"/>
                <w:szCs w:val="21"/>
                <w:vertAlign w:val="baseline"/>
                <w:lang w:val="en-US" w:eastAsia="zh-CN"/>
              </w:rPr>
              <w:t>电气机械</w:t>
            </w:r>
            <w:bookmarkEnd w:id="192"/>
            <w:bookmarkEnd w:id="193"/>
          </w:p>
        </w:tc>
        <w:tc>
          <w:tcPr>
            <w:tcW w:w="1243" w:type="dxa"/>
            <w:tcBorders>
              <w:tl2br w:val="nil"/>
              <w:tr2bl w:val="nil"/>
            </w:tcBorders>
            <w:vAlign w:val="center"/>
          </w:tcPr>
          <w:p w14:paraId="13803B8C">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94" w:name="_Toc29634"/>
            <w:bookmarkStart w:id="195" w:name="_Toc8993"/>
            <w:r>
              <w:rPr>
                <w:rFonts w:hint="default" w:ascii="Times New Roman" w:hAnsi="Times New Roman" w:cs="Times New Roman"/>
                <w:b w:val="0"/>
                <w:bCs w:val="0"/>
                <w:color w:val="auto"/>
                <w:sz w:val="21"/>
                <w:szCs w:val="21"/>
                <w:vertAlign w:val="baseline"/>
                <w:lang w:val="en-US" w:eastAsia="zh-CN"/>
              </w:rPr>
              <w:t>区块二南部 、 区块三、区块五</w:t>
            </w:r>
            <w:bookmarkEnd w:id="194"/>
            <w:bookmarkEnd w:id="195"/>
          </w:p>
        </w:tc>
        <w:tc>
          <w:tcPr>
            <w:tcW w:w="1843" w:type="dxa"/>
            <w:tcBorders>
              <w:tl2br w:val="nil"/>
              <w:tr2bl w:val="nil"/>
            </w:tcBorders>
            <w:vAlign w:val="center"/>
          </w:tcPr>
          <w:p w14:paraId="34B84B39">
            <w:pPr>
              <w:widowControl w:val="0"/>
              <w:bidi w:val="0"/>
              <w:spacing w:line="240" w:lineRule="auto"/>
              <w:jc w:val="center"/>
              <w:outlineLvl w:val="1"/>
              <w:rPr>
                <w:rFonts w:hint="eastAsia" w:ascii="Times New Roman" w:hAnsi="Times New Roman" w:cs="Times New Roman"/>
                <w:b w:val="0"/>
                <w:bCs w:val="0"/>
                <w:color w:val="auto"/>
                <w:sz w:val="21"/>
                <w:szCs w:val="21"/>
                <w:vertAlign w:val="baseline"/>
                <w:lang w:val="en-US" w:eastAsia="zh-CN"/>
              </w:rPr>
            </w:pPr>
            <w:bookmarkStart w:id="196" w:name="_Toc19089"/>
            <w:bookmarkStart w:id="197" w:name="_Toc23874"/>
            <w:r>
              <w:rPr>
                <w:rFonts w:hint="eastAsia" w:ascii="Times New Roman" w:hAnsi="Times New Roman" w:cs="Times New Roman"/>
                <w:b w:val="0"/>
                <w:bCs w:val="0"/>
                <w:color w:val="auto"/>
                <w:sz w:val="21"/>
                <w:szCs w:val="21"/>
                <w:vertAlign w:val="baseline"/>
                <w:lang w:val="en-US" w:eastAsia="zh-CN"/>
              </w:rPr>
              <w:t>38 电气机械和器材制造业</w:t>
            </w:r>
            <w:bookmarkEnd w:id="196"/>
            <w:bookmarkEnd w:id="197"/>
          </w:p>
        </w:tc>
        <w:tc>
          <w:tcPr>
            <w:tcW w:w="6566" w:type="dxa"/>
            <w:tcBorders>
              <w:tl2br w:val="nil"/>
              <w:tr2bl w:val="nil"/>
            </w:tcBorders>
            <w:vAlign w:val="center"/>
          </w:tcPr>
          <w:p w14:paraId="183790A0">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198" w:name="_Toc11811"/>
            <w:bookmarkStart w:id="199" w:name="_Toc5598"/>
            <w:r>
              <w:rPr>
                <w:rFonts w:hint="default" w:ascii="Times New Roman" w:hAnsi="Times New Roman" w:cs="Times New Roman"/>
                <w:b w:val="0"/>
                <w:bCs w:val="0"/>
                <w:color w:val="auto"/>
                <w:sz w:val="21"/>
                <w:szCs w:val="21"/>
                <w:vertAlign w:val="baseline"/>
                <w:lang w:val="en-US" w:eastAsia="zh-CN"/>
              </w:rPr>
              <w:t>381 电机制造、384 电池制造、385 家用电力器具制造、 387 照明器具制造、389 其他电气机械及器材制造等行业对现有项目使用低 VOCs替代的，提标改造项目</w:t>
            </w:r>
            <w:bookmarkEnd w:id="198"/>
            <w:bookmarkEnd w:id="199"/>
          </w:p>
        </w:tc>
      </w:tr>
      <w:tr w14:paraId="4FF35B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20" w:hRule="atLeast"/>
        </w:trPr>
        <w:tc>
          <w:tcPr>
            <w:tcW w:w="1340" w:type="dxa"/>
            <w:vMerge w:val="continue"/>
            <w:tcBorders>
              <w:tl2br w:val="nil"/>
              <w:tr2bl w:val="nil"/>
            </w:tcBorders>
            <w:vAlign w:val="center"/>
          </w:tcPr>
          <w:p w14:paraId="540C1A33">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996" w:type="dxa"/>
            <w:vMerge w:val="continue"/>
            <w:tcBorders>
              <w:tl2br w:val="nil"/>
              <w:tr2bl w:val="nil"/>
            </w:tcBorders>
            <w:vAlign w:val="center"/>
          </w:tcPr>
          <w:p w14:paraId="70A686FD">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708" w:type="dxa"/>
            <w:vMerge w:val="continue"/>
            <w:tcBorders>
              <w:tl2br w:val="nil"/>
              <w:tr2bl w:val="nil"/>
            </w:tcBorders>
            <w:vAlign w:val="center"/>
          </w:tcPr>
          <w:p w14:paraId="5C144FDA">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685" w:type="dxa"/>
            <w:tcBorders>
              <w:tl2br w:val="nil"/>
              <w:tr2bl w:val="nil"/>
            </w:tcBorders>
            <w:vAlign w:val="center"/>
          </w:tcPr>
          <w:p w14:paraId="52ED5448">
            <w:pPr>
              <w:widowControl w:val="0"/>
              <w:bidi w:val="0"/>
              <w:spacing w:line="240" w:lineRule="auto"/>
              <w:jc w:val="center"/>
              <w:outlineLvl w:val="9"/>
              <w:rPr>
                <w:rFonts w:hint="eastAsia" w:ascii="Times New Roman" w:hAnsi="Times New Roman" w:cs="Times New Roman"/>
                <w:b w:val="0"/>
                <w:bCs w:val="0"/>
                <w:color w:val="auto"/>
                <w:sz w:val="21"/>
                <w:szCs w:val="21"/>
                <w:vertAlign w:val="baseline"/>
                <w:lang w:val="en-US" w:eastAsia="zh-CN"/>
              </w:rPr>
            </w:pPr>
          </w:p>
        </w:tc>
        <w:tc>
          <w:tcPr>
            <w:tcW w:w="793" w:type="dxa"/>
            <w:tcBorders>
              <w:tl2br w:val="nil"/>
              <w:tr2bl w:val="nil"/>
            </w:tcBorders>
            <w:vAlign w:val="center"/>
          </w:tcPr>
          <w:p w14:paraId="16CD2FC0">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200" w:name="_Toc20153"/>
            <w:bookmarkStart w:id="201" w:name="_Toc31910"/>
            <w:r>
              <w:rPr>
                <w:rFonts w:hint="eastAsia" w:ascii="Times New Roman" w:hAnsi="Times New Roman" w:cs="Times New Roman"/>
                <w:b w:val="0"/>
                <w:bCs w:val="0"/>
                <w:color w:val="auto"/>
                <w:sz w:val="21"/>
                <w:szCs w:val="21"/>
                <w:vertAlign w:val="baseline"/>
                <w:lang w:val="en-US" w:eastAsia="zh-CN"/>
              </w:rPr>
              <w:t>化工</w:t>
            </w:r>
            <w:bookmarkEnd w:id="200"/>
            <w:bookmarkEnd w:id="201"/>
          </w:p>
        </w:tc>
        <w:tc>
          <w:tcPr>
            <w:tcW w:w="1243" w:type="dxa"/>
            <w:tcBorders>
              <w:tl2br w:val="nil"/>
              <w:tr2bl w:val="nil"/>
            </w:tcBorders>
            <w:vAlign w:val="center"/>
          </w:tcPr>
          <w:p w14:paraId="0E7EAF1E">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202" w:name="_Toc20695"/>
            <w:bookmarkStart w:id="203" w:name="_Toc30224"/>
            <w:r>
              <w:rPr>
                <w:rFonts w:hint="default" w:ascii="Times New Roman" w:hAnsi="Times New Roman" w:cs="Times New Roman"/>
                <w:b w:val="0"/>
                <w:bCs w:val="0"/>
                <w:color w:val="auto"/>
                <w:sz w:val="21"/>
                <w:szCs w:val="21"/>
                <w:vertAlign w:val="baseline"/>
                <w:lang w:val="en-US" w:eastAsia="zh-CN"/>
              </w:rPr>
              <w:t>区块一中安徽省第一批化工 园区认定的3.2km</w:t>
            </w:r>
            <w:r>
              <w:rPr>
                <w:rFonts w:hint="default" w:ascii="Times New Roman" w:hAnsi="Times New Roman" w:cs="Times New Roman"/>
                <w:b w:val="0"/>
                <w:bCs w:val="0"/>
                <w:color w:val="auto"/>
                <w:sz w:val="21"/>
                <w:szCs w:val="21"/>
                <w:vertAlign w:val="superscript"/>
                <w:lang w:val="en-US" w:eastAsia="zh-CN"/>
              </w:rPr>
              <w:t>2</w:t>
            </w:r>
            <w:r>
              <w:rPr>
                <w:rFonts w:hint="default" w:ascii="Times New Roman" w:hAnsi="Times New Roman" w:cs="Times New Roman"/>
                <w:b w:val="0"/>
                <w:bCs w:val="0"/>
                <w:color w:val="auto"/>
                <w:sz w:val="21"/>
                <w:szCs w:val="21"/>
                <w:vertAlign w:val="baseline"/>
                <w:lang w:val="en-US" w:eastAsia="zh-CN"/>
              </w:rPr>
              <w:t>濉 溪经济开发区化工产业集中区</w:t>
            </w:r>
            <w:bookmarkEnd w:id="202"/>
            <w:bookmarkEnd w:id="203"/>
          </w:p>
        </w:tc>
        <w:tc>
          <w:tcPr>
            <w:tcW w:w="1843" w:type="dxa"/>
            <w:tcBorders>
              <w:tl2br w:val="nil"/>
              <w:tr2bl w:val="nil"/>
            </w:tcBorders>
            <w:vAlign w:val="center"/>
          </w:tcPr>
          <w:p w14:paraId="00DFB969">
            <w:pPr>
              <w:widowControl w:val="0"/>
              <w:bidi w:val="0"/>
              <w:spacing w:line="240" w:lineRule="auto"/>
              <w:jc w:val="center"/>
              <w:outlineLvl w:val="1"/>
              <w:rPr>
                <w:rFonts w:hint="eastAsia" w:ascii="Times New Roman" w:hAnsi="Times New Roman" w:cs="Times New Roman"/>
                <w:b w:val="0"/>
                <w:bCs w:val="0"/>
                <w:color w:val="auto"/>
                <w:sz w:val="21"/>
                <w:szCs w:val="21"/>
                <w:vertAlign w:val="baseline"/>
                <w:lang w:val="en-US" w:eastAsia="zh-CN"/>
              </w:rPr>
            </w:pPr>
            <w:bookmarkStart w:id="204" w:name="_Toc19334"/>
            <w:bookmarkStart w:id="205" w:name="_Toc25539"/>
            <w:r>
              <w:rPr>
                <w:rFonts w:hint="eastAsia" w:ascii="Times New Roman" w:hAnsi="Times New Roman" w:cs="Times New Roman"/>
                <w:b w:val="0"/>
                <w:bCs w:val="0"/>
                <w:color w:val="auto"/>
                <w:sz w:val="21"/>
                <w:szCs w:val="21"/>
                <w:vertAlign w:val="baseline"/>
                <w:lang w:val="en-US" w:eastAsia="zh-CN"/>
              </w:rPr>
              <w:t>26 化学原料和化学制品制造业</w:t>
            </w:r>
            <w:bookmarkEnd w:id="204"/>
            <w:bookmarkEnd w:id="205"/>
          </w:p>
          <w:p w14:paraId="19CBF0CD">
            <w:pPr>
              <w:widowControl w:val="0"/>
              <w:bidi w:val="0"/>
              <w:spacing w:line="240" w:lineRule="auto"/>
              <w:jc w:val="center"/>
              <w:outlineLvl w:val="9"/>
              <w:rPr>
                <w:rFonts w:hint="eastAsia" w:ascii="Times New Roman" w:hAnsi="Times New Roman" w:cs="Times New Roman"/>
                <w:b w:val="0"/>
                <w:bCs w:val="0"/>
                <w:color w:val="auto"/>
                <w:sz w:val="21"/>
                <w:szCs w:val="21"/>
                <w:vertAlign w:val="baseline"/>
                <w:lang w:val="en-US" w:eastAsia="zh-CN"/>
              </w:rPr>
            </w:pPr>
          </w:p>
        </w:tc>
        <w:tc>
          <w:tcPr>
            <w:tcW w:w="6566" w:type="dxa"/>
            <w:tcBorders>
              <w:tl2br w:val="nil"/>
              <w:tr2bl w:val="nil"/>
            </w:tcBorders>
            <w:vAlign w:val="center"/>
          </w:tcPr>
          <w:p w14:paraId="4C270187">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206" w:name="_Toc4714"/>
            <w:bookmarkStart w:id="207" w:name="_Toc9007"/>
            <w:r>
              <w:rPr>
                <w:rFonts w:hint="default" w:ascii="Times New Roman" w:hAnsi="Times New Roman" w:cs="Times New Roman"/>
                <w:b w:val="0"/>
                <w:bCs w:val="0"/>
                <w:color w:val="auto"/>
                <w:sz w:val="21"/>
                <w:szCs w:val="21"/>
                <w:vertAlign w:val="baseline"/>
                <w:lang w:val="en-US" w:eastAsia="zh-CN"/>
              </w:rPr>
              <w:t>261 基础化学原料制造、262 肥料制造、263 农药制造、 264 涂料、油墨、颜料及类似产品制造、265 合成材料制造、266 专用化学产品制造等行业对现有项目相关提标改造项目，禁止引入涉危化品项目；</w:t>
            </w:r>
            <w:bookmarkEnd w:id="206"/>
            <w:bookmarkEnd w:id="207"/>
          </w:p>
        </w:tc>
      </w:tr>
      <w:tr w14:paraId="3A252E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340" w:type="dxa"/>
            <w:vMerge w:val="continue"/>
            <w:tcBorders>
              <w:tl2br w:val="nil"/>
              <w:tr2bl w:val="nil"/>
            </w:tcBorders>
            <w:vAlign w:val="center"/>
          </w:tcPr>
          <w:p w14:paraId="6B866BF5">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996" w:type="dxa"/>
            <w:vMerge w:val="continue"/>
            <w:tcBorders>
              <w:tl2br w:val="nil"/>
              <w:tr2bl w:val="nil"/>
            </w:tcBorders>
            <w:vAlign w:val="center"/>
          </w:tcPr>
          <w:p w14:paraId="69855F94">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708" w:type="dxa"/>
            <w:vMerge w:val="continue"/>
            <w:tcBorders>
              <w:tl2br w:val="nil"/>
              <w:tr2bl w:val="nil"/>
            </w:tcBorders>
            <w:vAlign w:val="center"/>
          </w:tcPr>
          <w:p w14:paraId="0EBB1D8A">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685" w:type="dxa"/>
            <w:tcBorders>
              <w:tl2br w:val="nil"/>
              <w:tr2bl w:val="nil"/>
            </w:tcBorders>
            <w:vAlign w:val="center"/>
          </w:tcPr>
          <w:p w14:paraId="38EB6B6C">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208" w:name="_Toc14327"/>
            <w:bookmarkStart w:id="209" w:name="_Toc728"/>
            <w:r>
              <w:rPr>
                <w:rFonts w:hint="eastAsia" w:ascii="Times New Roman" w:hAnsi="Times New Roman" w:cs="Times New Roman"/>
                <w:b w:val="0"/>
                <w:bCs w:val="0"/>
                <w:color w:val="auto"/>
                <w:sz w:val="21"/>
                <w:szCs w:val="21"/>
                <w:vertAlign w:val="baseline"/>
                <w:lang w:val="en-US" w:eastAsia="zh-CN"/>
              </w:rPr>
              <w:t>有条件进入类</w:t>
            </w:r>
            <w:bookmarkEnd w:id="208"/>
            <w:bookmarkEnd w:id="209"/>
          </w:p>
        </w:tc>
        <w:tc>
          <w:tcPr>
            <w:tcW w:w="10445" w:type="dxa"/>
            <w:gridSpan w:val="4"/>
            <w:tcBorders>
              <w:tl2br w:val="nil"/>
              <w:tr2bl w:val="nil"/>
            </w:tcBorders>
            <w:vAlign w:val="center"/>
          </w:tcPr>
          <w:p w14:paraId="40BB0AC1">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210" w:name="_Toc8278"/>
            <w:bookmarkStart w:id="211" w:name="_Toc25708"/>
            <w:r>
              <w:rPr>
                <w:rFonts w:hint="eastAsia" w:ascii="Times New Roman" w:hAnsi="Times New Roman" w:cs="Times New Roman"/>
                <w:b w:val="0"/>
                <w:bCs w:val="0"/>
                <w:color w:val="auto"/>
                <w:sz w:val="21"/>
                <w:szCs w:val="21"/>
                <w:vertAlign w:val="baseline"/>
                <w:lang w:val="en-US" w:eastAsia="zh-CN"/>
              </w:rPr>
              <w:t>与主导产业链配套的其他绿色低碳相关产业</w:t>
            </w:r>
            <w:bookmarkEnd w:id="210"/>
            <w:bookmarkEnd w:id="211"/>
          </w:p>
        </w:tc>
      </w:tr>
      <w:tr w14:paraId="337B6D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9" w:hRule="atLeast"/>
        </w:trPr>
        <w:tc>
          <w:tcPr>
            <w:tcW w:w="1340" w:type="dxa"/>
            <w:vMerge w:val="continue"/>
            <w:tcBorders>
              <w:tl2br w:val="nil"/>
              <w:tr2bl w:val="nil"/>
            </w:tcBorders>
            <w:vAlign w:val="center"/>
          </w:tcPr>
          <w:p w14:paraId="00D34F74">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996" w:type="dxa"/>
            <w:vMerge w:val="continue"/>
            <w:tcBorders>
              <w:tl2br w:val="nil"/>
              <w:tr2bl w:val="nil"/>
            </w:tcBorders>
            <w:vAlign w:val="center"/>
          </w:tcPr>
          <w:p w14:paraId="7CD6A513">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708" w:type="dxa"/>
            <w:vMerge w:val="continue"/>
            <w:tcBorders>
              <w:tl2br w:val="nil"/>
              <w:tr2bl w:val="nil"/>
            </w:tcBorders>
            <w:vAlign w:val="center"/>
          </w:tcPr>
          <w:p w14:paraId="3F9B3E68">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685" w:type="dxa"/>
            <w:tcBorders>
              <w:tl2br w:val="nil"/>
              <w:tr2bl w:val="nil"/>
            </w:tcBorders>
            <w:vAlign w:val="center"/>
          </w:tcPr>
          <w:p w14:paraId="13F7C04F">
            <w:pPr>
              <w:widowControl w:val="0"/>
              <w:bidi w:val="0"/>
              <w:spacing w:line="240" w:lineRule="auto"/>
              <w:jc w:val="center"/>
              <w:outlineLvl w:val="1"/>
              <w:rPr>
                <w:rFonts w:hint="eastAsia" w:ascii="Times New Roman" w:hAnsi="Times New Roman" w:cs="Times New Roman"/>
                <w:b w:val="0"/>
                <w:bCs w:val="0"/>
                <w:color w:val="auto"/>
                <w:sz w:val="21"/>
                <w:szCs w:val="21"/>
                <w:vertAlign w:val="baseline"/>
                <w:lang w:val="en-US" w:eastAsia="zh-CN"/>
              </w:rPr>
            </w:pPr>
            <w:bookmarkStart w:id="212" w:name="_Toc998"/>
            <w:bookmarkStart w:id="213" w:name="_Toc24706"/>
            <w:r>
              <w:rPr>
                <w:rFonts w:hint="eastAsia" w:ascii="Times New Roman" w:hAnsi="Times New Roman" w:cs="Times New Roman"/>
                <w:b w:val="0"/>
                <w:bCs w:val="0"/>
                <w:color w:val="auto"/>
                <w:sz w:val="21"/>
                <w:szCs w:val="21"/>
                <w:vertAlign w:val="baseline"/>
                <w:lang w:val="en-US" w:eastAsia="zh-CN"/>
              </w:rPr>
              <w:t>限 制 类</w:t>
            </w:r>
            <w:bookmarkEnd w:id="212"/>
            <w:bookmarkEnd w:id="213"/>
          </w:p>
        </w:tc>
        <w:tc>
          <w:tcPr>
            <w:tcW w:w="10445" w:type="dxa"/>
            <w:gridSpan w:val="4"/>
            <w:tcBorders>
              <w:tl2br w:val="nil"/>
              <w:tr2bl w:val="nil"/>
            </w:tcBorders>
            <w:vAlign w:val="center"/>
          </w:tcPr>
          <w:p w14:paraId="2C45BE47">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14" w:name="_Toc7549"/>
            <w:bookmarkStart w:id="215" w:name="_Toc13091"/>
            <w:r>
              <w:rPr>
                <w:rFonts w:hint="default" w:ascii="Times New Roman" w:hAnsi="Times New Roman" w:cs="Times New Roman"/>
                <w:b w:val="0"/>
                <w:bCs w:val="0"/>
                <w:color w:val="auto"/>
                <w:sz w:val="21"/>
                <w:szCs w:val="21"/>
                <w:vertAlign w:val="baseline"/>
                <w:lang w:val="en-US" w:eastAsia="zh-CN"/>
              </w:rPr>
              <w:t>①《淮北市危险化学品禁止、限制和控制性目录》附件2</w:t>
            </w:r>
            <w:r>
              <w:rPr>
                <w:rFonts w:hint="eastAsia" w:ascii="宋体" w:hAnsi="宋体" w:eastAsia="宋体" w:cs="宋体"/>
                <w:b w:val="0"/>
                <w:bCs w:val="0"/>
                <w:color w:val="auto"/>
                <w:sz w:val="21"/>
                <w:szCs w:val="21"/>
                <w:vertAlign w:val="baseline"/>
                <w:lang w:val="en-US" w:eastAsia="zh-CN"/>
              </w:rPr>
              <w:t>“淮北市限制和控制生产的危险化学品目录（试行）”</w:t>
            </w:r>
            <w:r>
              <w:rPr>
                <w:rFonts w:hint="default" w:ascii="Times New Roman" w:hAnsi="Times New Roman" w:cs="Times New Roman"/>
                <w:b w:val="0"/>
                <w:bCs w:val="0"/>
                <w:color w:val="auto"/>
                <w:sz w:val="21"/>
                <w:szCs w:val="21"/>
                <w:vertAlign w:val="baseline"/>
                <w:lang w:val="en-US" w:eastAsia="zh-CN"/>
              </w:rPr>
              <w:t>所列危险化学品，主要原因是涉及高风险工艺，包括：光气化、氟化工艺、氯化工艺、过氧化工艺、重氮化工艺、硝化工艺、与高毒高残留化学品、有机硫、磷、氟、氯、溴、碘化物，含大部分易制爆化学品和高安全风险、高生态环境风险的化学品；</w:t>
            </w:r>
            <w:bookmarkEnd w:id="214"/>
            <w:bookmarkEnd w:id="215"/>
            <w:r>
              <w:rPr>
                <w:rFonts w:hint="default" w:ascii="Times New Roman" w:hAnsi="Times New Roman" w:cs="Times New Roman"/>
                <w:b w:val="0"/>
                <w:bCs w:val="0"/>
                <w:color w:val="auto"/>
                <w:sz w:val="21"/>
                <w:szCs w:val="21"/>
                <w:vertAlign w:val="baseline"/>
                <w:lang w:val="en-US" w:eastAsia="zh-CN"/>
              </w:rPr>
              <w:t xml:space="preserve"> </w:t>
            </w:r>
          </w:p>
          <w:p w14:paraId="6425B31B">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16" w:name="_Toc18383"/>
            <w:bookmarkStart w:id="217" w:name="_Toc22470"/>
            <w:r>
              <w:rPr>
                <w:rFonts w:hint="default" w:ascii="Times New Roman" w:hAnsi="Times New Roman" w:cs="Times New Roman"/>
                <w:b w:val="0"/>
                <w:bCs w:val="0"/>
                <w:color w:val="auto"/>
                <w:sz w:val="21"/>
                <w:szCs w:val="21"/>
                <w:vertAlign w:val="baseline"/>
                <w:lang w:val="en-US" w:eastAsia="zh-CN"/>
              </w:rPr>
              <w:t>②限制现有与主导产业不符的且污染物排放量大的企业新增产能；</w:t>
            </w:r>
            <w:bookmarkEnd w:id="216"/>
            <w:bookmarkEnd w:id="217"/>
          </w:p>
          <w:p w14:paraId="1F706FCF">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18" w:name="_Toc1643"/>
            <w:bookmarkStart w:id="219" w:name="_Toc21004"/>
            <w:r>
              <w:rPr>
                <w:rFonts w:hint="default" w:ascii="Times New Roman" w:hAnsi="Times New Roman" w:cs="Times New Roman"/>
                <w:b w:val="0"/>
                <w:bCs w:val="0"/>
                <w:color w:val="auto"/>
                <w:sz w:val="21"/>
                <w:szCs w:val="21"/>
                <w:vertAlign w:val="baseline"/>
                <w:lang w:val="en-US" w:eastAsia="zh-CN"/>
              </w:rPr>
              <w:t>③严格限制在淮河流域新建印染、制革、化工、电镀、酿造等大中型项目或者其他污染严重的项目；建该类项目的，应当事前征得省人民政府生态环境行政主管部门的同意，并按照规定办理有关手续；</w:t>
            </w:r>
            <w:bookmarkEnd w:id="218"/>
            <w:bookmarkEnd w:id="219"/>
          </w:p>
          <w:p w14:paraId="7F0ED949">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20" w:name="_Toc3692"/>
            <w:bookmarkStart w:id="221" w:name="_Toc3139"/>
            <w:r>
              <w:rPr>
                <w:rFonts w:hint="default" w:ascii="Times New Roman" w:hAnsi="Times New Roman" w:cs="Times New Roman"/>
                <w:b w:val="0"/>
                <w:bCs w:val="0"/>
                <w:color w:val="auto"/>
                <w:sz w:val="21"/>
                <w:szCs w:val="21"/>
                <w:vertAlign w:val="baseline"/>
                <w:lang w:val="en-US" w:eastAsia="zh-CN"/>
              </w:rPr>
              <w:t>④两高行业需满足《生态环境部关于加强高耗能、高排放建设项目生态环境源头防控的指导意见》、《安徽省节能减排及应对气候变化工作领导小组关于进一步加强新上</w:t>
            </w:r>
            <w:r>
              <w:rPr>
                <w:rFonts w:hint="eastAsia" w:ascii="宋体" w:hAnsi="宋体" w:eastAsia="宋体" w:cs="宋体"/>
                <w:b w:val="0"/>
                <w:bCs w:val="0"/>
                <w:color w:val="auto"/>
                <w:sz w:val="21"/>
                <w:szCs w:val="21"/>
                <w:vertAlign w:val="baseline"/>
                <w:lang w:val="en-US" w:eastAsia="zh-CN"/>
              </w:rPr>
              <w:t>“两高”</w:t>
            </w:r>
            <w:r>
              <w:rPr>
                <w:rFonts w:hint="default" w:ascii="Times New Roman" w:hAnsi="Times New Roman" w:cs="Times New Roman"/>
                <w:b w:val="0"/>
                <w:bCs w:val="0"/>
                <w:color w:val="auto"/>
                <w:sz w:val="21"/>
                <w:szCs w:val="21"/>
                <w:vertAlign w:val="baseline"/>
                <w:lang w:val="en-US" w:eastAsia="zh-CN"/>
              </w:rPr>
              <w:t>项目管理的通知》等两高文件要求，且不得新增区域污染物排放总量，远期根据区域环境质量现状，确保区域环境质量有所改善，且经过充分的环境影响论证</w:t>
            </w:r>
            <w:bookmarkEnd w:id="220"/>
            <w:bookmarkEnd w:id="221"/>
          </w:p>
        </w:tc>
      </w:tr>
      <w:tr w14:paraId="2F6E05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20" w:hRule="atLeast"/>
        </w:trPr>
        <w:tc>
          <w:tcPr>
            <w:tcW w:w="1340" w:type="dxa"/>
            <w:vMerge w:val="continue"/>
            <w:tcBorders>
              <w:tl2br w:val="nil"/>
              <w:tr2bl w:val="nil"/>
            </w:tcBorders>
            <w:vAlign w:val="center"/>
          </w:tcPr>
          <w:p w14:paraId="3DE68508">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996" w:type="dxa"/>
            <w:vMerge w:val="continue"/>
            <w:tcBorders>
              <w:tl2br w:val="nil"/>
              <w:tr2bl w:val="nil"/>
            </w:tcBorders>
            <w:vAlign w:val="center"/>
          </w:tcPr>
          <w:p w14:paraId="11DDC04A">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708" w:type="dxa"/>
            <w:vMerge w:val="continue"/>
            <w:tcBorders>
              <w:tl2br w:val="nil"/>
              <w:tr2bl w:val="nil"/>
            </w:tcBorders>
            <w:vAlign w:val="center"/>
          </w:tcPr>
          <w:p w14:paraId="011EA6E4">
            <w:pPr>
              <w:widowControl w:val="0"/>
              <w:bidi w:val="0"/>
              <w:spacing w:line="240" w:lineRule="auto"/>
              <w:jc w:val="center"/>
              <w:outlineLvl w:val="9"/>
              <w:rPr>
                <w:rFonts w:hint="default" w:ascii="Times New Roman" w:hAnsi="Times New Roman" w:cs="Times New Roman"/>
                <w:b w:val="0"/>
                <w:bCs w:val="0"/>
                <w:color w:val="auto"/>
                <w:sz w:val="21"/>
                <w:szCs w:val="21"/>
                <w:vertAlign w:val="baseline"/>
                <w:lang w:val="en-US" w:eastAsia="zh-CN"/>
              </w:rPr>
            </w:pPr>
          </w:p>
        </w:tc>
        <w:tc>
          <w:tcPr>
            <w:tcW w:w="685" w:type="dxa"/>
            <w:tcBorders>
              <w:tl2br w:val="nil"/>
              <w:tr2bl w:val="nil"/>
            </w:tcBorders>
            <w:vAlign w:val="center"/>
          </w:tcPr>
          <w:p w14:paraId="64453657">
            <w:pPr>
              <w:widowControl w:val="0"/>
              <w:bidi w:val="0"/>
              <w:spacing w:line="240" w:lineRule="auto"/>
              <w:jc w:val="center"/>
              <w:outlineLvl w:val="1"/>
              <w:rPr>
                <w:rFonts w:hint="eastAsia" w:ascii="Times New Roman" w:hAnsi="Times New Roman" w:cs="Times New Roman"/>
                <w:b w:val="0"/>
                <w:bCs w:val="0"/>
                <w:color w:val="auto"/>
                <w:sz w:val="21"/>
                <w:szCs w:val="21"/>
                <w:vertAlign w:val="baseline"/>
                <w:lang w:val="en-US" w:eastAsia="zh-CN"/>
              </w:rPr>
            </w:pPr>
            <w:bookmarkStart w:id="222" w:name="_Toc32197"/>
            <w:bookmarkStart w:id="223" w:name="_Toc30027"/>
            <w:r>
              <w:rPr>
                <w:rFonts w:hint="eastAsia" w:ascii="Times New Roman" w:hAnsi="Times New Roman" w:cs="Times New Roman"/>
                <w:b w:val="0"/>
                <w:bCs w:val="0"/>
                <w:color w:val="auto"/>
                <w:sz w:val="21"/>
                <w:szCs w:val="21"/>
                <w:vertAlign w:val="baseline"/>
                <w:lang w:val="en-US" w:eastAsia="zh-CN"/>
              </w:rPr>
              <w:t>禁</w:t>
            </w:r>
            <w:bookmarkEnd w:id="222"/>
            <w:bookmarkEnd w:id="223"/>
          </w:p>
          <w:p w14:paraId="58951073">
            <w:pPr>
              <w:widowControl w:val="0"/>
              <w:bidi w:val="0"/>
              <w:spacing w:line="240" w:lineRule="auto"/>
              <w:jc w:val="center"/>
              <w:outlineLvl w:val="1"/>
              <w:rPr>
                <w:rFonts w:hint="eastAsia" w:ascii="Times New Roman" w:hAnsi="Times New Roman" w:cs="Times New Roman"/>
                <w:b w:val="0"/>
                <w:bCs w:val="0"/>
                <w:color w:val="auto"/>
                <w:sz w:val="21"/>
                <w:szCs w:val="21"/>
                <w:vertAlign w:val="baseline"/>
                <w:lang w:val="en-US" w:eastAsia="zh-CN"/>
              </w:rPr>
            </w:pPr>
            <w:bookmarkStart w:id="224" w:name="_Toc2046"/>
            <w:bookmarkStart w:id="225" w:name="_Toc21493"/>
            <w:r>
              <w:rPr>
                <w:rFonts w:hint="eastAsia" w:ascii="Times New Roman" w:hAnsi="Times New Roman" w:cs="Times New Roman"/>
                <w:b w:val="0"/>
                <w:bCs w:val="0"/>
                <w:color w:val="auto"/>
                <w:sz w:val="21"/>
                <w:szCs w:val="21"/>
                <w:vertAlign w:val="baseline"/>
                <w:lang w:val="en-US" w:eastAsia="zh-CN"/>
              </w:rPr>
              <w:t>止</w:t>
            </w:r>
            <w:bookmarkEnd w:id="224"/>
            <w:bookmarkEnd w:id="225"/>
          </w:p>
          <w:p w14:paraId="6008539E">
            <w:pPr>
              <w:widowControl w:val="0"/>
              <w:bidi w:val="0"/>
              <w:spacing w:line="240" w:lineRule="auto"/>
              <w:jc w:val="center"/>
              <w:outlineLvl w:val="1"/>
              <w:rPr>
                <w:rFonts w:hint="default" w:ascii="Times New Roman" w:hAnsi="Times New Roman" w:cs="Times New Roman"/>
                <w:b w:val="0"/>
                <w:bCs w:val="0"/>
                <w:color w:val="auto"/>
                <w:sz w:val="21"/>
                <w:szCs w:val="21"/>
                <w:vertAlign w:val="baseline"/>
                <w:lang w:val="en-US" w:eastAsia="zh-CN"/>
              </w:rPr>
            </w:pPr>
            <w:bookmarkStart w:id="226" w:name="_Toc20360"/>
            <w:bookmarkStart w:id="227" w:name="_Toc3667"/>
            <w:r>
              <w:rPr>
                <w:rFonts w:hint="eastAsia" w:ascii="Times New Roman" w:hAnsi="Times New Roman" w:cs="Times New Roman"/>
                <w:b w:val="0"/>
                <w:bCs w:val="0"/>
                <w:color w:val="auto"/>
                <w:sz w:val="21"/>
                <w:szCs w:val="21"/>
                <w:vertAlign w:val="baseline"/>
                <w:lang w:val="en-US" w:eastAsia="zh-CN"/>
              </w:rPr>
              <w:t>类</w:t>
            </w:r>
            <w:bookmarkEnd w:id="226"/>
            <w:bookmarkEnd w:id="227"/>
          </w:p>
        </w:tc>
        <w:tc>
          <w:tcPr>
            <w:tcW w:w="10445" w:type="dxa"/>
            <w:gridSpan w:val="4"/>
            <w:tcBorders>
              <w:tl2br w:val="nil"/>
              <w:tr2bl w:val="nil"/>
            </w:tcBorders>
            <w:vAlign w:val="center"/>
          </w:tcPr>
          <w:p w14:paraId="72D55319">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28" w:name="_Toc32502"/>
            <w:bookmarkStart w:id="229" w:name="_Toc27538"/>
            <w:r>
              <w:rPr>
                <w:rFonts w:hint="default" w:ascii="Times New Roman" w:hAnsi="Times New Roman" w:cs="Times New Roman"/>
                <w:b w:val="0"/>
                <w:bCs w:val="0"/>
                <w:color w:val="auto"/>
                <w:sz w:val="21"/>
                <w:szCs w:val="21"/>
                <w:vertAlign w:val="baseline"/>
                <w:lang w:val="en-US" w:eastAsia="zh-CN"/>
              </w:rPr>
              <w:t>①禁止引入列入《产业结构调整指导目录（2019年本）》（2021年修改）、《市场准入负面清单（2022年版）》、《长江经济带发展负面清单指南（试行，2022年版）》等相关产业政策中禁止或淘汰类项目、产品、工艺、设备；</w:t>
            </w:r>
            <w:bookmarkEnd w:id="228"/>
            <w:bookmarkEnd w:id="229"/>
          </w:p>
          <w:p w14:paraId="10FECBF6">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30" w:name="_Toc16508"/>
            <w:bookmarkStart w:id="231" w:name="_Toc29814"/>
            <w:r>
              <w:rPr>
                <w:rFonts w:hint="default" w:ascii="Times New Roman" w:hAnsi="Times New Roman" w:cs="Times New Roman"/>
                <w:b w:val="0"/>
                <w:bCs w:val="0"/>
                <w:color w:val="auto"/>
                <w:sz w:val="21"/>
                <w:szCs w:val="21"/>
                <w:vertAlign w:val="baseline"/>
                <w:lang w:val="en-US" w:eastAsia="zh-CN"/>
              </w:rPr>
              <w:t>②禁止新建、扩建法律法规和相关政策明令禁止的落后产能项目；</w:t>
            </w:r>
            <w:bookmarkEnd w:id="230"/>
            <w:bookmarkEnd w:id="231"/>
          </w:p>
          <w:p w14:paraId="12B953CD">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32" w:name="_Toc1737"/>
            <w:bookmarkStart w:id="233" w:name="_Toc1724"/>
            <w:r>
              <w:rPr>
                <w:rFonts w:hint="default" w:ascii="Times New Roman" w:hAnsi="Times New Roman" w:cs="Times New Roman"/>
                <w:b w:val="0"/>
                <w:bCs w:val="0"/>
                <w:color w:val="auto"/>
                <w:sz w:val="21"/>
                <w:szCs w:val="21"/>
                <w:vertAlign w:val="baseline"/>
                <w:lang w:val="en-US" w:eastAsia="zh-CN"/>
              </w:rPr>
              <w:t>③禁止新建、扩建不符合国家产能置换要求的严重过剩产能行业的项目；</w:t>
            </w:r>
            <w:bookmarkEnd w:id="232"/>
            <w:bookmarkEnd w:id="233"/>
            <w:r>
              <w:rPr>
                <w:rFonts w:hint="default" w:ascii="Times New Roman" w:hAnsi="Times New Roman" w:cs="Times New Roman"/>
                <w:b w:val="0"/>
                <w:bCs w:val="0"/>
                <w:color w:val="auto"/>
                <w:sz w:val="21"/>
                <w:szCs w:val="21"/>
                <w:vertAlign w:val="baseline"/>
                <w:lang w:val="en-US" w:eastAsia="zh-CN"/>
              </w:rPr>
              <w:t xml:space="preserve"> </w:t>
            </w:r>
          </w:p>
          <w:p w14:paraId="75413D8C">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34" w:name="_Toc1075"/>
            <w:bookmarkStart w:id="235" w:name="_Toc15561"/>
            <w:r>
              <w:rPr>
                <w:rFonts w:hint="default" w:ascii="Times New Roman" w:hAnsi="Times New Roman" w:cs="Times New Roman"/>
                <w:b w:val="0"/>
                <w:bCs w:val="0"/>
                <w:color w:val="auto"/>
                <w:sz w:val="21"/>
                <w:szCs w:val="21"/>
                <w:vertAlign w:val="baseline"/>
                <w:lang w:val="en-US" w:eastAsia="zh-CN"/>
              </w:rPr>
              <w:t>④禁止新建、扩建不符合要求的高耗能高排放项目；</w:t>
            </w:r>
            <w:bookmarkEnd w:id="234"/>
            <w:bookmarkEnd w:id="235"/>
            <w:r>
              <w:rPr>
                <w:rFonts w:hint="default" w:ascii="Times New Roman" w:hAnsi="Times New Roman" w:cs="Times New Roman"/>
                <w:b w:val="0"/>
                <w:bCs w:val="0"/>
                <w:color w:val="auto"/>
                <w:sz w:val="21"/>
                <w:szCs w:val="21"/>
                <w:vertAlign w:val="baseline"/>
                <w:lang w:val="en-US" w:eastAsia="zh-CN"/>
              </w:rPr>
              <w:t xml:space="preserve"> </w:t>
            </w:r>
          </w:p>
          <w:p w14:paraId="73400C3A">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36" w:name="_Toc17296"/>
            <w:bookmarkStart w:id="237" w:name="_Toc32155"/>
            <w:r>
              <w:rPr>
                <w:rFonts w:hint="default" w:ascii="Times New Roman" w:hAnsi="Times New Roman" w:cs="Times New Roman"/>
                <w:b w:val="0"/>
                <w:bCs w:val="0"/>
                <w:color w:val="auto"/>
                <w:sz w:val="21"/>
                <w:szCs w:val="21"/>
                <w:vertAlign w:val="baseline"/>
                <w:lang w:val="en-US" w:eastAsia="zh-CN"/>
              </w:rPr>
              <w:t>⑤禁止新增钢铁、焦化、电解铝、水泥和平板玻璃等产能；</w:t>
            </w:r>
            <w:bookmarkEnd w:id="236"/>
            <w:bookmarkEnd w:id="237"/>
            <w:r>
              <w:rPr>
                <w:rFonts w:hint="default" w:ascii="Times New Roman" w:hAnsi="Times New Roman" w:cs="Times New Roman"/>
                <w:b w:val="0"/>
                <w:bCs w:val="0"/>
                <w:color w:val="auto"/>
                <w:sz w:val="21"/>
                <w:szCs w:val="21"/>
                <w:vertAlign w:val="baseline"/>
                <w:lang w:val="en-US" w:eastAsia="zh-CN"/>
              </w:rPr>
              <w:t xml:space="preserve"> </w:t>
            </w:r>
          </w:p>
          <w:p w14:paraId="108061F1">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38" w:name="_Toc9685"/>
            <w:bookmarkStart w:id="239" w:name="_Toc21671"/>
            <w:r>
              <w:rPr>
                <w:rFonts w:hint="default" w:ascii="Times New Roman" w:hAnsi="Times New Roman" w:cs="Times New Roman"/>
                <w:b w:val="0"/>
                <w:bCs w:val="0"/>
                <w:color w:val="auto"/>
                <w:sz w:val="21"/>
                <w:szCs w:val="21"/>
                <w:vertAlign w:val="baseline"/>
                <w:lang w:val="en-US" w:eastAsia="zh-CN"/>
              </w:rPr>
              <w:t>⑥禁止新建《淮北市危险化学品禁止、限制和控制性目录》在附件 1</w:t>
            </w:r>
            <w:r>
              <w:rPr>
                <w:rFonts w:hint="eastAsia" w:ascii="宋体" w:hAnsi="宋体" w:eastAsia="宋体" w:cs="宋体"/>
                <w:b w:val="0"/>
                <w:bCs w:val="0"/>
                <w:color w:val="auto"/>
                <w:sz w:val="21"/>
                <w:szCs w:val="21"/>
                <w:vertAlign w:val="baseline"/>
                <w:lang w:val="en-US" w:eastAsia="zh-CN"/>
              </w:rPr>
              <w:t>“淮北市禁止生产的危险化学品目录 （试行）”所列危险</w:t>
            </w:r>
            <w:r>
              <w:rPr>
                <w:rFonts w:hint="default" w:ascii="Times New Roman" w:hAnsi="Times New Roman" w:cs="Times New Roman"/>
                <w:b w:val="0"/>
                <w:bCs w:val="0"/>
                <w:color w:val="auto"/>
                <w:sz w:val="21"/>
                <w:szCs w:val="21"/>
                <w:vertAlign w:val="baseline"/>
                <w:lang w:val="en-US" w:eastAsia="zh-CN"/>
              </w:rPr>
              <w:t>化学品，主要包括了剧毒化学品、监控化学品以及国家明令淘汰的高毒高残留化学品；</w:t>
            </w:r>
            <w:bookmarkEnd w:id="238"/>
            <w:bookmarkEnd w:id="239"/>
            <w:r>
              <w:rPr>
                <w:rFonts w:hint="default" w:ascii="Times New Roman" w:hAnsi="Times New Roman" w:cs="Times New Roman"/>
                <w:b w:val="0"/>
                <w:bCs w:val="0"/>
                <w:color w:val="auto"/>
                <w:sz w:val="21"/>
                <w:szCs w:val="21"/>
                <w:vertAlign w:val="baseline"/>
                <w:lang w:val="en-US" w:eastAsia="zh-CN"/>
              </w:rPr>
              <w:t xml:space="preserve"> </w:t>
            </w:r>
          </w:p>
          <w:p w14:paraId="44CCEFAC">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40" w:name="_Toc31653"/>
            <w:bookmarkStart w:id="241" w:name="_Toc2154"/>
            <w:r>
              <w:rPr>
                <w:rFonts w:hint="default" w:ascii="Times New Roman" w:hAnsi="Times New Roman" w:cs="Times New Roman"/>
                <w:b w:val="0"/>
                <w:bCs w:val="0"/>
                <w:color w:val="auto"/>
                <w:sz w:val="21"/>
                <w:szCs w:val="21"/>
                <w:vertAlign w:val="baseline"/>
                <w:lang w:val="en-US" w:eastAsia="zh-CN"/>
              </w:rPr>
              <w:t>⑦主要禁止引入尚需自行锅炉的企业入区，引进项目必须使用清洁能源或实施集中供热；</w:t>
            </w:r>
            <w:bookmarkEnd w:id="240"/>
            <w:bookmarkEnd w:id="241"/>
            <w:r>
              <w:rPr>
                <w:rFonts w:hint="default" w:ascii="Times New Roman" w:hAnsi="Times New Roman" w:cs="Times New Roman"/>
                <w:b w:val="0"/>
                <w:bCs w:val="0"/>
                <w:color w:val="auto"/>
                <w:sz w:val="21"/>
                <w:szCs w:val="21"/>
                <w:vertAlign w:val="baseline"/>
                <w:lang w:val="en-US" w:eastAsia="zh-CN"/>
              </w:rPr>
              <w:t xml:space="preserve"> </w:t>
            </w:r>
          </w:p>
          <w:p w14:paraId="5EB7D644">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42" w:name="_Toc15602"/>
            <w:bookmarkStart w:id="243" w:name="_Toc24695"/>
            <w:r>
              <w:rPr>
                <w:rFonts w:hint="default" w:ascii="Times New Roman" w:hAnsi="Times New Roman" w:cs="Times New Roman"/>
                <w:b w:val="0"/>
                <w:bCs w:val="0"/>
                <w:color w:val="auto"/>
                <w:sz w:val="21"/>
                <w:szCs w:val="21"/>
                <w:vertAlign w:val="baseline"/>
                <w:lang w:val="en-US" w:eastAsia="zh-CN"/>
              </w:rPr>
              <w:t>⑧禁止在淮河流域新建化学制浆造纸企业和印染、制革、化工、电镀、酿造等污染严重的小型企业；</w:t>
            </w:r>
            <w:bookmarkEnd w:id="242"/>
            <w:bookmarkEnd w:id="243"/>
            <w:r>
              <w:rPr>
                <w:rFonts w:hint="default" w:ascii="Times New Roman" w:hAnsi="Times New Roman" w:cs="Times New Roman"/>
                <w:b w:val="0"/>
                <w:bCs w:val="0"/>
                <w:color w:val="auto"/>
                <w:sz w:val="21"/>
                <w:szCs w:val="21"/>
                <w:vertAlign w:val="baseline"/>
                <w:lang w:val="en-US" w:eastAsia="zh-CN"/>
              </w:rPr>
              <w:t xml:space="preserve"> </w:t>
            </w:r>
          </w:p>
          <w:p w14:paraId="7C61494F">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44" w:name="_Toc18960"/>
            <w:bookmarkStart w:id="245" w:name="_Toc24888"/>
            <w:r>
              <w:rPr>
                <w:rFonts w:hint="default" w:ascii="Times New Roman" w:hAnsi="Times New Roman" w:cs="Times New Roman"/>
                <w:b w:val="0"/>
                <w:bCs w:val="0"/>
                <w:color w:val="auto"/>
                <w:sz w:val="21"/>
                <w:szCs w:val="21"/>
                <w:vertAlign w:val="baseline"/>
                <w:lang w:val="en-US" w:eastAsia="zh-CN"/>
              </w:rPr>
              <w:t>⑨考虑到区块一化工区距濉溪县主城区较近，禁止引入污染物排放量大，环境风险高的项目，禁止引入危险工艺</w:t>
            </w:r>
            <w:bookmarkEnd w:id="244"/>
            <w:bookmarkEnd w:id="245"/>
          </w:p>
          <w:p w14:paraId="7BF3ADA6">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46" w:name="_Toc27323"/>
            <w:bookmarkStart w:id="247" w:name="_Toc5318"/>
            <w:r>
              <w:rPr>
                <w:rFonts w:hint="default" w:ascii="Times New Roman" w:hAnsi="Times New Roman" w:cs="Times New Roman"/>
                <w:b w:val="0"/>
                <w:bCs w:val="0"/>
                <w:color w:val="auto"/>
                <w:sz w:val="21"/>
                <w:szCs w:val="21"/>
                <w:vertAlign w:val="baseline"/>
                <w:lang w:val="en-US" w:eastAsia="zh-CN"/>
              </w:rPr>
              <w:t>⑩现状濉溪第二污水厂已接近满负荷且区域地表水不能全面达标，建议在濉溪第二污水厂改扩建完成前禁止引入水排放量大的项目；</w:t>
            </w:r>
            <w:bookmarkEnd w:id="246"/>
            <w:bookmarkEnd w:id="247"/>
          </w:p>
          <w:p w14:paraId="6CA42FE2">
            <w:pPr>
              <w:widowControl w:val="0"/>
              <w:bidi w:val="0"/>
              <w:spacing w:line="240" w:lineRule="auto"/>
              <w:jc w:val="both"/>
              <w:outlineLvl w:val="1"/>
              <w:rPr>
                <w:rFonts w:hint="default" w:ascii="Times New Roman" w:hAnsi="Times New Roman" w:cs="Times New Roman"/>
                <w:b w:val="0"/>
                <w:bCs w:val="0"/>
                <w:color w:val="auto"/>
                <w:sz w:val="21"/>
                <w:szCs w:val="21"/>
                <w:vertAlign w:val="baseline"/>
                <w:lang w:val="en-US" w:eastAsia="zh-CN"/>
              </w:rPr>
            </w:pPr>
            <w:bookmarkStart w:id="248" w:name="_Toc28437"/>
            <w:bookmarkStart w:id="249" w:name="_Toc30562"/>
            <w:r>
              <w:rPr>
                <w:rFonts w:hint="default" w:ascii="Times New Roman" w:hAnsi="Times New Roman" w:eastAsia="宋体" w:cs="Times New Roman"/>
                <w:b w:val="0"/>
                <w:bCs w:val="0"/>
                <w:color w:val="auto"/>
                <w:sz w:val="21"/>
                <w:szCs w:val="21"/>
                <w:vertAlign w:val="baseline"/>
                <w:lang w:val="en-US" w:eastAsia="zh-CN"/>
              </w:rPr>
              <w:t>⑪</w:t>
            </w:r>
            <w:r>
              <w:rPr>
                <w:rFonts w:hint="default" w:ascii="Times New Roman" w:hAnsi="Times New Roman" w:cs="Times New Roman"/>
                <w:b w:val="0"/>
                <w:bCs w:val="0"/>
                <w:color w:val="auto"/>
                <w:sz w:val="21"/>
                <w:szCs w:val="21"/>
                <w:vertAlign w:val="baseline"/>
                <w:lang w:val="en-US" w:eastAsia="zh-CN"/>
              </w:rPr>
              <w:t>2018年~2022年淮北市PM</w:t>
            </w:r>
            <w:r>
              <w:rPr>
                <w:rFonts w:hint="default" w:ascii="Times New Roman" w:hAnsi="Times New Roman" w:cs="Times New Roman"/>
                <w:b w:val="0"/>
                <w:bCs w:val="0"/>
                <w:color w:val="auto"/>
                <w:sz w:val="21"/>
                <w:szCs w:val="21"/>
                <w:vertAlign w:val="subscript"/>
                <w:lang w:val="en-US" w:eastAsia="zh-CN"/>
              </w:rPr>
              <w:t>2.5</w:t>
            </w:r>
            <w:r>
              <w:rPr>
                <w:rFonts w:hint="default" w:ascii="Times New Roman" w:hAnsi="Times New Roman" w:cs="Times New Roman"/>
                <w:b w:val="0"/>
                <w:bCs w:val="0"/>
                <w:color w:val="auto"/>
                <w:sz w:val="21"/>
                <w:szCs w:val="21"/>
                <w:vertAlign w:val="baseline"/>
                <w:lang w:val="en-US" w:eastAsia="zh-CN"/>
              </w:rPr>
              <w:t>持续不达标，且 PM</w:t>
            </w:r>
            <w:r>
              <w:rPr>
                <w:rFonts w:hint="default" w:ascii="Times New Roman" w:hAnsi="Times New Roman" w:cs="Times New Roman"/>
                <w:b w:val="0"/>
                <w:bCs w:val="0"/>
                <w:color w:val="auto"/>
                <w:sz w:val="21"/>
                <w:szCs w:val="21"/>
                <w:vertAlign w:val="subscript"/>
                <w:lang w:val="en-US" w:eastAsia="zh-CN"/>
              </w:rPr>
              <w:t>2.5</w:t>
            </w:r>
            <w:r>
              <w:rPr>
                <w:rFonts w:hint="default" w:ascii="Times New Roman" w:hAnsi="Times New Roman" w:cs="Times New Roman"/>
                <w:b w:val="0"/>
                <w:bCs w:val="0"/>
                <w:color w:val="auto"/>
                <w:sz w:val="21"/>
                <w:szCs w:val="21"/>
                <w:vertAlign w:val="baseline"/>
                <w:lang w:val="en-US" w:eastAsia="zh-CN"/>
              </w:rPr>
              <w:t>、O</w:t>
            </w:r>
            <w:r>
              <w:rPr>
                <w:rFonts w:hint="default" w:ascii="Times New Roman" w:hAnsi="Times New Roman" w:cs="Times New Roman"/>
                <w:b w:val="0"/>
                <w:bCs w:val="0"/>
                <w:color w:val="auto"/>
                <w:sz w:val="21"/>
                <w:szCs w:val="21"/>
                <w:vertAlign w:val="subscript"/>
                <w:lang w:val="en-US" w:eastAsia="zh-CN"/>
              </w:rPr>
              <w:t>3</w:t>
            </w:r>
            <w:r>
              <w:rPr>
                <w:rFonts w:hint="default" w:ascii="Times New Roman" w:hAnsi="Times New Roman" w:cs="Times New Roman"/>
                <w:b w:val="0"/>
                <w:bCs w:val="0"/>
                <w:color w:val="auto"/>
                <w:sz w:val="21"/>
                <w:szCs w:val="21"/>
                <w:vertAlign w:val="baseline"/>
                <w:lang w:val="en-US" w:eastAsia="zh-CN"/>
              </w:rPr>
              <w:t>在2022年有反弹趋势，在环境质量持续改善前，禁止引入高污染高排放项目。</w:t>
            </w:r>
            <w:bookmarkEnd w:id="248"/>
            <w:bookmarkEnd w:id="249"/>
          </w:p>
        </w:tc>
      </w:tr>
    </w:tbl>
    <w:p w14:paraId="09C29F68">
      <w:pPr>
        <w:adjustRightInd w:val="0"/>
        <w:snapToGrid w:val="0"/>
        <w:spacing w:line="360" w:lineRule="auto"/>
        <w:jc w:val="center"/>
        <w:rPr>
          <w:rFonts w:hint="default"/>
          <w:b/>
          <w:bCs/>
          <w:color w:val="auto"/>
          <w:sz w:val="24"/>
          <w:szCs w:val="32"/>
          <w:lang w:val="en-US" w:eastAsia="zh-CN"/>
        </w:rPr>
        <w:sectPr>
          <w:pgSz w:w="16838" w:h="11906" w:orient="landscape"/>
          <w:pgMar w:top="1080" w:right="1440" w:bottom="1080" w:left="1440" w:header="1020" w:footer="992" w:gutter="0"/>
          <w:pgBorders>
            <w:top w:val="none" w:sz="0" w:space="0"/>
            <w:left w:val="none" w:sz="0" w:space="0"/>
            <w:bottom w:val="none" w:sz="0" w:space="0"/>
            <w:right w:val="none" w:sz="0" w:space="0"/>
          </w:pgBorders>
          <w:pgNumType w:fmt="numberInDash"/>
          <w:cols w:space="0" w:num="1"/>
          <w:docGrid w:type="lines" w:linePitch="304" w:charSpace="0"/>
        </w:sectPr>
      </w:pPr>
    </w:p>
    <w:p w14:paraId="2C0B3922">
      <w:pPr>
        <w:adjustRightInd w:val="0"/>
        <w:snapToGrid w:val="0"/>
        <w:spacing w:line="360" w:lineRule="auto"/>
        <w:ind w:firstLine="480" w:firstLineChars="200"/>
        <w:outlineLvl w:val="1"/>
        <w:rPr>
          <w:rFonts w:hint="eastAsia"/>
          <w:color w:val="auto"/>
          <w:sz w:val="24"/>
          <w:szCs w:val="32"/>
          <w:lang w:eastAsia="zh-CN"/>
        </w:rPr>
      </w:pPr>
      <w:bookmarkStart w:id="250" w:name="_Toc29004"/>
      <w:r>
        <w:rPr>
          <w:rFonts w:hint="eastAsia"/>
          <w:color w:val="auto"/>
          <w:sz w:val="24"/>
          <w:szCs w:val="32"/>
          <w:lang w:val="en-US" w:eastAsia="zh-CN"/>
        </w:rPr>
        <w:t>综上所述，本项目</w:t>
      </w:r>
      <w:r>
        <w:rPr>
          <w:rFonts w:hint="eastAsia"/>
          <w:color w:val="auto"/>
          <w:sz w:val="24"/>
          <w:szCs w:val="32"/>
          <w:lang w:eastAsia="zh-CN"/>
        </w:rPr>
        <w:t>行业类别为C3216有色金属冶炼，</w:t>
      </w:r>
      <w:r>
        <w:rPr>
          <w:rFonts w:hint="eastAsia"/>
          <w:color w:val="auto"/>
          <w:sz w:val="24"/>
          <w:szCs w:val="32"/>
          <w:lang w:val="en-US" w:eastAsia="zh-CN"/>
        </w:rPr>
        <w:t>属于安徽濉溪经济开发区生态环境准入清单中鼓励类项目</w:t>
      </w:r>
      <w:r>
        <w:rPr>
          <w:rFonts w:hint="eastAsia"/>
          <w:color w:val="auto"/>
          <w:sz w:val="24"/>
          <w:szCs w:val="32"/>
          <w:lang w:eastAsia="zh-CN"/>
        </w:rPr>
        <w:t>。</w:t>
      </w:r>
      <w:bookmarkEnd w:id="250"/>
    </w:p>
    <w:p w14:paraId="65173B23">
      <w:pPr>
        <w:adjustRightInd w:val="0"/>
        <w:snapToGrid w:val="0"/>
        <w:spacing w:line="360" w:lineRule="auto"/>
        <w:outlineLvl w:val="1"/>
        <w:rPr>
          <w:b/>
          <w:bCs/>
          <w:color w:val="auto"/>
          <w:sz w:val="28"/>
          <w:szCs w:val="36"/>
        </w:rPr>
      </w:pPr>
      <w:bookmarkStart w:id="251" w:name="_Toc4511"/>
      <w:r>
        <w:rPr>
          <w:b/>
          <w:bCs/>
          <w:color w:val="auto"/>
          <w:sz w:val="28"/>
          <w:szCs w:val="36"/>
        </w:rPr>
        <w:t>1.8 环境保护目标</w:t>
      </w:r>
      <w:bookmarkEnd w:id="82"/>
      <w:bookmarkEnd w:id="134"/>
      <w:bookmarkEnd w:id="251"/>
    </w:p>
    <w:p w14:paraId="4744A3E0">
      <w:pPr>
        <w:adjustRightInd w:val="0"/>
        <w:snapToGrid w:val="0"/>
        <w:spacing w:line="360" w:lineRule="auto"/>
        <w:ind w:firstLine="480" w:firstLineChars="200"/>
        <w:rPr>
          <w:color w:val="auto"/>
          <w:sz w:val="24"/>
          <w:szCs w:val="32"/>
        </w:rPr>
      </w:pPr>
      <w:r>
        <w:rPr>
          <w:color w:val="auto"/>
          <w:sz w:val="24"/>
          <w:szCs w:val="32"/>
        </w:rPr>
        <w:t>项目位于安徽</w:t>
      </w:r>
      <w:r>
        <w:rPr>
          <w:rFonts w:hint="eastAsia"/>
          <w:color w:val="auto"/>
          <w:sz w:val="24"/>
          <w:szCs w:val="32"/>
          <w:lang w:val="en-US" w:eastAsia="zh-CN"/>
        </w:rPr>
        <w:t>濉溪经济开发区内</w:t>
      </w:r>
      <w:r>
        <w:rPr>
          <w:color w:val="auto"/>
          <w:sz w:val="24"/>
          <w:szCs w:val="32"/>
        </w:rPr>
        <w:t>，</w:t>
      </w:r>
      <w:r>
        <w:rPr>
          <w:rFonts w:hint="eastAsia"/>
          <w:color w:val="auto"/>
          <w:sz w:val="24"/>
          <w:szCs w:val="32"/>
        </w:rPr>
        <w:t>根据现场调查</w:t>
      </w:r>
      <w:r>
        <w:rPr>
          <w:color w:val="auto"/>
          <w:sz w:val="24"/>
          <w:szCs w:val="32"/>
        </w:rPr>
        <w:t>，本评价区域内无历史文物古迹和风景名胜区等特殊敏感目标</w:t>
      </w:r>
      <w:r>
        <w:rPr>
          <w:rFonts w:hint="eastAsia"/>
          <w:color w:val="auto"/>
          <w:sz w:val="24"/>
          <w:szCs w:val="32"/>
        </w:rPr>
        <w:t>，后评价阶段环评报告目标与</w:t>
      </w:r>
      <w:r>
        <w:rPr>
          <w:rFonts w:hint="eastAsia"/>
          <w:color w:val="auto"/>
          <w:sz w:val="24"/>
          <w:szCs w:val="32"/>
          <w:lang w:val="en-US" w:eastAsia="zh-CN"/>
        </w:rPr>
        <w:t>原</w:t>
      </w:r>
      <w:r>
        <w:rPr>
          <w:rFonts w:hint="eastAsia"/>
          <w:color w:val="auto"/>
          <w:sz w:val="24"/>
          <w:szCs w:val="32"/>
        </w:rPr>
        <w:t>环评阶段</w:t>
      </w:r>
      <w:r>
        <w:rPr>
          <w:rFonts w:hint="eastAsia"/>
          <w:color w:val="auto"/>
          <w:sz w:val="24"/>
          <w:szCs w:val="32"/>
          <w:lang w:val="en-US" w:eastAsia="zh-CN"/>
        </w:rPr>
        <w:t>环境</w:t>
      </w:r>
      <w:r>
        <w:rPr>
          <w:rFonts w:hint="eastAsia"/>
          <w:color w:val="auto"/>
          <w:sz w:val="24"/>
          <w:szCs w:val="32"/>
        </w:rPr>
        <w:t>保护目标</w:t>
      </w:r>
      <w:r>
        <w:rPr>
          <w:rFonts w:hint="eastAsia"/>
          <w:color w:val="auto"/>
          <w:sz w:val="24"/>
          <w:szCs w:val="32"/>
          <w:lang w:val="en-US" w:eastAsia="zh-CN"/>
        </w:rPr>
        <w:t>发生变化，大气评价范围内的梁庄、王埝村、戚牌坊现已拆迁，</w:t>
      </w:r>
      <w:r>
        <w:rPr>
          <w:color w:val="auto"/>
          <w:sz w:val="24"/>
          <w:szCs w:val="32"/>
        </w:rPr>
        <w:t>具体情况见下表，详见下图：</w:t>
      </w:r>
    </w:p>
    <w:p w14:paraId="2F4FB360">
      <w:pPr>
        <w:adjustRightInd w:val="0"/>
        <w:snapToGrid w:val="0"/>
        <w:spacing w:line="360" w:lineRule="auto"/>
        <w:jc w:val="center"/>
        <w:rPr>
          <w:b/>
          <w:bCs/>
          <w:color w:val="auto"/>
          <w:sz w:val="24"/>
          <w:szCs w:val="32"/>
        </w:rPr>
      </w:pPr>
      <w:r>
        <w:rPr>
          <w:b/>
          <w:bCs/>
          <w:color w:val="auto"/>
          <w:sz w:val="24"/>
          <w:szCs w:val="32"/>
        </w:rPr>
        <w:t>表1-</w:t>
      </w:r>
      <w:r>
        <w:rPr>
          <w:rFonts w:hint="eastAsia"/>
          <w:b/>
          <w:bCs/>
          <w:color w:val="auto"/>
          <w:sz w:val="24"/>
          <w:szCs w:val="32"/>
          <w:lang w:val="en-US" w:eastAsia="zh-CN"/>
        </w:rPr>
        <w:t>18</w:t>
      </w:r>
      <w:r>
        <w:rPr>
          <w:b/>
          <w:bCs/>
          <w:color w:val="auto"/>
          <w:sz w:val="24"/>
          <w:szCs w:val="32"/>
        </w:rPr>
        <w:t xml:space="preserve"> 主要环境保护目标一览表</w:t>
      </w:r>
    </w:p>
    <w:tbl>
      <w:tblPr>
        <w:tblStyle w:val="31"/>
        <w:tblW w:w="10247" w:type="dxa"/>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Layout w:type="fixed"/>
        <w:tblCellMar>
          <w:top w:w="0" w:type="dxa"/>
          <w:left w:w="108" w:type="dxa"/>
          <w:bottom w:w="0" w:type="dxa"/>
          <w:right w:w="108" w:type="dxa"/>
        </w:tblCellMar>
      </w:tblPr>
      <w:tblGrid>
        <w:gridCol w:w="523"/>
        <w:gridCol w:w="1481"/>
        <w:gridCol w:w="732"/>
        <w:gridCol w:w="733"/>
        <w:gridCol w:w="1867"/>
        <w:gridCol w:w="1018"/>
        <w:gridCol w:w="1733"/>
        <w:gridCol w:w="1000"/>
        <w:gridCol w:w="1160"/>
      </w:tblGrid>
      <w:tr w14:paraId="71AD41B9">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tblHeader/>
          <w:jc w:val="center"/>
        </w:trPr>
        <w:tc>
          <w:tcPr>
            <w:tcW w:w="523" w:type="dxa"/>
            <w:vMerge w:val="restart"/>
            <w:tcBorders>
              <w:tl2br w:val="nil"/>
              <w:tr2bl w:val="nil"/>
            </w:tcBorders>
            <w:shd w:val="clear" w:color="auto" w:fill="auto"/>
            <w:vAlign w:val="center"/>
          </w:tcPr>
          <w:p w14:paraId="55987C79">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序号</w:t>
            </w:r>
          </w:p>
        </w:tc>
        <w:tc>
          <w:tcPr>
            <w:tcW w:w="1481" w:type="dxa"/>
            <w:vMerge w:val="restart"/>
            <w:tcBorders>
              <w:tl2br w:val="nil"/>
              <w:tr2bl w:val="nil"/>
            </w:tcBorders>
            <w:shd w:val="clear" w:color="auto" w:fill="auto"/>
            <w:vAlign w:val="center"/>
          </w:tcPr>
          <w:p w14:paraId="01931B9C">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环境保护目标名称</w:t>
            </w:r>
          </w:p>
        </w:tc>
        <w:tc>
          <w:tcPr>
            <w:tcW w:w="1465" w:type="dxa"/>
            <w:gridSpan w:val="2"/>
            <w:tcBorders>
              <w:tl2br w:val="nil"/>
              <w:tr2bl w:val="nil"/>
            </w:tcBorders>
            <w:shd w:val="clear" w:color="auto" w:fill="auto"/>
            <w:vAlign w:val="center"/>
          </w:tcPr>
          <w:p w14:paraId="6A6855B2">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坐标/m</w:t>
            </w:r>
          </w:p>
        </w:tc>
        <w:tc>
          <w:tcPr>
            <w:tcW w:w="1867" w:type="dxa"/>
            <w:vMerge w:val="restart"/>
            <w:tcBorders>
              <w:tl2br w:val="nil"/>
              <w:tr2bl w:val="nil"/>
            </w:tcBorders>
            <w:shd w:val="clear" w:color="auto" w:fill="auto"/>
            <w:vAlign w:val="center"/>
          </w:tcPr>
          <w:p w14:paraId="53E676FC">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保护对象规模</w:t>
            </w:r>
          </w:p>
        </w:tc>
        <w:tc>
          <w:tcPr>
            <w:tcW w:w="1018" w:type="dxa"/>
            <w:vMerge w:val="restart"/>
            <w:tcBorders>
              <w:tl2br w:val="nil"/>
              <w:tr2bl w:val="nil"/>
            </w:tcBorders>
            <w:shd w:val="clear" w:color="auto" w:fill="auto"/>
            <w:vAlign w:val="center"/>
          </w:tcPr>
          <w:p w14:paraId="1BE09EA1">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保护内容</w:t>
            </w:r>
          </w:p>
        </w:tc>
        <w:tc>
          <w:tcPr>
            <w:tcW w:w="1733" w:type="dxa"/>
            <w:vMerge w:val="restart"/>
            <w:tcBorders>
              <w:tl2br w:val="nil"/>
              <w:tr2bl w:val="nil"/>
            </w:tcBorders>
            <w:shd w:val="clear" w:color="auto" w:fill="auto"/>
            <w:vAlign w:val="center"/>
          </w:tcPr>
          <w:p w14:paraId="3DD34160">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环境功能区</w:t>
            </w:r>
          </w:p>
        </w:tc>
        <w:tc>
          <w:tcPr>
            <w:tcW w:w="1000" w:type="dxa"/>
            <w:vMerge w:val="restart"/>
            <w:tcBorders>
              <w:tl2br w:val="nil"/>
              <w:tr2bl w:val="nil"/>
            </w:tcBorders>
            <w:shd w:val="clear" w:color="auto" w:fill="auto"/>
            <w:vAlign w:val="center"/>
          </w:tcPr>
          <w:p w14:paraId="383C4322">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相对厂区方位</w:t>
            </w:r>
          </w:p>
        </w:tc>
        <w:tc>
          <w:tcPr>
            <w:tcW w:w="1160" w:type="dxa"/>
            <w:vMerge w:val="restart"/>
            <w:tcBorders>
              <w:tl2br w:val="nil"/>
              <w:tr2bl w:val="nil"/>
            </w:tcBorders>
            <w:shd w:val="clear" w:color="auto" w:fill="auto"/>
            <w:vAlign w:val="center"/>
          </w:tcPr>
          <w:p w14:paraId="71EDA063">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相对厂界距离/m</w:t>
            </w:r>
          </w:p>
        </w:tc>
      </w:tr>
      <w:tr w14:paraId="4EBA9A5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83" w:hRule="atLeast"/>
          <w:tblHeader/>
          <w:jc w:val="center"/>
        </w:trPr>
        <w:tc>
          <w:tcPr>
            <w:tcW w:w="523" w:type="dxa"/>
            <w:vMerge w:val="continue"/>
            <w:tcBorders>
              <w:tl2br w:val="nil"/>
              <w:tr2bl w:val="nil"/>
            </w:tcBorders>
            <w:shd w:val="clear" w:color="auto" w:fill="auto"/>
            <w:vAlign w:val="center"/>
          </w:tcPr>
          <w:p w14:paraId="04F7CAAD">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p>
        </w:tc>
        <w:tc>
          <w:tcPr>
            <w:tcW w:w="1481" w:type="dxa"/>
            <w:vMerge w:val="continue"/>
            <w:tcBorders>
              <w:tl2br w:val="nil"/>
              <w:tr2bl w:val="nil"/>
            </w:tcBorders>
            <w:shd w:val="clear" w:color="auto" w:fill="auto"/>
            <w:vAlign w:val="center"/>
          </w:tcPr>
          <w:p w14:paraId="782CA518">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p>
        </w:tc>
        <w:tc>
          <w:tcPr>
            <w:tcW w:w="732" w:type="dxa"/>
            <w:tcBorders>
              <w:tl2br w:val="nil"/>
              <w:tr2bl w:val="nil"/>
            </w:tcBorders>
            <w:shd w:val="clear" w:color="auto" w:fill="auto"/>
            <w:vAlign w:val="center"/>
          </w:tcPr>
          <w:p w14:paraId="20FED530">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X</w:t>
            </w:r>
          </w:p>
        </w:tc>
        <w:tc>
          <w:tcPr>
            <w:tcW w:w="733" w:type="dxa"/>
            <w:tcBorders>
              <w:tl2br w:val="nil"/>
              <w:tr2bl w:val="nil"/>
            </w:tcBorders>
            <w:shd w:val="clear" w:color="auto" w:fill="auto"/>
            <w:vAlign w:val="center"/>
          </w:tcPr>
          <w:p w14:paraId="1106A180">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Y</w:t>
            </w:r>
          </w:p>
        </w:tc>
        <w:tc>
          <w:tcPr>
            <w:tcW w:w="1867" w:type="dxa"/>
            <w:vMerge w:val="continue"/>
            <w:tcBorders>
              <w:tl2br w:val="nil"/>
              <w:tr2bl w:val="nil"/>
            </w:tcBorders>
            <w:shd w:val="clear" w:color="auto" w:fill="auto"/>
            <w:vAlign w:val="center"/>
          </w:tcPr>
          <w:p w14:paraId="091C9D04">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p>
        </w:tc>
        <w:tc>
          <w:tcPr>
            <w:tcW w:w="1018" w:type="dxa"/>
            <w:vMerge w:val="continue"/>
            <w:tcBorders>
              <w:tl2br w:val="nil"/>
              <w:tr2bl w:val="nil"/>
            </w:tcBorders>
            <w:shd w:val="clear" w:color="auto" w:fill="auto"/>
            <w:vAlign w:val="center"/>
          </w:tcPr>
          <w:p w14:paraId="000AFAB1">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p>
        </w:tc>
        <w:tc>
          <w:tcPr>
            <w:tcW w:w="1733" w:type="dxa"/>
            <w:vMerge w:val="continue"/>
            <w:tcBorders>
              <w:tl2br w:val="nil"/>
              <w:tr2bl w:val="nil"/>
            </w:tcBorders>
            <w:shd w:val="clear" w:color="auto" w:fill="auto"/>
            <w:vAlign w:val="center"/>
          </w:tcPr>
          <w:p w14:paraId="398B959E">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p>
        </w:tc>
        <w:tc>
          <w:tcPr>
            <w:tcW w:w="1000" w:type="dxa"/>
            <w:vMerge w:val="continue"/>
            <w:tcBorders>
              <w:tl2br w:val="nil"/>
              <w:tr2bl w:val="nil"/>
            </w:tcBorders>
            <w:shd w:val="clear" w:color="auto" w:fill="auto"/>
            <w:vAlign w:val="center"/>
          </w:tcPr>
          <w:p w14:paraId="546D9372">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p>
        </w:tc>
        <w:tc>
          <w:tcPr>
            <w:tcW w:w="1160" w:type="dxa"/>
            <w:vMerge w:val="continue"/>
            <w:tcBorders>
              <w:tl2br w:val="nil"/>
              <w:tr2bl w:val="nil"/>
            </w:tcBorders>
            <w:shd w:val="clear" w:color="auto" w:fill="auto"/>
            <w:vAlign w:val="center"/>
          </w:tcPr>
          <w:p w14:paraId="549ADBAF">
            <w:pPr>
              <w:bidi w:val="0"/>
              <w:snapToGrid w:val="0"/>
              <w:spacing w:line="240" w:lineRule="auto"/>
              <w:ind w:left="0" w:leftChars="0" w:right="0" w:rightChars="0" w:firstLine="0" w:firstLineChars="0"/>
              <w:jc w:val="center"/>
              <w:rPr>
                <w:rFonts w:hint="default" w:ascii="Times New Roman" w:hAnsi="Times New Roman" w:cs="Times New Roman"/>
                <w:b/>
                <w:color w:val="auto"/>
                <w:sz w:val="21"/>
                <w:szCs w:val="21"/>
              </w:rPr>
            </w:pPr>
          </w:p>
        </w:tc>
      </w:tr>
      <w:tr w14:paraId="4B4D43B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4A33D6FC">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w:t>
            </w:r>
          </w:p>
        </w:tc>
        <w:tc>
          <w:tcPr>
            <w:tcW w:w="1481" w:type="dxa"/>
            <w:tcBorders>
              <w:tl2br w:val="nil"/>
              <w:tr2bl w:val="nil"/>
            </w:tcBorders>
            <w:shd w:val="clear" w:color="auto" w:fill="auto"/>
            <w:vAlign w:val="center"/>
          </w:tcPr>
          <w:p w14:paraId="757AD09D">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赵</w:t>
            </w:r>
            <w:r>
              <w:rPr>
                <w:rFonts w:hint="eastAsia" w:ascii="Times New Roman" w:hAnsi="Times New Roman" w:cs="Times New Roman"/>
                <w:color w:val="auto"/>
                <w:sz w:val="21"/>
                <w:szCs w:val="21"/>
                <w:lang w:val="en-US" w:eastAsia="zh-CN"/>
              </w:rPr>
              <w:t>楼村</w:t>
            </w:r>
          </w:p>
        </w:tc>
        <w:tc>
          <w:tcPr>
            <w:tcW w:w="732" w:type="dxa"/>
            <w:tcBorders>
              <w:tl2br w:val="nil"/>
              <w:tr2bl w:val="nil"/>
            </w:tcBorders>
            <w:shd w:val="clear" w:color="auto" w:fill="auto"/>
            <w:vAlign w:val="center"/>
          </w:tcPr>
          <w:p w14:paraId="23B60FC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865</w:t>
            </w:r>
          </w:p>
        </w:tc>
        <w:tc>
          <w:tcPr>
            <w:tcW w:w="733" w:type="dxa"/>
            <w:tcBorders>
              <w:tl2br w:val="nil"/>
              <w:tr2bl w:val="nil"/>
            </w:tcBorders>
            <w:shd w:val="clear" w:color="auto" w:fill="auto"/>
            <w:vAlign w:val="center"/>
          </w:tcPr>
          <w:p w14:paraId="11EB9600">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1867" w:type="dxa"/>
            <w:tcBorders>
              <w:top w:val="single" w:color="auto" w:sz="4" w:space="0"/>
              <w:tl2br w:val="nil"/>
              <w:tr2bl w:val="nil"/>
            </w:tcBorders>
            <w:shd w:val="clear" w:color="auto" w:fill="auto"/>
            <w:vAlign w:val="center"/>
          </w:tcPr>
          <w:p w14:paraId="5A7895E6">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约</w:t>
            </w:r>
            <w:r>
              <w:rPr>
                <w:rFonts w:hint="eastAsia" w:cs="Times New Roman"/>
                <w:color w:val="auto"/>
                <w:sz w:val="21"/>
                <w:szCs w:val="21"/>
                <w:lang w:val="en-US" w:eastAsia="zh-CN"/>
              </w:rPr>
              <w:t>113</w:t>
            </w:r>
            <w:r>
              <w:rPr>
                <w:rFonts w:hint="default" w:ascii="Times New Roman" w:hAnsi="Times New Roman" w:cs="Times New Roman"/>
                <w:color w:val="auto"/>
                <w:sz w:val="21"/>
                <w:szCs w:val="21"/>
                <w:lang w:val="en-US" w:eastAsia="zh-CN"/>
              </w:rPr>
              <w:t>户/</w:t>
            </w:r>
            <w:r>
              <w:rPr>
                <w:rFonts w:hint="eastAsia" w:cs="Times New Roman"/>
                <w:color w:val="auto"/>
                <w:sz w:val="21"/>
                <w:szCs w:val="21"/>
                <w:lang w:val="en-US" w:eastAsia="zh-CN"/>
              </w:rPr>
              <w:t>400</w:t>
            </w:r>
            <w:r>
              <w:rPr>
                <w:rFonts w:hint="default" w:ascii="Times New Roman" w:hAnsi="Times New Roman" w:cs="Times New Roman"/>
                <w:color w:val="auto"/>
                <w:sz w:val="21"/>
                <w:szCs w:val="21"/>
                <w:lang w:val="en-US" w:eastAsia="zh-CN"/>
              </w:rPr>
              <w:t>人</w:t>
            </w:r>
          </w:p>
        </w:tc>
        <w:tc>
          <w:tcPr>
            <w:tcW w:w="1018" w:type="dxa"/>
            <w:vMerge w:val="restart"/>
            <w:tcBorders>
              <w:top w:val="single" w:color="auto" w:sz="4" w:space="0"/>
              <w:tl2br w:val="nil"/>
              <w:tr2bl w:val="nil"/>
            </w:tcBorders>
            <w:shd w:val="clear" w:color="auto" w:fill="auto"/>
            <w:vAlign w:val="center"/>
          </w:tcPr>
          <w:p w14:paraId="2F4E5762">
            <w:pPr>
              <w:bidi w:val="0"/>
              <w:snapToGrid w:val="0"/>
              <w:spacing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环境空气</w:t>
            </w:r>
          </w:p>
        </w:tc>
        <w:tc>
          <w:tcPr>
            <w:tcW w:w="1733" w:type="dxa"/>
            <w:vMerge w:val="restart"/>
            <w:tcBorders>
              <w:top w:val="single" w:color="auto" w:sz="4" w:space="0"/>
              <w:tl2br w:val="nil"/>
              <w:tr2bl w:val="nil"/>
            </w:tcBorders>
            <w:shd w:val="clear" w:color="auto" w:fill="auto"/>
            <w:vAlign w:val="center"/>
          </w:tcPr>
          <w:p w14:paraId="2B4C5530">
            <w:pPr>
              <w:bidi w:val="0"/>
              <w:snapToGrid w:val="0"/>
              <w:spacing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GB3095-2012</w:t>
            </w:r>
          </w:p>
        </w:tc>
        <w:tc>
          <w:tcPr>
            <w:tcW w:w="1000" w:type="dxa"/>
            <w:tcBorders>
              <w:tl2br w:val="nil"/>
              <w:tr2bl w:val="nil"/>
            </w:tcBorders>
            <w:shd w:val="clear" w:color="auto" w:fill="auto"/>
            <w:vAlign w:val="center"/>
          </w:tcPr>
          <w:p w14:paraId="3782B3A6">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w:t>
            </w:r>
          </w:p>
        </w:tc>
        <w:tc>
          <w:tcPr>
            <w:tcW w:w="1160" w:type="dxa"/>
            <w:tcBorders>
              <w:tl2br w:val="nil"/>
              <w:tr2bl w:val="nil"/>
            </w:tcBorders>
            <w:shd w:val="clear" w:color="auto" w:fill="auto"/>
            <w:vAlign w:val="center"/>
          </w:tcPr>
          <w:p w14:paraId="2755DDE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880</w:t>
            </w:r>
          </w:p>
        </w:tc>
      </w:tr>
      <w:tr w14:paraId="27536A6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2D995C36">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2</w:t>
            </w:r>
          </w:p>
        </w:tc>
        <w:tc>
          <w:tcPr>
            <w:tcW w:w="1481" w:type="dxa"/>
            <w:tcBorders>
              <w:tl2br w:val="nil"/>
              <w:tr2bl w:val="nil"/>
            </w:tcBorders>
            <w:shd w:val="clear" w:color="auto" w:fill="auto"/>
            <w:vAlign w:val="center"/>
          </w:tcPr>
          <w:p w14:paraId="11126FB8">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杜庄</w:t>
            </w:r>
          </w:p>
        </w:tc>
        <w:tc>
          <w:tcPr>
            <w:tcW w:w="732" w:type="dxa"/>
            <w:tcBorders>
              <w:tl2br w:val="nil"/>
              <w:tr2bl w:val="nil"/>
            </w:tcBorders>
            <w:shd w:val="clear" w:color="auto" w:fill="auto"/>
            <w:vAlign w:val="center"/>
          </w:tcPr>
          <w:p w14:paraId="1D3F718F">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1307</w:t>
            </w:r>
          </w:p>
        </w:tc>
        <w:tc>
          <w:tcPr>
            <w:tcW w:w="733" w:type="dxa"/>
            <w:tcBorders>
              <w:tl2br w:val="nil"/>
              <w:tr2bl w:val="nil"/>
            </w:tcBorders>
            <w:shd w:val="clear" w:color="auto" w:fill="auto"/>
            <w:vAlign w:val="center"/>
          </w:tcPr>
          <w:p w14:paraId="6836DF08">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417</w:t>
            </w:r>
          </w:p>
        </w:tc>
        <w:tc>
          <w:tcPr>
            <w:tcW w:w="1867" w:type="dxa"/>
            <w:tcBorders>
              <w:tl2br w:val="nil"/>
              <w:tr2bl w:val="nil"/>
            </w:tcBorders>
            <w:shd w:val="clear" w:color="auto" w:fill="auto"/>
            <w:vAlign w:val="center"/>
          </w:tcPr>
          <w:p w14:paraId="22172360">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约</w:t>
            </w:r>
            <w:r>
              <w:rPr>
                <w:rFonts w:hint="eastAsia" w:cs="Times New Roman"/>
                <w:color w:val="auto"/>
                <w:sz w:val="21"/>
                <w:szCs w:val="21"/>
                <w:lang w:val="en-US" w:eastAsia="zh-CN"/>
              </w:rPr>
              <w:t>95</w:t>
            </w:r>
            <w:r>
              <w:rPr>
                <w:rFonts w:hint="default" w:ascii="Times New Roman" w:hAnsi="Times New Roman" w:cs="Times New Roman"/>
                <w:color w:val="auto"/>
                <w:sz w:val="21"/>
                <w:szCs w:val="21"/>
                <w:lang w:val="en-US" w:eastAsia="zh-CN"/>
              </w:rPr>
              <w:t>户/</w:t>
            </w:r>
            <w:r>
              <w:rPr>
                <w:rFonts w:hint="eastAsia" w:cs="Times New Roman"/>
                <w:color w:val="auto"/>
                <w:sz w:val="21"/>
                <w:szCs w:val="21"/>
                <w:lang w:val="en-US" w:eastAsia="zh-CN"/>
              </w:rPr>
              <w:t>333</w:t>
            </w:r>
            <w:r>
              <w:rPr>
                <w:rFonts w:hint="default" w:ascii="Times New Roman" w:hAnsi="Times New Roman" w:cs="Times New Roman"/>
                <w:color w:val="auto"/>
                <w:sz w:val="21"/>
                <w:szCs w:val="21"/>
                <w:lang w:val="en-US" w:eastAsia="zh-CN"/>
              </w:rPr>
              <w:t>人</w:t>
            </w:r>
          </w:p>
        </w:tc>
        <w:tc>
          <w:tcPr>
            <w:tcW w:w="1018" w:type="dxa"/>
            <w:vMerge w:val="continue"/>
            <w:tcBorders>
              <w:tl2br w:val="nil"/>
              <w:tr2bl w:val="nil"/>
            </w:tcBorders>
            <w:shd w:val="clear" w:color="auto" w:fill="auto"/>
            <w:vAlign w:val="center"/>
          </w:tcPr>
          <w:p w14:paraId="1E697AF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04A4E7E8">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307E75F">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NW</w:t>
            </w:r>
          </w:p>
        </w:tc>
        <w:tc>
          <w:tcPr>
            <w:tcW w:w="1160" w:type="dxa"/>
            <w:tcBorders>
              <w:tl2br w:val="nil"/>
              <w:tr2bl w:val="nil"/>
            </w:tcBorders>
            <w:shd w:val="clear" w:color="auto" w:fill="auto"/>
            <w:vAlign w:val="center"/>
          </w:tcPr>
          <w:p w14:paraId="63C88F0D">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1434</w:t>
            </w:r>
          </w:p>
        </w:tc>
      </w:tr>
      <w:tr w14:paraId="6E23635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43A905D8">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w:t>
            </w:r>
          </w:p>
        </w:tc>
        <w:tc>
          <w:tcPr>
            <w:tcW w:w="1481" w:type="dxa"/>
            <w:tcBorders>
              <w:tl2br w:val="nil"/>
              <w:tr2bl w:val="nil"/>
            </w:tcBorders>
            <w:shd w:val="clear" w:color="auto" w:fill="auto"/>
            <w:vAlign w:val="center"/>
          </w:tcPr>
          <w:p w14:paraId="3A50E634">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小城村</w:t>
            </w:r>
          </w:p>
        </w:tc>
        <w:tc>
          <w:tcPr>
            <w:tcW w:w="732" w:type="dxa"/>
            <w:tcBorders>
              <w:tl2br w:val="nil"/>
              <w:tr2bl w:val="nil"/>
            </w:tcBorders>
            <w:shd w:val="clear" w:color="auto" w:fill="auto"/>
            <w:vAlign w:val="center"/>
          </w:tcPr>
          <w:p w14:paraId="74D5A1C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1748</w:t>
            </w:r>
          </w:p>
        </w:tc>
        <w:tc>
          <w:tcPr>
            <w:tcW w:w="733" w:type="dxa"/>
            <w:tcBorders>
              <w:tl2br w:val="nil"/>
              <w:tr2bl w:val="nil"/>
            </w:tcBorders>
            <w:shd w:val="clear" w:color="auto" w:fill="auto"/>
            <w:vAlign w:val="center"/>
          </w:tcPr>
          <w:p w14:paraId="141A9BD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512</w:t>
            </w:r>
          </w:p>
        </w:tc>
        <w:tc>
          <w:tcPr>
            <w:tcW w:w="1867" w:type="dxa"/>
            <w:tcBorders>
              <w:tl2br w:val="nil"/>
              <w:tr2bl w:val="nil"/>
            </w:tcBorders>
            <w:shd w:val="clear" w:color="auto" w:fill="auto"/>
            <w:vAlign w:val="center"/>
          </w:tcPr>
          <w:p w14:paraId="2B7DF69D">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约</w:t>
            </w:r>
            <w:r>
              <w:rPr>
                <w:rFonts w:hint="eastAsia" w:cs="Times New Roman"/>
                <w:color w:val="auto"/>
                <w:sz w:val="21"/>
                <w:szCs w:val="21"/>
                <w:lang w:val="en-US" w:eastAsia="zh-CN"/>
              </w:rPr>
              <w:t>4000</w:t>
            </w:r>
            <w:r>
              <w:rPr>
                <w:rFonts w:hint="default" w:ascii="Times New Roman" w:hAnsi="Times New Roman" w:cs="Times New Roman"/>
                <w:color w:val="auto"/>
                <w:sz w:val="21"/>
                <w:szCs w:val="21"/>
                <w:lang w:val="en-US" w:eastAsia="zh-CN"/>
              </w:rPr>
              <w:t>人</w:t>
            </w:r>
          </w:p>
        </w:tc>
        <w:tc>
          <w:tcPr>
            <w:tcW w:w="1018" w:type="dxa"/>
            <w:vMerge w:val="continue"/>
            <w:tcBorders>
              <w:tl2br w:val="nil"/>
              <w:tr2bl w:val="nil"/>
            </w:tcBorders>
            <w:shd w:val="clear" w:color="auto" w:fill="auto"/>
            <w:vAlign w:val="center"/>
          </w:tcPr>
          <w:p w14:paraId="7A2AE20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0EF0143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B1A55BF">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NW</w:t>
            </w:r>
          </w:p>
        </w:tc>
        <w:tc>
          <w:tcPr>
            <w:tcW w:w="1160" w:type="dxa"/>
            <w:tcBorders>
              <w:tl2br w:val="nil"/>
              <w:tr2bl w:val="nil"/>
            </w:tcBorders>
            <w:shd w:val="clear" w:color="auto" w:fill="auto"/>
            <w:vAlign w:val="center"/>
          </w:tcPr>
          <w:p w14:paraId="59F2C10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eastAsia="zh-CN"/>
              </w:rPr>
              <w:t>1</w:t>
            </w:r>
            <w:r>
              <w:rPr>
                <w:rFonts w:hint="eastAsia" w:cs="Times New Roman"/>
                <w:color w:val="auto"/>
                <w:sz w:val="21"/>
                <w:szCs w:val="21"/>
                <w:lang w:val="en-US" w:eastAsia="zh-CN"/>
              </w:rPr>
              <w:t>816</w:t>
            </w:r>
          </w:p>
        </w:tc>
      </w:tr>
      <w:tr w14:paraId="20951EB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268" w:hRule="atLeast"/>
          <w:jc w:val="center"/>
        </w:trPr>
        <w:tc>
          <w:tcPr>
            <w:tcW w:w="523" w:type="dxa"/>
            <w:tcBorders>
              <w:tl2br w:val="nil"/>
              <w:tr2bl w:val="nil"/>
            </w:tcBorders>
            <w:shd w:val="clear" w:color="auto" w:fill="auto"/>
            <w:vAlign w:val="center"/>
          </w:tcPr>
          <w:p w14:paraId="5CBBBF1C">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w:t>
            </w:r>
          </w:p>
        </w:tc>
        <w:tc>
          <w:tcPr>
            <w:tcW w:w="1481" w:type="dxa"/>
            <w:tcBorders>
              <w:tl2br w:val="nil"/>
              <w:tr2bl w:val="nil"/>
            </w:tcBorders>
            <w:shd w:val="clear" w:color="auto" w:fill="auto"/>
            <w:vAlign w:val="center"/>
          </w:tcPr>
          <w:p w14:paraId="57E9D156">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刘桥镇</w:t>
            </w:r>
          </w:p>
        </w:tc>
        <w:tc>
          <w:tcPr>
            <w:tcW w:w="732" w:type="dxa"/>
            <w:tcBorders>
              <w:tl2br w:val="nil"/>
              <w:tr2bl w:val="nil"/>
            </w:tcBorders>
            <w:shd w:val="clear" w:color="auto" w:fill="auto"/>
            <w:vAlign w:val="center"/>
          </w:tcPr>
          <w:p w14:paraId="33A13DA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eastAsia="zh-CN"/>
              </w:rPr>
              <w:t>-1</w:t>
            </w:r>
            <w:r>
              <w:rPr>
                <w:rFonts w:hint="eastAsia" w:cs="Times New Roman"/>
                <w:color w:val="auto"/>
                <w:sz w:val="21"/>
                <w:szCs w:val="21"/>
                <w:lang w:val="en-US" w:eastAsia="zh-CN"/>
              </w:rPr>
              <w:t>440</w:t>
            </w:r>
          </w:p>
        </w:tc>
        <w:tc>
          <w:tcPr>
            <w:tcW w:w="733" w:type="dxa"/>
            <w:tcBorders>
              <w:tl2br w:val="nil"/>
              <w:tr2bl w:val="nil"/>
            </w:tcBorders>
            <w:shd w:val="clear" w:color="auto" w:fill="auto"/>
            <w:vAlign w:val="center"/>
          </w:tcPr>
          <w:p w14:paraId="16E4F2A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924</w:t>
            </w:r>
          </w:p>
        </w:tc>
        <w:tc>
          <w:tcPr>
            <w:tcW w:w="1867" w:type="dxa"/>
            <w:tcBorders>
              <w:tl2br w:val="nil"/>
              <w:tr2bl w:val="nil"/>
            </w:tcBorders>
            <w:shd w:val="clear" w:color="auto" w:fill="auto"/>
            <w:vAlign w:val="center"/>
          </w:tcPr>
          <w:p w14:paraId="3F40619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约</w:t>
            </w:r>
            <w:r>
              <w:rPr>
                <w:rFonts w:hint="eastAsia" w:cs="Times New Roman"/>
                <w:color w:val="auto"/>
                <w:sz w:val="21"/>
                <w:szCs w:val="21"/>
                <w:lang w:val="en-US" w:eastAsia="zh-CN"/>
              </w:rPr>
              <w:t>7000</w:t>
            </w:r>
            <w:r>
              <w:rPr>
                <w:rFonts w:hint="default" w:ascii="Times New Roman" w:hAnsi="Times New Roman" w:cs="Times New Roman"/>
                <w:color w:val="auto"/>
                <w:sz w:val="21"/>
                <w:szCs w:val="21"/>
                <w:lang w:val="en-US" w:eastAsia="zh-CN"/>
              </w:rPr>
              <w:t>人</w:t>
            </w:r>
          </w:p>
        </w:tc>
        <w:tc>
          <w:tcPr>
            <w:tcW w:w="1018" w:type="dxa"/>
            <w:vMerge w:val="continue"/>
            <w:tcBorders>
              <w:tl2br w:val="nil"/>
              <w:tr2bl w:val="nil"/>
            </w:tcBorders>
            <w:shd w:val="clear" w:color="auto" w:fill="auto"/>
            <w:vAlign w:val="center"/>
          </w:tcPr>
          <w:p w14:paraId="1443A19E">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14F4CC6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6DC3B5E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NW</w:t>
            </w:r>
          </w:p>
        </w:tc>
        <w:tc>
          <w:tcPr>
            <w:tcW w:w="1160" w:type="dxa"/>
            <w:tcBorders>
              <w:tl2br w:val="nil"/>
              <w:tr2bl w:val="nil"/>
            </w:tcBorders>
            <w:shd w:val="clear" w:color="auto" w:fill="auto"/>
            <w:vAlign w:val="center"/>
          </w:tcPr>
          <w:p w14:paraId="67017ABC">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1695</w:t>
            </w:r>
          </w:p>
        </w:tc>
      </w:tr>
      <w:tr w14:paraId="1800472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2445A865">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w:t>
            </w:r>
          </w:p>
        </w:tc>
        <w:tc>
          <w:tcPr>
            <w:tcW w:w="1481" w:type="dxa"/>
            <w:tcBorders>
              <w:tl2br w:val="nil"/>
              <w:tr2bl w:val="nil"/>
            </w:tcBorders>
            <w:shd w:val="clear" w:color="auto" w:fill="auto"/>
            <w:vAlign w:val="center"/>
          </w:tcPr>
          <w:p w14:paraId="06A90FCE">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张演庄</w:t>
            </w:r>
          </w:p>
        </w:tc>
        <w:tc>
          <w:tcPr>
            <w:tcW w:w="732" w:type="dxa"/>
            <w:tcBorders>
              <w:tl2br w:val="nil"/>
              <w:tr2bl w:val="nil"/>
            </w:tcBorders>
            <w:shd w:val="clear" w:color="auto" w:fill="auto"/>
            <w:vAlign w:val="center"/>
          </w:tcPr>
          <w:p w14:paraId="516CE5F5">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-254</w:t>
            </w:r>
          </w:p>
        </w:tc>
        <w:tc>
          <w:tcPr>
            <w:tcW w:w="733" w:type="dxa"/>
            <w:tcBorders>
              <w:tl2br w:val="nil"/>
              <w:tr2bl w:val="nil"/>
            </w:tcBorders>
            <w:shd w:val="clear" w:color="auto" w:fill="auto"/>
            <w:vAlign w:val="center"/>
          </w:tcPr>
          <w:p w14:paraId="186DFF5B">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2046</w:t>
            </w:r>
          </w:p>
        </w:tc>
        <w:tc>
          <w:tcPr>
            <w:tcW w:w="1867" w:type="dxa"/>
            <w:tcBorders>
              <w:tl2br w:val="nil"/>
              <w:tr2bl w:val="nil"/>
            </w:tcBorders>
            <w:shd w:val="clear" w:color="auto" w:fill="auto"/>
            <w:vAlign w:val="center"/>
          </w:tcPr>
          <w:p w14:paraId="4B251510">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约35户</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123人</w:t>
            </w:r>
          </w:p>
        </w:tc>
        <w:tc>
          <w:tcPr>
            <w:tcW w:w="1018" w:type="dxa"/>
            <w:vMerge w:val="continue"/>
            <w:tcBorders>
              <w:tl2br w:val="nil"/>
              <w:tr2bl w:val="nil"/>
            </w:tcBorders>
            <w:shd w:val="clear" w:color="auto" w:fill="auto"/>
            <w:vAlign w:val="center"/>
          </w:tcPr>
          <w:p w14:paraId="0694DE7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7C38636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71FCBA3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NW</w:t>
            </w:r>
          </w:p>
        </w:tc>
        <w:tc>
          <w:tcPr>
            <w:tcW w:w="1160" w:type="dxa"/>
            <w:tcBorders>
              <w:tl2br w:val="nil"/>
              <w:tr2bl w:val="nil"/>
            </w:tcBorders>
            <w:shd w:val="clear" w:color="auto" w:fill="auto"/>
            <w:vAlign w:val="center"/>
          </w:tcPr>
          <w:p w14:paraId="0850E0C3">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2061</w:t>
            </w:r>
          </w:p>
        </w:tc>
      </w:tr>
      <w:tr w14:paraId="7683169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7C2A9137">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6</w:t>
            </w:r>
          </w:p>
        </w:tc>
        <w:tc>
          <w:tcPr>
            <w:tcW w:w="1481" w:type="dxa"/>
            <w:tcBorders>
              <w:tl2br w:val="nil"/>
              <w:tr2bl w:val="nil"/>
            </w:tcBorders>
            <w:shd w:val="clear" w:color="auto" w:fill="auto"/>
            <w:vAlign w:val="center"/>
          </w:tcPr>
          <w:p w14:paraId="72AF4601">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垄庄</w:t>
            </w:r>
          </w:p>
        </w:tc>
        <w:tc>
          <w:tcPr>
            <w:tcW w:w="732" w:type="dxa"/>
            <w:tcBorders>
              <w:tl2br w:val="nil"/>
              <w:tr2bl w:val="nil"/>
            </w:tcBorders>
            <w:shd w:val="clear" w:color="auto" w:fill="auto"/>
            <w:vAlign w:val="center"/>
          </w:tcPr>
          <w:p w14:paraId="2AB7759E">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518</w:t>
            </w:r>
          </w:p>
        </w:tc>
        <w:tc>
          <w:tcPr>
            <w:tcW w:w="733" w:type="dxa"/>
            <w:tcBorders>
              <w:tl2br w:val="nil"/>
              <w:tr2bl w:val="nil"/>
            </w:tcBorders>
            <w:shd w:val="clear" w:color="auto" w:fill="auto"/>
            <w:vAlign w:val="center"/>
          </w:tcPr>
          <w:p w14:paraId="140C65ED">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1758</w:t>
            </w:r>
          </w:p>
        </w:tc>
        <w:tc>
          <w:tcPr>
            <w:tcW w:w="1867" w:type="dxa"/>
            <w:tcBorders>
              <w:tl2br w:val="nil"/>
              <w:tr2bl w:val="nil"/>
            </w:tcBorders>
            <w:shd w:val="clear" w:color="auto" w:fill="auto"/>
            <w:vAlign w:val="center"/>
          </w:tcPr>
          <w:p w14:paraId="7A55D410">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约55户</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193人</w:t>
            </w:r>
          </w:p>
        </w:tc>
        <w:tc>
          <w:tcPr>
            <w:tcW w:w="1018" w:type="dxa"/>
            <w:vMerge w:val="continue"/>
            <w:tcBorders>
              <w:tl2br w:val="nil"/>
              <w:tr2bl w:val="nil"/>
            </w:tcBorders>
            <w:shd w:val="clear" w:color="auto" w:fill="auto"/>
            <w:vAlign w:val="center"/>
          </w:tcPr>
          <w:p w14:paraId="05EC824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0A1CD99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347250B2">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63B391C8">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1818</w:t>
            </w:r>
          </w:p>
        </w:tc>
      </w:tr>
      <w:tr w14:paraId="3A366D0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5D045E3C">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7</w:t>
            </w:r>
          </w:p>
        </w:tc>
        <w:tc>
          <w:tcPr>
            <w:tcW w:w="1481" w:type="dxa"/>
            <w:tcBorders>
              <w:tl2br w:val="nil"/>
              <w:tr2bl w:val="nil"/>
            </w:tcBorders>
            <w:shd w:val="clear" w:color="auto" w:fill="auto"/>
            <w:vAlign w:val="center"/>
          </w:tcPr>
          <w:p w14:paraId="006A19F3">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前花园</w:t>
            </w:r>
          </w:p>
        </w:tc>
        <w:tc>
          <w:tcPr>
            <w:tcW w:w="732" w:type="dxa"/>
            <w:tcBorders>
              <w:tl2br w:val="nil"/>
              <w:tr2bl w:val="nil"/>
            </w:tcBorders>
            <w:shd w:val="clear" w:color="auto" w:fill="auto"/>
            <w:vAlign w:val="center"/>
          </w:tcPr>
          <w:p w14:paraId="4AC93414">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790</w:t>
            </w:r>
          </w:p>
        </w:tc>
        <w:tc>
          <w:tcPr>
            <w:tcW w:w="733" w:type="dxa"/>
            <w:tcBorders>
              <w:tl2br w:val="nil"/>
              <w:tr2bl w:val="nil"/>
            </w:tcBorders>
            <w:shd w:val="clear" w:color="auto" w:fill="auto"/>
            <w:vAlign w:val="center"/>
          </w:tcPr>
          <w:p w14:paraId="355E0A6C">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2186</w:t>
            </w:r>
          </w:p>
        </w:tc>
        <w:tc>
          <w:tcPr>
            <w:tcW w:w="1867" w:type="dxa"/>
            <w:tcBorders>
              <w:tl2br w:val="nil"/>
              <w:tr2bl w:val="nil"/>
            </w:tcBorders>
            <w:shd w:val="clear" w:color="auto" w:fill="auto"/>
            <w:vAlign w:val="center"/>
          </w:tcPr>
          <w:p w14:paraId="3FCA6569">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约40户</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140人</w:t>
            </w:r>
          </w:p>
        </w:tc>
        <w:tc>
          <w:tcPr>
            <w:tcW w:w="1018" w:type="dxa"/>
            <w:vMerge w:val="continue"/>
            <w:tcBorders>
              <w:tl2br w:val="nil"/>
              <w:tr2bl w:val="nil"/>
            </w:tcBorders>
            <w:shd w:val="clear" w:color="auto" w:fill="auto"/>
            <w:vAlign w:val="center"/>
          </w:tcPr>
          <w:p w14:paraId="1C23A5F6">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7B10FAC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879C71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4888150D">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2314</w:t>
            </w:r>
          </w:p>
        </w:tc>
      </w:tr>
      <w:tr w14:paraId="32CA8D4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36BBD9A1">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8</w:t>
            </w:r>
          </w:p>
        </w:tc>
        <w:tc>
          <w:tcPr>
            <w:tcW w:w="1481" w:type="dxa"/>
            <w:tcBorders>
              <w:tl2br w:val="nil"/>
              <w:tr2bl w:val="nil"/>
            </w:tcBorders>
            <w:shd w:val="clear" w:color="auto" w:fill="auto"/>
            <w:vAlign w:val="center"/>
          </w:tcPr>
          <w:p w14:paraId="57954D64">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亲水嘉苑</w:t>
            </w:r>
          </w:p>
        </w:tc>
        <w:tc>
          <w:tcPr>
            <w:tcW w:w="732" w:type="dxa"/>
            <w:tcBorders>
              <w:tl2br w:val="nil"/>
              <w:tr2bl w:val="nil"/>
            </w:tcBorders>
            <w:shd w:val="clear" w:color="auto" w:fill="auto"/>
            <w:vAlign w:val="center"/>
          </w:tcPr>
          <w:p w14:paraId="58CA099B">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1234</w:t>
            </w:r>
          </w:p>
        </w:tc>
        <w:tc>
          <w:tcPr>
            <w:tcW w:w="733" w:type="dxa"/>
            <w:tcBorders>
              <w:tl2br w:val="nil"/>
              <w:tr2bl w:val="nil"/>
            </w:tcBorders>
            <w:shd w:val="clear" w:color="auto" w:fill="auto"/>
            <w:vAlign w:val="center"/>
          </w:tcPr>
          <w:p w14:paraId="4BAF6E72">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1761</w:t>
            </w:r>
          </w:p>
        </w:tc>
        <w:tc>
          <w:tcPr>
            <w:tcW w:w="1867" w:type="dxa"/>
            <w:tcBorders>
              <w:tl2br w:val="nil"/>
              <w:tr2bl w:val="nil"/>
            </w:tcBorders>
            <w:shd w:val="clear" w:color="auto" w:fill="auto"/>
            <w:vAlign w:val="center"/>
          </w:tcPr>
          <w:p w14:paraId="106EFC0A">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约3000人</w:t>
            </w:r>
          </w:p>
        </w:tc>
        <w:tc>
          <w:tcPr>
            <w:tcW w:w="1018" w:type="dxa"/>
            <w:vMerge w:val="continue"/>
            <w:tcBorders>
              <w:tl2br w:val="nil"/>
              <w:tr2bl w:val="nil"/>
            </w:tcBorders>
            <w:shd w:val="clear" w:color="auto" w:fill="auto"/>
            <w:vAlign w:val="center"/>
          </w:tcPr>
          <w:p w14:paraId="54F949E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6CCC43D8">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741A2DA6">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387A8827">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2177</w:t>
            </w:r>
          </w:p>
        </w:tc>
      </w:tr>
      <w:tr w14:paraId="49D8FA7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61E833AB">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9</w:t>
            </w:r>
          </w:p>
        </w:tc>
        <w:tc>
          <w:tcPr>
            <w:tcW w:w="1481" w:type="dxa"/>
            <w:tcBorders>
              <w:tl2br w:val="nil"/>
              <w:tr2bl w:val="nil"/>
            </w:tcBorders>
            <w:shd w:val="clear" w:color="auto" w:fill="auto"/>
            <w:vAlign w:val="center"/>
          </w:tcPr>
          <w:p w14:paraId="707D9327">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新城丽景苑</w:t>
            </w:r>
          </w:p>
        </w:tc>
        <w:tc>
          <w:tcPr>
            <w:tcW w:w="732" w:type="dxa"/>
            <w:tcBorders>
              <w:tl2br w:val="nil"/>
              <w:tr2bl w:val="nil"/>
            </w:tcBorders>
            <w:shd w:val="clear" w:color="auto" w:fill="auto"/>
            <w:vAlign w:val="center"/>
          </w:tcPr>
          <w:p w14:paraId="1BAE7D2E">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1702</w:t>
            </w:r>
          </w:p>
        </w:tc>
        <w:tc>
          <w:tcPr>
            <w:tcW w:w="733" w:type="dxa"/>
            <w:tcBorders>
              <w:tl2br w:val="nil"/>
              <w:tr2bl w:val="nil"/>
            </w:tcBorders>
            <w:shd w:val="clear" w:color="auto" w:fill="auto"/>
            <w:vAlign w:val="center"/>
          </w:tcPr>
          <w:p w14:paraId="42A96198">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1328</w:t>
            </w:r>
          </w:p>
        </w:tc>
        <w:tc>
          <w:tcPr>
            <w:tcW w:w="1867" w:type="dxa"/>
            <w:tcBorders>
              <w:tl2br w:val="nil"/>
              <w:tr2bl w:val="nil"/>
            </w:tcBorders>
            <w:shd w:val="clear" w:color="auto" w:fill="auto"/>
            <w:vAlign w:val="center"/>
          </w:tcPr>
          <w:p w14:paraId="76CF362E">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约3000人</w:t>
            </w:r>
          </w:p>
        </w:tc>
        <w:tc>
          <w:tcPr>
            <w:tcW w:w="1018" w:type="dxa"/>
            <w:vMerge w:val="continue"/>
            <w:tcBorders>
              <w:tl2br w:val="nil"/>
              <w:tr2bl w:val="nil"/>
            </w:tcBorders>
            <w:shd w:val="clear" w:color="auto" w:fill="auto"/>
            <w:vAlign w:val="center"/>
          </w:tcPr>
          <w:p w14:paraId="71018FDE">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7E4667DD">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48430C00">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11C12B9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1915</w:t>
            </w:r>
          </w:p>
        </w:tc>
      </w:tr>
      <w:tr w14:paraId="0C563BE7">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230EDB9D">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10</w:t>
            </w:r>
          </w:p>
        </w:tc>
        <w:tc>
          <w:tcPr>
            <w:tcW w:w="1481" w:type="dxa"/>
            <w:tcBorders>
              <w:tl2br w:val="nil"/>
              <w:tr2bl w:val="nil"/>
            </w:tcBorders>
            <w:shd w:val="clear" w:color="auto" w:fill="auto"/>
            <w:vAlign w:val="center"/>
          </w:tcPr>
          <w:p w14:paraId="37B63377">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丽景新城</w:t>
            </w:r>
          </w:p>
        </w:tc>
        <w:tc>
          <w:tcPr>
            <w:tcW w:w="732" w:type="dxa"/>
            <w:tcBorders>
              <w:tl2br w:val="nil"/>
              <w:tr2bl w:val="nil"/>
            </w:tcBorders>
            <w:shd w:val="clear" w:color="auto" w:fill="auto"/>
            <w:vAlign w:val="center"/>
          </w:tcPr>
          <w:p w14:paraId="4C1BEDCB">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1941</w:t>
            </w:r>
          </w:p>
        </w:tc>
        <w:tc>
          <w:tcPr>
            <w:tcW w:w="733" w:type="dxa"/>
            <w:tcBorders>
              <w:tl2br w:val="nil"/>
              <w:tr2bl w:val="nil"/>
            </w:tcBorders>
            <w:shd w:val="clear" w:color="auto" w:fill="auto"/>
            <w:vAlign w:val="center"/>
          </w:tcPr>
          <w:p w14:paraId="7FF71C20">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1219</w:t>
            </w:r>
          </w:p>
        </w:tc>
        <w:tc>
          <w:tcPr>
            <w:tcW w:w="1867" w:type="dxa"/>
            <w:tcBorders>
              <w:tl2br w:val="nil"/>
              <w:tr2bl w:val="nil"/>
            </w:tcBorders>
            <w:shd w:val="clear" w:color="auto" w:fill="auto"/>
            <w:vAlign w:val="center"/>
          </w:tcPr>
          <w:p w14:paraId="4C661EAB">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约3500人</w:t>
            </w:r>
          </w:p>
        </w:tc>
        <w:tc>
          <w:tcPr>
            <w:tcW w:w="1018" w:type="dxa"/>
            <w:vMerge w:val="continue"/>
            <w:tcBorders>
              <w:tl2br w:val="nil"/>
              <w:tr2bl w:val="nil"/>
            </w:tcBorders>
            <w:shd w:val="clear" w:color="auto" w:fill="auto"/>
            <w:vAlign w:val="center"/>
          </w:tcPr>
          <w:p w14:paraId="3ADC357C">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544D043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3D28A1E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1A7C61C7">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1963</w:t>
            </w:r>
          </w:p>
        </w:tc>
      </w:tr>
      <w:tr w14:paraId="51E264B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1B76F056">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11</w:t>
            </w:r>
          </w:p>
        </w:tc>
        <w:tc>
          <w:tcPr>
            <w:tcW w:w="1481" w:type="dxa"/>
            <w:tcBorders>
              <w:tl2br w:val="nil"/>
              <w:tr2bl w:val="nil"/>
            </w:tcBorders>
            <w:shd w:val="clear" w:color="auto" w:fill="auto"/>
            <w:vAlign w:val="center"/>
          </w:tcPr>
          <w:p w14:paraId="34EF418F">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新城文景苑</w:t>
            </w:r>
          </w:p>
        </w:tc>
        <w:tc>
          <w:tcPr>
            <w:tcW w:w="732" w:type="dxa"/>
            <w:tcBorders>
              <w:tl2br w:val="nil"/>
              <w:tr2bl w:val="nil"/>
            </w:tcBorders>
            <w:shd w:val="clear" w:color="auto" w:fill="auto"/>
            <w:vAlign w:val="center"/>
          </w:tcPr>
          <w:p w14:paraId="6E014AAC">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1937</w:t>
            </w:r>
          </w:p>
        </w:tc>
        <w:tc>
          <w:tcPr>
            <w:tcW w:w="733" w:type="dxa"/>
            <w:tcBorders>
              <w:tl2br w:val="nil"/>
              <w:tr2bl w:val="nil"/>
            </w:tcBorders>
            <w:shd w:val="clear" w:color="auto" w:fill="auto"/>
            <w:vAlign w:val="center"/>
          </w:tcPr>
          <w:p w14:paraId="6A637BA9">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1159</w:t>
            </w:r>
          </w:p>
        </w:tc>
        <w:tc>
          <w:tcPr>
            <w:tcW w:w="1867" w:type="dxa"/>
            <w:tcBorders>
              <w:tl2br w:val="nil"/>
              <w:tr2bl w:val="nil"/>
            </w:tcBorders>
            <w:shd w:val="clear" w:color="auto" w:fill="auto"/>
            <w:vAlign w:val="center"/>
          </w:tcPr>
          <w:p w14:paraId="43A6549D">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约3000人</w:t>
            </w:r>
          </w:p>
        </w:tc>
        <w:tc>
          <w:tcPr>
            <w:tcW w:w="1018" w:type="dxa"/>
            <w:vMerge w:val="continue"/>
            <w:tcBorders>
              <w:tl2br w:val="nil"/>
              <w:tr2bl w:val="nil"/>
            </w:tcBorders>
            <w:shd w:val="clear" w:color="auto" w:fill="auto"/>
            <w:vAlign w:val="center"/>
          </w:tcPr>
          <w:p w14:paraId="499F288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7B6C282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1D3CF60C">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2DA169A5">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2190</w:t>
            </w:r>
          </w:p>
        </w:tc>
      </w:tr>
      <w:tr w14:paraId="55A9254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22D9ED9D">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12</w:t>
            </w:r>
          </w:p>
        </w:tc>
        <w:tc>
          <w:tcPr>
            <w:tcW w:w="1481" w:type="dxa"/>
            <w:tcBorders>
              <w:tl2br w:val="nil"/>
              <w:tr2bl w:val="nil"/>
            </w:tcBorders>
            <w:shd w:val="clear" w:color="auto" w:fill="auto"/>
            <w:vAlign w:val="center"/>
          </w:tcPr>
          <w:p w14:paraId="7DB4C6DF">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星河花园小区</w:t>
            </w:r>
          </w:p>
        </w:tc>
        <w:tc>
          <w:tcPr>
            <w:tcW w:w="732" w:type="dxa"/>
            <w:tcBorders>
              <w:tl2br w:val="nil"/>
              <w:tr2bl w:val="nil"/>
            </w:tcBorders>
            <w:shd w:val="clear" w:color="auto" w:fill="auto"/>
            <w:vAlign w:val="center"/>
          </w:tcPr>
          <w:p w14:paraId="354A96F5">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474</w:t>
            </w:r>
          </w:p>
        </w:tc>
        <w:tc>
          <w:tcPr>
            <w:tcW w:w="733" w:type="dxa"/>
            <w:tcBorders>
              <w:tl2br w:val="nil"/>
              <w:tr2bl w:val="nil"/>
            </w:tcBorders>
            <w:shd w:val="clear" w:color="auto" w:fill="auto"/>
            <w:vAlign w:val="center"/>
          </w:tcPr>
          <w:p w14:paraId="35163F7C">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1071</w:t>
            </w:r>
          </w:p>
        </w:tc>
        <w:tc>
          <w:tcPr>
            <w:tcW w:w="1867" w:type="dxa"/>
            <w:tcBorders>
              <w:tl2br w:val="nil"/>
              <w:tr2bl w:val="nil"/>
            </w:tcBorders>
            <w:shd w:val="clear" w:color="auto" w:fill="auto"/>
            <w:vAlign w:val="center"/>
          </w:tcPr>
          <w:p w14:paraId="54D8D46B">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约3500人</w:t>
            </w:r>
          </w:p>
        </w:tc>
        <w:tc>
          <w:tcPr>
            <w:tcW w:w="1018" w:type="dxa"/>
            <w:vMerge w:val="continue"/>
            <w:tcBorders>
              <w:tl2br w:val="nil"/>
              <w:tr2bl w:val="nil"/>
            </w:tcBorders>
            <w:shd w:val="clear" w:color="auto" w:fill="auto"/>
            <w:vAlign w:val="center"/>
          </w:tcPr>
          <w:p w14:paraId="2ECC715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51FEAEEC">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628580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58BE5CE7">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1159</w:t>
            </w:r>
          </w:p>
        </w:tc>
      </w:tr>
      <w:tr w14:paraId="4341C2D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72B79BBB">
            <w:pPr>
              <w:bidi w:val="0"/>
              <w:snapToGrid w:val="0"/>
              <w:spacing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13</w:t>
            </w:r>
          </w:p>
        </w:tc>
        <w:tc>
          <w:tcPr>
            <w:tcW w:w="1481" w:type="dxa"/>
            <w:tcBorders>
              <w:tl2br w:val="nil"/>
              <w:tr2bl w:val="nil"/>
            </w:tcBorders>
            <w:shd w:val="clear" w:color="auto" w:fill="auto"/>
            <w:vAlign w:val="center"/>
          </w:tcPr>
          <w:p w14:paraId="3572F42B">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杨楼小学</w:t>
            </w:r>
          </w:p>
        </w:tc>
        <w:tc>
          <w:tcPr>
            <w:tcW w:w="732" w:type="dxa"/>
            <w:tcBorders>
              <w:tl2br w:val="nil"/>
              <w:tr2bl w:val="nil"/>
            </w:tcBorders>
            <w:shd w:val="clear" w:color="auto" w:fill="auto"/>
            <w:vAlign w:val="center"/>
          </w:tcPr>
          <w:p w14:paraId="2A948FF0">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463</w:t>
            </w:r>
          </w:p>
        </w:tc>
        <w:tc>
          <w:tcPr>
            <w:tcW w:w="733" w:type="dxa"/>
            <w:tcBorders>
              <w:tl2br w:val="nil"/>
              <w:tr2bl w:val="nil"/>
            </w:tcBorders>
            <w:shd w:val="clear" w:color="auto" w:fill="auto"/>
            <w:vAlign w:val="center"/>
          </w:tcPr>
          <w:p w14:paraId="2E2F9652">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999</w:t>
            </w:r>
          </w:p>
        </w:tc>
        <w:tc>
          <w:tcPr>
            <w:tcW w:w="1867" w:type="dxa"/>
            <w:tcBorders>
              <w:tl2br w:val="nil"/>
              <w:tr2bl w:val="nil"/>
            </w:tcBorders>
            <w:shd w:val="clear" w:color="auto" w:fill="auto"/>
            <w:vAlign w:val="center"/>
          </w:tcPr>
          <w:p w14:paraId="611A11BB">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约400人</w:t>
            </w:r>
          </w:p>
        </w:tc>
        <w:tc>
          <w:tcPr>
            <w:tcW w:w="1018" w:type="dxa"/>
            <w:vMerge w:val="continue"/>
            <w:tcBorders>
              <w:tl2br w:val="nil"/>
              <w:tr2bl w:val="nil"/>
            </w:tcBorders>
            <w:shd w:val="clear" w:color="auto" w:fill="auto"/>
            <w:vAlign w:val="center"/>
          </w:tcPr>
          <w:p w14:paraId="020E6E58">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121A153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03F549D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3128961D">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1074</w:t>
            </w:r>
          </w:p>
        </w:tc>
      </w:tr>
      <w:tr w14:paraId="4EEC4A9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3908480E">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14</w:t>
            </w:r>
          </w:p>
        </w:tc>
        <w:tc>
          <w:tcPr>
            <w:tcW w:w="1481" w:type="dxa"/>
            <w:tcBorders>
              <w:tl2br w:val="nil"/>
              <w:tr2bl w:val="nil"/>
            </w:tcBorders>
            <w:shd w:val="clear" w:color="auto" w:fill="auto"/>
            <w:vAlign w:val="center"/>
          </w:tcPr>
          <w:p w14:paraId="5823C32E">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东信学府花园</w:t>
            </w:r>
          </w:p>
        </w:tc>
        <w:tc>
          <w:tcPr>
            <w:tcW w:w="732" w:type="dxa"/>
            <w:tcBorders>
              <w:tl2br w:val="nil"/>
              <w:tr2bl w:val="nil"/>
            </w:tcBorders>
            <w:shd w:val="clear" w:color="auto" w:fill="auto"/>
            <w:vAlign w:val="center"/>
          </w:tcPr>
          <w:p w14:paraId="48AE13B1">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1706</w:t>
            </w:r>
          </w:p>
        </w:tc>
        <w:tc>
          <w:tcPr>
            <w:tcW w:w="733" w:type="dxa"/>
            <w:tcBorders>
              <w:tl2br w:val="nil"/>
              <w:tr2bl w:val="nil"/>
            </w:tcBorders>
            <w:shd w:val="clear" w:color="auto" w:fill="auto"/>
            <w:vAlign w:val="center"/>
          </w:tcPr>
          <w:p w14:paraId="5F5D7C1D">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662</w:t>
            </w:r>
          </w:p>
        </w:tc>
        <w:tc>
          <w:tcPr>
            <w:tcW w:w="1867" w:type="dxa"/>
            <w:tcBorders>
              <w:tl2br w:val="nil"/>
              <w:tr2bl w:val="nil"/>
            </w:tcBorders>
            <w:shd w:val="clear" w:color="auto" w:fill="auto"/>
            <w:vAlign w:val="center"/>
          </w:tcPr>
          <w:p w14:paraId="6117D903">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约3500人</w:t>
            </w:r>
          </w:p>
        </w:tc>
        <w:tc>
          <w:tcPr>
            <w:tcW w:w="1018" w:type="dxa"/>
            <w:vMerge w:val="continue"/>
            <w:tcBorders>
              <w:tl2br w:val="nil"/>
              <w:tr2bl w:val="nil"/>
            </w:tcBorders>
            <w:shd w:val="clear" w:color="auto" w:fill="auto"/>
            <w:vAlign w:val="center"/>
          </w:tcPr>
          <w:p w14:paraId="3B15E99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14A0689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AEF8E1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12398ACC">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1806</w:t>
            </w:r>
          </w:p>
        </w:tc>
      </w:tr>
      <w:tr w14:paraId="038DA30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418AC756">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15</w:t>
            </w:r>
          </w:p>
        </w:tc>
        <w:tc>
          <w:tcPr>
            <w:tcW w:w="1481" w:type="dxa"/>
            <w:tcBorders>
              <w:tl2br w:val="nil"/>
              <w:tr2bl w:val="nil"/>
            </w:tcBorders>
            <w:shd w:val="clear" w:color="auto" w:fill="auto"/>
            <w:vAlign w:val="center"/>
          </w:tcPr>
          <w:p w14:paraId="171E384D">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九华学府</w:t>
            </w:r>
          </w:p>
        </w:tc>
        <w:tc>
          <w:tcPr>
            <w:tcW w:w="732" w:type="dxa"/>
            <w:tcBorders>
              <w:tl2br w:val="nil"/>
              <w:tr2bl w:val="nil"/>
            </w:tcBorders>
            <w:shd w:val="clear" w:color="auto" w:fill="auto"/>
            <w:vAlign w:val="center"/>
          </w:tcPr>
          <w:p w14:paraId="27E0A7EB">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1307</w:t>
            </w:r>
          </w:p>
        </w:tc>
        <w:tc>
          <w:tcPr>
            <w:tcW w:w="733" w:type="dxa"/>
            <w:tcBorders>
              <w:tl2br w:val="nil"/>
              <w:tr2bl w:val="nil"/>
            </w:tcBorders>
            <w:shd w:val="clear" w:color="auto" w:fill="auto"/>
            <w:vAlign w:val="center"/>
          </w:tcPr>
          <w:p w14:paraId="04A0D229">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369</w:t>
            </w:r>
          </w:p>
        </w:tc>
        <w:tc>
          <w:tcPr>
            <w:tcW w:w="1867" w:type="dxa"/>
            <w:tcBorders>
              <w:tl2br w:val="nil"/>
              <w:tr2bl w:val="nil"/>
            </w:tcBorders>
            <w:shd w:val="clear" w:color="auto" w:fill="auto"/>
            <w:vAlign w:val="center"/>
          </w:tcPr>
          <w:p w14:paraId="091CCDB2">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约2500人</w:t>
            </w:r>
          </w:p>
        </w:tc>
        <w:tc>
          <w:tcPr>
            <w:tcW w:w="1018" w:type="dxa"/>
            <w:vMerge w:val="continue"/>
            <w:tcBorders>
              <w:tl2br w:val="nil"/>
              <w:tr2bl w:val="nil"/>
            </w:tcBorders>
            <w:shd w:val="clear" w:color="auto" w:fill="auto"/>
            <w:vAlign w:val="center"/>
          </w:tcPr>
          <w:p w14:paraId="5285B61D">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741BD3A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80CDC9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6190A021">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1369</w:t>
            </w:r>
          </w:p>
        </w:tc>
      </w:tr>
      <w:tr w14:paraId="350FFC54">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0BE87884">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16</w:t>
            </w:r>
          </w:p>
        </w:tc>
        <w:tc>
          <w:tcPr>
            <w:tcW w:w="1481" w:type="dxa"/>
            <w:tcBorders>
              <w:tl2br w:val="nil"/>
              <w:tr2bl w:val="nil"/>
            </w:tcBorders>
            <w:shd w:val="clear" w:color="auto" w:fill="auto"/>
            <w:vAlign w:val="center"/>
          </w:tcPr>
          <w:p w14:paraId="4ABD0583">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和谐家园</w:t>
            </w:r>
          </w:p>
        </w:tc>
        <w:tc>
          <w:tcPr>
            <w:tcW w:w="732" w:type="dxa"/>
            <w:tcBorders>
              <w:tl2br w:val="nil"/>
              <w:tr2bl w:val="nil"/>
            </w:tcBorders>
            <w:shd w:val="clear" w:color="auto" w:fill="auto"/>
            <w:vAlign w:val="center"/>
          </w:tcPr>
          <w:p w14:paraId="1A3A806C">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1325</w:t>
            </w:r>
          </w:p>
        </w:tc>
        <w:tc>
          <w:tcPr>
            <w:tcW w:w="733" w:type="dxa"/>
            <w:tcBorders>
              <w:tl2br w:val="nil"/>
              <w:tr2bl w:val="nil"/>
            </w:tcBorders>
            <w:shd w:val="clear" w:color="auto" w:fill="auto"/>
            <w:vAlign w:val="center"/>
          </w:tcPr>
          <w:p w14:paraId="22DD06AE">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1867" w:type="dxa"/>
            <w:tcBorders>
              <w:tl2br w:val="nil"/>
              <w:tr2bl w:val="nil"/>
            </w:tcBorders>
            <w:shd w:val="clear" w:color="auto" w:fill="auto"/>
            <w:vAlign w:val="center"/>
          </w:tcPr>
          <w:p w14:paraId="3B7ADCC1">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约2000人</w:t>
            </w:r>
          </w:p>
        </w:tc>
        <w:tc>
          <w:tcPr>
            <w:tcW w:w="1018" w:type="dxa"/>
            <w:vMerge w:val="continue"/>
            <w:tcBorders>
              <w:tl2br w:val="nil"/>
              <w:tr2bl w:val="nil"/>
            </w:tcBorders>
            <w:shd w:val="clear" w:color="auto" w:fill="auto"/>
            <w:vAlign w:val="center"/>
          </w:tcPr>
          <w:p w14:paraId="37DEFAF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7C64D00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1C057654">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SE</w:t>
            </w:r>
          </w:p>
        </w:tc>
        <w:tc>
          <w:tcPr>
            <w:tcW w:w="1160" w:type="dxa"/>
            <w:tcBorders>
              <w:tl2br w:val="nil"/>
              <w:tr2bl w:val="nil"/>
            </w:tcBorders>
            <w:shd w:val="clear" w:color="auto" w:fill="auto"/>
            <w:vAlign w:val="center"/>
          </w:tcPr>
          <w:p w14:paraId="34974B9C">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1319</w:t>
            </w:r>
          </w:p>
        </w:tc>
      </w:tr>
      <w:tr w14:paraId="700EFEA4">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27541A09">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17</w:t>
            </w:r>
          </w:p>
        </w:tc>
        <w:tc>
          <w:tcPr>
            <w:tcW w:w="1481" w:type="dxa"/>
            <w:tcBorders>
              <w:tl2br w:val="nil"/>
              <w:tr2bl w:val="nil"/>
            </w:tcBorders>
            <w:shd w:val="clear" w:color="auto" w:fill="auto"/>
            <w:vAlign w:val="center"/>
          </w:tcPr>
          <w:p w14:paraId="1B7FD098">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中国铁建青秀城</w:t>
            </w:r>
          </w:p>
        </w:tc>
        <w:tc>
          <w:tcPr>
            <w:tcW w:w="732" w:type="dxa"/>
            <w:tcBorders>
              <w:tl2br w:val="nil"/>
              <w:tr2bl w:val="nil"/>
            </w:tcBorders>
            <w:shd w:val="clear" w:color="auto" w:fill="auto"/>
            <w:vAlign w:val="center"/>
          </w:tcPr>
          <w:p w14:paraId="25D3BD26">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2156</w:t>
            </w:r>
          </w:p>
        </w:tc>
        <w:tc>
          <w:tcPr>
            <w:tcW w:w="733" w:type="dxa"/>
            <w:tcBorders>
              <w:tl2br w:val="nil"/>
              <w:tr2bl w:val="nil"/>
            </w:tcBorders>
            <w:shd w:val="clear" w:color="auto" w:fill="auto"/>
            <w:vAlign w:val="center"/>
          </w:tcPr>
          <w:p w14:paraId="47898A91">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2184</w:t>
            </w:r>
          </w:p>
        </w:tc>
        <w:tc>
          <w:tcPr>
            <w:tcW w:w="1867" w:type="dxa"/>
            <w:tcBorders>
              <w:tl2br w:val="nil"/>
              <w:tr2bl w:val="nil"/>
            </w:tcBorders>
            <w:shd w:val="clear" w:color="auto" w:fill="auto"/>
            <w:vAlign w:val="center"/>
          </w:tcPr>
          <w:p w14:paraId="6BB89EE7">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约4000人</w:t>
            </w:r>
          </w:p>
        </w:tc>
        <w:tc>
          <w:tcPr>
            <w:tcW w:w="1018" w:type="dxa"/>
            <w:vMerge w:val="continue"/>
            <w:tcBorders>
              <w:tl2br w:val="nil"/>
              <w:tr2bl w:val="nil"/>
            </w:tcBorders>
            <w:shd w:val="clear" w:color="auto" w:fill="auto"/>
            <w:vAlign w:val="center"/>
          </w:tcPr>
          <w:p w14:paraId="28A2855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2548254F">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2CB154EE">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4252BE89">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3010</w:t>
            </w:r>
          </w:p>
        </w:tc>
      </w:tr>
      <w:tr w14:paraId="3A59CA7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4B54690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18</w:t>
            </w:r>
          </w:p>
        </w:tc>
        <w:tc>
          <w:tcPr>
            <w:tcW w:w="1481" w:type="dxa"/>
            <w:tcBorders>
              <w:tl2br w:val="nil"/>
              <w:tr2bl w:val="nil"/>
            </w:tcBorders>
            <w:shd w:val="clear" w:color="auto" w:fill="auto"/>
            <w:vAlign w:val="center"/>
          </w:tcPr>
          <w:p w14:paraId="6B5F52D8">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武庄</w:t>
            </w:r>
          </w:p>
        </w:tc>
        <w:tc>
          <w:tcPr>
            <w:tcW w:w="732" w:type="dxa"/>
            <w:tcBorders>
              <w:tl2br w:val="nil"/>
              <w:tr2bl w:val="nil"/>
            </w:tcBorders>
            <w:shd w:val="clear" w:color="auto" w:fill="auto"/>
            <w:vAlign w:val="center"/>
          </w:tcPr>
          <w:p w14:paraId="3ACC575C">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2283</w:t>
            </w:r>
          </w:p>
        </w:tc>
        <w:tc>
          <w:tcPr>
            <w:tcW w:w="733" w:type="dxa"/>
            <w:tcBorders>
              <w:tl2br w:val="nil"/>
              <w:tr2bl w:val="nil"/>
            </w:tcBorders>
            <w:shd w:val="clear" w:color="auto" w:fill="auto"/>
            <w:vAlign w:val="center"/>
          </w:tcPr>
          <w:p w14:paraId="7E4BCAE7">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1808</w:t>
            </w:r>
          </w:p>
        </w:tc>
        <w:tc>
          <w:tcPr>
            <w:tcW w:w="1867" w:type="dxa"/>
            <w:tcBorders>
              <w:tl2br w:val="nil"/>
              <w:tr2bl w:val="nil"/>
            </w:tcBorders>
            <w:shd w:val="clear" w:color="auto" w:fill="auto"/>
            <w:vAlign w:val="center"/>
          </w:tcPr>
          <w:p w14:paraId="3DE284E6">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约75户</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263人</w:t>
            </w:r>
          </w:p>
        </w:tc>
        <w:tc>
          <w:tcPr>
            <w:tcW w:w="1018" w:type="dxa"/>
            <w:vMerge w:val="continue"/>
            <w:tcBorders>
              <w:tl2br w:val="nil"/>
              <w:tr2bl w:val="nil"/>
            </w:tcBorders>
            <w:shd w:val="clear" w:color="auto" w:fill="auto"/>
            <w:vAlign w:val="center"/>
          </w:tcPr>
          <w:p w14:paraId="3174B73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6DBDDB00">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343D121">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2F922F57">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2941</w:t>
            </w:r>
          </w:p>
        </w:tc>
      </w:tr>
      <w:tr w14:paraId="2B2AEBC7">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38ABA90F">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19</w:t>
            </w:r>
          </w:p>
        </w:tc>
        <w:tc>
          <w:tcPr>
            <w:tcW w:w="1481" w:type="dxa"/>
            <w:tcBorders>
              <w:tl2br w:val="nil"/>
              <w:tr2bl w:val="nil"/>
            </w:tcBorders>
            <w:shd w:val="clear" w:color="auto" w:fill="auto"/>
            <w:vAlign w:val="center"/>
          </w:tcPr>
          <w:p w14:paraId="2D2C9F90">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后刘庄</w:t>
            </w:r>
          </w:p>
        </w:tc>
        <w:tc>
          <w:tcPr>
            <w:tcW w:w="732" w:type="dxa"/>
            <w:tcBorders>
              <w:tl2br w:val="nil"/>
              <w:tr2bl w:val="nil"/>
            </w:tcBorders>
            <w:shd w:val="clear" w:color="auto" w:fill="auto"/>
            <w:vAlign w:val="center"/>
          </w:tcPr>
          <w:p w14:paraId="4C962B66">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2231</w:t>
            </w:r>
          </w:p>
        </w:tc>
        <w:tc>
          <w:tcPr>
            <w:tcW w:w="733" w:type="dxa"/>
            <w:tcBorders>
              <w:tl2br w:val="nil"/>
              <w:tr2bl w:val="nil"/>
            </w:tcBorders>
            <w:shd w:val="clear" w:color="auto" w:fill="auto"/>
            <w:vAlign w:val="center"/>
          </w:tcPr>
          <w:p w14:paraId="37F09CEC">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1437</w:t>
            </w:r>
          </w:p>
        </w:tc>
        <w:tc>
          <w:tcPr>
            <w:tcW w:w="1867" w:type="dxa"/>
            <w:tcBorders>
              <w:tl2br w:val="nil"/>
              <w:tr2bl w:val="nil"/>
            </w:tcBorders>
            <w:shd w:val="clear" w:color="auto" w:fill="auto"/>
            <w:vAlign w:val="center"/>
          </w:tcPr>
          <w:p w14:paraId="3C43D990">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约175户</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623人</w:t>
            </w:r>
          </w:p>
        </w:tc>
        <w:tc>
          <w:tcPr>
            <w:tcW w:w="1018" w:type="dxa"/>
            <w:vMerge w:val="continue"/>
            <w:tcBorders>
              <w:tl2br w:val="nil"/>
              <w:tr2bl w:val="nil"/>
            </w:tcBorders>
            <w:shd w:val="clear" w:color="auto" w:fill="auto"/>
            <w:vAlign w:val="center"/>
          </w:tcPr>
          <w:p w14:paraId="2E630EE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5806491E">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080A5FE9">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61F12088">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2687</w:t>
            </w:r>
          </w:p>
        </w:tc>
      </w:tr>
      <w:tr w14:paraId="3D6A8635">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615E7686">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20</w:t>
            </w:r>
          </w:p>
        </w:tc>
        <w:tc>
          <w:tcPr>
            <w:tcW w:w="1481" w:type="dxa"/>
            <w:tcBorders>
              <w:tl2br w:val="nil"/>
              <w:tr2bl w:val="nil"/>
            </w:tcBorders>
            <w:shd w:val="clear" w:color="auto" w:fill="auto"/>
            <w:vAlign w:val="center"/>
          </w:tcPr>
          <w:p w14:paraId="247BE428">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前刘庄</w:t>
            </w:r>
          </w:p>
        </w:tc>
        <w:tc>
          <w:tcPr>
            <w:tcW w:w="732" w:type="dxa"/>
            <w:tcBorders>
              <w:tl2br w:val="nil"/>
              <w:tr2bl w:val="nil"/>
            </w:tcBorders>
            <w:shd w:val="clear" w:color="auto" w:fill="auto"/>
            <w:vAlign w:val="center"/>
          </w:tcPr>
          <w:p w14:paraId="07164B71">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2257</w:t>
            </w:r>
          </w:p>
        </w:tc>
        <w:tc>
          <w:tcPr>
            <w:tcW w:w="733" w:type="dxa"/>
            <w:tcBorders>
              <w:tl2br w:val="nil"/>
              <w:tr2bl w:val="nil"/>
            </w:tcBorders>
            <w:shd w:val="clear" w:color="auto" w:fill="auto"/>
            <w:vAlign w:val="center"/>
          </w:tcPr>
          <w:p w14:paraId="1303A58C">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1099</w:t>
            </w:r>
          </w:p>
        </w:tc>
        <w:tc>
          <w:tcPr>
            <w:tcW w:w="1867" w:type="dxa"/>
            <w:tcBorders>
              <w:tl2br w:val="nil"/>
              <w:tr2bl w:val="nil"/>
            </w:tcBorders>
            <w:shd w:val="clear" w:color="auto" w:fill="auto"/>
            <w:vAlign w:val="center"/>
          </w:tcPr>
          <w:p w14:paraId="187CDC54">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约190户</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665人</w:t>
            </w:r>
          </w:p>
        </w:tc>
        <w:tc>
          <w:tcPr>
            <w:tcW w:w="1018" w:type="dxa"/>
            <w:vMerge w:val="continue"/>
            <w:tcBorders>
              <w:tl2br w:val="nil"/>
              <w:tr2bl w:val="nil"/>
            </w:tcBorders>
            <w:shd w:val="clear" w:color="auto" w:fill="auto"/>
            <w:vAlign w:val="center"/>
          </w:tcPr>
          <w:p w14:paraId="11EECCDE">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3A51A50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15A58A9E">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3FBF74D3">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2562</w:t>
            </w:r>
          </w:p>
        </w:tc>
      </w:tr>
      <w:tr w14:paraId="3554E80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5BDCE56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21</w:t>
            </w:r>
          </w:p>
        </w:tc>
        <w:tc>
          <w:tcPr>
            <w:tcW w:w="1481" w:type="dxa"/>
            <w:tcBorders>
              <w:tl2br w:val="nil"/>
              <w:tr2bl w:val="nil"/>
            </w:tcBorders>
            <w:shd w:val="clear" w:color="auto" w:fill="auto"/>
            <w:vAlign w:val="center"/>
          </w:tcPr>
          <w:p w14:paraId="02310ABE">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凤凰城</w:t>
            </w:r>
          </w:p>
        </w:tc>
        <w:tc>
          <w:tcPr>
            <w:tcW w:w="732" w:type="dxa"/>
            <w:tcBorders>
              <w:tl2br w:val="nil"/>
              <w:tr2bl w:val="nil"/>
            </w:tcBorders>
            <w:shd w:val="clear" w:color="auto" w:fill="auto"/>
            <w:vAlign w:val="center"/>
          </w:tcPr>
          <w:p w14:paraId="18DC34FE">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1778</w:t>
            </w:r>
          </w:p>
        </w:tc>
        <w:tc>
          <w:tcPr>
            <w:tcW w:w="733" w:type="dxa"/>
            <w:tcBorders>
              <w:tl2br w:val="nil"/>
              <w:tr2bl w:val="nil"/>
            </w:tcBorders>
            <w:shd w:val="clear" w:color="auto" w:fill="auto"/>
            <w:vAlign w:val="center"/>
          </w:tcPr>
          <w:p w14:paraId="2234A419">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1035</w:t>
            </w:r>
          </w:p>
        </w:tc>
        <w:tc>
          <w:tcPr>
            <w:tcW w:w="1867" w:type="dxa"/>
            <w:tcBorders>
              <w:tl2br w:val="nil"/>
              <w:tr2bl w:val="nil"/>
            </w:tcBorders>
            <w:shd w:val="clear" w:color="auto" w:fill="auto"/>
            <w:vAlign w:val="center"/>
          </w:tcPr>
          <w:p w14:paraId="20FFBDEE">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约2000人</w:t>
            </w:r>
          </w:p>
        </w:tc>
        <w:tc>
          <w:tcPr>
            <w:tcW w:w="1018" w:type="dxa"/>
            <w:vMerge w:val="continue"/>
            <w:tcBorders>
              <w:tl2br w:val="nil"/>
              <w:tr2bl w:val="nil"/>
            </w:tcBorders>
            <w:shd w:val="clear" w:color="auto" w:fill="auto"/>
            <w:vAlign w:val="center"/>
          </w:tcPr>
          <w:p w14:paraId="294AB42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7C2417A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24476A2B">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2C49BA60">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2085</w:t>
            </w:r>
          </w:p>
        </w:tc>
      </w:tr>
      <w:tr w14:paraId="5A49F8D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6561A5F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22</w:t>
            </w:r>
          </w:p>
        </w:tc>
        <w:tc>
          <w:tcPr>
            <w:tcW w:w="1481" w:type="dxa"/>
            <w:tcBorders>
              <w:tl2br w:val="nil"/>
              <w:tr2bl w:val="nil"/>
            </w:tcBorders>
            <w:shd w:val="clear" w:color="auto" w:fill="auto"/>
            <w:vAlign w:val="center"/>
          </w:tcPr>
          <w:p w14:paraId="714DD090">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濉溪中学</w:t>
            </w:r>
          </w:p>
        </w:tc>
        <w:tc>
          <w:tcPr>
            <w:tcW w:w="732" w:type="dxa"/>
            <w:tcBorders>
              <w:tl2br w:val="nil"/>
              <w:tr2bl w:val="nil"/>
            </w:tcBorders>
            <w:shd w:val="clear" w:color="auto" w:fill="auto"/>
            <w:vAlign w:val="center"/>
          </w:tcPr>
          <w:p w14:paraId="3BE452A9">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1804</w:t>
            </w:r>
          </w:p>
        </w:tc>
        <w:tc>
          <w:tcPr>
            <w:tcW w:w="733" w:type="dxa"/>
            <w:tcBorders>
              <w:tl2br w:val="nil"/>
              <w:tr2bl w:val="nil"/>
            </w:tcBorders>
            <w:shd w:val="clear" w:color="auto" w:fill="auto"/>
            <w:vAlign w:val="center"/>
          </w:tcPr>
          <w:p w14:paraId="0FF226E8">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628</w:t>
            </w:r>
          </w:p>
        </w:tc>
        <w:tc>
          <w:tcPr>
            <w:tcW w:w="1867" w:type="dxa"/>
            <w:tcBorders>
              <w:tl2br w:val="nil"/>
              <w:tr2bl w:val="nil"/>
            </w:tcBorders>
            <w:shd w:val="clear" w:color="auto" w:fill="auto"/>
            <w:vAlign w:val="center"/>
          </w:tcPr>
          <w:p w14:paraId="22C4189F">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约6000人</w:t>
            </w:r>
          </w:p>
        </w:tc>
        <w:tc>
          <w:tcPr>
            <w:tcW w:w="1018" w:type="dxa"/>
            <w:vMerge w:val="continue"/>
            <w:tcBorders>
              <w:tl2br w:val="nil"/>
              <w:tr2bl w:val="nil"/>
            </w:tcBorders>
            <w:shd w:val="clear" w:color="auto" w:fill="auto"/>
            <w:vAlign w:val="center"/>
          </w:tcPr>
          <w:p w14:paraId="3F571BC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30ECBCFF">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72C3D8AE">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0E12C7BC">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1916</w:t>
            </w:r>
          </w:p>
        </w:tc>
      </w:tr>
      <w:tr w14:paraId="6286C51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04ADB2A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23</w:t>
            </w:r>
          </w:p>
        </w:tc>
        <w:tc>
          <w:tcPr>
            <w:tcW w:w="1481" w:type="dxa"/>
            <w:tcBorders>
              <w:tl2br w:val="nil"/>
              <w:tr2bl w:val="nil"/>
            </w:tcBorders>
            <w:shd w:val="clear" w:color="auto" w:fill="auto"/>
            <w:vAlign w:val="center"/>
          </w:tcPr>
          <w:p w14:paraId="126BAFD1">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英才学校</w:t>
            </w:r>
          </w:p>
        </w:tc>
        <w:tc>
          <w:tcPr>
            <w:tcW w:w="732" w:type="dxa"/>
            <w:tcBorders>
              <w:tl2br w:val="nil"/>
              <w:tr2bl w:val="nil"/>
            </w:tcBorders>
            <w:shd w:val="clear" w:color="auto" w:fill="auto"/>
            <w:vAlign w:val="center"/>
          </w:tcPr>
          <w:p w14:paraId="6D192C86">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1847</w:t>
            </w:r>
          </w:p>
        </w:tc>
        <w:tc>
          <w:tcPr>
            <w:tcW w:w="733" w:type="dxa"/>
            <w:tcBorders>
              <w:tl2br w:val="nil"/>
              <w:tr2bl w:val="nil"/>
            </w:tcBorders>
            <w:shd w:val="clear" w:color="auto" w:fill="auto"/>
            <w:vAlign w:val="center"/>
          </w:tcPr>
          <w:p w14:paraId="12BB1F11">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443</w:t>
            </w:r>
          </w:p>
        </w:tc>
        <w:tc>
          <w:tcPr>
            <w:tcW w:w="1867" w:type="dxa"/>
            <w:tcBorders>
              <w:tl2br w:val="nil"/>
              <w:tr2bl w:val="nil"/>
            </w:tcBorders>
            <w:shd w:val="clear" w:color="auto" w:fill="auto"/>
            <w:vAlign w:val="center"/>
          </w:tcPr>
          <w:p w14:paraId="56BA1CAE">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约2000人</w:t>
            </w:r>
          </w:p>
        </w:tc>
        <w:tc>
          <w:tcPr>
            <w:tcW w:w="1018" w:type="dxa"/>
            <w:vMerge w:val="continue"/>
            <w:tcBorders>
              <w:tl2br w:val="nil"/>
              <w:tr2bl w:val="nil"/>
            </w:tcBorders>
            <w:shd w:val="clear" w:color="auto" w:fill="auto"/>
            <w:vAlign w:val="center"/>
          </w:tcPr>
          <w:p w14:paraId="48A33C8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068F26A0">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8F7A27D">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06FC317D">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1896</w:t>
            </w:r>
          </w:p>
        </w:tc>
      </w:tr>
      <w:tr w14:paraId="2F01BC6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20EC7FF7">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24</w:t>
            </w:r>
          </w:p>
        </w:tc>
        <w:tc>
          <w:tcPr>
            <w:tcW w:w="1481" w:type="dxa"/>
            <w:tcBorders>
              <w:tl2br w:val="nil"/>
              <w:tr2bl w:val="nil"/>
            </w:tcBorders>
            <w:shd w:val="clear" w:color="auto" w:fill="auto"/>
            <w:vAlign w:val="center"/>
          </w:tcPr>
          <w:p w14:paraId="11209B3A">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濉溪龙华学校</w:t>
            </w:r>
          </w:p>
        </w:tc>
        <w:tc>
          <w:tcPr>
            <w:tcW w:w="732" w:type="dxa"/>
            <w:tcBorders>
              <w:tl2br w:val="nil"/>
              <w:tr2bl w:val="nil"/>
            </w:tcBorders>
            <w:shd w:val="clear" w:color="auto" w:fill="auto"/>
            <w:vAlign w:val="center"/>
          </w:tcPr>
          <w:p w14:paraId="023294A9">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2008</w:t>
            </w:r>
          </w:p>
        </w:tc>
        <w:tc>
          <w:tcPr>
            <w:tcW w:w="733" w:type="dxa"/>
            <w:tcBorders>
              <w:tl2br w:val="nil"/>
              <w:tr2bl w:val="nil"/>
            </w:tcBorders>
            <w:shd w:val="clear" w:color="auto" w:fill="auto"/>
            <w:vAlign w:val="center"/>
          </w:tcPr>
          <w:p w14:paraId="7E9F8AA1">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310</w:t>
            </w:r>
          </w:p>
        </w:tc>
        <w:tc>
          <w:tcPr>
            <w:tcW w:w="1867" w:type="dxa"/>
            <w:tcBorders>
              <w:tl2br w:val="nil"/>
              <w:tr2bl w:val="nil"/>
            </w:tcBorders>
            <w:shd w:val="clear" w:color="auto" w:fill="auto"/>
            <w:vAlign w:val="center"/>
          </w:tcPr>
          <w:p w14:paraId="326A4CA7">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约3000人</w:t>
            </w:r>
          </w:p>
        </w:tc>
        <w:tc>
          <w:tcPr>
            <w:tcW w:w="1018" w:type="dxa"/>
            <w:vMerge w:val="continue"/>
            <w:tcBorders>
              <w:tl2br w:val="nil"/>
              <w:tr2bl w:val="nil"/>
            </w:tcBorders>
            <w:shd w:val="clear" w:color="auto" w:fill="auto"/>
            <w:vAlign w:val="center"/>
          </w:tcPr>
          <w:p w14:paraId="5C204C0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2285CD6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65417665">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NE</w:t>
            </w:r>
          </w:p>
        </w:tc>
        <w:tc>
          <w:tcPr>
            <w:tcW w:w="1160" w:type="dxa"/>
            <w:tcBorders>
              <w:tl2br w:val="nil"/>
              <w:tr2bl w:val="nil"/>
            </w:tcBorders>
            <w:shd w:val="clear" w:color="auto" w:fill="auto"/>
            <w:vAlign w:val="center"/>
          </w:tcPr>
          <w:p w14:paraId="0AE7DC16">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2028</w:t>
            </w:r>
          </w:p>
        </w:tc>
      </w:tr>
      <w:tr w14:paraId="32D5BF0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70FE5C77">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25</w:t>
            </w:r>
          </w:p>
        </w:tc>
        <w:tc>
          <w:tcPr>
            <w:tcW w:w="1481" w:type="dxa"/>
            <w:tcBorders>
              <w:tl2br w:val="nil"/>
              <w:tr2bl w:val="nil"/>
            </w:tcBorders>
            <w:shd w:val="clear" w:color="auto" w:fill="auto"/>
            <w:vAlign w:val="center"/>
          </w:tcPr>
          <w:p w14:paraId="13F51339">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丁庄</w:t>
            </w:r>
          </w:p>
        </w:tc>
        <w:tc>
          <w:tcPr>
            <w:tcW w:w="732" w:type="dxa"/>
            <w:tcBorders>
              <w:tl2br w:val="nil"/>
              <w:tr2bl w:val="nil"/>
            </w:tcBorders>
            <w:shd w:val="clear" w:color="auto" w:fill="auto"/>
            <w:vAlign w:val="center"/>
          </w:tcPr>
          <w:p w14:paraId="1BE7C73C">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-366</w:t>
            </w:r>
          </w:p>
        </w:tc>
        <w:tc>
          <w:tcPr>
            <w:tcW w:w="733" w:type="dxa"/>
            <w:tcBorders>
              <w:tl2br w:val="nil"/>
              <w:tr2bl w:val="nil"/>
            </w:tcBorders>
            <w:shd w:val="clear" w:color="auto" w:fill="auto"/>
            <w:vAlign w:val="center"/>
          </w:tcPr>
          <w:p w14:paraId="2E97BD73">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-1808</w:t>
            </w:r>
          </w:p>
        </w:tc>
        <w:tc>
          <w:tcPr>
            <w:tcW w:w="1867" w:type="dxa"/>
            <w:tcBorders>
              <w:tl2br w:val="nil"/>
              <w:tr2bl w:val="nil"/>
            </w:tcBorders>
            <w:shd w:val="clear" w:color="auto" w:fill="auto"/>
            <w:vAlign w:val="center"/>
          </w:tcPr>
          <w:p w14:paraId="204E2BB8">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约65户</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228人</w:t>
            </w:r>
          </w:p>
        </w:tc>
        <w:tc>
          <w:tcPr>
            <w:tcW w:w="1018" w:type="dxa"/>
            <w:vMerge w:val="continue"/>
            <w:tcBorders>
              <w:tl2br w:val="nil"/>
              <w:tr2bl w:val="nil"/>
            </w:tcBorders>
            <w:shd w:val="clear" w:color="auto" w:fill="auto"/>
            <w:vAlign w:val="center"/>
          </w:tcPr>
          <w:p w14:paraId="53AE066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4167BB08">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44ABD6D2">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SW</w:t>
            </w:r>
          </w:p>
        </w:tc>
        <w:tc>
          <w:tcPr>
            <w:tcW w:w="1160" w:type="dxa"/>
            <w:tcBorders>
              <w:tl2br w:val="nil"/>
              <w:tr2bl w:val="nil"/>
            </w:tcBorders>
            <w:shd w:val="clear" w:color="auto" w:fill="auto"/>
            <w:vAlign w:val="center"/>
          </w:tcPr>
          <w:p w14:paraId="44CF607B">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1841</w:t>
            </w:r>
          </w:p>
        </w:tc>
      </w:tr>
      <w:tr w14:paraId="44E881A4">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3EE4EBCB">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26</w:t>
            </w:r>
          </w:p>
        </w:tc>
        <w:tc>
          <w:tcPr>
            <w:tcW w:w="1481" w:type="dxa"/>
            <w:tcBorders>
              <w:tl2br w:val="nil"/>
              <w:tr2bl w:val="nil"/>
            </w:tcBorders>
            <w:shd w:val="clear" w:color="auto" w:fill="auto"/>
            <w:vAlign w:val="center"/>
          </w:tcPr>
          <w:p w14:paraId="2D6B6334">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黄大庄</w:t>
            </w:r>
          </w:p>
        </w:tc>
        <w:tc>
          <w:tcPr>
            <w:tcW w:w="732" w:type="dxa"/>
            <w:tcBorders>
              <w:tl2br w:val="nil"/>
              <w:tr2bl w:val="nil"/>
            </w:tcBorders>
            <w:shd w:val="clear" w:color="auto" w:fill="auto"/>
            <w:vAlign w:val="center"/>
          </w:tcPr>
          <w:p w14:paraId="2C669C90">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-1076</w:t>
            </w:r>
          </w:p>
        </w:tc>
        <w:tc>
          <w:tcPr>
            <w:tcW w:w="733" w:type="dxa"/>
            <w:tcBorders>
              <w:tl2br w:val="nil"/>
              <w:tr2bl w:val="nil"/>
            </w:tcBorders>
            <w:shd w:val="clear" w:color="auto" w:fill="auto"/>
            <w:vAlign w:val="center"/>
          </w:tcPr>
          <w:p w14:paraId="73C796CC">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-1965</w:t>
            </w:r>
          </w:p>
        </w:tc>
        <w:tc>
          <w:tcPr>
            <w:tcW w:w="1867" w:type="dxa"/>
            <w:tcBorders>
              <w:tl2br w:val="nil"/>
              <w:tr2bl w:val="nil"/>
            </w:tcBorders>
            <w:shd w:val="clear" w:color="auto" w:fill="auto"/>
            <w:vAlign w:val="center"/>
          </w:tcPr>
          <w:p w14:paraId="37AF6FCA">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default" w:ascii="Times New Roman" w:hAnsi="Times New Roman" w:eastAsia="宋体" w:cs="Times New Roman"/>
                <w:b w:val="0"/>
                <w:color w:val="auto"/>
                <w:sz w:val="21"/>
                <w:szCs w:val="21"/>
                <w:lang w:eastAsia="zh-CN"/>
              </w:rPr>
              <w:t>约</w:t>
            </w:r>
            <w:r>
              <w:rPr>
                <w:rFonts w:hint="eastAsia" w:cs="Times New Roman"/>
                <w:b w:val="0"/>
                <w:color w:val="auto"/>
                <w:sz w:val="21"/>
                <w:szCs w:val="21"/>
                <w:lang w:val="en-US" w:eastAsia="zh-CN"/>
              </w:rPr>
              <w:t>14</w:t>
            </w:r>
            <w:r>
              <w:rPr>
                <w:rFonts w:hint="default" w:ascii="Times New Roman" w:hAnsi="Times New Roman" w:eastAsia="宋体" w:cs="Times New Roman"/>
                <w:b w:val="0"/>
                <w:color w:val="auto"/>
                <w:sz w:val="21"/>
                <w:szCs w:val="21"/>
                <w:lang w:val="en-US" w:eastAsia="zh-CN"/>
              </w:rPr>
              <w:t>0</w:t>
            </w:r>
            <w:r>
              <w:rPr>
                <w:rFonts w:hint="default" w:ascii="Times New Roman" w:hAnsi="Times New Roman" w:eastAsia="宋体" w:cs="Times New Roman"/>
                <w:b w:val="0"/>
                <w:color w:val="auto"/>
                <w:sz w:val="21"/>
                <w:szCs w:val="21"/>
              </w:rPr>
              <w:t>户/</w:t>
            </w:r>
            <w:r>
              <w:rPr>
                <w:rFonts w:hint="eastAsia" w:cs="Times New Roman"/>
                <w:b w:val="0"/>
                <w:color w:val="auto"/>
                <w:sz w:val="21"/>
                <w:szCs w:val="21"/>
                <w:lang w:val="en-US" w:eastAsia="zh-CN"/>
              </w:rPr>
              <w:t>490</w:t>
            </w:r>
            <w:r>
              <w:rPr>
                <w:rFonts w:hint="default" w:ascii="Times New Roman" w:hAnsi="Times New Roman" w:eastAsia="宋体" w:cs="Times New Roman"/>
                <w:b w:val="0"/>
                <w:color w:val="auto"/>
                <w:sz w:val="21"/>
                <w:szCs w:val="21"/>
              </w:rPr>
              <w:t>人</w:t>
            </w:r>
          </w:p>
        </w:tc>
        <w:tc>
          <w:tcPr>
            <w:tcW w:w="1018" w:type="dxa"/>
            <w:vMerge w:val="continue"/>
            <w:tcBorders>
              <w:tl2br w:val="nil"/>
              <w:tr2bl w:val="nil"/>
            </w:tcBorders>
            <w:shd w:val="clear" w:color="auto" w:fill="auto"/>
            <w:vAlign w:val="center"/>
          </w:tcPr>
          <w:p w14:paraId="2B0C577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2AA7317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17ABE0FE">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SW</w:t>
            </w:r>
          </w:p>
        </w:tc>
        <w:tc>
          <w:tcPr>
            <w:tcW w:w="1160" w:type="dxa"/>
            <w:tcBorders>
              <w:tl2br w:val="nil"/>
              <w:tr2bl w:val="nil"/>
            </w:tcBorders>
            <w:shd w:val="clear" w:color="auto" w:fill="auto"/>
            <w:vAlign w:val="center"/>
          </w:tcPr>
          <w:p w14:paraId="5F4749E8">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2209</w:t>
            </w:r>
          </w:p>
        </w:tc>
      </w:tr>
      <w:tr w14:paraId="1FC9025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004B39AA">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27</w:t>
            </w:r>
          </w:p>
        </w:tc>
        <w:tc>
          <w:tcPr>
            <w:tcW w:w="1481" w:type="dxa"/>
            <w:tcBorders>
              <w:tl2br w:val="nil"/>
              <w:tr2bl w:val="nil"/>
            </w:tcBorders>
            <w:shd w:val="clear" w:color="auto" w:fill="auto"/>
            <w:vAlign w:val="center"/>
          </w:tcPr>
          <w:p w14:paraId="2EF65139">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朱楼村</w:t>
            </w:r>
          </w:p>
        </w:tc>
        <w:tc>
          <w:tcPr>
            <w:tcW w:w="732" w:type="dxa"/>
            <w:tcBorders>
              <w:tl2br w:val="nil"/>
              <w:tr2bl w:val="nil"/>
            </w:tcBorders>
            <w:shd w:val="clear" w:color="auto" w:fill="auto"/>
            <w:vAlign w:val="center"/>
          </w:tcPr>
          <w:p w14:paraId="1D5E5CD0">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-179</w:t>
            </w:r>
          </w:p>
        </w:tc>
        <w:tc>
          <w:tcPr>
            <w:tcW w:w="733" w:type="dxa"/>
            <w:tcBorders>
              <w:tl2br w:val="nil"/>
              <w:tr2bl w:val="nil"/>
            </w:tcBorders>
            <w:shd w:val="clear" w:color="auto" w:fill="auto"/>
            <w:vAlign w:val="center"/>
          </w:tcPr>
          <w:p w14:paraId="10F7EDA7">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-1761</w:t>
            </w:r>
          </w:p>
        </w:tc>
        <w:tc>
          <w:tcPr>
            <w:tcW w:w="1867" w:type="dxa"/>
            <w:tcBorders>
              <w:tl2br w:val="nil"/>
              <w:tr2bl w:val="nil"/>
            </w:tcBorders>
            <w:shd w:val="clear" w:color="auto" w:fill="auto"/>
            <w:vAlign w:val="center"/>
          </w:tcPr>
          <w:p w14:paraId="06A09683">
            <w:pPr>
              <w:bidi w:val="0"/>
              <w:snapToGrid w:val="0"/>
              <w:spacing w:line="240" w:lineRule="auto"/>
              <w:ind w:left="0" w:leftChars="0" w:right="0" w:rightChars="0" w:firstLine="0" w:firstLineChars="0"/>
              <w:jc w:val="center"/>
              <w:rPr>
                <w:rFonts w:hint="default" w:ascii="Times New Roman" w:hAnsi="Times New Roman" w:eastAsia="宋体" w:cs="Times New Roman"/>
                <w:b w:val="0"/>
                <w:color w:val="auto"/>
                <w:sz w:val="21"/>
                <w:szCs w:val="21"/>
                <w:lang w:eastAsia="zh-CN"/>
              </w:rPr>
            </w:pPr>
            <w:r>
              <w:rPr>
                <w:rFonts w:hint="default" w:ascii="Times New Roman" w:hAnsi="Times New Roman" w:eastAsia="宋体" w:cs="Times New Roman"/>
                <w:b w:val="0"/>
                <w:color w:val="auto"/>
                <w:sz w:val="21"/>
                <w:szCs w:val="21"/>
                <w:lang w:eastAsia="zh-CN"/>
              </w:rPr>
              <w:t>约</w:t>
            </w:r>
            <w:r>
              <w:rPr>
                <w:rFonts w:hint="eastAsia" w:cs="Times New Roman"/>
                <w:b w:val="0"/>
                <w:color w:val="auto"/>
                <w:sz w:val="21"/>
                <w:szCs w:val="21"/>
                <w:lang w:val="en-US" w:eastAsia="zh-CN"/>
              </w:rPr>
              <w:t>17</w:t>
            </w:r>
            <w:r>
              <w:rPr>
                <w:rFonts w:hint="default" w:ascii="Times New Roman" w:hAnsi="Times New Roman" w:eastAsia="宋体" w:cs="Times New Roman"/>
                <w:b w:val="0"/>
                <w:color w:val="auto"/>
                <w:sz w:val="21"/>
                <w:szCs w:val="21"/>
                <w:lang w:val="en-US" w:eastAsia="zh-CN"/>
              </w:rPr>
              <w:t>0</w:t>
            </w:r>
            <w:r>
              <w:rPr>
                <w:rFonts w:hint="default" w:ascii="Times New Roman" w:hAnsi="Times New Roman" w:eastAsia="宋体" w:cs="Times New Roman"/>
                <w:b w:val="0"/>
                <w:color w:val="auto"/>
                <w:sz w:val="21"/>
                <w:szCs w:val="21"/>
              </w:rPr>
              <w:t>户/</w:t>
            </w:r>
            <w:r>
              <w:rPr>
                <w:rFonts w:hint="eastAsia" w:cs="Times New Roman"/>
                <w:b w:val="0"/>
                <w:color w:val="auto"/>
                <w:sz w:val="21"/>
                <w:szCs w:val="21"/>
                <w:lang w:val="en-US" w:eastAsia="zh-CN"/>
              </w:rPr>
              <w:t>595</w:t>
            </w:r>
            <w:r>
              <w:rPr>
                <w:rFonts w:hint="default" w:ascii="Times New Roman" w:hAnsi="Times New Roman" w:eastAsia="宋体" w:cs="Times New Roman"/>
                <w:b w:val="0"/>
                <w:color w:val="auto"/>
                <w:sz w:val="21"/>
                <w:szCs w:val="21"/>
              </w:rPr>
              <w:t>人</w:t>
            </w:r>
          </w:p>
        </w:tc>
        <w:tc>
          <w:tcPr>
            <w:tcW w:w="1018" w:type="dxa"/>
            <w:vMerge w:val="continue"/>
            <w:tcBorders>
              <w:tl2br w:val="nil"/>
              <w:tr2bl w:val="nil"/>
            </w:tcBorders>
            <w:shd w:val="clear" w:color="auto" w:fill="auto"/>
            <w:vAlign w:val="center"/>
          </w:tcPr>
          <w:p w14:paraId="4F8A443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01042A3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64E56523">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SW</w:t>
            </w:r>
          </w:p>
        </w:tc>
        <w:tc>
          <w:tcPr>
            <w:tcW w:w="1160" w:type="dxa"/>
            <w:tcBorders>
              <w:tl2br w:val="nil"/>
              <w:tr2bl w:val="nil"/>
            </w:tcBorders>
            <w:shd w:val="clear" w:color="auto" w:fill="auto"/>
            <w:vAlign w:val="center"/>
          </w:tcPr>
          <w:p w14:paraId="31EB5829">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1870</w:t>
            </w:r>
          </w:p>
        </w:tc>
      </w:tr>
      <w:tr w14:paraId="01C43CF7">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776C81CB">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28</w:t>
            </w:r>
          </w:p>
        </w:tc>
        <w:tc>
          <w:tcPr>
            <w:tcW w:w="1481" w:type="dxa"/>
            <w:tcBorders>
              <w:tl2br w:val="nil"/>
              <w:tr2bl w:val="nil"/>
            </w:tcBorders>
            <w:shd w:val="clear" w:color="auto" w:fill="auto"/>
            <w:vAlign w:val="center"/>
          </w:tcPr>
          <w:p w14:paraId="22313EEC">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王堰村</w:t>
            </w:r>
          </w:p>
        </w:tc>
        <w:tc>
          <w:tcPr>
            <w:tcW w:w="732" w:type="dxa"/>
            <w:tcBorders>
              <w:tl2br w:val="nil"/>
              <w:tr2bl w:val="nil"/>
            </w:tcBorders>
            <w:shd w:val="clear" w:color="auto" w:fill="auto"/>
            <w:vAlign w:val="center"/>
          </w:tcPr>
          <w:p w14:paraId="379FA44B">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-1798</w:t>
            </w:r>
          </w:p>
        </w:tc>
        <w:tc>
          <w:tcPr>
            <w:tcW w:w="733" w:type="dxa"/>
            <w:tcBorders>
              <w:tl2br w:val="nil"/>
              <w:tr2bl w:val="nil"/>
            </w:tcBorders>
            <w:shd w:val="clear" w:color="auto" w:fill="auto"/>
            <w:vAlign w:val="center"/>
          </w:tcPr>
          <w:p w14:paraId="3A60AA46">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-1066</w:t>
            </w:r>
          </w:p>
        </w:tc>
        <w:tc>
          <w:tcPr>
            <w:tcW w:w="1867" w:type="dxa"/>
            <w:tcBorders>
              <w:tl2br w:val="nil"/>
              <w:tr2bl w:val="nil"/>
            </w:tcBorders>
            <w:shd w:val="clear" w:color="auto" w:fill="auto"/>
            <w:vAlign w:val="center"/>
          </w:tcPr>
          <w:p w14:paraId="57CB2610">
            <w:pPr>
              <w:bidi w:val="0"/>
              <w:snapToGrid w:val="0"/>
              <w:spacing w:line="240" w:lineRule="auto"/>
              <w:ind w:left="0" w:leftChars="0" w:right="0" w:rightChars="0" w:firstLine="0" w:firstLineChars="0"/>
              <w:jc w:val="center"/>
              <w:rPr>
                <w:rFonts w:hint="default" w:ascii="Times New Roman" w:hAnsi="Times New Roman" w:eastAsia="宋体" w:cs="Times New Roman"/>
                <w:b w:val="0"/>
                <w:color w:val="auto"/>
                <w:sz w:val="21"/>
                <w:szCs w:val="21"/>
                <w:lang w:val="en-US" w:eastAsia="zh-CN"/>
              </w:rPr>
            </w:pPr>
            <w:r>
              <w:rPr>
                <w:rFonts w:hint="eastAsia" w:cs="Times New Roman"/>
                <w:b w:val="0"/>
                <w:color w:val="auto"/>
                <w:sz w:val="21"/>
                <w:szCs w:val="21"/>
                <w:lang w:val="en-US" w:eastAsia="zh-CN"/>
              </w:rPr>
              <w:t>约150户</w:t>
            </w:r>
            <w:r>
              <w:rPr>
                <w:rFonts w:hint="default" w:ascii="Times New Roman" w:hAnsi="Times New Roman" w:cs="Times New Roman"/>
                <w:color w:val="auto"/>
                <w:sz w:val="21"/>
                <w:szCs w:val="21"/>
                <w:lang w:val="en-US" w:eastAsia="zh-CN"/>
              </w:rPr>
              <w:t>/</w:t>
            </w:r>
            <w:r>
              <w:rPr>
                <w:rFonts w:hint="eastAsia" w:cs="Times New Roman"/>
                <w:b w:val="0"/>
                <w:color w:val="auto"/>
                <w:sz w:val="21"/>
                <w:szCs w:val="21"/>
                <w:lang w:val="en-US" w:eastAsia="zh-CN"/>
              </w:rPr>
              <w:t>525人</w:t>
            </w:r>
          </w:p>
        </w:tc>
        <w:tc>
          <w:tcPr>
            <w:tcW w:w="1018" w:type="dxa"/>
            <w:vMerge w:val="continue"/>
            <w:tcBorders>
              <w:tl2br w:val="nil"/>
              <w:tr2bl w:val="nil"/>
            </w:tcBorders>
            <w:shd w:val="clear" w:color="auto" w:fill="auto"/>
            <w:vAlign w:val="center"/>
          </w:tcPr>
          <w:p w14:paraId="47CF766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18BA771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1F4DF48">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SW</w:t>
            </w:r>
          </w:p>
        </w:tc>
        <w:tc>
          <w:tcPr>
            <w:tcW w:w="1160" w:type="dxa"/>
            <w:tcBorders>
              <w:tl2br w:val="nil"/>
              <w:tr2bl w:val="nil"/>
            </w:tcBorders>
            <w:shd w:val="clear" w:color="auto" w:fill="auto"/>
            <w:vAlign w:val="center"/>
          </w:tcPr>
          <w:p w14:paraId="67D31D01">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2065</w:t>
            </w:r>
          </w:p>
        </w:tc>
      </w:tr>
      <w:tr w14:paraId="09E70CD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6D47DFA2">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29</w:t>
            </w:r>
          </w:p>
        </w:tc>
        <w:tc>
          <w:tcPr>
            <w:tcW w:w="1481" w:type="dxa"/>
            <w:tcBorders>
              <w:tl2br w:val="nil"/>
              <w:tr2bl w:val="nil"/>
            </w:tcBorders>
            <w:shd w:val="clear" w:color="auto" w:fill="auto"/>
            <w:vAlign w:val="center"/>
          </w:tcPr>
          <w:p w14:paraId="206ED299">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周庄</w:t>
            </w:r>
          </w:p>
        </w:tc>
        <w:tc>
          <w:tcPr>
            <w:tcW w:w="732" w:type="dxa"/>
            <w:tcBorders>
              <w:tl2br w:val="nil"/>
              <w:tr2bl w:val="nil"/>
            </w:tcBorders>
            <w:shd w:val="clear" w:color="auto" w:fill="auto"/>
            <w:vAlign w:val="center"/>
          </w:tcPr>
          <w:p w14:paraId="28599495">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-1577</w:t>
            </w:r>
          </w:p>
        </w:tc>
        <w:tc>
          <w:tcPr>
            <w:tcW w:w="733" w:type="dxa"/>
            <w:tcBorders>
              <w:tl2br w:val="nil"/>
              <w:tr2bl w:val="nil"/>
            </w:tcBorders>
            <w:shd w:val="clear" w:color="auto" w:fill="auto"/>
            <w:vAlign w:val="center"/>
          </w:tcPr>
          <w:p w14:paraId="6A3A58AD">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-186</w:t>
            </w:r>
          </w:p>
        </w:tc>
        <w:tc>
          <w:tcPr>
            <w:tcW w:w="1867" w:type="dxa"/>
            <w:tcBorders>
              <w:tl2br w:val="nil"/>
              <w:tr2bl w:val="nil"/>
            </w:tcBorders>
            <w:shd w:val="clear" w:color="auto" w:fill="auto"/>
            <w:vAlign w:val="center"/>
          </w:tcPr>
          <w:p w14:paraId="5AD2295C">
            <w:pPr>
              <w:bidi w:val="0"/>
              <w:snapToGrid w:val="0"/>
              <w:spacing w:line="240" w:lineRule="auto"/>
              <w:ind w:left="0" w:leftChars="0" w:right="0" w:rightChars="0" w:firstLine="0" w:firstLineChars="0"/>
              <w:jc w:val="center"/>
              <w:rPr>
                <w:rFonts w:hint="eastAsia" w:cs="Times New Roman"/>
                <w:b w:val="0"/>
                <w:color w:val="auto"/>
                <w:sz w:val="21"/>
                <w:szCs w:val="21"/>
                <w:lang w:val="en-US" w:eastAsia="zh-CN"/>
              </w:rPr>
            </w:pPr>
            <w:r>
              <w:rPr>
                <w:rFonts w:hint="eastAsia" w:cs="Times New Roman"/>
                <w:color w:val="auto"/>
                <w:sz w:val="21"/>
                <w:szCs w:val="21"/>
                <w:lang w:val="en-US" w:eastAsia="zh-CN"/>
              </w:rPr>
              <w:t>约130户</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455人</w:t>
            </w:r>
          </w:p>
        </w:tc>
        <w:tc>
          <w:tcPr>
            <w:tcW w:w="1018" w:type="dxa"/>
            <w:vMerge w:val="continue"/>
            <w:tcBorders>
              <w:tl2br w:val="nil"/>
              <w:tr2bl w:val="nil"/>
            </w:tcBorders>
            <w:shd w:val="clear" w:color="auto" w:fill="auto"/>
            <w:vAlign w:val="center"/>
          </w:tcPr>
          <w:p w14:paraId="652C338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733" w:type="dxa"/>
            <w:vMerge w:val="continue"/>
            <w:tcBorders>
              <w:tl2br w:val="nil"/>
              <w:tr2bl w:val="nil"/>
            </w:tcBorders>
            <w:shd w:val="clear" w:color="auto" w:fill="auto"/>
            <w:vAlign w:val="center"/>
          </w:tcPr>
          <w:p w14:paraId="5846091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p>
        </w:tc>
        <w:tc>
          <w:tcPr>
            <w:tcW w:w="1000" w:type="dxa"/>
            <w:tcBorders>
              <w:tl2br w:val="nil"/>
              <w:tr2bl w:val="nil"/>
            </w:tcBorders>
            <w:shd w:val="clear" w:color="auto" w:fill="auto"/>
            <w:vAlign w:val="center"/>
          </w:tcPr>
          <w:p w14:paraId="516AEA3A">
            <w:pPr>
              <w:bidi w:val="0"/>
              <w:snapToGrid w:val="0"/>
              <w:spacing w:line="240" w:lineRule="auto"/>
              <w:ind w:left="0" w:leftChars="0" w:right="0" w:rightChars="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SW</w:t>
            </w:r>
          </w:p>
        </w:tc>
        <w:tc>
          <w:tcPr>
            <w:tcW w:w="1160" w:type="dxa"/>
            <w:tcBorders>
              <w:tl2br w:val="nil"/>
              <w:tr2bl w:val="nil"/>
            </w:tcBorders>
            <w:shd w:val="clear" w:color="auto" w:fill="auto"/>
            <w:vAlign w:val="center"/>
          </w:tcPr>
          <w:p w14:paraId="37C94C5A">
            <w:pPr>
              <w:bidi w:val="0"/>
              <w:snapToGrid w:val="0"/>
              <w:spacing w:line="240" w:lineRule="auto"/>
              <w:ind w:left="0" w:leftChars="0" w:right="0" w:rightChars="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1751</w:t>
            </w:r>
          </w:p>
        </w:tc>
      </w:tr>
      <w:tr w14:paraId="3530D845">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5B716EE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eastAsia="zh-CN"/>
              </w:rPr>
              <w:t>1</w:t>
            </w:r>
          </w:p>
        </w:tc>
        <w:tc>
          <w:tcPr>
            <w:tcW w:w="1481" w:type="dxa"/>
            <w:tcBorders>
              <w:tl2br w:val="nil"/>
              <w:tr2bl w:val="nil"/>
            </w:tcBorders>
            <w:shd w:val="clear" w:color="auto" w:fill="auto"/>
            <w:vAlign w:val="center"/>
          </w:tcPr>
          <w:p w14:paraId="1670C51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王引河</w:t>
            </w:r>
          </w:p>
        </w:tc>
        <w:tc>
          <w:tcPr>
            <w:tcW w:w="732" w:type="dxa"/>
            <w:tcBorders>
              <w:tl2br w:val="nil"/>
              <w:tr2bl w:val="nil"/>
            </w:tcBorders>
            <w:shd w:val="clear" w:color="auto" w:fill="auto"/>
            <w:vAlign w:val="center"/>
          </w:tcPr>
          <w:p w14:paraId="06F51F4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733" w:type="dxa"/>
            <w:tcBorders>
              <w:tl2br w:val="nil"/>
              <w:tr2bl w:val="nil"/>
            </w:tcBorders>
            <w:shd w:val="clear" w:color="auto" w:fill="auto"/>
            <w:vAlign w:val="center"/>
          </w:tcPr>
          <w:p w14:paraId="65684D0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867" w:type="dxa"/>
            <w:tcBorders>
              <w:tl2br w:val="nil"/>
              <w:tr2bl w:val="nil"/>
            </w:tcBorders>
            <w:shd w:val="clear" w:color="auto" w:fill="auto"/>
            <w:vAlign w:val="center"/>
          </w:tcPr>
          <w:p w14:paraId="327BC91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小型河流</w:t>
            </w:r>
          </w:p>
        </w:tc>
        <w:tc>
          <w:tcPr>
            <w:tcW w:w="1018" w:type="dxa"/>
            <w:vMerge w:val="restart"/>
            <w:tcBorders>
              <w:tl2br w:val="nil"/>
              <w:tr2bl w:val="nil"/>
            </w:tcBorders>
            <w:shd w:val="clear" w:color="auto" w:fill="auto"/>
            <w:vAlign w:val="center"/>
          </w:tcPr>
          <w:p w14:paraId="6452DDF5">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地表水环境</w:t>
            </w:r>
          </w:p>
        </w:tc>
        <w:tc>
          <w:tcPr>
            <w:tcW w:w="1733" w:type="dxa"/>
            <w:tcBorders>
              <w:tl2br w:val="nil"/>
              <w:tr2bl w:val="nil"/>
            </w:tcBorders>
            <w:shd w:val="clear" w:color="auto" w:fill="auto"/>
            <w:vAlign w:val="center"/>
          </w:tcPr>
          <w:p w14:paraId="366B201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（GB3838-2002）</w:t>
            </w:r>
            <w:r>
              <w:rPr>
                <w:rFonts w:hint="eastAsia" w:cs="Times New Roman"/>
                <w:color w:val="auto"/>
                <w:sz w:val="21"/>
                <w:szCs w:val="21"/>
                <w:lang w:val="en-US" w:eastAsia="zh-CN"/>
              </w:rPr>
              <w:t>III</w:t>
            </w:r>
            <w:r>
              <w:rPr>
                <w:rFonts w:hint="default" w:ascii="Times New Roman" w:hAnsi="Times New Roman" w:cs="Times New Roman"/>
                <w:color w:val="auto"/>
                <w:sz w:val="21"/>
                <w:szCs w:val="21"/>
                <w:lang w:val="en-US" w:eastAsia="zh-CN"/>
              </w:rPr>
              <w:t>类</w:t>
            </w:r>
          </w:p>
        </w:tc>
        <w:tc>
          <w:tcPr>
            <w:tcW w:w="1000" w:type="dxa"/>
            <w:tcBorders>
              <w:tl2br w:val="nil"/>
              <w:tr2bl w:val="nil"/>
            </w:tcBorders>
            <w:shd w:val="clear" w:color="auto" w:fill="auto"/>
            <w:vAlign w:val="center"/>
          </w:tcPr>
          <w:p w14:paraId="2E08EB9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E</w:t>
            </w:r>
          </w:p>
        </w:tc>
        <w:tc>
          <w:tcPr>
            <w:tcW w:w="1160" w:type="dxa"/>
            <w:tcBorders>
              <w:tl2br w:val="nil"/>
              <w:tr2bl w:val="nil"/>
            </w:tcBorders>
            <w:shd w:val="clear" w:color="auto" w:fill="auto"/>
            <w:vAlign w:val="center"/>
          </w:tcPr>
          <w:p w14:paraId="2770F69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1860</w:t>
            </w:r>
          </w:p>
        </w:tc>
      </w:tr>
      <w:tr w14:paraId="7C06992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5B0E498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w:t>
            </w:r>
          </w:p>
        </w:tc>
        <w:tc>
          <w:tcPr>
            <w:tcW w:w="1481" w:type="dxa"/>
            <w:tcBorders>
              <w:tl2br w:val="nil"/>
              <w:tr2bl w:val="nil"/>
            </w:tcBorders>
            <w:shd w:val="clear" w:color="auto" w:fill="auto"/>
            <w:vAlign w:val="center"/>
          </w:tcPr>
          <w:p w14:paraId="0FBBC760">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巴河</w:t>
            </w:r>
          </w:p>
        </w:tc>
        <w:tc>
          <w:tcPr>
            <w:tcW w:w="732" w:type="dxa"/>
            <w:tcBorders>
              <w:tl2br w:val="nil"/>
              <w:tr2bl w:val="nil"/>
            </w:tcBorders>
            <w:shd w:val="clear" w:color="auto" w:fill="auto"/>
            <w:vAlign w:val="center"/>
          </w:tcPr>
          <w:p w14:paraId="005341C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w:t>
            </w:r>
          </w:p>
        </w:tc>
        <w:tc>
          <w:tcPr>
            <w:tcW w:w="733" w:type="dxa"/>
            <w:tcBorders>
              <w:tl2br w:val="nil"/>
              <w:tr2bl w:val="nil"/>
            </w:tcBorders>
            <w:shd w:val="clear" w:color="auto" w:fill="auto"/>
            <w:vAlign w:val="center"/>
          </w:tcPr>
          <w:p w14:paraId="4F200ACF">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w:t>
            </w:r>
          </w:p>
        </w:tc>
        <w:tc>
          <w:tcPr>
            <w:tcW w:w="1867" w:type="dxa"/>
            <w:tcBorders>
              <w:tl2br w:val="nil"/>
              <w:tr2bl w:val="nil"/>
            </w:tcBorders>
            <w:shd w:val="clear" w:color="auto" w:fill="auto"/>
            <w:vAlign w:val="center"/>
          </w:tcPr>
          <w:p w14:paraId="294CCFD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小型河流</w:t>
            </w:r>
          </w:p>
        </w:tc>
        <w:tc>
          <w:tcPr>
            <w:tcW w:w="1018" w:type="dxa"/>
            <w:vMerge w:val="continue"/>
            <w:tcBorders>
              <w:tl2br w:val="nil"/>
              <w:tr2bl w:val="nil"/>
            </w:tcBorders>
            <w:shd w:val="clear" w:color="auto" w:fill="auto"/>
            <w:vAlign w:val="center"/>
          </w:tcPr>
          <w:p w14:paraId="3A37FC9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p>
        </w:tc>
        <w:tc>
          <w:tcPr>
            <w:tcW w:w="1733" w:type="dxa"/>
            <w:tcBorders>
              <w:tl2br w:val="nil"/>
              <w:tr2bl w:val="nil"/>
            </w:tcBorders>
            <w:shd w:val="clear" w:color="auto" w:fill="auto"/>
            <w:vAlign w:val="center"/>
          </w:tcPr>
          <w:p w14:paraId="53379190">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（GB3838-2002）</w:t>
            </w:r>
            <w:r>
              <w:rPr>
                <w:rFonts w:hint="eastAsia" w:cs="Times New Roman"/>
                <w:color w:val="auto"/>
                <w:sz w:val="21"/>
                <w:szCs w:val="21"/>
                <w:lang w:val="en-US" w:eastAsia="zh-CN"/>
              </w:rPr>
              <w:t>IV</w:t>
            </w:r>
            <w:r>
              <w:rPr>
                <w:rFonts w:hint="default" w:ascii="Times New Roman" w:hAnsi="Times New Roman" w:cs="Times New Roman"/>
                <w:color w:val="auto"/>
                <w:sz w:val="21"/>
                <w:szCs w:val="21"/>
                <w:lang w:val="en-US" w:eastAsia="zh-CN"/>
              </w:rPr>
              <w:t>类</w:t>
            </w:r>
          </w:p>
        </w:tc>
        <w:tc>
          <w:tcPr>
            <w:tcW w:w="1000" w:type="dxa"/>
            <w:tcBorders>
              <w:tl2br w:val="nil"/>
              <w:tr2bl w:val="nil"/>
            </w:tcBorders>
            <w:shd w:val="clear" w:color="auto" w:fill="auto"/>
            <w:vAlign w:val="center"/>
          </w:tcPr>
          <w:p w14:paraId="1BDD240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S</w:t>
            </w:r>
          </w:p>
        </w:tc>
        <w:tc>
          <w:tcPr>
            <w:tcW w:w="1160" w:type="dxa"/>
            <w:tcBorders>
              <w:tl2br w:val="nil"/>
              <w:tr2bl w:val="nil"/>
            </w:tcBorders>
            <w:shd w:val="clear" w:color="auto" w:fill="auto"/>
            <w:vAlign w:val="center"/>
          </w:tcPr>
          <w:p w14:paraId="1C032DDF">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1369</w:t>
            </w:r>
          </w:p>
        </w:tc>
      </w:tr>
      <w:tr w14:paraId="5B3A01A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38F441F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3</w:t>
            </w:r>
          </w:p>
        </w:tc>
        <w:tc>
          <w:tcPr>
            <w:tcW w:w="1481" w:type="dxa"/>
            <w:tcBorders>
              <w:tl2br w:val="nil"/>
              <w:tr2bl w:val="nil"/>
            </w:tcBorders>
            <w:shd w:val="clear" w:color="auto" w:fill="auto"/>
            <w:vAlign w:val="center"/>
          </w:tcPr>
          <w:p w14:paraId="6610A0B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区域声环境</w:t>
            </w:r>
          </w:p>
        </w:tc>
        <w:tc>
          <w:tcPr>
            <w:tcW w:w="732" w:type="dxa"/>
            <w:tcBorders>
              <w:tl2br w:val="nil"/>
              <w:tr2bl w:val="nil"/>
            </w:tcBorders>
            <w:shd w:val="clear" w:color="auto" w:fill="auto"/>
            <w:vAlign w:val="center"/>
          </w:tcPr>
          <w:p w14:paraId="680773BC">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733" w:type="dxa"/>
            <w:tcBorders>
              <w:tl2br w:val="nil"/>
              <w:tr2bl w:val="nil"/>
            </w:tcBorders>
            <w:shd w:val="clear" w:color="auto" w:fill="auto"/>
            <w:vAlign w:val="center"/>
          </w:tcPr>
          <w:p w14:paraId="7FB9A3CD">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867" w:type="dxa"/>
            <w:tcBorders>
              <w:tl2br w:val="nil"/>
              <w:tr2bl w:val="nil"/>
            </w:tcBorders>
            <w:shd w:val="clear" w:color="auto" w:fill="auto"/>
            <w:vAlign w:val="center"/>
          </w:tcPr>
          <w:p w14:paraId="30082CD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018" w:type="dxa"/>
            <w:tcBorders>
              <w:tl2br w:val="nil"/>
              <w:tr2bl w:val="nil"/>
            </w:tcBorders>
            <w:shd w:val="clear" w:color="auto" w:fill="auto"/>
            <w:vAlign w:val="center"/>
          </w:tcPr>
          <w:p w14:paraId="7CC8B25D">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声环境</w:t>
            </w:r>
          </w:p>
        </w:tc>
        <w:tc>
          <w:tcPr>
            <w:tcW w:w="1733" w:type="dxa"/>
            <w:tcBorders>
              <w:tl2br w:val="nil"/>
              <w:tr2bl w:val="nil"/>
            </w:tcBorders>
            <w:shd w:val="clear" w:color="auto" w:fill="auto"/>
            <w:vAlign w:val="center"/>
          </w:tcPr>
          <w:p w14:paraId="7B3FF4E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（GB3096-2008）3类</w:t>
            </w:r>
          </w:p>
        </w:tc>
        <w:tc>
          <w:tcPr>
            <w:tcW w:w="1000" w:type="dxa"/>
            <w:tcBorders>
              <w:tl2br w:val="nil"/>
              <w:tr2bl w:val="nil"/>
            </w:tcBorders>
            <w:shd w:val="clear" w:color="auto" w:fill="auto"/>
            <w:vAlign w:val="center"/>
          </w:tcPr>
          <w:p w14:paraId="0810260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160" w:type="dxa"/>
            <w:tcBorders>
              <w:tl2br w:val="nil"/>
              <w:tr2bl w:val="nil"/>
            </w:tcBorders>
            <w:shd w:val="clear" w:color="auto" w:fill="auto"/>
            <w:vAlign w:val="center"/>
          </w:tcPr>
          <w:p w14:paraId="6979ED7D">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r>
      <w:tr w14:paraId="18B5CF7C">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0ADCF99D">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4</w:t>
            </w:r>
          </w:p>
        </w:tc>
        <w:tc>
          <w:tcPr>
            <w:tcW w:w="1481" w:type="dxa"/>
            <w:tcBorders>
              <w:tl2br w:val="nil"/>
              <w:tr2bl w:val="nil"/>
            </w:tcBorders>
            <w:shd w:val="clear" w:color="auto" w:fill="auto"/>
            <w:vAlign w:val="center"/>
          </w:tcPr>
          <w:p w14:paraId="66E39CA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区域地下水</w:t>
            </w:r>
          </w:p>
        </w:tc>
        <w:tc>
          <w:tcPr>
            <w:tcW w:w="732" w:type="dxa"/>
            <w:tcBorders>
              <w:tl2br w:val="nil"/>
              <w:tr2bl w:val="nil"/>
            </w:tcBorders>
            <w:shd w:val="clear" w:color="auto" w:fill="auto"/>
            <w:vAlign w:val="center"/>
          </w:tcPr>
          <w:p w14:paraId="0900033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733" w:type="dxa"/>
            <w:tcBorders>
              <w:tl2br w:val="nil"/>
              <w:tr2bl w:val="nil"/>
            </w:tcBorders>
            <w:shd w:val="clear" w:color="auto" w:fill="auto"/>
            <w:vAlign w:val="center"/>
          </w:tcPr>
          <w:p w14:paraId="1BF5D18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867" w:type="dxa"/>
            <w:tcBorders>
              <w:tl2br w:val="nil"/>
              <w:tr2bl w:val="nil"/>
            </w:tcBorders>
            <w:shd w:val="clear" w:color="auto" w:fill="auto"/>
            <w:vAlign w:val="center"/>
          </w:tcPr>
          <w:p w14:paraId="5B6D876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018" w:type="dxa"/>
            <w:tcBorders>
              <w:tl2br w:val="nil"/>
              <w:tr2bl w:val="nil"/>
            </w:tcBorders>
            <w:shd w:val="clear" w:color="auto" w:fill="auto"/>
            <w:vAlign w:val="center"/>
          </w:tcPr>
          <w:p w14:paraId="782873B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地下水环境</w:t>
            </w:r>
          </w:p>
        </w:tc>
        <w:tc>
          <w:tcPr>
            <w:tcW w:w="1733" w:type="dxa"/>
            <w:tcBorders>
              <w:tl2br w:val="nil"/>
              <w:tr2bl w:val="nil"/>
            </w:tcBorders>
            <w:shd w:val="clear" w:color="auto" w:fill="auto"/>
            <w:vAlign w:val="center"/>
          </w:tcPr>
          <w:p w14:paraId="64AE04D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（GB/T14848-2017）III类</w:t>
            </w:r>
          </w:p>
        </w:tc>
        <w:tc>
          <w:tcPr>
            <w:tcW w:w="1000" w:type="dxa"/>
            <w:tcBorders>
              <w:tl2br w:val="nil"/>
              <w:tr2bl w:val="nil"/>
            </w:tcBorders>
            <w:shd w:val="clear" w:color="auto" w:fill="auto"/>
            <w:vAlign w:val="center"/>
          </w:tcPr>
          <w:p w14:paraId="77730BB1">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160" w:type="dxa"/>
            <w:tcBorders>
              <w:tl2br w:val="nil"/>
              <w:tr2bl w:val="nil"/>
            </w:tcBorders>
            <w:shd w:val="clear" w:color="auto" w:fill="auto"/>
            <w:vAlign w:val="center"/>
          </w:tcPr>
          <w:p w14:paraId="18DEF0BC">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r>
      <w:tr w14:paraId="3BFC7F8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523" w:type="dxa"/>
            <w:tcBorders>
              <w:tl2br w:val="nil"/>
              <w:tr2bl w:val="nil"/>
            </w:tcBorders>
            <w:shd w:val="clear" w:color="auto" w:fill="auto"/>
            <w:vAlign w:val="center"/>
          </w:tcPr>
          <w:p w14:paraId="2755AB8A">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5</w:t>
            </w:r>
          </w:p>
        </w:tc>
        <w:tc>
          <w:tcPr>
            <w:tcW w:w="1481" w:type="dxa"/>
            <w:tcBorders>
              <w:tl2br w:val="nil"/>
              <w:tr2bl w:val="nil"/>
            </w:tcBorders>
            <w:shd w:val="clear" w:color="auto" w:fill="auto"/>
            <w:vAlign w:val="center"/>
          </w:tcPr>
          <w:p w14:paraId="0A1409DB">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区域及周边土壤</w:t>
            </w:r>
          </w:p>
        </w:tc>
        <w:tc>
          <w:tcPr>
            <w:tcW w:w="732" w:type="dxa"/>
            <w:tcBorders>
              <w:tl2br w:val="nil"/>
              <w:tr2bl w:val="nil"/>
            </w:tcBorders>
            <w:shd w:val="clear" w:color="auto" w:fill="auto"/>
            <w:vAlign w:val="center"/>
          </w:tcPr>
          <w:p w14:paraId="1B232DA6">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733" w:type="dxa"/>
            <w:tcBorders>
              <w:tl2br w:val="nil"/>
              <w:tr2bl w:val="nil"/>
            </w:tcBorders>
            <w:shd w:val="clear" w:color="auto" w:fill="auto"/>
            <w:vAlign w:val="center"/>
          </w:tcPr>
          <w:p w14:paraId="1FF42A48">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867" w:type="dxa"/>
            <w:tcBorders>
              <w:tl2br w:val="nil"/>
              <w:tr2bl w:val="nil"/>
            </w:tcBorders>
            <w:shd w:val="clear" w:color="auto" w:fill="auto"/>
            <w:vAlign w:val="center"/>
          </w:tcPr>
          <w:p w14:paraId="6727976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018" w:type="dxa"/>
            <w:tcBorders>
              <w:tl2br w:val="nil"/>
              <w:tr2bl w:val="nil"/>
            </w:tcBorders>
            <w:shd w:val="clear" w:color="auto" w:fill="auto"/>
            <w:vAlign w:val="center"/>
          </w:tcPr>
          <w:p w14:paraId="0A30633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土壤环境</w:t>
            </w:r>
          </w:p>
        </w:tc>
        <w:tc>
          <w:tcPr>
            <w:tcW w:w="1733" w:type="dxa"/>
            <w:tcBorders>
              <w:tl2br w:val="nil"/>
              <w:tr2bl w:val="nil"/>
            </w:tcBorders>
            <w:shd w:val="clear" w:color="auto" w:fill="auto"/>
            <w:vAlign w:val="center"/>
          </w:tcPr>
          <w:p w14:paraId="19D0981E">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（GB36600-2018）第二类用地筛选值</w:t>
            </w:r>
          </w:p>
        </w:tc>
        <w:tc>
          <w:tcPr>
            <w:tcW w:w="1000" w:type="dxa"/>
            <w:tcBorders>
              <w:tl2br w:val="nil"/>
              <w:tr2bl w:val="nil"/>
            </w:tcBorders>
            <w:shd w:val="clear" w:color="auto" w:fill="auto"/>
            <w:vAlign w:val="center"/>
          </w:tcPr>
          <w:p w14:paraId="26866E64">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c>
          <w:tcPr>
            <w:tcW w:w="1160" w:type="dxa"/>
            <w:tcBorders>
              <w:tl2br w:val="nil"/>
              <w:tr2bl w:val="nil"/>
            </w:tcBorders>
            <w:shd w:val="clear" w:color="auto" w:fill="auto"/>
            <w:vAlign w:val="center"/>
          </w:tcPr>
          <w:p w14:paraId="51C010B7">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w:t>
            </w:r>
          </w:p>
        </w:tc>
      </w:tr>
      <w:tr w14:paraId="39C3F014">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shd w:val="clear" w:color="auto" w:fill="auto"/>
          <w:tblCellMar>
            <w:top w:w="0" w:type="dxa"/>
            <w:left w:w="108" w:type="dxa"/>
            <w:bottom w:w="0" w:type="dxa"/>
            <w:right w:w="108" w:type="dxa"/>
          </w:tblCellMar>
        </w:tblPrEx>
        <w:trPr>
          <w:trHeight w:val="0" w:hRule="atLeast"/>
          <w:jc w:val="center"/>
        </w:trPr>
        <w:tc>
          <w:tcPr>
            <w:tcW w:w="10247" w:type="dxa"/>
            <w:gridSpan w:val="9"/>
            <w:tcBorders>
              <w:tl2br w:val="nil"/>
              <w:tr2bl w:val="nil"/>
            </w:tcBorders>
            <w:shd w:val="clear" w:color="auto" w:fill="auto"/>
            <w:vAlign w:val="center"/>
          </w:tcPr>
          <w:p w14:paraId="09D702C2">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以厂区西南角为坐标原点，正东为X轴，正北为Y轴。</w:t>
            </w:r>
          </w:p>
        </w:tc>
      </w:tr>
    </w:tbl>
    <w:p w14:paraId="5602DBC5">
      <w:pPr>
        <w:pStyle w:val="41"/>
        <w:rPr>
          <w:b/>
          <w:bCs/>
          <w:color w:val="auto"/>
          <w:sz w:val="24"/>
          <w:szCs w:val="32"/>
        </w:rPr>
        <w:sectPr>
          <w:pgSz w:w="11906" w:h="16838"/>
          <w:pgMar w:top="1440" w:right="1080" w:bottom="144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14:paraId="1ED11367">
      <w:pPr>
        <w:pStyle w:val="27"/>
        <w:spacing w:line="240" w:lineRule="auto"/>
        <w:jc w:val="center"/>
        <w:rPr>
          <w:color w:val="auto"/>
        </w:rPr>
        <w:sectPr>
          <w:pgSz w:w="16838" w:h="11906" w:orient="landscape"/>
          <w:pgMar w:top="1100" w:right="1080" w:bottom="110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pPr>
      <w:r>
        <w:rPr>
          <w:color w:val="auto"/>
          <w:sz w:val="24"/>
        </w:rPr>
        <mc:AlternateContent>
          <mc:Choice Requires="wps">
            <w:drawing>
              <wp:anchor distT="0" distB="0" distL="114300" distR="114300" simplePos="0" relativeHeight="251790336" behindDoc="0" locked="0" layoutInCell="1" allowOverlap="1">
                <wp:simplePos x="0" y="0"/>
                <wp:positionH relativeFrom="column">
                  <wp:posOffset>4429760</wp:posOffset>
                </wp:positionH>
                <wp:positionV relativeFrom="paragraph">
                  <wp:posOffset>4609465</wp:posOffset>
                </wp:positionV>
                <wp:extent cx="720090" cy="276225"/>
                <wp:effectExtent l="0" t="0" r="0" b="0"/>
                <wp:wrapNone/>
                <wp:docPr id="174" name="文本框 174"/>
                <wp:cNvGraphicFramePr/>
                <a:graphic xmlns:a="http://schemas.openxmlformats.org/drawingml/2006/main">
                  <a:graphicData uri="http://schemas.microsoft.com/office/word/2010/wordprocessingShape">
                    <wps:wsp>
                      <wps:cNvSpPr txBox="1"/>
                      <wps:spPr>
                        <a:xfrm>
                          <a:off x="0" y="0"/>
                          <a:ext cx="72009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D65424E">
                            <w:pPr>
                              <w:spacing w:line="240" w:lineRule="auto"/>
                              <w:jc w:val="center"/>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朱楼村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8.8pt;margin-top:362.95pt;height:21.75pt;width:56.7pt;z-index:251790336;mso-width-relative:page;mso-height-relative:page;" filled="f" stroked="f" coordsize="21600,21600" o:gfxdata="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phshu3AAAAAsBAAAPAAAAAAAAAAEAIAAAACIAAABk&#10;cnMvZG93bnJldi54bWxQSwECFAAUAAAACACHTuJAblE6QzsCAABpBAAADgAAAAAAAAABACAAAAAr&#10;AQAAZHJzL2Uyb0RvYy54bWxQSwUGAAAAAAYABgBZAQAA2AUAAAAA&#10;">
                <v:fill on="f" focussize="0,0"/>
                <v:stroke on="f" weight="0.5pt"/>
                <v:imagedata o:title=""/>
                <o:lock v:ext="edit" aspectratio="f"/>
                <v:textbox>
                  <w:txbxContent>
                    <w:p w14:paraId="5D65424E">
                      <w:pPr>
                        <w:spacing w:line="240" w:lineRule="auto"/>
                        <w:jc w:val="center"/>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朱楼村</w:t>
                      </w:r>
                    </w:p>
                  </w:txbxContent>
                </v:textbox>
              </v:shape>
            </w:pict>
          </mc:Fallback>
        </mc:AlternateContent>
      </w:r>
      <w:r>
        <w:rPr>
          <w:color w:val="auto"/>
          <w:sz w:val="24"/>
        </w:rPr>
        <mc:AlternateContent>
          <mc:Choice Requires="wps">
            <w:drawing>
              <wp:anchor distT="0" distB="0" distL="114300" distR="114300" simplePos="0" relativeHeight="251686912" behindDoc="0" locked="0" layoutInCell="1" allowOverlap="1">
                <wp:simplePos x="0" y="0"/>
                <wp:positionH relativeFrom="column">
                  <wp:posOffset>4086860</wp:posOffset>
                </wp:positionH>
                <wp:positionV relativeFrom="paragraph">
                  <wp:posOffset>4968875</wp:posOffset>
                </wp:positionV>
                <wp:extent cx="565785" cy="276225"/>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56578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5694F3">
                            <w:pPr>
                              <w:spacing w:line="240" w:lineRule="auto"/>
                              <w:jc w:val="center"/>
                              <w:rPr>
                                <w:rFonts w:hint="eastAsia" w:ascii="仿宋" w:hAnsi="仿宋" w:eastAsia="仿宋" w:cs="仿宋"/>
                                <w:b/>
                                <w:bCs/>
                                <w:color w:val="FFFF00"/>
                                <w:lang w:val="en-US" w:eastAsia="zh-CN"/>
                              </w:rPr>
                            </w:pPr>
                            <w:r>
                              <w:rPr>
                                <w:rFonts w:hint="eastAsia" w:ascii="仿宋" w:hAnsi="仿宋" w:eastAsia="仿宋" w:cs="仿宋"/>
                                <w:b/>
                                <w:bCs/>
                                <w:color w:val="FFFF00"/>
                                <w:lang w:val="en-US" w:eastAsia="zh-CN"/>
                              </w:rPr>
                              <w:t>丁庄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1.8pt;margin-top:391.25pt;height:21.75pt;width:44.55pt;z-index:251686912;mso-width-relative:page;mso-height-relative:page;" filled="f" stroked="f" coordsize="21600,21600" o:gfxdata="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7TdtENwAAAALAQAADwAAAAAAAAABACAAAAAiAAAA&#10;ZHJzL2Rvd25yZXYueG1sUEsBAhQAFAAAAAgAh07iQFeDYxU8AgAAZwQAAA4AAAAAAAAAAQAgAAAA&#10;KwEAAGRycy9lMm9Eb2MueG1sUEsFBgAAAAAGAAYAWQEAANkFAAAAAA==&#10;">
                <v:fill on="f" focussize="0,0"/>
                <v:stroke on="f" weight="0.5pt"/>
                <v:imagedata o:title=""/>
                <o:lock v:ext="edit" aspectratio="f"/>
                <v:textbox>
                  <w:txbxContent>
                    <w:p w14:paraId="425694F3">
                      <w:pPr>
                        <w:spacing w:line="240" w:lineRule="auto"/>
                        <w:jc w:val="center"/>
                        <w:rPr>
                          <w:rFonts w:hint="eastAsia" w:ascii="仿宋" w:hAnsi="仿宋" w:eastAsia="仿宋" w:cs="仿宋"/>
                          <w:b/>
                          <w:bCs/>
                          <w:color w:val="FFFF00"/>
                          <w:lang w:val="en-US" w:eastAsia="zh-CN"/>
                        </w:rPr>
                      </w:pPr>
                      <w:r>
                        <w:rPr>
                          <w:rFonts w:hint="eastAsia" w:ascii="仿宋" w:hAnsi="仿宋" w:eastAsia="仿宋" w:cs="仿宋"/>
                          <w:b/>
                          <w:bCs/>
                          <w:color w:val="FFFF00"/>
                          <w:lang w:val="en-US" w:eastAsia="zh-CN"/>
                        </w:rPr>
                        <w:t>丁庄</w:t>
                      </w:r>
                    </w:p>
                  </w:txbxContent>
                </v:textbox>
              </v:shape>
            </w:pict>
          </mc:Fallback>
        </mc:AlternateContent>
      </w:r>
      <w:r>
        <w:rPr>
          <w:color w:val="auto"/>
          <w:sz w:val="24"/>
        </w:rPr>
        <mc:AlternateContent>
          <mc:Choice Requires="wps">
            <w:drawing>
              <wp:anchor distT="0" distB="0" distL="114300" distR="114300" simplePos="0" relativeHeight="251789312" behindDoc="0" locked="0" layoutInCell="1" allowOverlap="1">
                <wp:simplePos x="0" y="0"/>
                <wp:positionH relativeFrom="column">
                  <wp:posOffset>4425950</wp:posOffset>
                </wp:positionH>
                <wp:positionV relativeFrom="paragraph">
                  <wp:posOffset>4751070</wp:posOffset>
                </wp:positionV>
                <wp:extent cx="144145" cy="144145"/>
                <wp:effectExtent l="4445" t="4445" r="22860" b="22860"/>
                <wp:wrapNone/>
                <wp:docPr id="173" name="椭圆 173"/>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348.5pt;margin-top:374.1pt;height:11.35pt;width:11.35pt;z-index:251789312;mso-width-relative:page;mso-height-relative:page;" fillcolor="#FFFF00" filled="t" stroked="t" coordsize="21600,21600" o:gfxdata="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RRmDw2AAAAAsBAAAPAAAAAAAAAAEAIAAAACIAAABkcnMvZG93bnJl&#10;di54bWxQSwECFAAUAAAACACHTuJAiZqxL/0BAAAZBAAADgAAAAAAAAABACAAAAAnAQAAZHJzL2Uy&#10;b0RvYy54bWxQSwUGAAAAAAYABgBZAQAAlg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85888" behindDoc="0" locked="0" layoutInCell="1" allowOverlap="1">
                <wp:simplePos x="0" y="0"/>
                <wp:positionH relativeFrom="column">
                  <wp:posOffset>4118610</wp:posOffset>
                </wp:positionH>
                <wp:positionV relativeFrom="paragraph">
                  <wp:posOffset>4919980</wp:posOffset>
                </wp:positionV>
                <wp:extent cx="144145" cy="144145"/>
                <wp:effectExtent l="4445" t="4445" r="22860" b="22860"/>
                <wp:wrapNone/>
                <wp:docPr id="20" name="椭圆 20"/>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324.3pt;margin-top:387.4pt;height:11.35pt;width:11.35pt;z-index:251685888;mso-width-relative:page;mso-height-relative:page;" fillcolor="#FFFF00" filled="t" stroked="t" coordsize="21600,21600" o:gfxdata="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z8Ikq1wAAAAsBAAAPAAAAAAAAAAEAIAAAACIAAABkcnMvZG93bnJldi54&#10;bWxQSwECFAAUAAAACACHTuJA1oo1FvsBAAAXBAAADgAAAAAAAAABACAAAAAmAQAAZHJzL2Uyb0Rv&#10;Yy54bWxQSwUGAAAAAAYABgBZAQAAkw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44256" behindDoc="0" locked="0" layoutInCell="1" allowOverlap="1">
                <wp:simplePos x="0" y="0"/>
                <wp:positionH relativeFrom="column">
                  <wp:posOffset>4372610</wp:posOffset>
                </wp:positionH>
                <wp:positionV relativeFrom="paragraph">
                  <wp:posOffset>4170680</wp:posOffset>
                </wp:positionV>
                <wp:extent cx="755015" cy="276225"/>
                <wp:effectExtent l="0" t="0" r="0" b="0"/>
                <wp:wrapNone/>
                <wp:docPr id="130" name="文本框 130"/>
                <wp:cNvGraphicFramePr/>
                <a:graphic xmlns:a="http://schemas.openxmlformats.org/drawingml/2006/main">
                  <a:graphicData uri="http://schemas.microsoft.com/office/word/2010/wordprocessingShape">
                    <wps:wsp>
                      <wps:cNvSpPr txBox="1"/>
                      <wps:spPr>
                        <a:xfrm>
                          <a:off x="0" y="0"/>
                          <a:ext cx="75501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A9E220">
                            <w:pPr>
                              <w:spacing w:line="240" w:lineRule="auto"/>
                              <w:jc w:val="center"/>
                              <w:rPr>
                                <w:rFonts w:hint="default" w:ascii="仿宋" w:hAnsi="仿宋" w:eastAsia="仿宋" w:cs="仿宋"/>
                                <w:b/>
                                <w:bCs/>
                                <w:color w:val="FFFFFF" w:themeColor="background1"/>
                                <w:highlight w:val="cyan"/>
                                <w:lang w:val="en-US" w:eastAsia="zh-CN"/>
                                <w14:textFill>
                                  <w14:solidFill>
                                    <w14:schemeClr w14:val="bg1"/>
                                  </w14:solidFill>
                                </w14:textFill>
                              </w:rPr>
                            </w:pPr>
                            <w:r>
                              <w:rPr>
                                <w:rFonts w:hint="eastAsia" w:ascii="仿宋" w:hAnsi="仿宋" w:eastAsia="仿宋" w:cs="仿宋"/>
                                <w:b/>
                                <w:bCs/>
                                <w:color w:val="FFFFFF" w:themeColor="background1"/>
                                <w:highlight w:val="cyan"/>
                                <w:lang w:val="en-US" w:eastAsia="zh-CN"/>
                                <w14:textFill>
                                  <w14:solidFill>
                                    <w14:schemeClr w14:val="bg1"/>
                                  </w14:solidFill>
                                </w14:textFill>
                              </w:rPr>
                              <w:t>巴河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4.3pt;margin-top:328.4pt;height:21.75pt;width:59.45pt;z-index:251744256;mso-width-relative:page;mso-height-relative:page;" filled="f" stroked="f" coordsize="21600,21600" o:gfxdata="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F4wPV2wAAAAsBAAAPAAAAAAAAAAEAIAAAACIAAABk&#10;cnMvZG93bnJldi54bWxQSwECFAAUAAAACACHTuJATJiD/jwCAABpBAAADgAAAAAAAAABACAAAAAq&#10;AQAAZHJzL2Uyb0RvYy54bWxQSwUGAAAAAAYABgBZAQAA2AUAAAAA&#10;">
                <v:fill on="f" focussize="0,0"/>
                <v:stroke on="f" weight="0.5pt"/>
                <v:imagedata o:title=""/>
                <o:lock v:ext="edit" aspectratio="f"/>
                <v:textbox>
                  <w:txbxContent>
                    <w:p w14:paraId="3CA9E220">
                      <w:pPr>
                        <w:spacing w:line="240" w:lineRule="auto"/>
                        <w:jc w:val="center"/>
                        <w:rPr>
                          <w:rFonts w:hint="default" w:ascii="仿宋" w:hAnsi="仿宋" w:eastAsia="仿宋" w:cs="仿宋"/>
                          <w:b/>
                          <w:bCs/>
                          <w:color w:val="FFFFFF" w:themeColor="background1"/>
                          <w:highlight w:val="cyan"/>
                          <w:lang w:val="en-US" w:eastAsia="zh-CN"/>
                          <w14:textFill>
                            <w14:solidFill>
                              <w14:schemeClr w14:val="bg1"/>
                            </w14:solidFill>
                          </w14:textFill>
                        </w:rPr>
                      </w:pPr>
                      <w:r>
                        <w:rPr>
                          <w:rFonts w:hint="eastAsia" w:ascii="仿宋" w:hAnsi="仿宋" w:eastAsia="仿宋" w:cs="仿宋"/>
                          <w:b/>
                          <w:bCs/>
                          <w:color w:val="FFFFFF" w:themeColor="background1"/>
                          <w:highlight w:val="cyan"/>
                          <w:lang w:val="en-US" w:eastAsia="zh-CN"/>
                          <w14:textFill>
                            <w14:solidFill>
                              <w14:schemeClr w14:val="bg1"/>
                            </w14:solidFill>
                          </w14:textFill>
                        </w:rPr>
                        <w:t>巴河</w:t>
                      </w:r>
                    </w:p>
                  </w:txbxContent>
                </v:textbox>
              </v:shape>
            </w:pict>
          </mc:Fallback>
        </mc:AlternateContent>
      </w:r>
      <w:r>
        <w:rPr>
          <w:color w:val="auto"/>
          <w:sz w:val="24"/>
        </w:rPr>
        <mc:AlternateContent>
          <mc:Choice Requires="wps">
            <w:drawing>
              <wp:anchor distT="0" distB="0" distL="114300" distR="114300" simplePos="0" relativeHeight="251746304" behindDoc="0" locked="0" layoutInCell="1" allowOverlap="1">
                <wp:simplePos x="0" y="0"/>
                <wp:positionH relativeFrom="column">
                  <wp:posOffset>970915</wp:posOffset>
                </wp:positionH>
                <wp:positionV relativeFrom="paragraph">
                  <wp:posOffset>4159885</wp:posOffset>
                </wp:positionV>
                <wp:extent cx="7158355" cy="1677670"/>
                <wp:effectExtent l="4445" t="4445" r="19050" b="13335"/>
                <wp:wrapNone/>
                <wp:docPr id="129" name="任意多边形 129"/>
                <wp:cNvGraphicFramePr/>
                <a:graphic xmlns:a="http://schemas.openxmlformats.org/drawingml/2006/main">
                  <a:graphicData uri="http://schemas.microsoft.com/office/word/2010/wordprocessingShape">
                    <wps:wsp>
                      <wps:cNvSpPr/>
                      <wps:spPr>
                        <a:xfrm>
                          <a:off x="1656715" y="4858385"/>
                          <a:ext cx="7158355" cy="1677670"/>
                        </a:xfrm>
                        <a:custGeom>
                          <a:avLst/>
                          <a:gdLst>
                            <a:gd name="connisteX0" fmla="*/ 0 w 7158355"/>
                            <a:gd name="connsiteY0" fmla="*/ 1128395 h 1677670"/>
                            <a:gd name="connisteX1" fmla="*/ 153670 w 7158355"/>
                            <a:gd name="connsiteY1" fmla="*/ 1076960 h 1677670"/>
                            <a:gd name="connisteX2" fmla="*/ 556260 w 7158355"/>
                            <a:gd name="connsiteY2" fmla="*/ 857250 h 1677670"/>
                            <a:gd name="connisteX3" fmla="*/ 812800 w 7158355"/>
                            <a:gd name="connsiteY3" fmla="*/ 731520 h 1677670"/>
                            <a:gd name="connisteX4" fmla="*/ 1143000 w 7158355"/>
                            <a:gd name="connsiteY4" fmla="*/ 585470 h 1677670"/>
                            <a:gd name="connisteX5" fmla="*/ 1384300 w 7158355"/>
                            <a:gd name="connsiteY5" fmla="*/ 410210 h 1677670"/>
                            <a:gd name="connisteX6" fmla="*/ 1619250 w 7158355"/>
                            <a:gd name="connsiteY6" fmla="*/ 263525 h 1677670"/>
                            <a:gd name="connisteX7" fmla="*/ 1868170 w 7158355"/>
                            <a:gd name="connsiteY7" fmla="*/ 190500 h 1677670"/>
                            <a:gd name="connisteX8" fmla="*/ 2102485 w 7158355"/>
                            <a:gd name="connsiteY8" fmla="*/ 73025 h 1677670"/>
                            <a:gd name="connisteX9" fmla="*/ 2373630 w 7158355"/>
                            <a:gd name="connsiteY9" fmla="*/ 50800 h 1677670"/>
                            <a:gd name="connisteX10" fmla="*/ 2659380 w 7158355"/>
                            <a:gd name="connsiteY10" fmla="*/ 36195 h 1677670"/>
                            <a:gd name="connisteX11" fmla="*/ 2922905 w 7158355"/>
                            <a:gd name="connsiteY11" fmla="*/ 50800 h 1677670"/>
                            <a:gd name="connisteX12" fmla="*/ 3274695 w 7158355"/>
                            <a:gd name="connsiteY12" fmla="*/ 131445 h 1677670"/>
                            <a:gd name="connisteX13" fmla="*/ 3684905 w 7158355"/>
                            <a:gd name="connsiteY13" fmla="*/ 366395 h 1677670"/>
                            <a:gd name="connisteX14" fmla="*/ 3926840 w 7158355"/>
                            <a:gd name="connsiteY14" fmla="*/ 549275 h 1677670"/>
                            <a:gd name="connisteX15" fmla="*/ 4205605 w 7158355"/>
                            <a:gd name="connsiteY15" fmla="*/ 622300 h 1677670"/>
                            <a:gd name="connisteX16" fmla="*/ 4703445 w 7158355"/>
                            <a:gd name="connsiteY16" fmla="*/ 688340 h 1677670"/>
                            <a:gd name="connisteX17" fmla="*/ 5113655 w 7158355"/>
                            <a:gd name="connsiteY17" fmla="*/ 775970 h 1677670"/>
                            <a:gd name="connisteX18" fmla="*/ 5297170 w 7158355"/>
                            <a:gd name="connsiteY18" fmla="*/ 864235 h 1677670"/>
                            <a:gd name="connisteX19" fmla="*/ 5480050 w 7158355"/>
                            <a:gd name="connsiteY19" fmla="*/ 937895 h 1677670"/>
                            <a:gd name="connisteX20" fmla="*/ 5707380 w 7158355"/>
                            <a:gd name="connsiteY20" fmla="*/ 930275 h 1677670"/>
                            <a:gd name="connisteX21" fmla="*/ 5949315 w 7158355"/>
                            <a:gd name="connsiteY21" fmla="*/ 1017270 h 1677670"/>
                            <a:gd name="connisteX22" fmla="*/ 6235065 w 7158355"/>
                            <a:gd name="connsiteY22" fmla="*/ 1061720 h 1677670"/>
                            <a:gd name="connisteX23" fmla="*/ 6483985 w 7158355"/>
                            <a:gd name="connsiteY23" fmla="*/ 1193800 h 1677670"/>
                            <a:gd name="connisteX24" fmla="*/ 6806565 w 7158355"/>
                            <a:gd name="connsiteY24" fmla="*/ 1406525 h 1677670"/>
                            <a:gd name="connisteX25" fmla="*/ 7048500 w 7158355"/>
                            <a:gd name="connsiteY25" fmla="*/ 1574800 h 1677670"/>
                            <a:gd name="connisteX26" fmla="*/ 7158355 w 7158355"/>
                            <a:gd name="connsiteY26" fmla="*/ 1677670 h 1677670"/>
                            <a:gd name="connisteX27" fmla="*/ 7092315 w 7158355"/>
                            <a:gd name="connsiteY27" fmla="*/ 1524000 h 1677670"/>
                            <a:gd name="connisteX28" fmla="*/ 6762750 w 7158355"/>
                            <a:gd name="connsiteY28" fmla="*/ 1311275 h 1677670"/>
                            <a:gd name="connisteX29" fmla="*/ 6432550 w 7158355"/>
                            <a:gd name="connsiteY29" fmla="*/ 1098550 h 1677670"/>
                            <a:gd name="connisteX30" fmla="*/ 6278880 w 7158355"/>
                            <a:gd name="connsiteY30" fmla="*/ 1025525 h 1677670"/>
                            <a:gd name="connisteX31" fmla="*/ 6080760 w 7158355"/>
                            <a:gd name="connsiteY31" fmla="*/ 996315 h 1677670"/>
                            <a:gd name="connisteX32" fmla="*/ 5795010 w 7158355"/>
                            <a:gd name="connsiteY32" fmla="*/ 915670 h 1677670"/>
                            <a:gd name="connisteX33" fmla="*/ 5502275 w 7158355"/>
                            <a:gd name="connsiteY33" fmla="*/ 878840 h 1677670"/>
                            <a:gd name="connisteX34" fmla="*/ 5318760 w 7158355"/>
                            <a:gd name="connsiteY34" fmla="*/ 812800 h 1677670"/>
                            <a:gd name="connisteX35" fmla="*/ 5084445 w 7158355"/>
                            <a:gd name="connsiteY35" fmla="*/ 710565 h 1677670"/>
                            <a:gd name="connisteX36" fmla="*/ 4747260 w 7158355"/>
                            <a:gd name="connsiteY36" fmla="*/ 658495 h 1677670"/>
                            <a:gd name="connisteX37" fmla="*/ 4330065 w 7158355"/>
                            <a:gd name="connsiteY37" fmla="*/ 593090 h 1677670"/>
                            <a:gd name="connisteX38" fmla="*/ 4102735 w 7158355"/>
                            <a:gd name="connsiteY38" fmla="*/ 556895 h 1677670"/>
                            <a:gd name="connisteX39" fmla="*/ 3926840 w 7158355"/>
                            <a:gd name="connsiteY39" fmla="*/ 467995 h 1677670"/>
                            <a:gd name="connisteX40" fmla="*/ 3568065 w 7158355"/>
                            <a:gd name="connsiteY40" fmla="*/ 234315 h 1677670"/>
                            <a:gd name="connisteX41" fmla="*/ 3274695 w 7158355"/>
                            <a:gd name="connsiteY41" fmla="*/ 80645 h 1677670"/>
                            <a:gd name="connisteX42" fmla="*/ 2879090 w 7158355"/>
                            <a:gd name="connsiteY42" fmla="*/ 0 h 1677670"/>
                            <a:gd name="connisteX43" fmla="*/ 2388235 w 7158355"/>
                            <a:gd name="connsiteY43" fmla="*/ 6985 h 1677670"/>
                            <a:gd name="connisteX44" fmla="*/ 2021840 w 7158355"/>
                            <a:gd name="connsiteY44" fmla="*/ 43815 h 1677670"/>
                            <a:gd name="connisteX45" fmla="*/ 1729105 w 7158355"/>
                            <a:gd name="connsiteY45" fmla="*/ 175895 h 1677670"/>
                            <a:gd name="connisteX46" fmla="*/ 1413510 w 7158355"/>
                            <a:gd name="connsiteY46" fmla="*/ 321945 h 1677670"/>
                            <a:gd name="connisteX47" fmla="*/ 1157605 w 7158355"/>
                            <a:gd name="connsiteY47" fmla="*/ 490220 h 1677670"/>
                            <a:gd name="connisteX48" fmla="*/ 651510 w 7158355"/>
                            <a:gd name="connsiteY48" fmla="*/ 717550 h 1677670"/>
                            <a:gd name="connisteX49" fmla="*/ 255905 w 7158355"/>
                            <a:gd name="connsiteY49" fmla="*/ 974090 h 1677670"/>
                            <a:gd name="connisteX50" fmla="*/ 21590 w 7158355"/>
                            <a:gd name="connsiteY50" fmla="*/ 1054735 h 1677670"/>
                            <a:gd name="connisteX51" fmla="*/ 0 w 7158355"/>
                            <a:gd name="connsiteY51" fmla="*/ 1069340 h 1677670"/>
                            <a:gd name="connisteX52" fmla="*/ 0 w 7158355"/>
                            <a:gd name="connsiteY52" fmla="*/ 1128395 h 167767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 ang="0">
                              <a:pos x="connisteX26" y="connsiteY26"/>
                            </a:cxn>
                            <a:cxn ang="0">
                              <a:pos x="connisteX27" y="connsiteY27"/>
                            </a:cxn>
                            <a:cxn ang="0">
                              <a:pos x="connisteX28" y="connsiteY28"/>
                            </a:cxn>
                            <a:cxn ang="0">
                              <a:pos x="connisteX29" y="connsiteY29"/>
                            </a:cxn>
                            <a:cxn ang="0">
                              <a:pos x="connisteX30" y="connsiteY30"/>
                            </a:cxn>
                            <a:cxn ang="0">
                              <a:pos x="connisteX31" y="connsiteY31"/>
                            </a:cxn>
                            <a:cxn ang="0">
                              <a:pos x="connisteX32" y="connsiteY32"/>
                            </a:cxn>
                            <a:cxn ang="0">
                              <a:pos x="connisteX33" y="connsiteY33"/>
                            </a:cxn>
                            <a:cxn ang="0">
                              <a:pos x="connisteX34" y="connsiteY34"/>
                            </a:cxn>
                            <a:cxn ang="0">
                              <a:pos x="connisteX35" y="connsiteY35"/>
                            </a:cxn>
                            <a:cxn ang="0">
                              <a:pos x="connisteX36" y="connsiteY36"/>
                            </a:cxn>
                            <a:cxn ang="0">
                              <a:pos x="connisteX37" y="connsiteY37"/>
                            </a:cxn>
                            <a:cxn ang="0">
                              <a:pos x="connisteX38" y="connsiteY38"/>
                            </a:cxn>
                            <a:cxn ang="0">
                              <a:pos x="connisteX39" y="connsiteY39"/>
                            </a:cxn>
                            <a:cxn ang="0">
                              <a:pos x="connisteX40" y="connsiteY40"/>
                            </a:cxn>
                            <a:cxn ang="0">
                              <a:pos x="connisteX41" y="connsiteY41"/>
                            </a:cxn>
                            <a:cxn ang="0">
                              <a:pos x="connisteX42" y="connsiteY42"/>
                            </a:cxn>
                            <a:cxn ang="0">
                              <a:pos x="connisteX43" y="connsiteY43"/>
                            </a:cxn>
                            <a:cxn ang="0">
                              <a:pos x="connisteX44" y="connsiteY44"/>
                            </a:cxn>
                            <a:cxn ang="0">
                              <a:pos x="connisteX45" y="connsiteY45"/>
                            </a:cxn>
                            <a:cxn ang="0">
                              <a:pos x="connisteX46" y="connsiteY46"/>
                            </a:cxn>
                            <a:cxn ang="0">
                              <a:pos x="connisteX47" y="connsiteY47"/>
                            </a:cxn>
                            <a:cxn ang="0">
                              <a:pos x="connisteX48" y="connsiteY48"/>
                            </a:cxn>
                            <a:cxn ang="0">
                              <a:pos x="connisteX49" y="connsiteY49"/>
                            </a:cxn>
                            <a:cxn ang="0">
                              <a:pos x="connisteX50" y="connsiteY50"/>
                            </a:cxn>
                            <a:cxn ang="0">
                              <a:pos x="connisteX51" y="connsiteY51"/>
                            </a:cxn>
                            <a:cxn ang="0">
                              <a:pos x="connisteX52" y="connsiteY52"/>
                            </a:cxn>
                          </a:cxnLst>
                          <a:rect l="l" t="t" r="r" b="b"/>
                          <a:pathLst>
                            <a:path w="7158355" h="1677670">
                              <a:moveTo>
                                <a:pt x="0" y="1128395"/>
                              </a:moveTo>
                              <a:lnTo>
                                <a:pt x="153670" y="1076960"/>
                              </a:lnTo>
                              <a:lnTo>
                                <a:pt x="556260" y="857250"/>
                              </a:lnTo>
                              <a:lnTo>
                                <a:pt x="812800" y="731520"/>
                              </a:lnTo>
                              <a:lnTo>
                                <a:pt x="1143000" y="585470"/>
                              </a:lnTo>
                              <a:lnTo>
                                <a:pt x="1384300" y="410210"/>
                              </a:lnTo>
                              <a:lnTo>
                                <a:pt x="1619250" y="263525"/>
                              </a:lnTo>
                              <a:lnTo>
                                <a:pt x="1868170" y="190500"/>
                              </a:lnTo>
                              <a:lnTo>
                                <a:pt x="2102485" y="73025"/>
                              </a:lnTo>
                              <a:lnTo>
                                <a:pt x="2373630" y="50800"/>
                              </a:lnTo>
                              <a:lnTo>
                                <a:pt x="2659380" y="36195"/>
                              </a:lnTo>
                              <a:lnTo>
                                <a:pt x="2922905" y="50800"/>
                              </a:lnTo>
                              <a:lnTo>
                                <a:pt x="3274695" y="131445"/>
                              </a:lnTo>
                              <a:lnTo>
                                <a:pt x="3684905" y="366395"/>
                              </a:lnTo>
                              <a:lnTo>
                                <a:pt x="3926840" y="549275"/>
                              </a:lnTo>
                              <a:lnTo>
                                <a:pt x="4205605" y="622300"/>
                              </a:lnTo>
                              <a:lnTo>
                                <a:pt x="4703445" y="688340"/>
                              </a:lnTo>
                              <a:lnTo>
                                <a:pt x="5113655" y="775970"/>
                              </a:lnTo>
                              <a:lnTo>
                                <a:pt x="5297170" y="864235"/>
                              </a:lnTo>
                              <a:lnTo>
                                <a:pt x="5480050" y="937895"/>
                              </a:lnTo>
                              <a:lnTo>
                                <a:pt x="5707380" y="930275"/>
                              </a:lnTo>
                              <a:lnTo>
                                <a:pt x="5949315" y="1017270"/>
                              </a:lnTo>
                              <a:lnTo>
                                <a:pt x="6235065" y="1061720"/>
                              </a:lnTo>
                              <a:lnTo>
                                <a:pt x="6483985" y="1193800"/>
                              </a:lnTo>
                              <a:lnTo>
                                <a:pt x="6806565" y="1406525"/>
                              </a:lnTo>
                              <a:lnTo>
                                <a:pt x="7048500" y="1574800"/>
                              </a:lnTo>
                              <a:lnTo>
                                <a:pt x="7158355" y="1677670"/>
                              </a:lnTo>
                              <a:lnTo>
                                <a:pt x="7092315" y="1524000"/>
                              </a:lnTo>
                              <a:lnTo>
                                <a:pt x="6762750" y="1311275"/>
                              </a:lnTo>
                              <a:lnTo>
                                <a:pt x="6432550" y="1098550"/>
                              </a:lnTo>
                              <a:lnTo>
                                <a:pt x="6278880" y="1025525"/>
                              </a:lnTo>
                              <a:lnTo>
                                <a:pt x="6080760" y="996315"/>
                              </a:lnTo>
                              <a:lnTo>
                                <a:pt x="5795010" y="915670"/>
                              </a:lnTo>
                              <a:lnTo>
                                <a:pt x="5502275" y="878840"/>
                              </a:lnTo>
                              <a:lnTo>
                                <a:pt x="5318760" y="812800"/>
                              </a:lnTo>
                              <a:lnTo>
                                <a:pt x="5084445" y="710565"/>
                              </a:lnTo>
                              <a:lnTo>
                                <a:pt x="4747260" y="658495"/>
                              </a:lnTo>
                              <a:lnTo>
                                <a:pt x="4330065" y="593090"/>
                              </a:lnTo>
                              <a:lnTo>
                                <a:pt x="4102735" y="556895"/>
                              </a:lnTo>
                              <a:lnTo>
                                <a:pt x="3926840" y="467995"/>
                              </a:lnTo>
                              <a:lnTo>
                                <a:pt x="3568065" y="234315"/>
                              </a:lnTo>
                              <a:lnTo>
                                <a:pt x="3274695" y="80645"/>
                              </a:lnTo>
                              <a:lnTo>
                                <a:pt x="2879090" y="0"/>
                              </a:lnTo>
                              <a:lnTo>
                                <a:pt x="2388235" y="6985"/>
                              </a:lnTo>
                              <a:lnTo>
                                <a:pt x="2021840" y="43815"/>
                              </a:lnTo>
                              <a:lnTo>
                                <a:pt x="1729105" y="175895"/>
                              </a:lnTo>
                              <a:lnTo>
                                <a:pt x="1413510" y="321945"/>
                              </a:lnTo>
                              <a:lnTo>
                                <a:pt x="1157605" y="490220"/>
                              </a:lnTo>
                              <a:lnTo>
                                <a:pt x="651510" y="717550"/>
                              </a:lnTo>
                              <a:lnTo>
                                <a:pt x="255905" y="974090"/>
                              </a:lnTo>
                              <a:lnTo>
                                <a:pt x="21590" y="1054735"/>
                              </a:lnTo>
                              <a:lnTo>
                                <a:pt x="0" y="1069340"/>
                              </a:lnTo>
                              <a:lnTo>
                                <a:pt x="0" y="1128395"/>
                              </a:lnTo>
                              <a:close/>
                            </a:path>
                          </a:pathLst>
                        </a:custGeom>
                        <a:gradFill>
                          <a:gsLst>
                            <a:gs pos="0">
                              <a:srgbClr val="CFF9AE">
                                <a:alpha val="13000"/>
                              </a:srgbClr>
                            </a:gs>
                            <a:gs pos="100000">
                              <a:srgbClr val="49E7CE"/>
                            </a:gs>
                          </a:gsLst>
                          <a:path path="circle">
                            <a:fillToRect l="100000" t="100000"/>
                          </a:path>
                          <a:tileRect r="-100000" b="-100000"/>
                        </a:gradFill>
                        <a:ln w="3175">
                          <a:solidFill>
                            <a:schemeClr val="accent1">
                              <a:lumMod val="75000"/>
                              <a:alpha val="13000"/>
                            </a:schemeClr>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76.45pt;margin-top:327.55pt;height:132.1pt;width:563.65pt;z-index:251746304;mso-width-relative:page;mso-height-relative:page;" fillcolor="#CFF9AE" filled="t" stroked="t" coordsize="7158355,1677670" o:gfxdata="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" path="m0,1128395l153670,1076960,556260,857250,812800,731520,1143000,585470,1384300,410210,1619250,263525,1868170,190500,2102485,73025,2373630,50800,2659380,36195,2922905,50800,3274695,131445,3684905,366395,3926840,549275,4205605,622300,4703445,688340,5113655,775970,5297170,864235,5480050,937895,5707380,930275,5949315,1017270,6235065,1061720,6483985,1193800,6806565,1406525,7048500,1574800,7158355,1677670,7092315,1524000,6762750,1311275,6432550,1098550,6278880,1025525,6080760,996315,5795010,915670,5502275,878840,5318760,812800,5084445,710565,4747260,658495,4330065,593090,4102735,556895,3926840,467995,3568065,234315,3274695,80645,2879090,0,2388235,6985,2021840,43815,1729105,175895,1413510,321945,1157605,490220,651510,717550,255905,974090,21590,1054735,0,1069340,0,1128395xe">
                <v:path o:connectlocs="0,1128395;153670,1076960;556260,857250;812800,731520;1143000,585470;1384300,410210;1619250,263525;1868170,190500;2102485,73025;2373630,50800;2659380,36195;2922905,50800;3274695,131445;3684905,366395;3926840,549275;4205605,622300;4703445,688340;5113655,775970;5297170,864235;5480050,937895;5707380,930275;5949315,1017270;6235065,1061720;6483985,1193800;6806565,1406525;7048500,1574800;7158355,1677670;7092315,1524000;6762750,1311275;6432550,1098550;6278880,1025525;6080760,996315;5795010,915670;5502275,878840;5318760,812800;5084445,710565;4747260,658495;4330065,593090;4102735,556895;3926840,467995;3568065,234315;3274695,80645;2879090,0;2388235,6985;2021840,43815;1729105,175895;1413510,321945;1157605,490220;651510,717550;255905,974090;21590,1054735;0,1069340;0,1128395" o:connectangles="0,0,0,0,0,0,0,0,0,0,0,0,0,0,0,0,0,0,0,0,0,0,0,0,0,0,0,0,0,0,0,0,0,0,0,0,0,0,0,0,0,0,0,0,0,0,0,0,0,0,0,0,0"/>
                <v:fill type="gradientRadial" on="t" color2="#49E7CE" opacity="8519f" focus="100%" focussize="0f,0f" focusposition="65536f,65536f" rotate="t">
                  <o:fill type="gradientRadial" v:ext="backwardCompatible"/>
                </v:fill>
                <v:stroke weight="0.25pt" color="#376092 [2404]" opacity="8519f" joinstyle="round"/>
                <v:imagedata o:title=""/>
                <o:lock v:ext="edit" aspectratio="f"/>
              </v:shape>
            </w:pict>
          </mc:Fallback>
        </mc:AlternateContent>
      </w:r>
      <w:r>
        <w:rPr>
          <w:color w:val="auto"/>
          <w:sz w:val="24"/>
        </w:rPr>
        <mc:AlternateContent>
          <mc:Choice Requires="wps">
            <w:drawing>
              <wp:anchor distT="0" distB="0" distL="114300" distR="114300" simplePos="0" relativeHeight="251745280" behindDoc="0" locked="0" layoutInCell="1" allowOverlap="1">
                <wp:simplePos x="0" y="0"/>
                <wp:positionH relativeFrom="column">
                  <wp:posOffset>7437120</wp:posOffset>
                </wp:positionH>
                <wp:positionV relativeFrom="paragraph">
                  <wp:posOffset>3740150</wp:posOffset>
                </wp:positionV>
                <wp:extent cx="755015" cy="276225"/>
                <wp:effectExtent l="0" t="0" r="0" b="0"/>
                <wp:wrapNone/>
                <wp:docPr id="128" name="文本框 128"/>
                <wp:cNvGraphicFramePr/>
                <a:graphic xmlns:a="http://schemas.openxmlformats.org/drawingml/2006/main">
                  <a:graphicData uri="http://schemas.microsoft.com/office/word/2010/wordprocessingShape">
                    <wps:wsp>
                      <wps:cNvSpPr txBox="1"/>
                      <wps:spPr>
                        <a:xfrm>
                          <a:off x="0" y="0"/>
                          <a:ext cx="75501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49A304">
                            <w:pPr>
                              <w:spacing w:line="240" w:lineRule="auto"/>
                              <w:jc w:val="both"/>
                              <w:rPr>
                                <w:rFonts w:hint="default" w:ascii="仿宋" w:hAnsi="仿宋" w:eastAsia="仿宋" w:cs="仿宋"/>
                                <w:b/>
                                <w:bCs/>
                                <w:color w:val="FFFFFF" w:themeColor="background1"/>
                                <w:highlight w:val="cyan"/>
                                <w:lang w:val="en-US" w:eastAsia="zh-CN"/>
                                <w14:textFill>
                                  <w14:solidFill>
                                    <w14:schemeClr w14:val="bg1"/>
                                  </w14:solidFill>
                                </w14:textFill>
                              </w:rPr>
                            </w:pPr>
                            <w:r>
                              <w:rPr>
                                <w:rFonts w:hint="eastAsia" w:ascii="仿宋" w:hAnsi="仿宋" w:eastAsia="仿宋" w:cs="仿宋"/>
                                <w:b/>
                                <w:bCs/>
                                <w:color w:val="FFFFFF" w:themeColor="background1"/>
                                <w:highlight w:val="cyan"/>
                                <w:lang w:val="en-US" w:eastAsia="zh-CN"/>
                                <w14:textFill>
                                  <w14:solidFill>
                                    <w14:schemeClr w14:val="bg1"/>
                                  </w14:solidFill>
                                </w14:textFill>
                              </w:rPr>
                              <w:t>王引河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5.6pt;margin-top:294.5pt;height:21.75pt;width:59.45pt;z-index:251745280;mso-width-relative:page;mso-height-relative:page;" filled="f" stroked="f" coordsize="21600,21600" o:gfxdata="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GC1c09wAAAANAQAADwAAAAAAAAABACAAAAAiAAAA&#10;ZHJzL2Rvd25yZXYueG1sUEsBAhQAFAAAAAgAh07iQPcFDQY8AgAAaQQAAA4AAAAAAAAAAQAgAAAA&#10;KwEAAGRycy9lMm9Eb2MueG1sUEsFBgAAAAAGAAYAWQEAANkFAAAAAA==&#10;">
                <v:fill on="f" focussize="0,0"/>
                <v:stroke on="f" weight="0.5pt"/>
                <v:imagedata o:title=""/>
                <o:lock v:ext="edit" aspectratio="f"/>
                <v:textbox>
                  <w:txbxContent>
                    <w:p w14:paraId="3049A304">
                      <w:pPr>
                        <w:spacing w:line="240" w:lineRule="auto"/>
                        <w:jc w:val="both"/>
                        <w:rPr>
                          <w:rFonts w:hint="default" w:ascii="仿宋" w:hAnsi="仿宋" w:eastAsia="仿宋" w:cs="仿宋"/>
                          <w:b/>
                          <w:bCs/>
                          <w:color w:val="FFFFFF" w:themeColor="background1"/>
                          <w:highlight w:val="cyan"/>
                          <w:lang w:val="en-US" w:eastAsia="zh-CN"/>
                          <w14:textFill>
                            <w14:solidFill>
                              <w14:schemeClr w14:val="bg1"/>
                            </w14:solidFill>
                          </w14:textFill>
                        </w:rPr>
                      </w:pPr>
                      <w:r>
                        <w:rPr>
                          <w:rFonts w:hint="eastAsia" w:ascii="仿宋" w:hAnsi="仿宋" w:eastAsia="仿宋" w:cs="仿宋"/>
                          <w:b/>
                          <w:bCs/>
                          <w:color w:val="FFFFFF" w:themeColor="background1"/>
                          <w:highlight w:val="cyan"/>
                          <w:lang w:val="en-US" w:eastAsia="zh-CN"/>
                          <w14:textFill>
                            <w14:solidFill>
                              <w14:schemeClr w14:val="bg1"/>
                            </w14:solidFill>
                          </w14:textFill>
                        </w:rPr>
                        <w:t>王引河</w:t>
                      </w:r>
                    </w:p>
                  </w:txbxContent>
                </v:textbox>
              </v:shape>
            </w:pict>
          </mc:Fallback>
        </mc:AlternateContent>
      </w:r>
      <w:r>
        <w:rPr>
          <w:color w:val="auto"/>
          <w:sz w:val="24"/>
        </w:rPr>
        <mc:AlternateContent>
          <mc:Choice Requires="wps">
            <w:drawing>
              <wp:anchor distT="0" distB="0" distL="114300" distR="114300" simplePos="0" relativeHeight="251743232" behindDoc="0" locked="0" layoutInCell="1" allowOverlap="1">
                <wp:simplePos x="0" y="0"/>
                <wp:positionH relativeFrom="column">
                  <wp:posOffset>4986020</wp:posOffset>
                </wp:positionH>
                <wp:positionV relativeFrom="paragraph">
                  <wp:posOffset>20955</wp:posOffset>
                </wp:positionV>
                <wp:extent cx="3377565" cy="6015990"/>
                <wp:effectExtent l="4445" t="4445" r="8890" b="18415"/>
                <wp:wrapNone/>
                <wp:docPr id="126" name="任意多边形 126"/>
                <wp:cNvGraphicFramePr/>
                <a:graphic xmlns:a="http://schemas.openxmlformats.org/drawingml/2006/main">
                  <a:graphicData uri="http://schemas.microsoft.com/office/word/2010/wordprocessingShape">
                    <wps:wsp>
                      <wps:cNvSpPr/>
                      <wps:spPr>
                        <a:xfrm>
                          <a:off x="5671820" y="719455"/>
                          <a:ext cx="3377565" cy="6015990"/>
                        </a:xfrm>
                        <a:custGeom>
                          <a:avLst/>
                          <a:gdLst>
                            <a:gd name="connisteX0" fmla="*/ 0 w 3377565"/>
                            <a:gd name="connsiteY0" fmla="*/ 0 h 6015990"/>
                            <a:gd name="connisteX1" fmla="*/ 36195 w 3377565"/>
                            <a:gd name="connsiteY1" fmla="*/ 176530 h 6015990"/>
                            <a:gd name="connisteX2" fmla="*/ 124460 w 3377565"/>
                            <a:gd name="connsiteY2" fmla="*/ 352425 h 6015990"/>
                            <a:gd name="connisteX3" fmla="*/ 175895 w 3377565"/>
                            <a:gd name="connsiteY3" fmla="*/ 381000 h 6015990"/>
                            <a:gd name="connisteX4" fmla="*/ 307340 w 3377565"/>
                            <a:gd name="connsiteY4" fmla="*/ 483870 h 6015990"/>
                            <a:gd name="connisteX5" fmla="*/ 336550 w 3377565"/>
                            <a:gd name="connsiteY5" fmla="*/ 549275 h 6015990"/>
                            <a:gd name="connisteX6" fmla="*/ 314960 w 3377565"/>
                            <a:gd name="connsiteY6" fmla="*/ 703580 h 6015990"/>
                            <a:gd name="connisteX7" fmla="*/ 278130 w 3377565"/>
                            <a:gd name="connsiteY7" fmla="*/ 828675 h 6015990"/>
                            <a:gd name="connisteX8" fmla="*/ 292735 w 3377565"/>
                            <a:gd name="connsiteY8" fmla="*/ 989330 h 6015990"/>
                            <a:gd name="connisteX9" fmla="*/ 329565 w 3377565"/>
                            <a:gd name="connsiteY9" fmla="*/ 1129030 h 6015990"/>
                            <a:gd name="connisteX10" fmla="*/ 410210 w 3377565"/>
                            <a:gd name="connsiteY10" fmla="*/ 1202055 h 6015990"/>
                            <a:gd name="connisteX11" fmla="*/ 622300 w 3377565"/>
                            <a:gd name="connsiteY11" fmla="*/ 1253490 h 6015990"/>
                            <a:gd name="connisteX12" fmla="*/ 702945 w 3377565"/>
                            <a:gd name="connsiteY12" fmla="*/ 1260475 h 6015990"/>
                            <a:gd name="connisteX13" fmla="*/ 768985 w 3377565"/>
                            <a:gd name="connsiteY13" fmla="*/ 1304925 h 6015990"/>
                            <a:gd name="connisteX14" fmla="*/ 798195 w 3377565"/>
                            <a:gd name="connsiteY14" fmla="*/ 1524000 h 6015990"/>
                            <a:gd name="connisteX15" fmla="*/ 1003300 w 3377565"/>
                            <a:gd name="connsiteY15" fmla="*/ 1941830 h 6015990"/>
                            <a:gd name="connisteX16" fmla="*/ 1238250 w 3377565"/>
                            <a:gd name="connsiteY16" fmla="*/ 2447925 h 6015990"/>
                            <a:gd name="connisteX17" fmla="*/ 1479550 w 3377565"/>
                            <a:gd name="connsiteY17" fmla="*/ 2850515 h 6015990"/>
                            <a:gd name="connisteX18" fmla="*/ 1978025 w 3377565"/>
                            <a:gd name="connsiteY18" fmla="*/ 3554095 h 6015990"/>
                            <a:gd name="connisteX19" fmla="*/ 2578735 w 3377565"/>
                            <a:gd name="connsiteY19" fmla="*/ 4227830 h 6015990"/>
                            <a:gd name="connisteX20" fmla="*/ 2607945 w 3377565"/>
                            <a:gd name="connsiteY20" fmla="*/ 4330700 h 6015990"/>
                            <a:gd name="connisteX21" fmla="*/ 2652395 w 3377565"/>
                            <a:gd name="connsiteY21" fmla="*/ 4558030 h 6015990"/>
                            <a:gd name="connisteX22" fmla="*/ 2747645 w 3377565"/>
                            <a:gd name="connsiteY22" fmla="*/ 4821555 h 6015990"/>
                            <a:gd name="connisteX23" fmla="*/ 2915920 w 3377565"/>
                            <a:gd name="connsiteY23" fmla="*/ 5121275 h 6015990"/>
                            <a:gd name="connisteX24" fmla="*/ 2974340 w 3377565"/>
                            <a:gd name="connsiteY24" fmla="*/ 5400675 h 6015990"/>
                            <a:gd name="connisteX25" fmla="*/ 3084195 w 3377565"/>
                            <a:gd name="connsiteY25" fmla="*/ 5692775 h 6015990"/>
                            <a:gd name="connisteX26" fmla="*/ 3150235 w 3377565"/>
                            <a:gd name="connsiteY26" fmla="*/ 5832475 h 6015990"/>
                            <a:gd name="connisteX27" fmla="*/ 3377565 w 3377565"/>
                            <a:gd name="connsiteY27" fmla="*/ 6015990 h 6015990"/>
                            <a:gd name="connisteX28" fmla="*/ 3377565 w 3377565"/>
                            <a:gd name="connsiteY28" fmla="*/ 5927725 h 6015990"/>
                            <a:gd name="connisteX29" fmla="*/ 3267710 w 3377565"/>
                            <a:gd name="connsiteY29" fmla="*/ 5854700 h 6015990"/>
                            <a:gd name="connisteX30" fmla="*/ 3187065 w 3377565"/>
                            <a:gd name="connsiteY30" fmla="*/ 5774055 h 6015990"/>
                            <a:gd name="connisteX31" fmla="*/ 3106420 w 3377565"/>
                            <a:gd name="connsiteY31" fmla="*/ 5583555 h 6015990"/>
                            <a:gd name="connisteX32" fmla="*/ 3054985 w 3377565"/>
                            <a:gd name="connsiteY32" fmla="*/ 5407025 h 6015990"/>
                            <a:gd name="connisteX33" fmla="*/ 3011170 w 3377565"/>
                            <a:gd name="connsiteY33" fmla="*/ 5173345 h 6015990"/>
                            <a:gd name="connisteX34" fmla="*/ 2901315 w 3377565"/>
                            <a:gd name="connsiteY34" fmla="*/ 4939030 h 6015990"/>
                            <a:gd name="connisteX35" fmla="*/ 2791460 w 3377565"/>
                            <a:gd name="connsiteY35" fmla="*/ 4755515 h 6015990"/>
                            <a:gd name="connisteX36" fmla="*/ 2717800 w 3377565"/>
                            <a:gd name="connsiteY36" fmla="*/ 4579620 h 6015990"/>
                            <a:gd name="connisteX37" fmla="*/ 2703195 w 3377565"/>
                            <a:gd name="connsiteY37" fmla="*/ 4367530 h 6015990"/>
                            <a:gd name="connisteX38" fmla="*/ 2667000 w 3377565"/>
                            <a:gd name="connsiteY38" fmla="*/ 4213225 h 6015990"/>
                            <a:gd name="connisteX39" fmla="*/ 2286000 w 3377565"/>
                            <a:gd name="connsiteY39" fmla="*/ 3781425 h 6015990"/>
                            <a:gd name="connisteX40" fmla="*/ 2029460 w 3377565"/>
                            <a:gd name="connsiteY40" fmla="*/ 3444240 h 6015990"/>
                            <a:gd name="connisteX41" fmla="*/ 1765300 w 3377565"/>
                            <a:gd name="connsiteY41" fmla="*/ 3084830 h 6015990"/>
                            <a:gd name="connisteX42" fmla="*/ 1589405 w 3377565"/>
                            <a:gd name="connsiteY42" fmla="*/ 2813050 h 6015990"/>
                            <a:gd name="connisteX43" fmla="*/ 1384300 w 3377565"/>
                            <a:gd name="connsiteY43" fmla="*/ 2498725 h 6015990"/>
                            <a:gd name="connisteX44" fmla="*/ 1172210 w 3377565"/>
                            <a:gd name="connsiteY44" fmla="*/ 2059305 h 6015990"/>
                            <a:gd name="connisteX45" fmla="*/ 974090 w 3377565"/>
                            <a:gd name="connsiteY45" fmla="*/ 1670050 h 6015990"/>
                            <a:gd name="connisteX46" fmla="*/ 798195 w 3377565"/>
                            <a:gd name="connsiteY46" fmla="*/ 1297305 h 6015990"/>
                            <a:gd name="connisteX47" fmla="*/ 702945 w 3377565"/>
                            <a:gd name="connsiteY47" fmla="*/ 1179830 h 6015990"/>
                            <a:gd name="connisteX48" fmla="*/ 439420 w 3377565"/>
                            <a:gd name="connsiteY48" fmla="*/ 1143000 h 6015990"/>
                            <a:gd name="connisteX49" fmla="*/ 351155 w 3377565"/>
                            <a:gd name="connsiteY49" fmla="*/ 1062990 h 6015990"/>
                            <a:gd name="connisteX50" fmla="*/ 336550 w 3377565"/>
                            <a:gd name="connsiteY50" fmla="*/ 908050 h 6015990"/>
                            <a:gd name="connisteX51" fmla="*/ 395605 w 3377565"/>
                            <a:gd name="connsiteY51" fmla="*/ 644525 h 6015990"/>
                            <a:gd name="connisteX52" fmla="*/ 402590 w 3377565"/>
                            <a:gd name="connsiteY52" fmla="*/ 483870 h 6015990"/>
                            <a:gd name="connisteX53" fmla="*/ 307340 w 3377565"/>
                            <a:gd name="connsiteY53" fmla="*/ 381000 h 6015990"/>
                            <a:gd name="connisteX54" fmla="*/ 175895 w 3377565"/>
                            <a:gd name="connsiteY54" fmla="*/ 300990 h 6015990"/>
                            <a:gd name="connisteX55" fmla="*/ 109855 w 3377565"/>
                            <a:gd name="connsiteY55" fmla="*/ 212725 h 6015990"/>
                            <a:gd name="connisteX56" fmla="*/ 65405 w 3377565"/>
                            <a:gd name="connsiteY56" fmla="*/ 36830 h 6015990"/>
                            <a:gd name="connisteX57" fmla="*/ 0 w 3377565"/>
                            <a:gd name="connsiteY57" fmla="*/ 0 h 601599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 ang="0">
                              <a:pos x="connisteX26" y="connsiteY26"/>
                            </a:cxn>
                            <a:cxn ang="0">
                              <a:pos x="connisteX27" y="connsiteY27"/>
                            </a:cxn>
                            <a:cxn ang="0">
                              <a:pos x="connisteX28" y="connsiteY28"/>
                            </a:cxn>
                            <a:cxn ang="0">
                              <a:pos x="connisteX29" y="connsiteY29"/>
                            </a:cxn>
                            <a:cxn ang="0">
                              <a:pos x="connisteX30" y="connsiteY30"/>
                            </a:cxn>
                            <a:cxn ang="0">
                              <a:pos x="connisteX31" y="connsiteY31"/>
                            </a:cxn>
                            <a:cxn ang="0">
                              <a:pos x="connisteX32" y="connsiteY32"/>
                            </a:cxn>
                            <a:cxn ang="0">
                              <a:pos x="connisteX33" y="connsiteY33"/>
                            </a:cxn>
                            <a:cxn ang="0">
                              <a:pos x="connisteX34" y="connsiteY34"/>
                            </a:cxn>
                            <a:cxn ang="0">
                              <a:pos x="connisteX35" y="connsiteY35"/>
                            </a:cxn>
                            <a:cxn ang="0">
                              <a:pos x="connisteX36" y="connsiteY36"/>
                            </a:cxn>
                            <a:cxn ang="0">
                              <a:pos x="connisteX37" y="connsiteY37"/>
                            </a:cxn>
                            <a:cxn ang="0">
                              <a:pos x="connisteX38" y="connsiteY38"/>
                            </a:cxn>
                            <a:cxn ang="0">
                              <a:pos x="connisteX39" y="connsiteY39"/>
                            </a:cxn>
                            <a:cxn ang="0">
                              <a:pos x="connisteX40" y="connsiteY40"/>
                            </a:cxn>
                            <a:cxn ang="0">
                              <a:pos x="connisteX41" y="connsiteY41"/>
                            </a:cxn>
                            <a:cxn ang="0">
                              <a:pos x="connisteX42" y="connsiteY42"/>
                            </a:cxn>
                            <a:cxn ang="0">
                              <a:pos x="connisteX43" y="connsiteY43"/>
                            </a:cxn>
                            <a:cxn ang="0">
                              <a:pos x="connisteX44" y="connsiteY44"/>
                            </a:cxn>
                            <a:cxn ang="0">
                              <a:pos x="connisteX45" y="connsiteY45"/>
                            </a:cxn>
                            <a:cxn ang="0">
                              <a:pos x="connisteX46" y="connsiteY46"/>
                            </a:cxn>
                            <a:cxn ang="0">
                              <a:pos x="connisteX47" y="connsiteY47"/>
                            </a:cxn>
                            <a:cxn ang="0">
                              <a:pos x="connisteX48" y="connsiteY48"/>
                            </a:cxn>
                            <a:cxn ang="0">
                              <a:pos x="connisteX49" y="connsiteY49"/>
                            </a:cxn>
                            <a:cxn ang="0">
                              <a:pos x="connisteX50" y="connsiteY50"/>
                            </a:cxn>
                            <a:cxn ang="0">
                              <a:pos x="connisteX51" y="connsiteY51"/>
                            </a:cxn>
                            <a:cxn ang="0">
                              <a:pos x="connisteX52" y="connsiteY52"/>
                            </a:cxn>
                            <a:cxn ang="0">
                              <a:pos x="connisteX53" y="connsiteY53"/>
                            </a:cxn>
                            <a:cxn ang="0">
                              <a:pos x="connisteX54" y="connsiteY54"/>
                            </a:cxn>
                            <a:cxn ang="0">
                              <a:pos x="connisteX55" y="connsiteY55"/>
                            </a:cxn>
                            <a:cxn ang="0">
                              <a:pos x="connisteX56" y="connsiteY56"/>
                            </a:cxn>
                            <a:cxn ang="0">
                              <a:pos x="connisteX57" y="connsiteY57"/>
                            </a:cxn>
                          </a:cxnLst>
                          <a:rect l="l" t="t" r="r" b="b"/>
                          <a:pathLst>
                            <a:path w="3377565" h="6015990">
                              <a:moveTo>
                                <a:pt x="0" y="0"/>
                              </a:moveTo>
                              <a:lnTo>
                                <a:pt x="36195" y="176530"/>
                              </a:lnTo>
                              <a:lnTo>
                                <a:pt x="124460" y="352425"/>
                              </a:lnTo>
                              <a:lnTo>
                                <a:pt x="175895" y="381000"/>
                              </a:lnTo>
                              <a:lnTo>
                                <a:pt x="307340" y="483870"/>
                              </a:lnTo>
                              <a:lnTo>
                                <a:pt x="336550" y="549275"/>
                              </a:lnTo>
                              <a:lnTo>
                                <a:pt x="314960" y="703580"/>
                              </a:lnTo>
                              <a:lnTo>
                                <a:pt x="278130" y="828675"/>
                              </a:lnTo>
                              <a:lnTo>
                                <a:pt x="292735" y="989330"/>
                              </a:lnTo>
                              <a:lnTo>
                                <a:pt x="329565" y="1129030"/>
                              </a:lnTo>
                              <a:lnTo>
                                <a:pt x="410210" y="1202055"/>
                              </a:lnTo>
                              <a:lnTo>
                                <a:pt x="622300" y="1253490"/>
                              </a:lnTo>
                              <a:lnTo>
                                <a:pt x="702945" y="1260475"/>
                              </a:lnTo>
                              <a:lnTo>
                                <a:pt x="768985" y="1304925"/>
                              </a:lnTo>
                              <a:lnTo>
                                <a:pt x="798195" y="1524000"/>
                              </a:lnTo>
                              <a:lnTo>
                                <a:pt x="1003300" y="1941830"/>
                              </a:lnTo>
                              <a:lnTo>
                                <a:pt x="1238250" y="2447925"/>
                              </a:lnTo>
                              <a:lnTo>
                                <a:pt x="1479550" y="2850515"/>
                              </a:lnTo>
                              <a:lnTo>
                                <a:pt x="1978025" y="3554095"/>
                              </a:lnTo>
                              <a:lnTo>
                                <a:pt x="2578735" y="4227830"/>
                              </a:lnTo>
                              <a:lnTo>
                                <a:pt x="2607945" y="4330700"/>
                              </a:lnTo>
                              <a:lnTo>
                                <a:pt x="2652395" y="4558030"/>
                              </a:lnTo>
                              <a:lnTo>
                                <a:pt x="2747645" y="4821555"/>
                              </a:lnTo>
                              <a:lnTo>
                                <a:pt x="2915920" y="5121275"/>
                              </a:lnTo>
                              <a:lnTo>
                                <a:pt x="2974340" y="5400675"/>
                              </a:lnTo>
                              <a:lnTo>
                                <a:pt x="3084195" y="5692775"/>
                              </a:lnTo>
                              <a:lnTo>
                                <a:pt x="3150235" y="5832475"/>
                              </a:lnTo>
                              <a:lnTo>
                                <a:pt x="3377565" y="6015990"/>
                              </a:lnTo>
                              <a:lnTo>
                                <a:pt x="3377565" y="5927725"/>
                              </a:lnTo>
                              <a:lnTo>
                                <a:pt x="3267710" y="5854700"/>
                              </a:lnTo>
                              <a:lnTo>
                                <a:pt x="3187065" y="5774055"/>
                              </a:lnTo>
                              <a:lnTo>
                                <a:pt x="3106420" y="5583555"/>
                              </a:lnTo>
                              <a:lnTo>
                                <a:pt x="3054985" y="5407025"/>
                              </a:lnTo>
                              <a:lnTo>
                                <a:pt x="3011170" y="5173345"/>
                              </a:lnTo>
                              <a:lnTo>
                                <a:pt x="2901315" y="4939030"/>
                              </a:lnTo>
                              <a:lnTo>
                                <a:pt x="2791460" y="4755515"/>
                              </a:lnTo>
                              <a:lnTo>
                                <a:pt x="2717800" y="4579620"/>
                              </a:lnTo>
                              <a:lnTo>
                                <a:pt x="2703195" y="4367530"/>
                              </a:lnTo>
                              <a:lnTo>
                                <a:pt x="2667000" y="4213225"/>
                              </a:lnTo>
                              <a:lnTo>
                                <a:pt x="2286000" y="3781425"/>
                              </a:lnTo>
                              <a:lnTo>
                                <a:pt x="2029460" y="3444240"/>
                              </a:lnTo>
                              <a:lnTo>
                                <a:pt x="1765300" y="3084830"/>
                              </a:lnTo>
                              <a:lnTo>
                                <a:pt x="1589405" y="2813050"/>
                              </a:lnTo>
                              <a:lnTo>
                                <a:pt x="1384300" y="2498725"/>
                              </a:lnTo>
                              <a:lnTo>
                                <a:pt x="1172210" y="2059305"/>
                              </a:lnTo>
                              <a:lnTo>
                                <a:pt x="974090" y="1670050"/>
                              </a:lnTo>
                              <a:lnTo>
                                <a:pt x="798195" y="1297305"/>
                              </a:lnTo>
                              <a:lnTo>
                                <a:pt x="702945" y="1179830"/>
                              </a:lnTo>
                              <a:lnTo>
                                <a:pt x="439420" y="1143000"/>
                              </a:lnTo>
                              <a:lnTo>
                                <a:pt x="351155" y="1062990"/>
                              </a:lnTo>
                              <a:lnTo>
                                <a:pt x="336550" y="908050"/>
                              </a:lnTo>
                              <a:lnTo>
                                <a:pt x="395605" y="644525"/>
                              </a:lnTo>
                              <a:lnTo>
                                <a:pt x="402590" y="483870"/>
                              </a:lnTo>
                              <a:lnTo>
                                <a:pt x="307340" y="381000"/>
                              </a:lnTo>
                              <a:lnTo>
                                <a:pt x="175895" y="300990"/>
                              </a:lnTo>
                              <a:lnTo>
                                <a:pt x="109855" y="212725"/>
                              </a:lnTo>
                              <a:lnTo>
                                <a:pt x="65405" y="36830"/>
                              </a:lnTo>
                              <a:lnTo>
                                <a:pt x="0" y="0"/>
                              </a:lnTo>
                              <a:close/>
                            </a:path>
                          </a:pathLst>
                        </a:custGeom>
                        <a:gradFill>
                          <a:gsLst>
                            <a:gs pos="69000">
                              <a:srgbClr val="8CF0BE">
                                <a:alpha val="15000"/>
                              </a:srgbClr>
                            </a:gs>
                            <a:gs pos="0">
                              <a:srgbClr val="CFF9AE"/>
                            </a:gs>
                            <a:gs pos="90000">
                              <a:srgbClr val="49E7CE"/>
                            </a:gs>
                          </a:gsLst>
                          <a:path path="circle">
                            <a:fillToRect l="100000" t="100000"/>
                          </a:path>
                          <a:tileRect r="-100000" b="-100000"/>
                        </a:gradFill>
                        <a:ln w="3175">
                          <a:solidFill>
                            <a:schemeClr val="accent5">
                              <a:alpha val="19000"/>
                            </a:schemeClr>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392.6pt;margin-top:1.65pt;height:473.7pt;width:265.95pt;z-index:251743232;mso-width-relative:page;mso-height-relative:page;" fillcolor="#CFF9AE" filled="t" stroked="t" coordsize="3377565,6015990" o:gfxdata="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" path="m0,0l36195,176530,124460,352425,175895,381000,307340,483870,336550,549275,314960,703580,278130,828675,292735,989330,329565,1129030,410210,1202055,622300,1253490,702945,1260475,768985,1304925,798195,1524000,1003300,1941830,1238250,2447925,1479550,2850515,1978025,3554095,2578735,4227830,2607945,4330700,2652395,4558030,2747645,4821555,2915920,5121275,2974340,5400675,3084195,5692775,3150235,5832475,3377565,6015990,3377565,5927725,3267710,5854700,3187065,5774055,3106420,5583555,3054985,5407025,3011170,5173345,2901315,4939030,2791460,4755515,2717800,4579620,2703195,4367530,2667000,4213225,2286000,3781425,2029460,3444240,1765300,3084830,1589405,2813050,1384300,2498725,1172210,2059305,974090,1670050,798195,1297305,702945,1179830,439420,1143000,351155,1062990,336550,908050,395605,644525,402590,483870,307340,381000,175895,300990,109855,212725,65405,36830,0,0xe">
                <v:path o:connectlocs="0,0;36195,176530;124460,352425;175895,381000;307340,483870;336550,549275;314960,703580;278130,828675;292735,989330;329565,1129030;410210,1202055;622300,1253490;702945,1260475;768985,1304925;798195,1524000;1003300,1941830;1238250,2447925;1479550,2850515;1978025,3554095;2578735,4227830;2607945,4330700;2652395,4558030;2747645,4821555;2915920,5121275;2974340,5400675;3084195,5692775;3150235,5832475;3377565,6015990;3377565,5927725;3267710,5854700;3187065,5774055;3106420,5583555;3054985,5407025;3011170,5173345;2901315,4939030;2791460,4755515;2717800,4579620;2703195,4367530;2667000,4213225;2286000,3781425;2029460,3444240;1765300,3084830;1589405,2813050;1384300,2498725;1172210,2059305;974090,1670050;798195,1297305;702945,1179830;439420,1143000;351155,1062990;336550,908050;395605,644525;402590,483870;307340,381000;175895,300990;109855,212725;65405,36830;0,0" o:connectangles="0,0,0,0,0,0,0,0,0,0,0,0,0,0,0,0,0,0,0,0,0,0,0,0,0,0,0,0,0,0,0,0,0,0,0,0,0,0,0,0,0,0,0,0,0,0,0,0,0,0,0,0,0,0,0,0,0,0"/>
                <v:fill type="gradientRadial" on="t" color2="#49E7CE" colors="0f #CFF9AE;45220f #8CF0BE;58982f #49E7CE" focus="100%" focussize="0f,0f" focusposition="65536f,65536f" rotate="t">
                  <o:fill type="gradientRadial" v:ext="backwardCompatible"/>
                </v:fill>
                <v:stroke weight="0.25pt" color="#4BACC6 [3208]" opacity="12451f" joinstyle="round"/>
                <v:imagedata o:title=""/>
                <o:lock v:ext="edit" aspectratio="f"/>
              </v:shape>
            </w:pict>
          </mc:Fallback>
        </mc:AlternateContent>
      </w:r>
      <w:r>
        <w:rPr>
          <w:color w:val="auto"/>
          <w:sz w:val="24"/>
        </w:rPr>
        <mc:AlternateContent>
          <mc:Choice Requires="wps">
            <w:drawing>
              <wp:anchor distT="0" distB="0" distL="114300" distR="114300" simplePos="0" relativeHeight="251742208" behindDoc="0" locked="0" layoutInCell="1" allowOverlap="1">
                <wp:simplePos x="0" y="0"/>
                <wp:positionH relativeFrom="column">
                  <wp:posOffset>6615430</wp:posOffset>
                </wp:positionH>
                <wp:positionV relativeFrom="paragraph">
                  <wp:posOffset>1934210</wp:posOffset>
                </wp:positionV>
                <wp:extent cx="626110" cy="276225"/>
                <wp:effectExtent l="0" t="0" r="0" b="0"/>
                <wp:wrapNone/>
                <wp:docPr id="125" name="文本框 125"/>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D683A2">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凤凰城</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0.9pt;margin-top:152.3pt;height:21.75pt;width:49.3pt;z-index:251742208;mso-width-relative:page;mso-height-relative:page;" filled="f" stroked="f" coordsize="21600,21600" o:gfxdata="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5A6YF3AAAAA0BAAAPAAAAAAAAAAEAIAAAACIAAABk&#10;cnMvZG93bnJldi54bWxQSwECFAAUAAAACACHTuJAS6eBqDsCAABpBAAADgAAAAAAAAABACAAAAAr&#10;AQAAZHJzL2Uyb0RvYy54bWxQSwUGAAAAAAYABgBZAQAA2AUAAAAA&#10;">
                <v:fill on="f" focussize="0,0"/>
                <v:stroke on="f" weight="0.5pt"/>
                <v:imagedata o:title=""/>
                <o:lock v:ext="edit" aspectratio="f"/>
                <v:textbox>
                  <w:txbxContent>
                    <w:p w14:paraId="33D683A2">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凤凰城</w:t>
                      </w:r>
                    </w:p>
                  </w:txbxContent>
                </v:textbox>
              </v:shape>
            </w:pict>
          </mc:Fallback>
        </mc:AlternateContent>
      </w:r>
      <w:r>
        <w:rPr>
          <w:color w:val="auto"/>
          <w:sz w:val="24"/>
        </w:rPr>
        <mc:AlternateContent>
          <mc:Choice Requires="wps">
            <w:drawing>
              <wp:anchor distT="0" distB="0" distL="114300" distR="114300" simplePos="0" relativeHeight="251732992" behindDoc="0" locked="0" layoutInCell="1" allowOverlap="1">
                <wp:simplePos x="0" y="0"/>
                <wp:positionH relativeFrom="column">
                  <wp:posOffset>6560820</wp:posOffset>
                </wp:positionH>
                <wp:positionV relativeFrom="paragraph">
                  <wp:posOffset>1993900</wp:posOffset>
                </wp:positionV>
                <wp:extent cx="144145" cy="144145"/>
                <wp:effectExtent l="4445" t="4445" r="22860" b="22860"/>
                <wp:wrapNone/>
                <wp:docPr id="113" name="椭圆 113"/>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16.6pt;margin-top:157pt;height:11.35pt;width:11.35pt;z-index:251732992;mso-width-relative:page;mso-height-relative:page;" fillcolor="#FFFF00" filled="t" stroked="t" coordsize="21600,21600" o:gfxdata="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cHaT+2AAAAA0BAAAPAAAAAAAAAAEAIAAAACIAAABkcnMvZG93bnJl&#10;di54bWxQSwECFAAUAAAACACHTuJAIOYIZ/0BAAAZBAAADgAAAAAAAAABACAAAAAnAQAAZHJzL2Uy&#10;b0RvYy54bWxQSwUGAAAAAAYABgBZAQAAlg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41184" behindDoc="0" locked="0" layoutInCell="1" allowOverlap="1">
                <wp:simplePos x="0" y="0"/>
                <wp:positionH relativeFrom="column">
                  <wp:posOffset>2563495</wp:posOffset>
                </wp:positionH>
                <wp:positionV relativeFrom="paragraph">
                  <wp:posOffset>3313430</wp:posOffset>
                </wp:positionV>
                <wp:extent cx="626110" cy="276225"/>
                <wp:effectExtent l="0" t="0" r="0" b="0"/>
                <wp:wrapNone/>
                <wp:docPr id="124" name="文本框 124"/>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D5D535">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周庄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85pt;margin-top:260.9pt;height:21.75pt;width:49.3pt;z-index:251741184;mso-width-relative:page;mso-height-relative:page;" filled="f" stroked="f" coordsize="21600,21600" o:gfxdata="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Q1wuR3AAAAAsBAAAPAAAAAAAAAAEAIAAAACIAAABk&#10;cnMvZG93bnJldi54bWxQSwECFAAUAAAACACHTuJAxqiZnjsCAABpBAAADgAAAAAAAAABACAAAAAr&#10;AQAAZHJzL2Uyb0RvYy54bWxQSwUGAAAAAAYABgBZAQAA2AUAAAAA&#10;">
                <v:fill on="f" focussize="0,0"/>
                <v:stroke on="f" weight="0.5pt"/>
                <v:imagedata o:title=""/>
                <o:lock v:ext="edit" aspectratio="f"/>
                <v:textbox>
                  <w:txbxContent>
                    <w:p w14:paraId="55D5D535">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周庄</w:t>
                      </w:r>
                    </w:p>
                  </w:txbxContent>
                </v:textbox>
              </v:shape>
            </w:pict>
          </mc:Fallback>
        </mc:AlternateContent>
      </w:r>
      <w:r>
        <w:rPr>
          <w:color w:val="auto"/>
          <w:sz w:val="24"/>
        </w:rPr>
        <mc:AlternateContent>
          <mc:Choice Requires="wps">
            <w:drawing>
              <wp:anchor distT="0" distB="0" distL="114300" distR="114300" simplePos="0" relativeHeight="251731968" behindDoc="0" locked="0" layoutInCell="1" allowOverlap="1">
                <wp:simplePos x="0" y="0"/>
                <wp:positionH relativeFrom="column">
                  <wp:posOffset>2516505</wp:posOffset>
                </wp:positionH>
                <wp:positionV relativeFrom="paragraph">
                  <wp:posOffset>3270250</wp:posOffset>
                </wp:positionV>
                <wp:extent cx="144145" cy="144145"/>
                <wp:effectExtent l="4445" t="4445" r="22860" b="22860"/>
                <wp:wrapNone/>
                <wp:docPr id="112" name="椭圆 112"/>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198.15pt;margin-top:257.5pt;height:11.35pt;width:11.35pt;z-index:251731968;mso-width-relative:page;mso-height-relative:page;" fillcolor="#FFFF00" filled="t" stroked="t" coordsize="21600,21600" o:gfxdata="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ActQnYAAAACwEAAA8AAAAAAAAAAQAgAAAAIgAAAGRycy9kb3ducmV2&#10;LnhtbFBLAQIUABQAAAAIAIdO4kDxtwM//AEAABkEAAAOAAAAAAAAAAEAIAAAACcBAABkcnMvZTJv&#10;RG9jLnhtbFBLBQYAAAAABgAGAFkBAACV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40160" behindDoc="0" locked="0" layoutInCell="1" allowOverlap="1">
                <wp:simplePos x="0" y="0"/>
                <wp:positionH relativeFrom="column">
                  <wp:posOffset>2677795</wp:posOffset>
                </wp:positionH>
                <wp:positionV relativeFrom="paragraph">
                  <wp:posOffset>4159885</wp:posOffset>
                </wp:positionV>
                <wp:extent cx="639445" cy="276225"/>
                <wp:effectExtent l="0" t="0" r="0" b="0"/>
                <wp:wrapNone/>
                <wp:docPr id="123" name="文本框 123"/>
                <wp:cNvGraphicFramePr/>
                <a:graphic xmlns:a="http://schemas.openxmlformats.org/drawingml/2006/main">
                  <a:graphicData uri="http://schemas.microsoft.com/office/word/2010/wordprocessingShape">
                    <wps:wsp>
                      <wps:cNvSpPr txBox="1"/>
                      <wps:spPr>
                        <a:xfrm>
                          <a:off x="0" y="0"/>
                          <a:ext cx="63944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200E8C">
                            <w:pPr>
                              <w:spacing w:line="240" w:lineRule="auto"/>
                              <w:jc w:val="center"/>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王堰村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0.85pt;margin-top:327.55pt;height:21.75pt;width:50.35pt;z-index:251740160;mso-width-relative:page;mso-height-relative:page;" filled="f" stroked="f" coordsize="21600,21600" o:gfxdata="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kR3Cm3AAAAAsBAAAPAAAAAAAAAAEAIAAAACIAAABk&#10;cnMvZG93bnJldi54bWxQSwECFAAUAAAACACHTuJAiM8e8DsCAABpBAAADgAAAAAAAAABACAAAAAr&#10;AQAAZHJzL2Uyb0RvYy54bWxQSwUGAAAAAAYABgBZAQAA2AUAAAAA&#10;">
                <v:fill on="f" focussize="0,0"/>
                <v:stroke on="f" weight="0.5pt"/>
                <v:imagedata o:title=""/>
                <o:lock v:ext="edit" aspectratio="f"/>
                <v:textbox>
                  <w:txbxContent>
                    <w:p w14:paraId="06200E8C">
                      <w:pPr>
                        <w:spacing w:line="240" w:lineRule="auto"/>
                        <w:jc w:val="center"/>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王堰村</w:t>
                      </w:r>
                    </w:p>
                  </w:txbxContent>
                </v:textbox>
              </v:shape>
            </w:pict>
          </mc:Fallback>
        </mc:AlternateContent>
      </w:r>
      <w:r>
        <w:rPr>
          <w:color w:val="auto"/>
          <w:sz w:val="24"/>
        </w:rPr>
        <mc:AlternateContent>
          <mc:Choice Requires="wps">
            <w:drawing>
              <wp:anchor distT="0" distB="0" distL="114300" distR="114300" simplePos="0" relativeHeight="251730944" behindDoc="0" locked="0" layoutInCell="1" allowOverlap="1">
                <wp:simplePos x="0" y="0"/>
                <wp:positionH relativeFrom="column">
                  <wp:posOffset>2649855</wp:posOffset>
                </wp:positionH>
                <wp:positionV relativeFrom="paragraph">
                  <wp:posOffset>4097655</wp:posOffset>
                </wp:positionV>
                <wp:extent cx="144145" cy="144145"/>
                <wp:effectExtent l="4445" t="4445" r="22860" b="22860"/>
                <wp:wrapNone/>
                <wp:docPr id="111" name="椭圆 111"/>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208.65pt;margin-top:322.65pt;height:11.35pt;width:11.35pt;z-index:251730944;mso-width-relative:page;mso-height-relative:page;" fillcolor="#FFFF00" filled="t" stroked="t" coordsize="21600,21600" o:gfxdata="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ribEdcAAAALAQAADwAAAAAAAAABACAAAAAiAAAAZHJzL2Rvd25yZXYu&#10;eG1sUEsBAhQAFAAAAAgAh07iQIJFHtf8AQAAGQQAAA4AAAAAAAAAAQAgAAAAJg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39136" behindDoc="0" locked="0" layoutInCell="1" allowOverlap="1">
                <wp:simplePos x="0" y="0"/>
                <wp:positionH relativeFrom="column">
                  <wp:posOffset>6141720</wp:posOffset>
                </wp:positionH>
                <wp:positionV relativeFrom="paragraph">
                  <wp:posOffset>3206115</wp:posOffset>
                </wp:positionV>
                <wp:extent cx="755015" cy="276225"/>
                <wp:effectExtent l="0" t="0" r="0" b="0"/>
                <wp:wrapNone/>
                <wp:docPr id="122" name="文本框 122"/>
                <wp:cNvGraphicFramePr/>
                <a:graphic xmlns:a="http://schemas.openxmlformats.org/drawingml/2006/main">
                  <a:graphicData uri="http://schemas.microsoft.com/office/word/2010/wordprocessingShape">
                    <wps:wsp>
                      <wps:cNvSpPr txBox="1"/>
                      <wps:spPr>
                        <a:xfrm>
                          <a:off x="0" y="0"/>
                          <a:ext cx="75501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0838C4">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和谐家园</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83.6pt;margin-top:252.45pt;height:21.75pt;width:59.45pt;z-index:251739136;mso-width-relative:page;mso-height-relative:page;" filled="f" stroked="f" coordsize="21600,21600" o:gfxdata="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1yNVLdAAAADAEAAA8AAAAAAAAAAQAgAAAAIgAA&#10;AGRycy9kb3ducmV2LnhtbFBLAQIUABQAAAAIAIdO4kDEYIwBPAIAAGkEAAAOAAAAAAAAAAEAIAAA&#10;ACwBAABkcnMvZTJvRG9jLnhtbFBLBQYAAAAABgAGAFkBAADaBQAAAAA=&#10;">
                <v:fill on="f" focussize="0,0"/>
                <v:stroke on="f" weight="0.5pt"/>
                <v:imagedata o:title=""/>
                <o:lock v:ext="edit" aspectratio="f"/>
                <v:textbox>
                  <w:txbxContent>
                    <w:p w14:paraId="630838C4">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和谐家园</w:t>
                      </w:r>
                    </w:p>
                  </w:txbxContent>
                </v:textbox>
              </v:shape>
            </w:pict>
          </mc:Fallback>
        </mc:AlternateContent>
      </w:r>
      <w:r>
        <w:rPr>
          <w:color w:val="auto"/>
          <w:sz w:val="24"/>
        </w:rPr>
        <mc:AlternateContent>
          <mc:Choice Requires="wps">
            <w:drawing>
              <wp:anchor distT="0" distB="0" distL="114300" distR="114300" simplePos="0" relativeHeight="251729920" behindDoc="0" locked="0" layoutInCell="1" allowOverlap="1">
                <wp:simplePos x="0" y="0"/>
                <wp:positionH relativeFrom="column">
                  <wp:posOffset>6103620</wp:posOffset>
                </wp:positionH>
                <wp:positionV relativeFrom="paragraph">
                  <wp:posOffset>3135630</wp:posOffset>
                </wp:positionV>
                <wp:extent cx="144145" cy="144145"/>
                <wp:effectExtent l="4445" t="4445" r="22860" b="22860"/>
                <wp:wrapNone/>
                <wp:docPr id="110" name="椭圆 110"/>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80.6pt;margin-top:246.9pt;height:11.35pt;width:11.35pt;z-index:251729920;mso-width-relative:page;mso-height-relative:page;" fillcolor="#FFFF00" filled="t" stroked="t" coordsize="21600,21600" o:gfxdata="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ikyXfYAAAACwEAAA8AAAAAAAAAAQAgAAAAIgAAAGRycy9kb3ducmV2&#10;LnhtbFBLAQIUABQAAAAIAIdO4kBTFBWP/AEAABkEAAAOAAAAAAAAAAEAIAAAACcBAABkcnMvZTJv&#10;RG9jLnhtbFBLBQYAAAAABgAGAFkBAACV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38112" behindDoc="0" locked="0" layoutInCell="1" allowOverlap="1">
                <wp:simplePos x="0" y="0"/>
                <wp:positionH relativeFrom="column">
                  <wp:posOffset>5384165</wp:posOffset>
                </wp:positionH>
                <wp:positionV relativeFrom="paragraph">
                  <wp:posOffset>2454910</wp:posOffset>
                </wp:positionV>
                <wp:extent cx="755015" cy="276225"/>
                <wp:effectExtent l="0" t="0" r="0" b="0"/>
                <wp:wrapNone/>
                <wp:docPr id="121" name="文本框 121"/>
                <wp:cNvGraphicFramePr/>
                <a:graphic xmlns:a="http://schemas.openxmlformats.org/drawingml/2006/main">
                  <a:graphicData uri="http://schemas.microsoft.com/office/word/2010/wordprocessingShape">
                    <wps:wsp>
                      <wps:cNvSpPr txBox="1"/>
                      <wps:spPr>
                        <a:xfrm>
                          <a:off x="0" y="0"/>
                          <a:ext cx="75501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CA604F">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九华学府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3.95pt;margin-top:193.3pt;height:21.75pt;width:59.45pt;z-index:251738112;mso-width-relative:page;mso-height-relative:page;" filled="f" stroked="f" coordsize="21600,21600" o:gfxdata="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cDY4zdAAAACwEAAA8AAAAAAAAAAQAgAAAAIgAA&#10;AGRycy9kb3ducmV2LnhtbFBLAQIUABQAAAAIAIdO4kBTcKRbPAIAAGkEAAAOAAAAAAAAAAEAIAAA&#10;ACwBAABkcnMvZTJvRG9jLnhtbFBLBQYAAAAABgAGAFkBAADaBQAAAAA=&#10;">
                <v:fill on="f" focussize="0,0"/>
                <v:stroke on="f" weight="0.5pt"/>
                <v:imagedata o:title=""/>
                <o:lock v:ext="edit" aspectratio="f"/>
                <v:textbox>
                  <w:txbxContent>
                    <w:p w14:paraId="77CA604F">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九华学府</w:t>
                      </w:r>
                    </w:p>
                  </w:txbxContent>
                </v:textbox>
              </v:shape>
            </w:pict>
          </mc:Fallback>
        </mc:AlternateContent>
      </w:r>
      <w:r>
        <w:rPr>
          <w:color w:val="auto"/>
          <w:sz w:val="24"/>
        </w:rPr>
        <mc:AlternateContent>
          <mc:Choice Requires="wps">
            <w:drawing>
              <wp:anchor distT="0" distB="0" distL="114300" distR="114300" simplePos="0" relativeHeight="251707392" behindDoc="0" locked="0" layoutInCell="1" allowOverlap="1">
                <wp:simplePos x="0" y="0"/>
                <wp:positionH relativeFrom="column">
                  <wp:posOffset>5241290</wp:posOffset>
                </wp:positionH>
                <wp:positionV relativeFrom="paragraph">
                  <wp:posOffset>1929130</wp:posOffset>
                </wp:positionV>
                <wp:extent cx="755650" cy="276225"/>
                <wp:effectExtent l="0" t="0" r="0" b="0"/>
                <wp:wrapNone/>
                <wp:docPr id="83" name="文本框 83"/>
                <wp:cNvGraphicFramePr/>
                <a:graphic xmlns:a="http://schemas.openxmlformats.org/drawingml/2006/main">
                  <a:graphicData uri="http://schemas.microsoft.com/office/word/2010/wordprocessingShape">
                    <wps:wsp>
                      <wps:cNvSpPr txBox="1"/>
                      <wps:spPr>
                        <a:xfrm>
                          <a:off x="0" y="0"/>
                          <a:ext cx="75565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7BE5BE">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杨楼小学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2.7pt;margin-top:151.9pt;height:21.75pt;width:59.5pt;z-index:251707392;mso-width-relative:page;mso-height-relative:page;" filled="f" stroked="f" coordsize="21600,21600" o:gfxdata="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&#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Oo+kvbAAAACwEAAA8AAAAAAAAAAQAgAAAAIgAAAGRy&#10;cy9kb3ducmV2LnhtbFBLAQIUABQAAAAIAIdO4kA8lXXmOwIAAGcEAAAOAAAAAAAAAAEAIAAAACoB&#10;AABkcnMvZTJvRG9jLnhtbFBLBQYAAAAABgAGAFkBAADXBQAAAAA=&#10;">
                <v:fill on="f" focussize="0,0"/>
                <v:stroke on="f" weight="0.5pt"/>
                <v:imagedata o:title=""/>
                <o:lock v:ext="edit" aspectratio="f"/>
                <v:textbox>
                  <w:txbxContent>
                    <w:p w14:paraId="227BE5BE">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杨楼小学</w:t>
                      </w:r>
                    </w:p>
                  </w:txbxContent>
                </v:textbox>
              </v:shape>
            </w:pict>
          </mc:Fallback>
        </mc:AlternateContent>
      </w:r>
      <w:r>
        <w:rPr>
          <w:color w:val="auto"/>
          <w:sz w:val="24"/>
        </w:rPr>
        <mc:AlternateContent>
          <mc:Choice Requires="wps">
            <w:drawing>
              <wp:anchor distT="0" distB="0" distL="114300" distR="114300" simplePos="0" relativeHeight="251734016" behindDoc="0" locked="0" layoutInCell="1" allowOverlap="1">
                <wp:simplePos x="0" y="0"/>
                <wp:positionH relativeFrom="column">
                  <wp:posOffset>5414010</wp:posOffset>
                </wp:positionH>
                <wp:positionV relativeFrom="paragraph">
                  <wp:posOffset>2070735</wp:posOffset>
                </wp:positionV>
                <wp:extent cx="1089660" cy="276225"/>
                <wp:effectExtent l="0" t="0" r="0" b="0"/>
                <wp:wrapNone/>
                <wp:docPr id="117" name="文本框 117"/>
                <wp:cNvGraphicFramePr/>
                <a:graphic xmlns:a="http://schemas.openxmlformats.org/drawingml/2006/main">
                  <a:graphicData uri="http://schemas.microsoft.com/office/word/2010/wordprocessingShape">
                    <wps:wsp>
                      <wps:cNvSpPr txBox="1"/>
                      <wps:spPr>
                        <a:xfrm>
                          <a:off x="0" y="0"/>
                          <a:ext cx="108966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862F20">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东信学府花园</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6.3pt;margin-top:163.05pt;height:21.75pt;width:85.8pt;z-index:251734016;mso-width-relative:page;mso-height-relative:page;" filled="f" stroked="f" coordsize="21600,21600" o:gfxdata="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GvFl5jcAAAADAEAAA8AAAAAAAAAAQAgAAAAIgAA&#10;AGRycy9kb3ducmV2LnhtbFBLAQIUABQAAAAIAIdO4kC3bQ/pPQIAAGoEAAAOAAAAAAAAAAEAIAAA&#10;ACsBAABkcnMvZTJvRG9jLnhtbFBLBQYAAAAABgAGAFkBAADaBQAAAAA=&#10;">
                <v:fill on="f" focussize="0,0"/>
                <v:stroke on="f" weight="0.5pt"/>
                <v:imagedata o:title=""/>
                <o:lock v:ext="edit" aspectratio="f"/>
                <v:textbox>
                  <w:txbxContent>
                    <w:p w14:paraId="12862F20">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东信学府花园</w:t>
                      </w:r>
                    </w:p>
                  </w:txbxContent>
                </v:textbox>
              </v:shape>
            </w:pict>
          </mc:Fallback>
        </mc:AlternateContent>
      </w:r>
      <w:r>
        <w:rPr>
          <w:color w:val="auto"/>
          <w:sz w:val="24"/>
        </w:rPr>
        <mc:AlternateContent>
          <mc:Choice Requires="wps">
            <w:drawing>
              <wp:anchor distT="0" distB="0" distL="114300" distR="114300" simplePos="0" relativeHeight="251735040" behindDoc="0" locked="0" layoutInCell="1" allowOverlap="1">
                <wp:simplePos x="0" y="0"/>
                <wp:positionH relativeFrom="column">
                  <wp:posOffset>6628765</wp:posOffset>
                </wp:positionH>
                <wp:positionV relativeFrom="paragraph">
                  <wp:posOffset>2115820</wp:posOffset>
                </wp:positionV>
                <wp:extent cx="923925" cy="276225"/>
                <wp:effectExtent l="0" t="0" r="0" b="0"/>
                <wp:wrapNone/>
                <wp:docPr id="118" name="文本框 118"/>
                <wp:cNvGraphicFramePr/>
                <a:graphic xmlns:a="http://schemas.openxmlformats.org/drawingml/2006/main">
                  <a:graphicData uri="http://schemas.microsoft.com/office/word/2010/wordprocessingShape">
                    <wps:wsp>
                      <wps:cNvSpPr txBox="1"/>
                      <wps:spPr>
                        <a:xfrm>
                          <a:off x="0" y="0"/>
                          <a:ext cx="92392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0F15D8">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濉溪中学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1.95pt;margin-top:166.6pt;height:21.75pt;width:72.75pt;z-index:251735040;mso-width-relative:page;mso-height-relative:page;" filled="f" stroked="f" coordsize="21600,21600" o:gfxdata="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J5Gqv3gAAAA0BAAAPAAAAAAAAAAEAIAAAACIA&#10;AABkcnMvZG93bnJldi54bWxQSwECFAAUAAAACACHTuJAVDcWIzwCAABpBAAADgAAAAAAAAABACAA&#10;AAAtAQAAZHJzL2Uyb0RvYy54bWxQSwUGAAAAAAYABgBZAQAA2wUAAAAA&#10;">
                <v:fill on="f" focussize="0,0"/>
                <v:stroke on="f" weight="0.5pt"/>
                <v:imagedata o:title=""/>
                <o:lock v:ext="edit" aspectratio="f"/>
                <v:textbox>
                  <w:txbxContent>
                    <w:p w14:paraId="790F15D8">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濉溪中学</w:t>
                      </w:r>
                    </w:p>
                  </w:txbxContent>
                </v:textbox>
              </v:shape>
            </w:pict>
          </mc:Fallback>
        </mc:AlternateContent>
      </w:r>
      <w:r>
        <w:rPr>
          <w:color w:val="auto"/>
          <w:sz w:val="24"/>
        </w:rPr>
        <mc:AlternateContent>
          <mc:Choice Requires="wps">
            <w:drawing>
              <wp:anchor distT="0" distB="0" distL="114300" distR="114300" simplePos="0" relativeHeight="251737088" behindDoc="0" locked="0" layoutInCell="1" allowOverlap="1">
                <wp:simplePos x="0" y="0"/>
                <wp:positionH relativeFrom="column">
                  <wp:posOffset>6485255</wp:posOffset>
                </wp:positionH>
                <wp:positionV relativeFrom="paragraph">
                  <wp:posOffset>2375535</wp:posOffset>
                </wp:positionV>
                <wp:extent cx="775970" cy="276225"/>
                <wp:effectExtent l="0" t="0" r="0" b="0"/>
                <wp:wrapNone/>
                <wp:docPr id="120" name="文本框 120"/>
                <wp:cNvGraphicFramePr/>
                <a:graphic xmlns:a="http://schemas.openxmlformats.org/drawingml/2006/main">
                  <a:graphicData uri="http://schemas.microsoft.com/office/word/2010/wordprocessingShape">
                    <wps:wsp>
                      <wps:cNvSpPr txBox="1"/>
                      <wps:spPr>
                        <a:xfrm>
                          <a:off x="0" y="0"/>
                          <a:ext cx="77597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75F16B">
                            <w:pPr>
                              <w:spacing w:line="240" w:lineRule="auto"/>
                              <w:jc w:val="center"/>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英才学校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10.65pt;margin-top:187.05pt;height:21.75pt;width:61.1pt;z-index:251737088;mso-width-relative:page;mso-height-relative:page;" filled="f" stroked="f" coordsize="21600,21600" o:gfxdata="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X22QN0AAAANAQAADwAAAAAAAAABACAAAAAiAAAA&#10;ZHJzL2Rvd25yZXYueG1sUEsBAhQAFAAAAAgAh07iQBj82bo7AgAAaQQAAA4AAAAAAAAAAQAgAAAA&#10;LAEAAGRycy9lMm9Eb2MueG1sUEsFBgAAAAAGAAYAWQEAANkFAAAAAA==&#10;">
                <v:fill on="f" focussize="0,0"/>
                <v:stroke on="f" weight="0.5pt"/>
                <v:imagedata o:title=""/>
                <o:lock v:ext="edit" aspectratio="f"/>
                <v:textbox>
                  <w:txbxContent>
                    <w:p w14:paraId="6B75F16B">
                      <w:pPr>
                        <w:spacing w:line="240" w:lineRule="auto"/>
                        <w:jc w:val="center"/>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英才学校</w:t>
                      </w:r>
                    </w:p>
                  </w:txbxContent>
                </v:textbox>
              </v:shape>
            </w:pict>
          </mc:Fallback>
        </mc:AlternateContent>
      </w:r>
      <w:r>
        <w:rPr>
          <w:color w:val="auto"/>
          <w:sz w:val="24"/>
        </w:rPr>
        <mc:AlternateContent>
          <mc:Choice Requires="wps">
            <w:drawing>
              <wp:anchor distT="0" distB="0" distL="114300" distR="114300" simplePos="0" relativeHeight="251727872" behindDoc="0" locked="0" layoutInCell="1" allowOverlap="1">
                <wp:simplePos x="0" y="0"/>
                <wp:positionH relativeFrom="column">
                  <wp:posOffset>6433185</wp:posOffset>
                </wp:positionH>
                <wp:positionV relativeFrom="paragraph">
                  <wp:posOffset>2471420</wp:posOffset>
                </wp:positionV>
                <wp:extent cx="144145" cy="144145"/>
                <wp:effectExtent l="4445" t="4445" r="22860" b="22860"/>
                <wp:wrapNone/>
                <wp:docPr id="108" name="椭圆 108"/>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06.55pt;margin-top:194.6pt;height:11.35pt;width:11.35pt;z-index:251727872;mso-width-relative:page;mso-height-relative:page;" fillcolor="#FFFF00" filled="t" stroked="t" coordsize="21600,21600" o:gfxdata="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ptX9cAAAANAQAADwAAAAAAAAABACAAAAAiAAAAZHJzL2Rvd25yZXYu&#10;eG1sUEsBAhQAFAAAAAgAh07iQAt5UNP8AQAAGQQAAA4AAAAAAAAAAQAgAAAAJg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26848" behindDoc="0" locked="0" layoutInCell="1" allowOverlap="1">
                <wp:simplePos x="0" y="0"/>
                <wp:positionH relativeFrom="column">
                  <wp:posOffset>6714490</wp:posOffset>
                </wp:positionH>
                <wp:positionV relativeFrom="paragraph">
                  <wp:posOffset>2604135</wp:posOffset>
                </wp:positionV>
                <wp:extent cx="144145" cy="144145"/>
                <wp:effectExtent l="4445" t="4445" r="22860" b="22860"/>
                <wp:wrapNone/>
                <wp:docPr id="103" name="椭圆 103"/>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28.7pt;margin-top:205.05pt;height:11.35pt;width:11.35pt;z-index:251726848;mso-width-relative:page;mso-height-relative:page;" fillcolor="#FFFF00" filled="t" stroked="t" coordsize="21600,21600" o:gfxdata="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sw5gzXAAAADQEAAA8AAAAAAAAAAQAgAAAAIgAAAGRycy9kb3ducmV2&#10;LnhtbFBLAQIUABQAAAAIAIdO4kAzD4SW/QEAABkEAAAOAAAAAAAAAAEAIAAAACYBAABkcnMvZTJv&#10;RG9jLnhtbFBLBQYAAAAABgAGAFkBAACV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36064" behindDoc="0" locked="0" layoutInCell="1" allowOverlap="1">
                <wp:simplePos x="0" y="0"/>
                <wp:positionH relativeFrom="column">
                  <wp:posOffset>6741160</wp:posOffset>
                </wp:positionH>
                <wp:positionV relativeFrom="paragraph">
                  <wp:posOffset>2663825</wp:posOffset>
                </wp:positionV>
                <wp:extent cx="1046480" cy="276225"/>
                <wp:effectExtent l="0" t="0" r="0" b="0"/>
                <wp:wrapNone/>
                <wp:docPr id="119" name="文本框 119"/>
                <wp:cNvGraphicFramePr/>
                <a:graphic xmlns:a="http://schemas.openxmlformats.org/drawingml/2006/main">
                  <a:graphicData uri="http://schemas.microsoft.com/office/word/2010/wordprocessingShape">
                    <wps:wsp>
                      <wps:cNvSpPr txBox="1"/>
                      <wps:spPr>
                        <a:xfrm>
                          <a:off x="0" y="0"/>
                          <a:ext cx="104648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D4E5D3">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濉溪龙华学校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30.8pt;margin-top:209.75pt;height:21.75pt;width:82.4pt;z-index:251736064;mso-width-relative:page;mso-height-relative:page;" filled="f" stroked="f" coordsize="21600,21600" o:gfxdata="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p8l/cAAAADQEAAA8AAAAAAAAAAQAgAAAAIgAA&#10;AGRycy9kb3ducmV2LnhtbFBLAQIUABQAAAAIAIdO4kC1jy2sPQIAAGoEAAAOAAAAAAAAAAEAIAAA&#10;ACsBAABkcnMvZTJvRG9jLnhtbFBLBQYAAAAABgAGAFkBAADaBQAAAAA=&#10;">
                <v:fill on="f" focussize="0,0"/>
                <v:stroke on="f" weight="0.5pt"/>
                <v:imagedata o:title=""/>
                <o:lock v:ext="edit" aspectratio="f"/>
                <v:textbox>
                  <w:txbxContent>
                    <w:p w14:paraId="5ED4E5D3">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濉溪龙华学校</w:t>
                      </w:r>
                    </w:p>
                  </w:txbxContent>
                </v:textbox>
              </v:shape>
            </w:pict>
          </mc:Fallback>
        </mc:AlternateContent>
      </w:r>
      <w:r>
        <w:rPr>
          <w:color w:val="auto"/>
          <w:sz w:val="24"/>
        </w:rPr>
        <mc:AlternateContent>
          <mc:Choice Requires="wps">
            <w:drawing>
              <wp:anchor distT="0" distB="0" distL="114300" distR="114300" simplePos="0" relativeHeight="251728896" behindDoc="0" locked="0" layoutInCell="1" allowOverlap="1">
                <wp:simplePos x="0" y="0"/>
                <wp:positionH relativeFrom="column">
                  <wp:posOffset>6012180</wp:posOffset>
                </wp:positionH>
                <wp:positionV relativeFrom="paragraph">
                  <wp:posOffset>2480310</wp:posOffset>
                </wp:positionV>
                <wp:extent cx="144145" cy="144145"/>
                <wp:effectExtent l="4445" t="4445" r="22860" b="22860"/>
                <wp:wrapNone/>
                <wp:docPr id="109" name="椭圆 109"/>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73.4pt;margin-top:195.3pt;height:11.35pt;width:11.35pt;z-index:251728896;mso-width-relative:page;mso-height-relative:page;" fillcolor="#FFFF00" filled="t" stroked="t" coordsize="21600,21600" o:gfxdata="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MM2dLYAAAACwEAAA8AAAAAAAAAAQAgAAAAIgAAAGRycy9kb3ducmV2&#10;LnhtbFBLAQIUABQAAAAIAIdO4kDaKFuL/AEAABkEAAAOAAAAAAAAAAEAIAAAACcBAABkcnMvZTJv&#10;RG9jLnhtbFBLBQYAAAAABgAGAFkBAACV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25824" behindDoc="0" locked="0" layoutInCell="1" allowOverlap="1">
                <wp:simplePos x="0" y="0"/>
                <wp:positionH relativeFrom="column">
                  <wp:posOffset>6582410</wp:posOffset>
                </wp:positionH>
                <wp:positionV relativeFrom="paragraph">
                  <wp:posOffset>2172335</wp:posOffset>
                </wp:positionV>
                <wp:extent cx="144145" cy="144145"/>
                <wp:effectExtent l="4445" t="4445" r="22860" b="22860"/>
                <wp:wrapNone/>
                <wp:docPr id="102" name="椭圆 102"/>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18.3pt;margin-top:171.05pt;height:11.35pt;width:11.35pt;z-index:251725824;mso-width-relative:page;mso-height-relative:page;" fillcolor="#FFFF00" filled="t" stroked="t" coordsize="21600,21600" o:gfxdata="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6oSTbYAAAADQEAAA8AAAAAAAAAAQAgAAAAIgAAAGRycy9kb3ducmV2&#10;LnhtbFBLAQIUABQAAAAIAIdO4kDiXo/O/AEAABkEAAAOAAAAAAAAAAEAIAAAACcBAABkcnMvZTJv&#10;RG9jLnhtbFBLBQYAAAAABgAGAFkBAACV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16608" behindDoc="0" locked="0" layoutInCell="1" allowOverlap="1">
                <wp:simplePos x="0" y="0"/>
                <wp:positionH relativeFrom="column">
                  <wp:posOffset>6273800</wp:posOffset>
                </wp:positionH>
                <wp:positionV relativeFrom="paragraph">
                  <wp:posOffset>2115185</wp:posOffset>
                </wp:positionV>
                <wp:extent cx="144145" cy="144145"/>
                <wp:effectExtent l="4445" t="4445" r="22860" b="22860"/>
                <wp:wrapNone/>
                <wp:docPr id="92" name="椭圆 92"/>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94pt;margin-top:166.55pt;height:11.35pt;width:11.35pt;z-index:251716608;mso-width-relative:page;mso-height-relative:page;" fillcolor="#FFFF00" filled="t" stroked="t" coordsize="21600,21600" o:gfxdata="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tOG8vNgAAAAMAQAADwAAAAAAAAABACAAAAAiAAAAZHJzL2Rvd25yZXYu&#10;eG1sUEsBAhQAFAAAAAgAh07iQNHGgTX7AQAAFwQAAA4AAAAAAAAAAQAgAAAAJw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24800" behindDoc="0" locked="0" layoutInCell="1" allowOverlap="1">
                <wp:simplePos x="0" y="0"/>
                <wp:positionH relativeFrom="column">
                  <wp:posOffset>6987540</wp:posOffset>
                </wp:positionH>
                <wp:positionV relativeFrom="paragraph">
                  <wp:posOffset>1612265</wp:posOffset>
                </wp:positionV>
                <wp:extent cx="626110" cy="276225"/>
                <wp:effectExtent l="0" t="0" r="0" b="0"/>
                <wp:wrapNone/>
                <wp:docPr id="101" name="文本框 101"/>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00AAA3">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前刘庄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50.2pt;margin-top:126.95pt;height:21.75pt;width:49.3pt;z-index:251724800;mso-width-relative:page;mso-height-relative:page;" filled="f" stroked="f" coordsize="21600,21600" o:gfxdata="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6sA6qN0AAAANAQAADwAAAAAAAAABACAAAAAiAAAA&#10;ZHJzL2Rvd25yZXYueG1sUEsBAhQAFAAAAAgAh07iQBpQ7407AgAAaQQAAA4AAAAAAAAAAQAgAAAA&#10;LAEAAGRycy9lMm9Eb2MueG1sUEsFBgAAAAAGAAYAWQEAANkFAAAAAA==&#10;">
                <v:fill on="f" focussize="0,0"/>
                <v:stroke on="f" weight="0.5pt"/>
                <v:imagedata o:title=""/>
                <o:lock v:ext="edit" aspectratio="f"/>
                <v:textbox>
                  <w:txbxContent>
                    <w:p w14:paraId="0A00AAA3">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前刘庄</w:t>
                      </w:r>
                    </w:p>
                  </w:txbxContent>
                </v:textbox>
              </v:shape>
            </w:pict>
          </mc:Fallback>
        </mc:AlternateContent>
      </w:r>
      <w:r>
        <w:rPr>
          <w:color w:val="auto"/>
          <w:sz w:val="24"/>
        </w:rPr>
        <mc:AlternateContent>
          <mc:Choice Requires="wps">
            <w:drawing>
              <wp:anchor distT="0" distB="0" distL="114300" distR="114300" simplePos="0" relativeHeight="251715584" behindDoc="0" locked="0" layoutInCell="1" allowOverlap="1">
                <wp:simplePos x="0" y="0"/>
                <wp:positionH relativeFrom="column">
                  <wp:posOffset>6923405</wp:posOffset>
                </wp:positionH>
                <wp:positionV relativeFrom="paragraph">
                  <wp:posOffset>1725295</wp:posOffset>
                </wp:positionV>
                <wp:extent cx="144145" cy="144145"/>
                <wp:effectExtent l="4445" t="4445" r="22860" b="22860"/>
                <wp:wrapNone/>
                <wp:docPr id="91" name="椭圆 91"/>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45.15pt;margin-top:135.85pt;height:11.35pt;width:11.35pt;z-index:251715584;mso-width-relative:page;mso-height-relative:page;" fillcolor="#FFFF00" filled="t" stroked="t" coordsize="21600,21600" o:gfxdata="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GBFps1wAAAA0BAAAPAAAAAAAAAAEAIAAAACIAAABkcnMvZG93bnJldi54&#10;bWxQSwECFAAUAAAACACHTuJAG0VQdfsBAAAXBAAADgAAAAAAAAABACAAAAAmAQAAZHJzL2Uyb0Rv&#10;Yy54bWxQSwUGAAAAAAYABgBZAQAAkw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23776" behindDoc="0" locked="0" layoutInCell="1" allowOverlap="1">
                <wp:simplePos x="0" y="0"/>
                <wp:positionH relativeFrom="column">
                  <wp:posOffset>6961505</wp:posOffset>
                </wp:positionH>
                <wp:positionV relativeFrom="paragraph">
                  <wp:posOffset>1390650</wp:posOffset>
                </wp:positionV>
                <wp:extent cx="626110" cy="276225"/>
                <wp:effectExtent l="0" t="0" r="0" b="0"/>
                <wp:wrapNone/>
                <wp:docPr id="100" name="文本框 100"/>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078F73">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后刘庄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48.15pt;margin-top:109.5pt;height:21.75pt;width:49.3pt;z-index:251723776;mso-width-relative:page;mso-height-relative:page;" filled="f" stroked="f" coordsize="21600,21600" o:gfxdata="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&#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dd30C3AAAAA0BAAAPAAAAAAAAAAEAIAAAACIAAABk&#10;cnMvZG93bnJldi54bWxQSwECFAAUAAAACACHTuJAl1/3uzsCAABpBAAADgAAAAAAAAABACAAAAAr&#10;AQAAZHJzL2Uyb0RvYy54bWxQSwUGAAAAAAYABgBZAQAA2AUAAAAA&#10;">
                <v:fill on="f" focussize="0,0"/>
                <v:stroke on="f" weight="0.5pt"/>
                <v:imagedata o:title=""/>
                <o:lock v:ext="edit" aspectratio="f"/>
                <v:textbox>
                  <w:txbxContent>
                    <w:p w14:paraId="13078F73">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后刘庄</w:t>
                      </w:r>
                    </w:p>
                  </w:txbxContent>
                </v:textbox>
              </v:shape>
            </w:pict>
          </mc:Fallback>
        </mc:AlternateContent>
      </w:r>
      <w:r>
        <w:rPr>
          <w:color w:val="auto"/>
          <w:sz w:val="24"/>
        </w:rPr>
        <mc:AlternateContent>
          <mc:Choice Requires="wps">
            <w:drawing>
              <wp:anchor distT="0" distB="0" distL="114300" distR="114300" simplePos="0" relativeHeight="251722752" behindDoc="0" locked="0" layoutInCell="1" allowOverlap="1">
                <wp:simplePos x="0" y="0"/>
                <wp:positionH relativeFrom="column">
                  <wp:posOffset>6965315</wp:posOffset>
                </wp:positionH>
                <wp:positionV relativeFrom="paragraph">
                  <wp:posOffset>1087120</wp:posOffset>
                </wp:positionV>
                <wp:extent cx="626110" cy="276225"/>
                <wp:effectExtent l="0" t="0" r="0" b="0"/>
                <wp:wrapNone/>
                <wp:docPr id="99" name="文本框 99"/>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A77E27">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武庄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48.45pt;margin-top:85.6pt;height:21.75pt;width:49.3pt;z-index:251722752;mso-width-relative:page;mso-height-relative:page;" filled="f" stroked="f" coordsize="21600,21600" o:gfxdata="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BZIhs90AAAANAQAADwAAAAAAAAABACAAAAAiAAAA&#10;ZHJzL2Rvd25yZXYueG1sUEsBAhQAFAAAAAgAh07iQPofmbM7AgAAZwQAAA4AAAAAAAAAAQAgAAAA&#10;LAEAAGRycy9lMm9Eb2MueG1sUEsFBgAAAAAGAAYAWQEAANkFAAAAAA==&#10;">
                <v:fill on="f" focussize="0,0"/>
                <v:stroke on="f" weight="0.5pt"/>
                <v:imagedata o:title=""/>
                <o:lock v:ext="edit" aspectratio="f"/>
                <v:textbox>
                  <w:txbxContent>
                    <w:p w14:paraId="17A77E27">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武庄</w:t>
                      </w:r>
                    </w:p>
                  </w:txbxContent>
                </v:textbox>
              </v:shape>
            </w:pict>
          </mc:Fallback>
        </mc:AlternateContent>
      </w:r>
      <w:r>
        <w:rPr>
          <w:color w:val="auto"/>
          <w:sz w:val="24"/>
        </w:rPr>
        <mc:AlternateContent>
          <mc:Choice Requires="wps">
            <w:drawing>
              <wp:anchor distT="0" distB="0" distL="114300" distR="114300" simplePos="0" relativeHeight="251714560" behindDoc="0" locked="0" layoutInCell="1" allowOverlap="1">
                <wp:simplePos x="0" y="0"/>
                <wp:positionH relativeFrom="column">
                  <wp:posOffset>6913880</wp:posOffset>
                </wp:positionH>
                <wp:positionV relativeFrom="paragraph">
                  <wp:posOffset>1531620</wp:posOffset>
                </wp:positionV>
                <wp:extent cx="144145" cy="144145"/>
                <wp:effectExtent l="4445" t="4445" r="22860" b="22860"/>
                <wp:wrapNone/>
                <wp:docPr id="90" name="椭圆 90"/>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44.4pt;margin-top:120.6pt;height:11.35pt;width:11.35pt;z-index:251714560;mso-width-relative:page;mso-height-relative:page;" fillcolor="#FFFF00" filled="t" stroked="t" coordsize="21600,21600" o:gfxdata="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zs8401wAAAA0BAAAPAAAAAAAAAAEAIAAAACIAAABkcnMvZG93bnJldi54&#10;bWxQSwECFAAUAAAACACHTuJAXcTgSvsBAAAXBAAADgAAAAAAAAABACAAAAAmAQAAZHJzL2Uyb0Rv&#10;Yy54bWxQSwUGAAAAAAYABgBZAQAAkw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13536" behindDoc="0" locked="0" layoutInCell="1" allowOverlap="1">
                <wp:simplePos x="0" y="0"/>
                <wp:positionH relativeFrom="column">
                  <wp:posOffset>6924675</wp:posOffset>
                </wp:positionH>
                <wp:positionV relativeFrom="paragraph">
                  <wp:posOffset>1236980</wp:posOffset>
                </wp:positionV>
                <wp:extent cx="144145" cy="144145"/>
                <wp:effectExtent l="4445" t="4445" r="22860" b="22860"/>
                <wp:wrapNone/>
                <wp:docPr id="89" name="椭圆 89"/>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45.25pt;margin-top:97.4pt;height:11.35pt;width:11.35pt;z-index:251713536;mso-width-relative:page;mso-height-relative:page;" fillcolor="#FFFF00" filled="t" stroked="t" coordsize="21600,21600" o:gfxdata="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PHRJXNcAAAANAQAADwAAAAAAAAABACAAAAAiAAAAZHJzL2Rvd25yZXYu&#10;eG1sUEsBAhQAFAAAAAgAh07iQE4dJcz8AQAAFwQAAA4AAAAAAAAAAQAgAAAAJg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21728" behindDoc="0" locked="0" layoutInCell="1" allowOverlap="1">
                <wp:simplePos x="0" y="0"/>
                <wp:positionH relativeFrom="column">
                  <wp:posOffset>6701790</wp:posOffset>
                </wp:positionH>
                <wp:positionV relativeFrom="paragraph">
                  <wp:posOffset>808355</wp:posOffset>
                </wp:positionV>
                <wp:extent cx="1209040" cy="276225"/>
                <wp:effectExtent l="0" t="0" r="0" b="0"/>
                <wp:wrapNone/>
                <wp:docPr id="98" name="文本框 98"/>
                <wp:cNvGraphicFramePr/>
                <a:graphic xmlns:a="http://schemas.openxmlformats.org/drawingml/2006/main">
                  <a:graphicData uri="http://schemas.microsoft.com/office/word/2010/wordprocessingShape">
                    <wps:wsp>
                      <wps:cNvSpPr txBox="1"/>
                      <wps:spPr>
                        <a:xfrm>
                          <a:off x="0" y="0"/>
                          <a:ext cx="120904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091CC2">
                            <w:pPr>
                              <w:rPr>
                                <w:rFonts w:hint="eastAsia" w:ascii="仿宋" w:hAnsi="仿宋" w:eastAsia="仿宋" w:cs="仿宋"/>
                                <w:b/>
                                <w:bCs/>
                                <w:color w:val="FFFF00"/>
                                <w:lang w:val="en-US" w:eastAsia="zh-CN"/>
                              </w:rPr>
                            </w:pPr>
                            <w:r>
                              <w:rPr>
                                <w:rFonts w:hint="eastAsia" w:ascii="仿宋" w:hAnsi="仿宋" w:eastAsia="仿宋" w:cs="仿宋"/>
                                <w:b/>
                                <w:bCs/>
                                <w:color w:val="FFFF00"/>
                                <w:lang w:val="en-US" w:eastAsia="zh-CN"/>
                              </w:rPr>
                              <w:t>中国铁建青秀城</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7.7pt;margin-top:63.65pt;height:21.75pt;width:95.2pt;z-index:251721728;mso-width-relative:page;mso-height-relative:page;" filled="f" stroked="f" coordsize="21600,21600" o:gfxdata="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&#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1kbE7bAAAADQEAAA8AAAAAAAAAAQAgAAAAIgAAAGRy&#10;cy9kb3ducmV2LnhtbFBLAQIUABQAAAAIAIdO4kA9BJwyOwIAAGgEAAAOAAAAAAAAAAEAIAAAACoB&#10;AABkcnMvZTJvRG9jLnhtbFBLBQYAAAAABgAGAFkBAADXBQAAAAA=&#10;">
                <v:fill on="f" focussize="0,0"/>
                <v:stroke on="f" weight="0.5pt"/>
                <v:imagedata o:title=""/>
                <o:lock v:ext="edit" aspectratio="f"/>
                <v:textbox>
                  <w:txbxContent>
                    <w:p w14:paraId="55091CC2">
                      <w:pPr>
                        <w:rPr>
                          <w:rFonts w:hint="eastAsia" w:ascii="仿宋" w:hAnsi="仿宋" w:eastAsia="仿宋" w:cs="仿宋"/>
                          <w:b/>
                          <w:bCs/>
                          <w:color w:val="FFFF00"/>
                          <w:lang w:val="en-US" w:eastAsia="zh-CN"/>
                        </w:rPr>
                      </w:pPr>
                      <w:r>
                        <w:rPr>
                          <w:rFonts w:hint="eastAsia" w:ascii="仿宋" w:hAnsi="仿宋" w:eastAsia="仿宋" w:cs="仿宋"/>
                          <w:b/>
                          <w:bCs/>
                          <w:color w:val="FFFF00"/>
                          <w:lang w:val="en-US" w:eastAsia="zh-CN"/>
                        </w:rPr>
                        <w:t>中国铁建青秀城</w:t>
                      </w:r>
                    </w:p>
                  </w:txbxContent>
                </v:textbox>
              </v:shape>
            </w:pict>
          </mc:Fallback>
        </mc:AlternateContent>
      </w:r>
      <w:r>
        <w:rPr>
          <w:color w:val="auto"/>
          <w:sz w:val="24"/>
        </w:rPr>
        <mc:AlternateContent>
          <mc:Choice Requires="wps">
            <w:drawing>
              <wp:anchor distT="0" distB="0" distL="114300" distR="114300" simplePos="0" relativeHeight="251712512" behindDoc="0" locked="0" layoutInCell="1" allowOverlap="1">
                <wp:simplePos x="0" y="0"/>
                <wp:positionH relativeFrom="column">
                  <wp:posOffset>6690995</wp:posOffset>
                </wp:positionH>
                <wp:positionV relativeFrom="paragraph">
                  <wp:posOffset>1009650</wp:posOffset>
                </wp:positionV>
                <wp:extent cx="144145" cy="144145"/>
                <wp:effectExtent l="4445" t="4445" r="22860" b="22860"/>
                <wp:wrapNone/>
                <wp:docPr id="88" name="椭圆 88"/>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26.85pt;margin-top:79.5pt;height:11.35pt;width:11.35pt;z-index:251712512;mso-width-relative:page;mso-height-relative:page;" fillcolor="#FFFF00" filled="t" stroked="t" coordsize="21600,21600" o:gfxdata="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KRrXlfYAAAADQEAAA8AAAAAAAAAAQAgAAAAIgAAAGRycy9kb3ducmV2&#10;LnhtbFBLAQIUABQAAAAIAIdO4kAInJXz/AEAABcEAAAOAAAAAAAAAAEAIAAAACcBAABkcnMvZTJv&#10;RG9jLnhtbFBLBQYAAAAABgAGAFkBAACV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20704" behindDoc="0" locked="0" layoutInCell="1" allowOverlap="1">
                <wp:simplePos x="0" y="0"/>
                <wp:positionH relativeFrom="column">
                  <wp:posOffset>6613525</wp:posOffset>
                </wp:positionH>
                <wp:positionV relativeFrom="paragraph">
                  <wp:posOffset>1801495</wp:posOffset>
                </wp:positionV>
                <wp:extent cx="923925" cy="276225"/>
                <wp:effectExtent l="0" t="0" r="0" b="0"/>
                <wp:wrapNone/>
                <wp:docPr id="97" name="文本框 97"/>
                <wp:cNvGraphicFramePr/>
                <a:graphic xmlns:a="http://schemas.openxmlformats.org/drawingml/2006/main">
                  <a:graphicData uri="http://schemas.microsoft.com/office/word/2010/wordprocessingShape">
                    <wps:wsp>
                      <wps:cNvSpPr txBox="1"/>
                      <wps:spPr>
                        <a:xfrm>
                          <a:off x="0" y="0"/>
                          <a:ext cx="92392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E5EF2C">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新城文景苑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0.75pt;margin-top:141.85pt;height:21.75pt;width:72.75pt;z-index:251720704;mso-width-relative:page;mso-height-relative:page;" filled="f" stroked="f" coordsize="21600,21600" o:gfxdata="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Gcw8tbdAAAADQEAAA8AAAAAAAAAAQAgAAAAIgAA&#10;AGRycy9kb3ducmV2LnhtbFBLAQIUABQAAAAIAIdO4kBJADHnPAIAAGcEAAAOAAAAAAAAAAEAIAAA&#10;ACwBAABkcnMvZTJvRG9jLnhtbFBLBQYAAAAABgAGAFkBAADaBQAAAAA=&#10;">
                <v:fill on="f" focussize="0,0"/>
                <v:stroke on="f" weight="0.5pt"/>
                <v:imagedata o:title=""/>
                <o:lock v:ext="edit" aspectratio="f"/>
                <v:textbox>
                  <w:txbxContent>
                    <w:p w14:paraId="4BE5EF2C">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新城文景苑</w:t>
                      </w:r>
                    </w:p>
                  </w:txbxContent>
                </v:textbox>
              </v:shape>
            </w:pict>
          </mc:Fallback>
        </mc:AlternateContent>
      </w:r>
      <w:r>
        <w:rPr>
          <w:color w:val="auto"/>
          <w:sz w:val="24"/>
        </w:rPr>
        <mc:AlternateContent>
          <mc:Choice Requires="wps">
            <w:drawing>
              <wp:anchor distT="0" distB="0" distL="114300" distR="114300" simplePos="0" relativeHeight="251711488" behindDoc="0" locked="0" layoutInCell="1" allowOverlap="1">
                <wp:simplePos x="0" y="0"/>
                <wp:positionH relativeFrom="column">
                  <wp:posOffset>6544945</wp:posOffset>
                </wp:positionH>
                <wp:positionV relativeFrom="paragraph">
                  <wp:posOffset>1830070</wp:posOffset>
                </wp:positionV>
                <wp:extent cx="144145" cy="144145"/>
                <wp:effectExtent l="4445" t="4445" r="22860" b="22860"/>
                <wp:wrapNone/>
                <wp:docPr id="87" name="椭圆 87"/>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515.35pt;margin-top:144.1pt;height:11.35pt;width:11.35pt;z-index:251711488;mso-width-relative:page;mso-height-relative:page;" fillcolor="#FFFF00" filled="t" stroked="t" coordsize="21600,21600" o:gfxdata="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yyYsXYAAAADQEAAA8AAAAAAAAAAQAgAAAAIgAAAGRycy9kb3ducmV2&#10;LnhtbFBLAQIUABQAAAAIAIdO4kCrFnNr/AEAABcEAAAOAAAAAAAAAAEAIAAAACcBAABkcnMvZTJv&#10;RG9jLnhtbFBLBQYAAAAABgAGAFkBAACV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19680" behindDoc="0" locked="0" layoutInCell="1" allowOverlap="1">
                <wp:simplePos x="0" y="0"/>
                <wp:positionH relativeFrom="column">
                  <wp:posOffset>6219190</wp:posOffset>
                </wp:positionH>
                <wp:positionV relativeFrom="paragraph">
                  <wp:posOffset>1550035</wp:posOffset>
                </wp:positionV>
                <wp:extent cx="923925" cy="276225"/>
                <wp:effectExtent l="0" t="0" r="0" b="0"/>
                <wp:wrapNone/>
                <wp:docPr id="96" name="文本框 96"/>
                <wp:cNvGraphicFramePr/>
                <a:graphic xmlns:a="http://schemas.openxmlformats.org/drawingml/2006/main">
                  <a:graphicData uri="http://schemas.microsoft.com/office/word/2010/wordprocessingShape">
                    <wps:wsp>
                      <wps:cNvSpPr txBox="1"/>
                      <wps:spPr>
                        <a:xfrm>
                          <a:off x="0" y="0"/>
                          <a:ext cx="92392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4C26D3">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丽景新城</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89.7pt;margin-top:122.05pt;height:21.75pt;width:72.75pt;z-index:251719680;mso-width-relative:page;mso-height-relative:page;" filled="f" stroked="f" coordsize="21600,21600" o:gfxdata="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gFTIfdAAAADAEAAA8AAAAAAAAAAQAgAAAAIgAA&#10;AGRycy9kb3ducmV2LnhtbFBLAQIUABQAAAAIAIdO4kATf/IPPAIAAGcEAAAOAAAAAAAAAAEAIAAA&#10;ACwBAABkcnMvZTJvRG9jLnhtbFBLBQYAAAAABgAGAFkBAADaBQAAAAA=&#10;">
                <v:fill on="f" focussize="0,0"/>
                <v:stroke on="f" weight="0.5pt"/>
                <v:imagedata o:title=""/>
                <o:lock v:ext="edit" aspectratio="f"/>
                <v:textbox>
                  <w:txbxContent>
                    <w:p w14:paraId="304C26D3">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丽景新城</w:t>
                      </w:r>
                    </w:p>
                  </w:txbxContent>
                </v:textbox>
              </v:shape>
            </w:pict>
          </mc:Fallback>
        </mc:AlternateContent>
      </w:r>
      <w:r>
        <w:rPr>
          <w:color w:val="auto"/>
          <w:sz w:val="24"/>
        </w:rPr>
        <mc:AlternateContent>
          <mc:Choice Requires="wps">
            <w:drawing>
              <wp:anchor distT="0" distB="0" distL="114300" distR="114300" simplePos="0" relativeHeight="251710464" behindDoc="0" locked="0" layoutInCell="1" allowOverlap="1">
                <wp:simplePos x="0" y="0"/>
                <wp:positionH relativeFrom="column">
                  <wp:posOffset>6297930</wp:posOffset>
                </wp:positionH>
                <wp:positionV relativeFrom="paragraph">
                  <wp:posOffset>1739265</wp:posOffset>
                </wp:positionV>
                <wp:extent cx="144145" cy="144145"/>
                <wp:effectExtent l="4445" t="4445" r="22860" b="22860"/>
                <wp:wrapNone/>
                <wp:docPr id="86" name="椭圆 86"/>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95.9pt;margin-top:136.95pt;height:11.35pt;width:11.35pt;z-index:251710464;mso-width-relative:page;mso-height-relative:page;" fillcolor="#FFFF00" filled="t" stroked="t" coordsize="21600,21600" o:gfxdata="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KWhAXYAAAADAEAAA8AAAAAAAAAAQAgAAAAIgAAAGRycy9kb3ducmV2&#10;LnhtbFBLAQIUABQAAAAIAIdO4kDtl8NU/AEAABcEAAAOAAAAAAAAAAEAIAAAACcBAABkcnMvZTJv&#10;RG9jLnhtbFBLBQYAAAAABgAGAFkBAACV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18656" behindDoc="0" locked="0" layoutInCell="1" allowOverlap="1">
                <wp:simplePos x="0" y="0"/>
                <wp:positionH relativeFrom="column">
                  <wp:posOffset>5243195</wp:posOffset>
                </wp:positionH>
                <wp:positionV relativeFrom="paragraph">
                  <wp:posOffset>1485900</wp:posOffset>
                </wp:positionV>
                <wp:extent cx="923925" cy="276225"/>
                <wp:effectExtent l="0" t="0" r="0" b="0"/>
                <wp:wrapNone/>
                <wp:docPr id="95" name="文本框 95"/>
                <wp:cNvGraphicFramePr/>
                <a:graphic xmlns:a="http://schemas.openxmlformats.org/drawingml/2006/main">
                  <a:graphicData uri="http://schemas.microsoft.com/office/word/2010/wordprocessingShape">
                    <wps:wsp>
                      <wps:cNvSpPr txBox="1"/>
                      <wps:spPr>
                        <a:xfrm>
                          <a:off x="0" y="0"/>
                          <a:ext cx="92392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287DC9">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新城丽景苑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2.85pt;margin-top:117pt;height:21.75pt;width:72.75pt;z-index:251718656;mso-width-relative:page;mso-height-relative:page;" filled="f" stroked="f" coordsize="21600,21600" o:gfxdata="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Lpx/52wAAAAsBAAAPAAAAAAAAAAEAIAAAACIAAABk&#10;cnMvZG93bnJldi54bWxQSwECFAAUAAAACACHTuJAvPjG7TwCAABnBAAADgAAAAAAAAABACAAAAAq&#10;AQAAZHJzL2Uyb0RvYy54bWxQSwUGAAAAAAYABgBZAQAA2AUAAAAA&#10;">
                <v:fill on="f" focussize="0,0"/>
                <v:stroke on="f" weight="0.5pt"/>
                <v:imagedata o:title=""/>
                <o:lock v:ext="edit" aspectratio="f"/>
                <v:textbox>
                  <w:txbxContent>
                    <w:p w14:paraId="6F287DC9">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新城丽景苑</w:t>
                      </w:r>
                    </w:p>
                  </w:txbxContent>
                </v:textbox>
              </v:shape>
            </w:pict>
          </mc:Fallback>
        </mc:AlternateContent>
      </w:r>
      <w:r>
        <w:rPr>
          <w:color w:val="auto"/>
          <w:sz w:val="24"/>
        </w:rPr>
        <mc:AlternateContent>
          <mc:Choice Requires="wps">
            <w:drawing>
              <wp:anchor distT="0" distB="0" distL="114300" distR="114300" simplePos="0" relativeHeight="251709440" behindDoc="0" locked="0" layoutInCell="1" allowOverlap="1">
                <wp:simplePos x="0" y="0"/>
                <wp:positionH relativeFrom="column">
                  <wp:posOffset>6015990</wp:posOffset>
                </wp:positionH>
                <wp:positionV relativeFrom="paragraph">
                  <wp:posOffset>1606550</wp:posOffset>
                </wp:positionV>
                <wp:extent cx="144145" cy="144145"/>
                <wp:effectExtent l="4445" t="4445" r="22860" b="22860"/>
                <wp:wrapNone/>
                <wp:docPr id="85" name="椭圆 85"/>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73.7pt;margin-top:126.5pt;height:11.35pt;width:11.35pt;z-index:251709440;mso-width-relative:page;mso-height-relative:page;" fillcolor="#FFFF00" filled="t" stroked="t" coordsize="21600,21600" o:gfxdata="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FOhSZ9gAAAALAQAADwAAAAAAAAABACAAAAAiAAAAZHJzL2Rvd25yZXYu&#10;eG1sUEsBAhQAFAAAAAgAh07iQCcUEhT7AQAAFwQAAA4AAAAAAAAAAQAgAAAAJw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08416" behindDoc="0" locked="0" layoutInCell="1" allowOverlap="1">
                <wp:simplePos x="0" y="0"/>
                <wp:positionH relativeFrom="column">
                  <wp:posOffset>5870575</wp:posOffset>
                </wp:positionH>
                <wp:positionV relativeFrom="paragraph">
                  <wp:posOffset>1271905</wp:posOffset>
                </wp:positionV>
                <wp:extent cx="741680" cy="276225"/>
                <wp:effectExtent l="0" t="0" r="0" b="0"/>
                <wp:wrapNone/>
                <wp:docPr id="84" name="文本框 84"/>
                <wp:cNvGraphicFramePr/>
                <a:graphic xmlns:a="http://schemas.openxmlformats.org/drawingml/2006/main">
                  <a:graphicData uri="http://schemas.microsoft.com/office/word/2010/wordprocessingShape">
                    <wps:wsp>
                      <wps:cNvSpPr txBox="1"/>
                      <wps:spPr>
                        <a:xfrm>
                          <a:off x="0" y="0"/>
                          <a:ext cx="74168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1975AD">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亲水嘉苑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62.25pt;margin-top:100.15pt;height:21.75pt;width:58.4pt;z-index:251708416;mso-width-relative:page;mso-height-relative:page;" filled="f" stroked="f" coordsize="21600,21600" o:gfxdata="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l8UxbdwAAAAMAQAADwAAAAAAAAABACAAAAAiAAAA&#10;ZHJzL2Rvd25yZXYueG1sUEsBAhQAFAAAAAgAh07iQCW+bvI8AgAAZwQAAA4AAAAAAAAAAQAgAAAA&#10;KwEAAGRycy9lMm9Eb2MueG1sUEsFBgAAAAAGAAYAWQEAANkFAAAAAA==&#10;">
                <v:fill on="f" focussize="0,0"/>
                <v:stroke on="f" weight="0.5pt"/>
                <v:imagedata o:title=""/>
                <o:lock v:ext="edit" aspectratio="f"/>
                <v:textbox>
                  <w:txbxContent>
                    <w:p w14:paraId="151975AD">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亲水嘉苑</w:t>
                      </w:r>
                    </w:p>
                  </w:txbxContent>
                </v:textbox>
              </v:shape>
            </w:pict>
          </mc:Fallback>
        </mc:AlternateContent>
      </w:r>
      <w:r>
        <w:rPr>
          <w:color w:val="auto"/>
          <w:sz w:val="24"/>
        </w:rPr>
        <mc:AlternateContent>
          <mc:Choice Requires="wps">
            <w:drawing>
              <wp:anchor distT="0" distB="0" distL="114300" distR="114300" simplePos="0" relativeHeight="251717632" behindDoc="0" locked="0" layoutInCell="1" allowOverlap="1">
                <wp:simplePos x="0" y="0"/>
                <wp:positionH relativeFrom="column">
                  <wp:posOffset>5237480</wp:posOffset>
                </wp:positionH>
                <wp:positionV relativeFrom="paragraph">
                  <wp:posOffset>876935</wp:posOffset>
                </wp:positionV>
                <wp:extent cx="626110" cy="276225"/>
                <wp:effectExtent l="0" t="0" r="0" b="0"/>
                <wp:wrapNone/>
                <wp:docPr id="93" name="文本框 93"/>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1C95BD">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前花园</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2.4pt;margin-top:69.05pt;height:21.75pt;width:49.3pt;z-index:251717632;mso-width-relative:page;mso-height-relative:page;" filled="f" stroked="f" coordsize="21600,21600" o:gfxdata="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&#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ryEGbbAAAACwEAAA8AAAAAAAAAAQAgAAAAIgAAAGRy&#10;cy9kb3ducmV2LnhtbFBLAQIUABQAAAAIAIdO4kDbBLGSOwIAAGcEAAAOAAAAAAAAAAEAIAAAACoB&#10;AABkcnMvZTJvRG9jLnhtbFBLBQYAAAAABgAGAFkBAADXBQAAAAA=&#10;">
                <v:fill on="f" focussize="0,0"/>
                <v:stroke on="f" weight="0.5pt"/>
                <v:imagedata o:title=""/>
                <o:lock v:ext="edit" aspectratio="f"/>
                <v:textbox>
                  <w:txbxContent>
                    <w:p w14:paraId="241C95BD">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前花园</w:t>
                      </w:r>
                    </w:p>
                  </w:txbxContent>
                </v:textbox>
              </v:shape>
            </w:pict>
          </mc:Fallback>
        </mc:AlternateContent>
      </w:r>
      <w:r>
        <w:rPr>
          <w:color w:val="auto"/>
          <w:sz w:val="24"/>
        </w:rPr>
        <mc:AlternateContent>
          <mc:Choice Requires="wps">
            <w:drawing>
              <wp:anchor distT="0" distB="0" distL="114300" distR="114300" simplePos="0" relativeHeight="251704320" behindDoc="0" locked="0" layoutInCell="1" allowOverlap="1">
                <wp:simplePos x="0" y="0"/>
                <wp:positionH relativeFrom="column">
                  <wp:posOffset>5720080</wp:posOffset>
                </wp:positionH>
                <wp:positionV relativeFrom="paragraph">
                  <wp:posOffset>1026160</wp:posOffset>
                </wp:positionV>
                <wp:extent cx="144145" cy="144145"/>
                <wp:effectExtent l="4445" t="4445" r="22860" b="22860"/>
                <wp:wrapNone/>
                <wp:docPr id="72" name="椭圆 72"/>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50.4pt;margin-top:80.8pt;height:11.35pt;width:11.35pt;z-index:251704320;mso-width-relative:page;mso-height-relative:page;" fillcolor="#FFFF00" filled="t" stroked="t" coordsize="21600,21600" o:gfxdata="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FHqki1wAAAAsBAAAPAAAAAAAAAAEAIAAAACIAAABkcnMvZG93bnJldi54&#10;bWxQSwECFAAUAAAACACHTuJALYZG5fsBAAAXBAAADgAAAAAAAAABACAAAAAmAQAAZHJzL2Uyb0Rv&#10;Yy54bWxQSwUGAAAAAAYABgBZAQAAkw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03296" behindDoc="0" locked="0" layoutInCell="1" allowOverlap="1">
                <wp:simplePos x="0" y="0"/>
                <wp:positionH relativeFrom="column">
                  <wp:posOffset>5887720</wp:posOffset>
                </wp:positionH>
                <wp:positionV relativeFrom="paragraph">
                  <wp:posOffset>1233805</wp:posOffset>
                </wp:positionV>
                <wp:extent cx="144145" cy="144145"/>
                <wp:effectExtent l="4445" t="4445" r="22860" b="22860"/>
                <wp:wrapNone/>
                <wp:docPr id="40" name="椭圆 40"/>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63.6pt;margin-top:97.15pt;height:11.35pt;width:11.35pt;z-index:251703296;mso-width-relative:page;mso-height-relative:page;" fillcolor="#FFFF00" filled="t" stroked="t" coordsize="21600,21600" o:gfxdata="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vkhXdgAAAALAQAADwAAAAAAAAABACAAAAAiAAAAZHJzL2Rvd25yZXYu&#10;eG1sUEsBAhQAFAAAAAgAh07iQIx+1uH7AQAAFwQAAA4AAAAAAAAAAQAgAAAAJw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06368" behindDoc="0" locked="0" layoutInCell="1" allowOverlap="1">
                <wp:simplePos x="0" y="0"/>
                <wp:positionH relativeFrom="column">
                  <wp:posOffset>4483735</wp:posOffset>
                </wp:positionH>
                <wp:positionV relativeFrom="paragraph">
                  <wp:posOffset>1646555</wp:posOffset>
                </wp:positionV>
                <wp:extent cx="1032510" cy="276225"/>
                <wp:effectExtent l="0" t="0" r="0" b="0"/>
                <wp:wrapNone/>
                <wp:docPr id="82" name="文本框 82"/>
                <wp:cNvGraphicFramePr/>
                <a:graphic xmlns:a="http://schemas.openxmlformats.org/drawingml/2006/main">
                  <a:graphicData uri="http://schemas.microsoft.com/office/word/2010/wordprocessingShape">
                    <wps:wsp>
                      <wps:cNvSpPr txBox="1"/>
                      <wps:spPr>
                        <a:xfrm>
                          <a:off x="0" y="0"/>
                          <a:ext cx="10325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647B4A">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星河花园小区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3.05pt;margin-top:129.65pt;height:21.75pt;width:81.3pt;z-index:251706368;mso-width-relative:page;mso-height-relative:page;" filled="f" stroked="f" coordsize="21600,21600" o:gfxdata="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HTWkYTcAAAACwEAAA8AAAAAAAAAAQAgAAAAIgAA&#10;AGRycy9kb3ducmV2LnhtbFBLAQIUABQAAAAIAIdO4kCMvDGyPQIAAGgEAAAOAAAAAAAAAAEAIAAA&#10;ACsBAABkcnMvZTJvRG9jLnhtbFBLBQYAAAAABgAGAFkBAADaBQAAAAA=&#10;">
                <v:fill on="f" focussize="0,0"/>
                <v:stroke on="f" weight="0.5pt"/>
                <v:imagedata o:title=""/>
                <o:lock v:ext="edit" aspectratio="f"/>
                <v:textbox>
                  <w:txbxContent>
                    <w:p w14:paraId="63647B4A">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星河花园小区</w:t>
                      </w:r>
                    </w:p>
                  </w:txbxContent>
                </v:textbox>
              </v:shape>
            </w:pict>
          </mc:Fallback>
        </mc:AlternateContent>
      </w:r>
      <w:r>
        <w:rPr>
          <w:color w:val="auto"/>
          <w:sz w:val="24"/>
        </w:rPr>
        <mc:AlternateContent>
          <mc:Choice Requires="wps">
            <w:drawing>
              <wp:anchor distT="0" distB="0" distL="114300" distR="114300" simplePos="0" relativeHeight="251701248" behindDoc="0" locked="0" layoutInCell="1" allowOverlap="1">
                <wp:simplePos x="0" y="0"/>
                <wp:positionH relativeFrom="column">
                  <wp:posOffset>5311140</wp:posOffset>
                </wp:positionH>
                <wp:positionV relativeFrom="paragraph">
                  <wp:posOffset>1847850</wp:posOffset>
                </wp:positionV>
                <wp:extent cx="144145" cy="144145"/>
                <wp:effectExtent l="4445" t="4445" r="22860" b="22860"/>
                <wp:wrapNone/>
                <wp:docPr id="37" name="椭圆 37"/>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18.2pt;margin-top:145.5pt;height:11.35pt;width:11.35pt;z-index:251701248;mso-width-relative:page;mso-height-relative:page;" fillcolor="#FFFF00" filled="t" stroked="t" coordsize="21600,21600" o:gfxdata="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QZD19gAAAALAQAADwAAAAAAAAABACAAAAAiAAAAZHJzL2Rvd25yZXYu&#10;eG1sUEsBAhQAFAAAAAgAh07iQCBYpjf7AQAAFwQAAA4AAAAAAAAAAQAgAAAAJw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02272" behindDoc="0" locked="0" layoutInCell="1" allowOverlap="1">
                <wp:simplePos x="0" y="0"/>
                <wp:positionH relativeFrom="column">
                  <wp:posOffset>5198110</wp:posOffset>
                </wp:positionH>
                <wp:positionV relativeFrom="paragraph">
                  <wp:posOffset>2040255</wp:posOffset>
                </wp:positionV>
                <wp:extent cx="144145" cy="144145"/>
                <wp:effectExtent l="4445" t="4445" r="22860" b="22860"/>
                <wp:wrapNone/>
                <wp:docPr id="39" name="椭圆 39"/>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409.3pt;margin-top:160.65pt;height:11.35pt;width:11.35pt;z-index:251702272;mso-width-relative:page;mso-height-relative:page;" fillcolor="#FFFF00" filled="t" stroked="t" coordsize="21600,21600" o:gfxdata="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BgSFYrWAAAACwEAAA8AAAAAAAAAAQAgAAAAIgAAAGRycy9kb3ducmV2Lnht&#10;bFBLAQIUABQAAAAIAIdO4kDFU/CQ+wEAABcEAAAOAAAAAAAAAAEAIAAAACUBAABkcnMvZTJvRG9j&#10;LnhtbFBLBQYAAAAABgAGAFkBAACS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705344" behindDoc="0" locked="0" layoutInCell="1" allowOverlap="1">
                <wp:simplePos x="0" y="0"/>
                <wp:positionH relativeFrom="column">
                  <wp:posOffset>5112385</wp:posOffset>
                </wp:positionH>
                <wp:positionV relativeFrom="paragraph">
                  <wp:posOffset>1242060</wp:posOffset>
                </wp:positionV>
                <wp:extent cx="626110" cy="276225"/>
                <wp:effectExtent l="0" t="0" r="0" b="0"/>
                <wp:wrapNone/>
                <wp:docPr id="73" name="文本框 73"/>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3406A7">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垄庄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2.55pt;margin-top:97.8pt;height:21.75pt;width:49.3pt;z-index:251705344;mso-width-relative:page;mso-height-relative:page;" filled="f" stroked="f" coordsize="21600,21600" o:gfxdata="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MAqFY3AAAAAsBAAAPAAAAAAAAAAEAIAAAACIAAABk&#10;cnMvZG93bnJldi54bWxQSwECFAAUAAAACACHTuJACdgznjsCAABnBAAADgAAAAAAAAABACAAAAAr&#10;AQAAZHJzL2Uyb0RvYy54bWxQSwUGAAAAAAYABgBZAQAA2AUAAAAA&#10;">
                <v:fill on="f" focussize="0,0"/>
                <v:stroke on="f" weight="0.5pt"/>
                <v:imagedata o:title=""/>
                <o:lock v:ext="edit" aspectratio="f"/>
                <v:textbox>
                  <w:txbxContent>
                    <w:p w14:paraId="353406A7">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垄庄</w:t>
                      </w:r>
                    </w:p>
                  </w:txbxContent>
                </v:textbox>
              </v:shape>
            </w:pict>
          </mc:Fallback>
        </mc:AlternateContent>
      </w:r>
      <w:r>
        <w:rPr>
          <w:color w:val="auto"/>
          <w:sz w:val="24"/>
        </w:rPr>
        <mc:AlternateContent>
          <mc:Choice Requires="wps">
            <w:drawing>
              <wp:anchor distT="0" distB="0" distL="114300" distR="114300" simplePos="0" relativeHeight="251700224" behindDoc="0" locked="0" layoutInCell="1" allowOverlap="1">
                <wp:simplePos x="0" y="0"/>
                <wp:positionH relativeFrom="column">
                  <wp:posOffset>5063490</wp:posOffset>
                </wp:positionH>
                <wp:positionV relativeFrom="paragraph">
                  <wp:posOffset>1211580</wp:posOffset>
                </wp:positionV>
                <wp:extent cx="144145" cy="144145"/>
                <wp:effectExtent l="4445" t="4445" r="22860" b="22860"/>
                <wp:wrapNone/>
                <wp:docPr id="36" name="椭圆 36"/>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398.7pt;margin-top:95.4pt;height:11.35pt;width:11.35pt;z-index:251700224;mso-width-relative:page;mso-height-relative:page;" fillcolor="#FFFF00" filled="t" stroked="t" coordsize="21600,21600" o:gfxdata="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LL90o1wAAAAsBAAAPAAAAAAAAAAEAIAAAACIAAABkcnMvZG93bnJldi54&#10;bWxQSwECFAAUAAAACACHTuJAZtkWCPsBAAAXBAAADgAAAAAAAAABACAAAAAmAQAAZHJzL2Uyb0Rv&#10;Yy54bWxQSwUGAAAAAAYABgBZAQAAkw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99200" behindDoc="0" locked="0" layoutInCell="1" allowOverlap="1">
                <wp:simplePos x="0" y="0"/>
                <wp:positionH relativeFrom="column">
                  <wp:posOffset>4279265</wp:posOffset>
                </wp:positionH>
                <wp:positionV relativeFrom="paragraph">
                  <wp:posOffset>1068705</wp:posOffset>
                </wp:positionV>
                <wp:extent cx="626110" cy="276225"/>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D148C6">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张演庄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6.95pt;margin-top:84.15pt;height:21.75pt;width:49.3pt;z-index:251699200;mso-width-relative:page;mso-height-relative:page;" filled="f" stroked="f" coordsize="21600,21600" o:gfxdata="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u8Y6v9wAAAALAQAADwAAAAAAAAABACAAAAAiAAAA&#10;ZHJzL2Rvd25yZXYueG1sUEsBAhQAFAAAAAgAh07iQIE14cE8AgAAZwQAAA4AAAAAAAAAAQAgAAAA&#10;KwEAAGRycy9lMm9Eb2MueG1sUEsFBgAAAAAGAAYAWQEAANkFAAAAAA==&#10;">
                <v:fill on="f" focussize="0,0"/>
                <v:stroke on="f" weight="0.5pt"/>
                <v:imagedata o:title=""/>
                <o:lock v:ext="edit" aspectratio="f"/>
                <v:textbox>
                  <w:txbxContent>
                    <w:p w14:paraId="79D148C6">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张演庄</w:t>
                      </w:r>
                    </w:p>
                  </w:txbxContent>
                </v:textbox>
              </v:shape>
            </w:pict>
          </mc:Fallback>
        </mc:AlternateContent>
      </w:r>
      <w:r>
        <w:rPr>
          <w:color w:val="auto"/>
          <w:sz w:val="24"/>
        </w:rPr>
        <mc:AlternateContent>
          <mc:Choice Requires="wps">
            <w:drawing>
              <wp:anchor distT="0" distB="0" distL="114300" distR="114300" simplePos="0" relativeHeight="251698176" behindDoc="0" locked="0" layoutInCell="1" allowOverlap="1">
                <wp:simplePos x="0" y="0"/>
                <wp:positionH relativeFrom="column">
                  <wp:posOffset>4290695</wp:posOffset>
                </wp:positionH>
                <wp:positionV relativeFrom="paragraph">
                  <wp:posOffset>996315</wp:posOffset>
                </wp:positionV>
                <wp:extent cx="144145" cy="144145"/>
                <wp:effectExtent l="4445" t="4445" r="22860" b="22860"/>
                <wp:wrapNone/>
                <wp:docPr id="17" name="椭圆 17"/>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337.85pt;margin-top:78.45pt;height:11.35pt;width:11.35pt;z-index:251698176;mso-width-relative:page;mso-height-relative:page;" fillcolor="#FFFF00" filled="t" stroked="t" coordsize="21600,21600" o:gfxdata="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HJXZEtcAAAALAQAADwAAAAAAAAABACAAAAAiAAAAZHJzL2Rvd25yZXYu&#10;eG1sUEsBAhQAFAAAAAgAh07iQCn219P8AQAAFwQAAA4AAAAAAAAAAQAgAAAAJg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97152" behindDoc="0" locked="0" layoutInCell="1" allowOverlap="1">
                <wp:simplePos x="0" y="0"/>
                <wp:positionH relativeFrom="column">
                  <wp:posOffset>2949575</wp:posOffset>
                </wp:positionH>
                <wp:positionV relativeFrom="paragraph">
                  <wp:posOffset>1372235</wp:posOffset>
                </wp:positionV>
                <wp:extent cx="626110" cy="276225"/>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914AAF">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刘桥镇</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2.25pt;margin-top:108.05pt;height:21.75pt;width:49.3pt;z-index:251697152;mso-width-relative:page;mso-height-relative:page;" filled="f" stroked="f" coordsize="21600,21600" o:gfxdata="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uXHfX9sAAAALAQAADwAAAAAAAAABACAAAAAiAAAAZHJz&#10;L2Rvd25yZXYueG1sUEsBAhQAFAAAAAgAh07iQPXNJBM6AgAAZwQAAA4AAAAAAAAAAQAgAAAAKgEA&#10;AGRycy9lMm9Eb2MueG1sUEsFBgAAAAAGAAYAWQEAANYFAAAAAA==&#10;">
                <v:fill on="f" focussize="0,0"/>
                <v:stroke on="f" weight="0.5pt"/>
                <v:imagedata o:title=""/>
                <o:lock v:ext="edit" aspectratio="f"/>
                <v:textbox>
                  <w:txbxContent>
                    <w:p w14:paraId="46914AAF">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刘桥镇</w:t>
                      </w:r>
                    </w:p>
                  </w:txbxContent>
                </v:textbox>
              </v:shape>
            </w:pict>
          </mc:Fallback>
        </mc:AlternateContent>
      </w:r>
      <w:r>
        <w:rPr>
          <w:color w:val="auto"/>
          <w:sz w:val="24"/>
        </w:rPr>
        <mc:AlternateContent>
          <mc:Choice Requires="wps">
            <w:drawing>
              <wp:anchor distT="0" distB="0" distL="114300" distR="114300" simplePos="0" relativeHeight="251693056" behindDoc="0" locked="0" layoutInCell="1" allowOverlap="1">
                <wp:simplePos x="0" y="0"/>
                <wp:positionH relativeFrom="column">
                  <wp:posOffset>2893060</wp:posOffset>
                </wp:positionH>
                <wp:positionV relativeFrom="paragraph">
                  <wp:posOffset>1292860</wp:posOffset>
                </wp:positionV>
                <wp:extent cx="144145" cy="144145"/>
                <wp:effectExtent l="4445" t="4445" r="22860" b="22860"/>
                <wp:wrapNone/>
                <wp:docPr id="27" name="椭圆 27"/>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227.8pt;margin-top:101.8pt;height:11.35pt;width:11.35pt;z-index:251693056;mso-width-relative:page;mso-height-relative:page;" fillcolor="#FFFF00" filled="t" stroked="t" coordsize="21600,21600" o:gfxdata="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iecI21wAAAAsBAAAPAAAAAAAAAAEAIAAAACIAAABkcnMvZG93bnJldi54&#10;bWxQSwECFAAUAAAACACHTuJABAwmqPsBAAAXBAAADgAAAAAAAAABACAAAAAmAQAAZHJzL2Uyb0Rv&#10;Yy54bWxQSwUGAAAAAAYABgBZAQAAkw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96128" behindDoc="0" locked="0" layoutInCell="1" allowOverlap="1">
                <wp:simplePos x="0" y="0"/>
                <wp:positionH relativeFrom="column">
                  <wp:posOffset>2640965</wp:posOffset>
                </wp:positionH>
                <wp:positionV relativeFrom="paragraph">
                  <wp:posOffset>2594610</wp:posOffset>
                </wp:positionV>
                <wp:extent cx="626110" cy="276225"/>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AA926A">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小城村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7.95pt;margin-top:204.3pt;height:21.75pt;width:49.3pt;z-index:251696128;mso-width-relative:page;mso-height-relative:page;" filled="f" stroked="f" coordsize="21600,21600" o:gfxdata="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KOjF6LaAAAACwEAAA8AAAAAAAAAAQAgAAAAIgAAAGRycy9k&#10;b3ducmV2LnhtbFBLAQIUABQAAAAIAIdO4kBaShDxOQIAAGcEAAAOAAAAAAAAAAEAIAAAACkBAABk&#10;cnMvZTJvRG9jLnhtbFBLBQYAAAAABgAGAFkBAADUBQAAAAA=&#10;">
                <v:fill on="f" focussize="0,0"/>
                <v:stroke on="f" weight="0.5pt"/>
                <v:imagedata o:title=""/>
                <o:lock v:ext="edit" aspectratio="f"/>
                <v:textbox>
                  <w:txbxContent>
                    <w:p w14:paraId="69AA926A">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小城村</w:t>
                      </w:r>
                    </w:p>
                  </w:txbxContent>
                </v:textbox>
              </v:shape>
            </w:pict>
          </mc:Fallback>
        </mc:AlternateContent>
      </w:r>
      <w:r>
        <w:rPr>
          <w:color w:val="auto"/>
          <w:sz w:val="24"/>
        </w:rPr>
        <mc:AlternateContent>
          <mc:Choice Requires="wps">
            <w:drawing>
              <wp:anchor distT="0" distB="0" distL="114300" distR="114300" simplePos="0" relativeHeight="251692032" behindDoc="0" locked="0" layoutInCell="1" allowOverlap="1">
                <wp:simplePos x="0" y="0"/>
                <wp:positionH relativeFrom="column">
                  <wp:posOffset>2645410</wp:posOffset>
                </wp:positionH>
                <wp:positionV relativeFrom="paragraph">
                  <wp:posOffset>2508885</wp:posOffset>
                </wp:positionV>
                <wp:extent cx="144145" cy="144145"/>
                <wp:effectExtent l="4445" t="4445" r="22860" b="22860"/>
                <wp:wrapNone/>
                <wp:docPr id="26" name="椭圆 26"/>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208.3pt;margin-top:197.55pt;height:11.35pt;width:11.35pt;z-index:251692032;mso-width-relative:page;mso-height-relative:page;" fillcolor="#FFFF00" filled="t" stroked="t" coordsize="21600,21600" o:gfxdata="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EXYF41wAAAAsBAAAPAAAAAAAAAAEAIAAAACIAAABkcnMvZG93bnJldi54&#10;bWxQSwECFAAUAAAACACHTuJAQo2Wl/sBAAAXBAAADgAAAAAAAAABACAAAAAmAQAAZHJzL2Uyb0Rv&#10;Yy54bWxQSwUGAAAAAAYABgBZAQAAkw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95104" behindDoc="0" locked="0" layoutInCell="1" allowOverlap="1">
                <wp:simplePos x="0" y="0"/>
                <wp:positionH relativeFrom="column">
                  <wp:posOffset>3237230</wp:posOffset>
                </wp:positionH>
                <wp:positionV relativeFrom="paragraph">
                  <wp:posOffset>2401570</wp:posOffset>
                </wp:positionV>
                <wp:extent cx="626110" cy="276225"/>
                <wp:effectExtent l="0" t="0" r="0" b="0"/>
                <wp:wrapNone/>
                <wp:docPr id="9" name="文本框 9"/>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29B578">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杜庄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4.9pt;margin-top:189.1pt;height:21.75pt;width:49.3pt;z-index:251695104;mso-width-relative:page;mso-height-relative:page;" filled="f" stroked="f" coordsize="21600,21600" o:gfxdata="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VvXG3QAAAAsBAAAPAAAAAAAAAAEAIAAAACIAAABk&#10;cnMvZG93bnJldi54bWxQSwECFAAUAAAACACHTuJA13dnwToCAABlBAAADgAAAAAAAAABACAAAAAs&#10;AQAAZHJzL2Uyb0RvYy54bWxQSwUGAAAAAAYABgBZAQAA2AUAAAAA&#10;">
                <v:fill on="f" focussize="0,0"/>
                <v:stroke on="f" weight="0.5pt"/>
                <v:imagedata o:title=""/>
                <o:lock v:ext="edit" aspectratio="f"/>
                <v:textbox>
                  <w:txbxContent>
                    <w:p w14:paraId="5B29B578">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杜庄</w:t>
                      </w:r>
                    </w:p>
                  </w:txbxContent>
                </v:textbox>
              </v:shape>
            </w:pict>
          </mc:Fallback>
        </mc:AlternateContent>
      </w:r>
      <w:r>
        <w:rPr>
          <w:color w:val="auto"/>
          <w:sz w:val="24"/>
        </w:rPr>
        <mc:AlternateContent>
          <mc:Choice Requires="wps">
            <w:drawing>
              <wp:anchor distT="0" distB="0" distL="114300" distR="114300" simplePos="0" relativeHeight="251691008" behindDoc="0" locked="0" layoutInCell="1" allowOverlap="1">
                <wp:simplePos x="0" y="0"/>
                <wp:positionH relativeFrom="column">
                  <wp:posOffset>3180080</wp:posOffset>
                </wp:positionH>
                <wp:positionV relativeFrom="paragraph">
                  <wp:posOffset>2336165</wp:posOffset>
                </wp:positionV>
                <wp:extent cx="144145" cy="144145"/>
                <wp:effectExtent l="4445" t="4445" r="22860" b="22860"/>
                <wp:wrapNone/>
                <wp:docPr id="25" name="椭圆 25"/>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250.4pt;margin-top:183.95pt;height:11.35pt;width:11.35pt;z-index:251691008;mso-width-relative:page;mso-height-relative:page;" fillcolor="#FFFF00" filled="t" stroked="t" coordsize="21600,21600" o:gfxdata="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xepMqNgAAAALAQAADwAAAAAAAAABACAAAAAiAAAAZHJzL2Rvd25yZXYu&#10;eG1sUEsBAhQAFAAAAAgAh07iQIgOR9f7AQAAFwQAAA4AAAAAAAAAAQAgAAAAJw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94080" behindDoc="0" locked="0" layoutInCell="1" allowOverlap="1">
                <wp:simplePos x="0" y="0"/>
                <wp:positionH relativeFrom="column">
                  <wp:posOffset>3561080</wp:posOffset>
                </wp:positionH>
                <wp:positionV relativeFrom="paragraph">
                  <wp:posOffset>3079115</wp:posOffset>
                </wp:positionV>
                <wp:extent cx="626110" cy="276225"/>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626110"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4AD06C">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赵楼村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0.4pt;margin-top:242.45pt;height:21.75pt;width:49.3pt;z-index:251694080;mso-width-relative:page;mso-height-relative:page;" filled="f" stroked="f" coordsize="21600,21600" o:gfxdata="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13BqG3AAAAAsBAAAPAAAAAAAAAAEAIAAAACIAAABk&#10;cnMvZG93bnJldi54bWxQSwECFAAUAAAACACHTuJA20oiKTsCAABnBAAADgAAAAAAAAABACAAAAAr&#10;AQAAZHJzL2Uyb0RvYy54bWxQSwUGAAAAAAYABgBZAQAA2AUAAAAA&#10;">
                <v:fill on="f" focussize="0,0"/>
                <v:stroke on="f" weight="0.5pt"/>
                <v:imagedata o:title=""/>
                <o:lock v:ext="edit" aspectratio="f"/>
                <v:textbox>
                  <w:txbxContent>
                    <w:p w14:paraId="1A4AD06C">
                      <w:pPr>
                        <w:spacing w:line="240" w:lineRule="auto"/>
                        <w:jc w:val="both"/>
                        <w:rPr>
                          <w:rFonts w:hint="default" w:ascii="仿宋" w:hAnsi="仿宋" w:eastAsia="仿宋" w:cs="仿宋"/>
                          <w:b/>
                          <w:bCs/>
                          <w:color w:val="FFFF00"/>
                          <w:lang w:val="en-US" w:eastAsia="zh-CN"/>
                        </w:rPr>
                      </w:pPr>
                      <w:r>
                        <w:rPr>
                          <w:rFonts w:hint="eastAsia" w:ascii="仿宋" w:hAnsi="仿宋" w:eastAsia="仿宋" w:cs="仿宋"/>
                          <w:b/>
                          <w:bCs/>
                          <w:color w:val="FFFF00"/>
                          <w:lang w:val="en-US" w:eastAsia="zh-CN"/>
                        </w:rPr>
                        <w:t>赵楼村</w:t>
                      </w:r>
                    </w:p>
                  </w:txbxContent>
                </v:textbox>
              </v:shape>
            </w:pict>
          </mc:Fallback>
        </mc:AlternateContent>
      </w:r>
      <w:r>
        <w:rPr>
          <w:color w:val="auto"/>
          <w:sz w:val="24"/>
        </w:rPr>
        <mc:AlternateContent>
          <mc:Choice Requires="wps">
            <w:drawing>
              <wp:anchor distT="0" distB="0" distL="114300" distR="114300" simplePos="0" relativeHeight="251689984" behindDoc="0" locked="0" layoutInCell="1" allowOverlap="1">
                <wp:simplePos x="0" y="0"/>
                <wp:positionH relativeFrom="column">
                  <wp:posOffset>3538220</wp:posOffset>
                </wp:positionH>
                <wp:positionV relativeFrom="paragraph">
                  <wp:posOffset>3040380</wp:posOffset>
                </wp:positionV>
                <wp:extent cx="144145" cy="144145"/>
                <wp:effectExtent l="4445" t="4445" r="22860" b="22860"/>
                <wp:wrapNone/>
                <wp:docPr id="24" name="椭圆 24"/>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278.6pt;margin-top:239.4pt;height:11.35pt;width:11.35pt;z-index:251689984;mso-width-relative:page;mso-height-relative:page;" fillcolor="#FFFF00" filled="t" stroked="t" coordsize="21600,21600" o:gfxdata="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reXEJNgAAAALAQAADwAAAAAAAAABACAAAAAiAAAAZHJzL2Rvd25yZXYu&#10;eG1sUEsBAhQAFAAAAAgAh07iQM6P9+j7AQAAFwQAAA4AAAAAAAAAAQAgAAAAJwEAAGRycy9lMm9E&#10;b2MueG1sUEsFBgAAAAAGAAYAWQEAAJQFA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88960" behindDoc="0" locked="0" layoutInCell="1" allowOverlap="1">
                <wp:simplePos x="0" y="0"/>
                <wp:positionH relativeFrom="column">
                  <wp:posOffset>3281045</wp:posOffset>
                </wp:positionH>
                <wp:positionV relativeFrom="paragraph">
                  <wp:posOffset>4973955</wp:posOffset>
                </wp:positionV>
                <wp:extent cx="639445" cy="276225"/>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63944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782347">
                            <w:pPr>
                              <w:spacing w:line="240" w:lineRule="auto"/>
                              <w:jc w:val="center"/>
                              <w:rPr>
                                <w:rFonts w:hint="eastAsia" w:ascii="仿宋" w:hAnsi="仿宋" w:eastAsia="仿宋" w:cs="仿宋"/>
                                <w:b/>
                                <w:bCs/>
                                <w:color w:val="FFFF00"/>
                                <w:lang w:val="en-US" w:eastAsia="zh-CN"/>
                              </w:rPr>
                            </w:pPr>
                            <w:r>
                              <w:rPr>
                                <w:rFonts w:hint="eastAsia" w:ascii="仿宋" w:hAnsi="仿宋" w:eastAsia="仿宋" w:cs="仿宋"/>
                                <w:b/>
                                <w:bCs/>
                                <w:color w:val="FFFF00"/>
                                <w:lang w:val="en-US" w:eastAsia="zh-CN"/>
                              </w:rPr>
                              <w:t>黄大庄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8.35pt;margin-top:391.65pt;height:21.75pt;width:50.35pt;z-index:251688960;mso-width-relative:page;mso-height-relative:page;" filled="f" stroked="f" coordsize="21600,21600" o:gfxdata="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iqN2J3AAAAAsBAAAPAAAAAAAAAAEAIAAAACIAAABk&#10;cnMvZG93bnJldi54bWxQSwECFAAUAAAACACHTuJA5g5guTsCAABnBAAADgAAAAAAAAABACAAAAAr&#10;AQAAZHJzL2Uyb0RvYy54bWxQSwUGAAAAAAYABgBZAQAA2AUAAAAA&#10;">
                <v:fill on="f" focussize="0,0"/>
                <v:stroke on="f" weight="0.5pt"/>
                <v:imagedata o:title=""/>
                <o:lock v:ext="edit" aspectratio="f"/>
                <v:textbox>
                  <w:txbxContent>
                    <w:p w14:paraId="46782347">
                      <w:pPr>
                        <w:spacing w:line="240" w:lineRule="auto"/>
                        <w:jc w:val="center"/>
                        <w:rPr>
                          <w:rFonts w:hint="eastAsia" w:ascii="仿宋" w:hAnsi="仿宋" w:eastAsia="仿宋" w:cs="仿宋"/>
                          <w:b/>
                          <w:bCs/>
                          <w:color w:val="FFFF00"/>
                          <w:lang w:val="en-US" w:eastAsia="zh-CN"/>
                        </w:rPr>
                      </w:pPr>
                      <w:r>
                        <w:rPr>
                          <w:rFonts w:hint="eastAsia" w:ascii="仿宋" w:hAnsi="仿宋" w:eastAsia="仿宋" w:cs="仿宋"/>
                          <w:b/>
                          <w:bCs/>
                          <w:color w:val="FFFF00"/>
                          <w:lang w:val="en-US" w:eastAsia="zh-CN"/>
                        </w:rPr>
                        <w:t>黄大庄</w:t>
                      </w:r>
                    </w:p>
                  </w:txbxContent>
                </v:textbox>
              </v:shape>
            </w:pict>
          </mc:Fallback>
        </mc:AlternateContent>
      </w:r>
      <w:r>
        <w:rPr>
          <w:color w:val="auto"/>
        </w:rPr>
        <w:drawing>
          <wp:inline distT="0" distB="0" distL="114300" distR="114300">
            <wp:extent cx="7426960" cy="6083935"/>
            <wp:effectExtent l="0" t="0" r="2540" b="12065"/>
            <wp:docPr id="11" name="图片 1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
                    <pic:cNvPicPr>
                      <a:picLocks noChangeAspect="1"/>
                    </pic:cNvPicPr>
                  </pic:nvPicPr>
                  <pic:blipFill>
                    <a:blip r:embed="rId17"/>
                    <a:stretch>
                      <a:fillRect/>
                    </a:stretch>
                  </pic:blipFill>
                  <pic:spPr>
                    <a:xfrm>
                      <a:off x="0" y="0"/>
                      <a:ext cx="7426960" cy="6083935"/>
                    </a:xfrm>
                    <a:prstGeom prst="rect">
                      <a:avLst/>
                    </a:prstGeom>
                  </pic:spPr>
                </pic:pic>
              </a:graphicData>
            </a:graphic>
          </wp:inline>
        </w:drawing>
      </w:r>
      <w:r>
        <w:rPr>
          <w:color w:val="auto"/>
          <w:sz w:val="24"/>
        </w:rPr>
        <mc:AlternateContent>
          <mc:Choice Requires="wps">
            <w:drawing>
              <wp:anchor distT="0" distB="0" distL="114300" distR="114300" simplePos="0" relativeHeight="251687936" behindDoc="0" locked="0" layoutInCell="1" allowOverlap="1">
                <wp:simplePos x="0" y="0"/>
                <wp:positionH relativeFrom="column">
                  <wp:posOffset>3275965</wp:posOffset>
                </wp:positionH>
                <wp:positionV relativeFrom="paragraph">
                  <wp:posOffset>4968875</wp:posOffset>
                </wp:positionV>
                <wp:extent cx="144145" cy="144145"/>
                <wp:effectExtent l="4445" t="4445" r="22860" b="22860"/>
                <wp:wrapNone/>
                <wp:docPr id="22" name="椭圆 22"/>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257.95pt;margin-top:391.25pt;height:11.35pt;width:11.35pt;z-index:251687936;mso-width-relative:page;mso-height-relative:page;" fillcolor="#FFFF00" filled="t" stroked="t" coordsize="21600,21600" o:gfxdata="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F+5Ph1wAAAAsBAAAPAAAAAAAAAAEAIAAAACIAAABkcnMvZG93bnJldi54&#10;bWxQSwECFAAUAAAACACHTuJAWohUafsBAAAXBAAADgAAAAAAAAABACAAAAAmAQAAZHJzL2Uyb0Rv&#10;Yy54bWxQSwUGAAAAAAYABgBZAQAAkwU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84864" behindDoc="0" locked="0" layoutInCell="1" allowOverlap="1">
                <wp:simplePos x="0" y="0"/>
                <wp:positionH relativeFrom="column">
                  <wp:posOffset>4318635</wp:posOffset>
                </wp:positionH>
                <wp:positionV relativeFrom="paragraph">
                  <wp:posOffset>626745</wp:posOffset>
                </wp:positionV>
                <wp:extent cx="851535" cy="243205"/>
                <wp:effectExtent l="0" t="0" r="0" b="0"/>
                <wp:wrapNone/>
                <wp:docPr id="19" name="文本框 19"/>
                <wp:cNvGraphicFramePr/>
                <a:graphic xmlns:a="http://schemas.openxmlformats.org/drawingml/2006/main">
                  <a:graphicData uri="http://schemas.microsoft.com/office/word/2010/wordprocessingShape">
                    <wps:wsp>
                      <wps:cNvSpPr txBox="1"/>
                      <wps:spPr>
                        <a:xfrm>
                          <a:off x="4671060" y="1358900"/>
                          <a:ext cx="851535" cy="2432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8A835B">
                            <w:pPr>
                              <w:spacing w:line="240" w:lineRule="auto"/>
                              <w:jc w:val="center"/>
                              <w:rPr>
                                <w:rFonts w:hint="default" w:eastAsia="宋体"/>
                                <w:color w:val="F79646" w:themeColor="accent6"/>
                                <w:lang w:val="en-US"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5000m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0.05pt;margin-top:49.35pt;height:19.15pt;width:67.05pt;z-index:251684864;mso-width-relative:page;mso-height-relative:page;" filled="f" stroked="f" coordsize="21600,21600" o:gfxdata="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IjyLVbaAAAACgEAAA8AAAAAAAAA&#10;AQAgAAAAIgAAAGRycy9kb3ducmV2LnhtbFBLAQIUABQAAAAIAIdO4kBlmdLzSAIAAHMEAAAOAAAA&#10;AAAAAAEAIAAAACkBAABkcnMvZTJvRG9jLnhtbFBLBQYAAAAABgAGAFkBAADjBQAAAAA=&#10;">
                <v:fill on="f" focussize="0,0"/>
                <v:stroke on="f" weight="0.5pt"/>
                <v:imagedata o:title=""/>
                <o:lock v:ext="edit" aspectratio="f"/>
                <v:textbox>
                  <w:txbxContent>
                    <w:p w14:paraId="578A835B">
                      <w:pPr>
                        <w:spacing w:line="240" w:lineRule="auto"/>
                        <w:jc w:val="center"/>
                        <w:rPr>
                          <w:rFonts w:hint="default" w:eastAsia="宋体"/>
                          <w:color w:val="F79646" w:themeColor="accent6"/>
                          <w:lang w:val="en-US" w:eastAsia="zh-CN"/>
                          <w14:textFill>
                            <w14:solidFill>
                              <w14:schemeClr w14:val="accent6"/>
                            </w14:solidFill>
                          </w14:textFill>
                        </w:rPr>
                      </w:pPr>
                      <w:r>
                        <w:rPr>
                          <w:rFonts w:hint="eastAsia"/>
                          <w:color w:val="F79646" w:themeColor="accent6"/>
                          <w:lang w:val="en-US" w:eastAsia="zh-CN"/>
                          <w14:textFill>
                            <w14:solidFill>
                              <w14:schemeClr w14:val="accent6"/>
                            </w14:solidFill>
                          </w14:textFill>
                        </w:rPr>
                        <w:t>5000m</w:t>
                      </w:r>
                    </w:p>
                  </w:txbxContent>
                </v:textbox>
              </v:shape>
            </w:pict>
          </mc:Fallback>
        </mc:AlternateContent>
      </w:r>
      <w:r>
        <w:rPr>
          <w:color w:val="auto"/>
          <w:sz w:val="24"/>
        </w:rPr>
        <mc:AlternateContent>
          <mc:Choice Requires="wps">
            <w:drawing>
              <wp:anchor distT="0" distB="0" distL="114300" distR="114300" simplePos="0" relativeHeight="251676672" behindDoc="0" locked="0" layoutInCell="1" allowOverlap="1">
                <wp:simplePos x="0" y="0"/>
                <wp:positionH relativeFrom="column">
                  <wp:posOffset>1329055</wp:posOffset>
                </wp:positionH>
                <wp:positionV relativeFrom="paragraph">
                  <wp:posOffset>1579245</wp:posOffset>
                </wp:positionV>
                <wp:extent cx="633730" cy="247015"/>
                <wp:effectExtent l="0" t="0" r="0" b="0"/>
                <wp:wrapNone/>
                <wp:docPr id="77" name="文本框 77"/>
                <wp:cNvGraphicFramePr/>
                <a:graphic xmlns:a="http://schemas.openxmlformats.org/drawingml/2006/main">
                  <a:graphicData uri="http://schemas.microsoft.com/office/word/2010/wordprocessingShape">
                    <wps:wsp>
                      <wps:cNvSpPr txBox="1"/>
                      <wps:spPr>
                        <a:xfrm>
                          <a:off x="0" y="0"/>
                          <a:ext cx="633730" cy="2470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C85307">
                            <w:pPr>
                              <w:rPr>
                                <w:rFonts w:hint="default" w:ascii="Times New Roman" w:hAnsi="Times New Roman" w:eastAsia="宋体" w:cs="Times New Roman"/>
                                <w:b/>
                                <w:bCs/>
                                <w:sz w:val="22"/>
                                <w:szCs w:val="21"/>
                                <w:lang w:val="en-US" w:eastAsia="zh-CN"/>
                              </w:rPr>
                            </w:pPr>
                            <w:r>
                              <w:rPr>
                                <w:rFonts w:hint="default" w:ascii="Times New Roman" w:hAnsi="Times New Roman" w:eastAsia="宋体" w:cs="Times New Roman"/>
                                <w:b/>
                                <w:bCs/>
                                <w:sz w:val="22"/>
                                <w:szCs w:val="21"/>
                                <w:lang w:val="en-US" w:eastAsia="zh-CN"/>
                              </w:rPr>
                              <w:t>200</w:t>
                            </w:r>
                            <w:r>
                              <w:rPr>
                                <w:rFonts w:hint="eastAsia" w:ascii="Times New Roman" w:hAnsi="Times New Roman" w:eastAsia="宋体" w:cs="Times New Roman"/>
                                <w:b/>
                                <w:bCs/>
                                <w:sz w:val="22"/>
                                <w:szCs w:val="21"/>
                                <w:lang w:val="en-US" w:eastAsia="zh-CN"/>
                              </w:rPr>
                              <w:t>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4.65pt;margin-top:124.35pt;height:19.45pt;width:49.9pt;z-index:251676672;mso-width-relative:page;mso-height-relative:page;" filled="f" stroked="f" coordsize="21600,21600" o:gfxdata="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&#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08Aw33AAAAAsBAAAPAAAAAAAAAAEAIAAAACIAAABk&#10;cnMvZG93bnJldi54bWxQSwECFAAUAAAACACHTuJAq+zPGjsCAABnBAAADgAAAAAAAAABACAAAAAr&#10;AQAAZHJzL2Uyb0RvYy54bWxQSwUGAAAAAAYABgBZAQAA2AUAAAAA&#10;">
                <v:fill on="f" focussize="0,0"/>
                <v:stroke on="f" weight="0.5pt"/>
                <v:imagedata o:title=""/>
                <o:lock v:ext="edit" aspectratio="f"/>
                <v:textbox>
                  <w:txbxContent>
                    <w:p w14:paraId="34C85307">
                      <w:pPr>
                        <w:rPr>
                          <w:rFonts w:hint="default" w:ascii="Times New Roman" w:hAnsi="Times New Roman" w:eastAsia="宋体" w:cs="Times New Roman"/>
                          <w:b/>
                          <w:bCs/>
                          <w:sz w:val="22"/>
                          <w:szCs w:val="21"/>
                          <w:lang w:val="en-US" w:eastAsia="zh-CN"/>
                        </w:rPr>
                      </w:pPr>
                      <w:r>
                        <w:rPr>
                          <w:rFonts w:hint="default" w:ascii="Times New Roman" w:hAnsi="Times New Roman" w:eastAsia="宋体" w:cs="Times New Roman"/>
                          <w:b/>
                          <w:bCs/>
                          <w:sz w:val="22"/>
                          <w:szCs w:val="21"/>
                          <w:lang w:val="en-US" w:eastAsia="zh-CN"/>
                        </w:rPr>
                        <w:t>200</w:t>
                      </w:r>
                      <w:r>
                        <w:rPr>
                          <w:rFonts w:hint="eastAsia" w:ascii="Times New Roman" w:hAnsi="Times New Roman" w:eastAsia="宋体" w:cs="Times New Roman"/>
                          <w:b/>
                          <w:bCs/>
                          <w:sz w:val="22"/>
                          <w:szCs w:val="21"/>
                          <w:lang w:val="en-US" w:eastAsia="zh-CN"/>
                        </w:rPr>
                        <w:t>米</w:t>
                      </w:r>
                    </w:p>
                  </w:txbxContent>
                </v:textbox>
              </v:shape>
            </w:pict>
          </mc:Fallback>
        </mc:AlternateContent>
      </w:r>
      <w:r>
        <w:rPr>
          <w:color w:val="auto"/>
          <w:sz w:val="24"/>
        </w:rPr>
        <mc:AlternateContent>
          <mc:Choice Requires="wps">
            <w:drawing>
              <wp:anchor distT="0" distB="0" distL="114300" distR="114300" simplePos="0" relativeHeight="251678720" behindDoc="0" locked="0" layoutInCell="1" allowOverlap="1">
                <wp:simplePos x="0" y="0"/>
                <wp:positionH relativeFrom="column">
                  <wp:posOffset>1859280</wp:posOffset>
                </wp:positionH>
                <wp:positionV relativeFrom="paragraph">
                  <wp:posOffset>1716405</wp:posOffset>
                </wp:positionV>
                <wp:extent cx="635" cy="144145"/>
                <wp:effectExtent l="12700" t="0" r="24765" b="8255"/>
                <wp:wrapNone/>
                <wp:docPr id="76" name="直接连接符 76"/>
                <wp:cNvGraphicFramePr/>
                <a:graphic xmlns:a="http://schemas.openxmlformats.org/drawingml/2006/main">
                  <a:graphicData uri="http://schemas.microsoft.com/office/word/2010/wordprocessingShape">
                    <wps:wsp>
                      <wps:cNvCnPr/>
                      <wps:spPr>
                        <a:xfrm>
                          <a:off x="0" y="0"/>
                          <a:ext cx="635" cy="144145"/>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146.4pt;margin-top:135.15pt;height:11.35pt;width:0.05pt;z-index:251678720;mso-width-relative:page;mso-height-relative:page;" filled="f" stroked="t" coordsize="21600,21600" o:gfxdata="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WRlkfYAAAACwEAAA8AAAAA&#10;AAAAAQAgAAAAIgAAAGRycy9kb3ducmV2LnhtbFBLAQIUABQAAAAIAIdO4kDtZMtN2wEAAJ4DAAAO&#10;AAAAAAAAAAEAIAAAACcBAABkcnMvZTJvRG9jLnhtbFBLBQYAAAAABgAGAFkBAAB0BQAAAAA=&#10;">
                <v:fill on="f" focussize="0,0"/>
                <v:stroke weight="2pt" color="#000000 [3213]" joinstyle="round"/>
                <v:imagedata o:title=""/>
                <o:lock v:ext="edit" aspectratio="f"/>
              </v:line>
            </w:pict>
          </mc:Fallback>
        </mc:AlternateContent>
      </w:r>
      <w:r>
        <w:rPr>
          <w:color w:val="auto"/>
          <w:sz w:val="24"/>
        </w:rPr>
        <mc:AlternateContent>
          <mc:Choice Requires="wps">
            <w:drawing>
              <wp:anchor distT="0" distB="0" distL="114300" distR="114300" simplePos="0" relativeHeight="251677696" behindDoc="0" locked="0" layoutInCell="1" allowOverlap="1">
                <wp:simplePos x="0" y="0"/>
                <wp:positionH relativeFrom="column">
                  <wp:posOffset>1347470</wp:posOffset>
                </wp:positionH>
                <wp:positionV relativeFrom="paragraph">
                  <wp:posOffset>1716405</wp:posOffset>
                </wp:positionV>
                <wp:extent cx="635" cy="144145"/>
                <wp:effectExtent l="12700" t="0" r="24765" b="8255"/>
                <wp:wrapNone/>
                <wp:docPr id="15" name="直接连接符 15"/>
                <wp:cNvGraphicFramePr/>
                <a:graphic xmlns:a="http://schemas.openxmlformats.org/drawingml/2006/main">
                  <a:graphicData uri="http://schemas.microsoft.com/office/word/2010/wordprocessingShape">
                    <wps:wsp>
                      <wps:cNvCnPr/>
                      <wps:spPr>
                        <a:xfrm>
                          <a:off x="0" y="0"/>
                          <a:ext cx="635" cy="144145"/>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106.1pt;margin-top:135.15pt;height:11.35pt;width:0.05pt;z-index:251677696;mso-width-relative:page;mso-height-relative:page;" filled="f" stroked="t" coordsize="21600,21600" o:gfxdata="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Gsa5/DYAAAACwEAAA8AAAAA&#10;AAAAAQAgAAAAIgAAAGRycy9kb3ducmV2LnhtbFBLAQIUABQAAAAIAIdO4kBf1CiM2wEAAJ4DAAAO&#10;AAAAAAAAAAEAIAAAACcBAABkcnMvZTJvRG9jLnhtbFBLBQYAAAAABgAGAFkBAAB0BQAAAAA=&#10;">
                <v:fill on="f" focussize="0,0"/>
                <v:stroke weight="2pt" color="#000000 [3213]" joinstyle="round"/>
                <v:imagedata o:title=""/>
                <o:lock v:ext="edit" aspectratio="f"/>
              </v:line>
            </w:pict>
          </mc:Fallback>
        </mc:AlternateContent>
      </w:r>
      <w:r>
        <w:rPr>
          <w:color w:val="auto"/>
          <w:sz w:val="24"/>
        </w:rPr>
        <mc:AlternateContent>
          <mc:Choice Requires="wps">
            <w:drawing>
              <wp:anchor distT="0" distB="0" distL="114300" distR="114300" simplePos="0" relativeHeight="251675648" behindDoc="0" locked="0" layoutInCell="1" allowOverlap="1">
                <wp:simplePos x="0" y="0"/>
                <wp:positionH relativeFrom="column">
                  <wp:posOffset>1336675</wp:posOffset>
                </wp:positionH>
                <wp:positionV relativeFrom="paragraph">
                  <wp:posOffset>1875790</wp:posOffset>
                </wp:positionV>
                <wp:extent cx="539750" cy="635"/>
                <wp:effectExtent l="0" t="13970" r="12700" b="23495"/>
                <wp:wrapNone/>
                <wp:docPr id="75" name="直接连接符 75"/>
                <wp:cNvGraphicFramePr/>
                <a:graphic xmlns:a="http://schemas.openxmlformats.org/drawingml/2006/main">
                  <a:graphicData uri="http://schemas.microsoft.com/office/word/2010/wordprocessingShape">
                    <wps:wsp>
                      <wps:cNvCnPr/>
                      <wps:spPr>
                        <a:xfrm rot="10800000">
                          <a:off x="0" y="0"/>
                          <a:ext cx="539750" cy="635"/>
                        </a:xfrm>
                        <a:prstGeom prst="line">
                          <a:avLst/>
                        </a:prstGeom>
                        <a:ln w="28575">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105.25pt;margin-top:147.7pt;height:0.05pt;width:42.5pt;rotation:11796480f;z-index:251675648;mso-width-relative:page;mso-height-relative:page;" filled="f" stroked="t" coordsize="21600,21600" o:gfxdata="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CPvnW1gAA&#10;AAsBAAAPAAAAAAAAAAEAIAAAACIAAABkcnMvZG93bnJldi54bWxQSwECFAAUAAAACACHTuJAJW2j&#10;xucBAACtAwAADgAAAAAAAAABACAAAAAlAQAAZHJzL2Uyb0RvYy54bWxQSwUGAAAAAAYABgBZAQAA&#10;fgUAAAAA&#10;">
                <v:fill on="f" focussize="0,0"/>
                <v:stroke weight="2.25pt" color="#000000 [3213]" joinstyle="round"/>
                <v:imagedata o:title=""/>
                <o:lock v:ext="edit" aspectratio="f"/>
              </v:line>
            </w:pict>
          </mc:Fallback>
        </mc:AlternateContent>
      </w:r>
      <w:r>
        <w:rPr>
          <w:color w:val="auto"/>
        </w:rPr>
        <w:drawing>
          <wp:anchor distT="0" distB="0" distL="114300" distR="114300" simplePos="0" relativeHeight="251663360" behindDoc="0" locked="0" layoutInCell="1" allowOverlap="1">
            <wp:simplePos x="0" y="0"/>
            <wp:positionH relativeFrom="column">
              <wp:posOffset>1153795</wp:posOffset>
            </wp:positionH>
            <wp:positionV relativeFrom="paragraph">
              <wp:posOffset>174625</wp:posOffset>
            </wp:positionV>
            <wp:extent cx="904875" cy="1220470"/>
            <wp:effectExtent l="0" t="0" r="0" b="0"/>
            <wp:wrapNone/>
            <wp:docPr id="127" name="图片 127" descr="风向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风向标"/>
                    <pic:cNvPicPr>
                      <a:picLocks noChangeAspect="1"/>
                    </pic:cNvPicPr>
                  </pic:nvPicPr>
                  <pic:blipFill>
                    <a:blip r:embed="rId18"/>
                    <a:srcRect l="8090" t="1916" r="5231" b="6034"/>
                    <a:stretch>
                      <a:fillRect/>
                    </a:stretch>
                  </pic:blipFill>
                  <pic:spPr>
                    <a:xfrm>
                      <a:off x="0" y="0"/>
                      <a:ext cx="904875" cy="1220470"/>
                    </a:xfrm>
                    <a:prstGeom prst="rect">
                      <a:avLst/>
                    </a:prstGeom>
                  </pic:spPr>
                </pic:pic>
              </a:graphicData>
            </a:graphic>
          </wp:anchor>
        </w:drawing>
      </w:r>
      <w:r>
        <w:rPr>
          <w:color w:val="auto"/>
          <w:sz w:val="20"/>
        </w:rPr>
        <mc:AlternateContent>
          <mc:Choice Requires="wps">
            <w:drawing>
              <wp:anchor distT="0" distB="0" distL="114300" distR="114300" simplePos="0" relativeHeight="251674624" behindDoc="0" locked="0" layoutInCell="1" allowOverlap="1">
                <wp:simplePos x="0" y="0"/>
                <wp:positionH relativeFrom="column">
                  <wp:posOffset>1019810</wp:posOffset>
                </wp:positionH>
                <wp:positionV relativeFrom="paragraph">
                  <wp:posOffset>81280</wp:posOffset>
                </wp:positionV>
                <wp:extent cx="1191895" cy="3192780"/>
                <wp:effectExtent l="5080" t="4445" r="22225" b="22225"/>
                <wp:wrapNone/>
                <wp:docPr id="12" name="矩形 12"/>
                <wp:cNvGraphicFramePr/>
                <a:graphic xmlns:a="http://schemas.openxmlformats.org/drawingml/2006/main">
                  <a:graphicData uri="http://schemas.microsoft.com/office/word/2010/wordprocessingShape">
                    <wps:wsp>
                      <wps:cNvSpPr/>
                      <wps:spPr>
                        <a:xfrm>
                          <a:off x="0" y="0"/>
                          <a:ext cx="1191895" cy="3192780"/>
                        </a:xfrm>
                        <a:prstGeom prst="rect">
                          <a:avLst/>
                        </a:prstGeom>
                        <a:solidFill>
                          <a:srgbClr val="FFFFFF">
                            <a:alpha val="20000"/>
                          </a:srgbClr>
                        </a:solidFill>
                        <a:ln w="9525" cap="flat" cmpd="sng">
                          <a:solidFill>
                            <a:srgbClr val="000000"/>
                          </a:solidFill>
                          <a:prstDash val="solid"/>
                          <a:miter/>
                          <a:headEnd type="none" w="med" len="med"/>
                          <a:tailEnd type="none" w="sm" len="med"/>
                        </a:ln>
                      </wps:spPr>
                      <wps:bodyPr upright="1"/>
                    </wps:wsp>
                  </a:graphicData>
                </a:graphic>
              </wp:anchor>
            </w:drawing>
          </mc:Choice>
          <mc:Fallback>
            <w:pict>
              <v:rect id="_x0000_s1026" o:spid="_x0000_s1026" o:spt="1" style="position:absolute;left:0pt;margin-left:80.3pt;margin-top:6.4pt;height:251.4pt;width:93.85pt;z-index:251674624;mso-width-relative:page;mso-height-relative:page;" fillcolor="#FFFFFF" filled="t" stroked="t" coordsize="21600,21600" o:gfxdata="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Ut+KTZAAAACgEAAA8AAAAAAAAA&#10;AQAgAAAAIgAAAGRycy9kb3ducmV2LnhtbFBLAQIUABQAAAAIAIdO4kCuRm5fEAIAAEEEAAAOAAAA&#10;AAAAAAEAIAAAACgBAABkcnMvZTJvRG9jLnhtbFBLBQYAAAAABgAGAFkBAACqBQAAAAA=&#10;">
                <v:fill on="t" opacity="13107f" focussize="0,0"/>
                <v:stroke color="#000000" joinstyle="miter" endarrowwidth="narrow"/>
                <v:imagedata o:title=""/>
                <o:lock v:ext="edit" aspectratio="f"/>
              </v:rect>
            </w:pict>
          </mc:Fallback>
        </mc:AlternateContent>
      </w:r>
      <w:r>
        <w:rPr>
          <w:color w:val="auto"/>
          <w:sz w:val="24"/>
        </w:rPr>
        <mc:AlternateContent>
          <mc:Choice Requires="wps">
            <w:drawing>
              <wp:anchor distT="0" distB="0" distL="114300" distR="114300" simplePos="0" relativeHeight="251683840" behindDoc="0" locked="0" layoutInCell="1" allowOverlap="1">
                <wp:simplePos x="0" y="0"/>
                <wp:positionH relativeFrom="column">
                  <wp:posOffset>2345690</wp:posOffset>
                </wp:positionH>
                <wp:positionV relativeFrom="paragraph">
                  <wp:posOffset>881380</wp:posOffset>
                </wp:positionV>
                <wp:extent cx="4831080" cy="4598035"/>
                <wp:effectExtent l="9525" t="9525" r="17145" b="21590"/>
                <wp:wrapNone/>
                <wp:docPr id="18" name="矩形 18"/>
                <wp:cNvGraphicFramePr/>
                <a:graphic xmlns:a="http://schemas.openxmlformats.org/drawingml/2006/main">
                  <a:graphicData uri="http://schemas.microsoft.com/office/word/2010/wordprocessingShape">
                    <wps:wsp>
                      <wps:cNvSpPr/>
                      <wps:spPr>
                        <a:xfrm>
                          <a:off x="3806825" y="2442845"/>
                          <a:ext cx="4831080" cy="4598035"/>
                        </a:xfrm>
                        <a:prstGeom prst="rect">
                          <a:avLst/>
                        </a:prstGeom>
                        <a:noFill/>
                        <a:ln w="19050">
                          <a:solidFill>
                            <a:schemeClr val="accent6"/>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4.7pt;margin-top:69.4pt;height:362.05pt;width:380.4pt;z-index:251683840;v-text-anchor:middle;mso-width-relative:page;mso-height-relative:page;" filled="f" stroked="t" coordsize="21600,21600" o:gfxdata="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GETgSzbAAAADAEAAA8AAAAAAAAAAQAgAAAAIgAAAGRycy9kb3du&#10;cmV2LnhtbFBLAQIUABQAAAAIAIdO4kBNjXPvbgIAAMMEAAAOAAAAAAAAAAEAIAAAACoBAABkcnMv&#10;ZTJvRG9jLnhtbFBLBQYAAAAABgAGAFkBAAAKBgAAAAA=&#10;">
                <v:fill on="f" focussize="0,0"/>
                <v:stroke weight="1.5pt" color="#F79646 [3209]" joinstyle="round"/>
                <v:imagedata o:title=""/>
                <o:lock v:ext="edit" aspectratio="f"/>
              </v:rect>
            </w:pict>
          </mc:Fallback>
        </mc:AlternateContent>
      </w:r>
      <w:r>
        <w:rPr>
          <w:color w:val="auto"/>
          <w:sz w:val="24"/>
        </w:rPr>
        <mc:AlternateContent>
          <mc:Choice Requires="wps">
            <w:drawing>
              <wp:anchor distT="0" distB="0" distL="114300" distR="114300" simplePos="0" relativeHeight="251681792" behindDoc="0" locked="0" layoutInCell="1" allowOverlap="1">
                <wp:simplePos x="0" y="0"/>
                <wp:positionH relativeFrom="column">
                  <wp:posOffset>1120140</wp:posOffset>
                </wp:positionH>
                <wp:positionV relativeFrom="paragraph">
                  <wp:posOffset>2602865</wp:posOffset>
                </wp:positionV>
                <wp:extent cx="144145" cy="144145"/>
                <wp:effectExtent l="4445" t="4445" r="22860" b="22860"/>
                <wp:wrapNone/>
                <wp:docPr id="80" name="椭圆 80"/>
                <wp:cNvGraphicFramePr/>
                <a:graphic xmlns:a="http://schemas.openxmlformats.org/drawingml/2006/main">
                  <a:graphicData uri="http://schemas.microsoft.com/office/word/2010/wordprocessingShape">
                    <wps:wsp>
                      <wps:cNvSpPr/>
                      <wps:spPr>
                        <a:xfrm>
                          <a:off x="0" y="0"/>
                          <a:ext cx="144145" cy="144145"/>
                        </a:xfrm>
                        <a:prstGeom prst="ellipse">
                          <a:avLst/>
                        </a:prstGeom>
                        <a:solidFill>
                          <a:srgbClr val="FFFF00"/>
                        </a:solidFill>
                        <a:ln w="3175" cap="flat" cmpd="sng">
                          <a:solidFill>
                            <a:srgbClr val="000000"/>
                          </a:solidFill>
                          <a:prstDash val="solid"/>
                          <a:headEnd type="none" w="med" len="med"/>
                          <a:tailEnd type="none" w="sm" len="med"/>
                        </a:ln>
                      </wps:spPr>
                      <wps:bodyPr upright="1"/>
                    </wps:wsp>
                  </a:graphicData>
                </a:graphic>
              </wp:anchor>
            </w:drawing>
          </mc:Choice>
          <mc:Fallback>
            <w:pict>
              <v:shape id="_x0000_s1026" o:spid="_x0000_s1026" o:spt="3" type="#_x0000_t3" style="position:absolute;left:0pt;margin-left:88.2pt;margin-top:204.95pt;height:11.35pt;width:11.35pt;z-index:251681792;mso-width-relative:page;mso-height-relative:page;" fillcolor="#FFFF00" filled="t" stroked="t" coordsize="21600,21600" o:gfxdata="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OoykmXWAAAACwEAAA8AAAAAAAAAAQAgAAAAIgAAAGRycy9kb3ducmV2Lnht&#10;bFBLAQIUABQAAAAIAIdO4kB5kGDV+wEAABcEAAAOAAAAAAAAAAEAIAAAACUBAABkcnMvZTJvRG9j&#10;LnhtbFBLBQYAAAAABgAGAFkBAACSBQAAAAA=&#10;">
                <v:fill on="t" focussize="0,0"/>
                <v:stroke weight="0.25pt" color="#000000" joinstyle="round" endarrowwidth="narrow"/>
                <v:imagedata o:title=""/>
                <o:lock v:ext="edit" aspectratio="f"/>
              </v:shape>
            </w:pict>
          </mc:Fallback>
        </mc:AlternateContent>
      </w:r>
      <w:r>
        <w:rPr>
          <w:color w:val="auto"/>
          <w:sz w:val="24"/>
        </w:rPr>
        <mc:AlternateContent>
          <mc:Choice Requires="wps">
            <w:drawing>
              <wp:anchor distT="0" distB="0" distL="114300" distR="114300" simplePos="0" relativeHeight="251680768" behindDoc="0" locked="0" layoutInCell="1" allowOverlap="1">
                <wp:simplePos x="0" y="0"/>
                <wp:positionH relativeFrom="column">
                  <wp:posOffset>1117600</wp:posOffset>
                </wp:positionH>
                <wp:positionV relativeFrom="paragraph">
                  <wp:posOffset>2322195</wp:posOffset>
                </wp:positionV>
                <wp:extent cx="158750" cy="120650"/>
                <wp:effectExtent l="6350" t="6350" r="6350" b="6350"/>
                <wp:wrapNone/>
                <wp:docPr id="79" name="矩形 79"/>
                <wp:cNvGraphicFramePr/>
                <a:graphic xmlns:a="http://schemas.openxmlformats.org/drawingml/2006/main">
                  <a:graphicData uri="http://schemas.microsoft.com/office/word/2010/wordprocessingShape">
                    <wps:wsp>
                      <wps:cNvSpPr/>
                      <wps:spPr>
                        <a:xfrm>
                          <a:off x="0" y="0"/>
                          <a:ext cx="158750" cy="12065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8pt;margin-top:182.85pt;height:9.5pt;width:12.5pt;z-index:251680768;v-text-anchor:middle;mso-width-relative:page;mso-height-relative:page;" filled="f" stroked="t" coordsize="21600,21600" o:gfxdata="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T9P15&#10;1gAAAAsBAAAPAAAAAAAAAAEAIAAAACIAAABkcnMvZG93bnJldi54bWxQSwECFAAUAAAACACHTuJA&#10;euBtcVwCAAC1BAAADgAAAAAAAAABACAAAAAlAQAAZHJzL2Uyb0RvYy54bWxQSwUGAAAAAAYABgBZ&#10;AQAA8wUAAAAA&#10;">
                <v:fill on="f" focussize="0,0"/>
                <v:stroke weight="1pt" color="#FF0000 [2404]" joinstyle="round"/>
                <v:imagedata o:title=""/>
                <o:lock v:ext="edit" aspectratio="f"/>
              </v:rect>
            </w:pict>
          </mc:Fallback>
        </mc:AlternateContent>
      </w:r>
      <w:r>
        <w:rPr>
          <w:color w:val="auto"/>
          <w:sz w:val="24"/>
        </w:rPr>
        <mc:AlternateContent>
          <mc:Choice Requires="wps">
            <w:drawing>
              <wp:anchor distT="0" distB="0" distL="114300" distR="114300" simplePos="0" relativeHeight="251682816" behindDoc="0" locked="0" layoutInCell="1" allowOverlap="1">
                <wp:simplePos x="0" y="0"/>
                <wp:positionH relativeFrom="column">
                  <wp:posOffset>1117600</wp:posOffset>
                </wp:positionH>
                <wp:positionV relativeFrom="paragraph">
                  <wp:posOffset>2919095</wp:posOffset>
                </wp:positionV>
                <wp:extent cx="158750" cy="120650"/>
                <wp:effectExtent l="6350" t="6350" r="6350" b="6350"/>
                <wp:wrapNone/>
                <wp:docPr id="81" name="矩形 81"/>
                <wp:cNvGraphicFramePr/>
                <a:graphic xmlns:a="http://schemas.openxmlformats.org/drawingml/2006/main">
                  <a:graphicData uri="http://schemas.microsoft.com/office/word/2010/wordprocessingShape">
                    <wps:wsp>
                      <wps:cNvSpPr/>
                      <wps:spPr>
                        <a:xfrm>
                          <a:off x="0" y="0"/>
                          <a:ext cx="158750" cy="120650"/>
                        </a:xfrm>
                        <a:prstGeom prst="rect">
                          <a:avLst/>
                        </a:prstGeom>
                        <a:noFill/>
                        <a:ln w="12700">
                          <a:solidFill>
                            <a:schemeClr val="accent6"/>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8pt;margin-top:229.85pt;height:9.5pt;width:12.5pt;z-index:251682816;v-text-anchor:middle;mso-width-relative:page;mso-height-relative:page;" filled="f" stroked="t" coordsize="21600,21600" o:gfxdata="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erabD2wAAAAsBAAAPAAAAAAAAAAEAIAAAACIAAABkcnMvZG93bnJldi54bWxQSwECFAAUAAAA&#10;CACHTuJAM9G3GV0CAAC1BAAADgAAAAAAAAABACAAAAAqAQAAZHJzL2Uyb0RvYy54bWxQSwUGAAAA&#10;AAYABgBZAQAA+QUAAAAA&#10;">
                <v:fill on="f" focussize="0,0"/>
                <v:stroke weight="1pt" color="#F79646 [3209]" joinstyle="round"/>
                <v:imagedata o:title=""/>
                <o:lock v:ext="edit" aspectratio="f"/>
              </v:rect>
            </w:pict>
          </mc:Fallback>
        </mc:AlternateContent>
      </w:r>
      <w:r>
        <w:rPr>
          <w:color w:val="auto"/>
          <w:sz w:val="24"/>
        </w:rPr>
        <mc:AlternateContent>
          <mc:Choice Requires="wps">
            <w:drawing>
              <wp:anchor distT="0" distB="0" distL="114300" distR="114300" simplePos="0" relativeHeight="251679744" behindDoc="0" locked="0" layoutInCell="1" allowOverlap="1">
                <wp:simplePos x="0" y="0"/>
                <wp:positionH relativeFrom="column">
                  <wp:posOffset>1087120</wp:posOffset>
                </wp:positionH>
                <wp:positionV relativeFrom="paragraph">
                  <wp:posOffset>1979930</wp:posOffset>
                </wp:positionV>
                <wp:extent cx="1155700" cy="1320800"/>
                <wp:effectExtent l="0" t="0" r="0" b="0"/>
                <wp:wrapNone/>
                <wp:docPr id="78" name="文本框 78"/>
                <wp:cNvGraphicFramePr/>
                <a:graphic xmlns:a="http://schemas.openxmlformats.org/drawingml/2006/main">
                  <a:graphicData uri="http://schemas.microsoft.com/office/word/2010/wordprocessingShape">
                    <wps:wsp>
                      <wps:cNvSpPr txBox="1"/>
                      <wps:spPr>
                        <a:xfrm>
                          <a:off x="0" y="0"/>
                          <a:ext cx="1155700" cy="1320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7FD5E4">
                            <w:pPr>
                              <w:jc w:val="center"/>
                              <w:rPr>
                                <w:rFonts w:hint="eastAsia" w:eastAsia="宋体"/>
                                <w:b/>
                                <w:bCs/>
                                <w:color w:val="FFFFFF" w:themeColor="background1"/>
                                <w:sz w:val="22"/>
                                <w:szCs w:val="28"/>
                                <w:lang w:val="en-US" w:eastAsia="zh-CN"/>
                                <w14:textFill>
                                  <w14:solidFill>
                                    <w14:schemeClr w14:val="bg1"/>
                                  </w14:solidFill>
                                </w14:textFill>
                              </w:rPr>
                            </w:pPr>
                            <w:r>
                              <w:rPr>
                                <w:rFonts w:hint="eastAsia" w:eastAsia="宋体"/>
                                <w:b/>
                                <w:bCs/>
                                <w:color w:val="FFFFFF" w:themeColor="background1"/>
                                <w:sz w:val="22"/>
                                <w:szCs w:val="28"/>
                                <w:lang w:val="en-US" w:eastAsia="zh-CN"/>
                                <w14:textFill>
                                  <w14:solidFill>
                                    <w14:schemeClr w14:val="bg1"/>
                                  </w14:solidFill>
                                </w14:textFill>
                              </w:rPr>
                              <w:t>图例：</w:t>
                            </w:r>
                          </w:p>
                          <w:p w14:paraId="2907E5A5">
                            <w:pPr>
                              <w:spacing w:line="360" w:lineRule="auto"/>
                              <w:jc w:val="right"/>
                              <w:rPr>
                                <w:rFonts w:hint="eastAsia" w:eastAsia="宋体"/>
                                <w:color w:val="FF0000"/>
                                <w:sz w:val="22"/>
                                <w:szCs w:val="21"/>
                                <w:lang w:val="en-US" w:eastAsia="zh-CN"/>
                              </w:rPr>
                            </w:pPr>
                            <w:r>
                              <w:rPr>
                                <w:rFonts w:hint="eastAsia" w:eastAsia="宋体"/>
                                <w:b/>
                                <w:bCs/>
                                <w:color w:val="FF0000"/>
                                <w:sz w:val="22"/>
                                <w:szCs w:val="21"/>
                                <w:lang w:val="en-US" w:eastAsia="zh-CN"/>
                              </w:rPr>
                              <w:t>项目厂址</w:t>
                            </w:r>
                          </w:p>
                          <w:p w14:paraId="287984C5">
                            <w:pPr>
                              <w:spacing w:line="360" w:lineRule="auto"/>
                              <w:jc w:val="right"/>
                              <w:rPr>
                                <w:rFonts w:hint="default" w:eastAsia="宋体"/>
                                <w:color w:val="FFFF00"/>
                                <w:sz w:val="22"/>
                                <w:szCs w:val="21"/>
                                <w:lang w:val="en-US" w:eastAsia="zh-CN"/>
                              </w:rPr>
                            </w:pPr>
                            <w:r>
                              <w:rPr>
                                <w:rFonts w:hint="eastAsia" w:eastAsia="宋体"/>
                                <w:color w:val="FFFF00"/>
                                <w:sz w:val="22"/>
                                <w:szCs w:val="21"/>
                                <w:lang w:val="en-US" w:eastAsia="zh-CN"/>
                              </w:rPr>
                              <w:t>环境保护目标</w:t>
                            </w:r>
                          </w:p>
                          <w:p w14:paraId="4648D126">
                            <w:pPr>
                              <w:spacing w:line="360" w:lineRule="auto"/>
                              <w:jc w:val="right"/>
                              <w:rPr>
                                <w:rFonts w:hint="eastAsia" w:eastAsia="宋体"/>
                                <w:color w:val="F79646" w:themeColor="accent6"/>
                                <w:sz w:val="22"/>
                                <w:szCs w:val="21"/>
                                <w:lang w:val="en-US" w:eastAsia="zh-CN"/>
                                <w14:textFill>
                                  <w14:solidFill>
                                    <w14:schemeClr w14:val="accent6"/>
                                  </w14:solidFill>
                                </w14:textFill>
                              </w:rPr>
                            </w:pPr>
                            <w:r>
                              <w:rPr>
                                <w:rFonts w:hint="eastAsia" w:eastAsia="宋体"/>
                                <w:b/>
                                <w:bCs/>
                                <w:color w:val="F79646" w:themeColor="accent6"/>
                                <w:sz w:val="22"/>
                                <w:szCs w:val="21"/>
                                <w:lang w:val="en-US" w:eastAsia="zh-CN"/>
                                <w14:textFill>
                                  <w14:solidFill>
                                    <w14:schemeClr w14:val="accent6"/>
                                  </w14:solidFill>
                                </w14:textFill>
                              </w:rPr>
                              <w:t>大气评价范围</w:t>
                            </w:r>
                          </w:p>
                          <w:p w14:paraId="079FC213">
                            <w:pPr>
                              <w:spacing w:line="360" w:lineRule="auto"/>
                              <w:jc w:val="right"/>
                              <w:rPr>
                                <w:rFonts w:hint="default" w:eastAsia="宋体"/>
                                <w:color w:val="B7DEE8" w:themeColor="accent5" w:themeTint="66"/>
                                <w:sz w:val="22"/>
                                <w:szCs w:val="21"/>
                                <w:lang w:val="en-US" w:eastAsia="zh-CN"/>
                                <w14:textFill>
                                  <w14:solidFill>
                                    <w14:schemeClr w14:val="accent5">
                                      <w14:lumMod w14:val="40000"/>
                                      <w14:lumOff w14:val="60000"/>
                                    </w14:schemeClr>
                                  </w14:solidFill>
                                </w14:textFill>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5.6pt;margin-top:155.9pt;height:104pt;width:91pt;z-index:251679744;mso-width-relative:page;mso-height-relative:page;" filled="f" stroked="f" coordsize="21600,21600" o:gfxdata="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PSRxo2wAAAAsBAAAPAAAAAAAAAAEAIAAAACIAAABk&#10;cnMvZG93bnJldi54bWxQSwECFAAUAAAACACHTuJALr6XHTwCAABpBAAADgAAAAAAAAABACAAAAAq&#10;AQAAZHJzL2Uyb0RvYy54bWxQSwUGAAAAAAYABgBZAQAA2AUAAAAA&#10;">
                <v:fill on="f" focussize="0,0"/>
                <v:stroke on="f" weight="0.5pt"/>
                <v:imagedata o:title=""/>
                <o:lock v:ext="edit" aspectratio="f"/>
                <v:textbox>
                  <w:txbxContent>
                    <w:p w14:paraId="797FD5E4">
                      <w:pPr>
                        <w:jc w:val="center"/>
                        <w:rPr>
                          <w:rFonts w:hint="eastAsia" w:eastAsia="宋体"/>
                          <w:b/>
                          <w:bCs/>
                          <w:color w:val="FFFFFF" w:themeColor="background1"/>
                          <w:sz w:val="22"/>
                          <w:szCs w:val="28"/>
                          <w:lang w:val="en-US" w:eastAsia="zh-CN"/>
                          <w14:textFill>
                            <w14:solidFill>
                              <w14:schemeClr w14:val="bg1"/>
                            </w14:solidFill>
                          </w14:textFill>
                        </w:rPr>
                      </w:pPr>
                      <w:r>
                        <w:rPr>
                          <w:rFonts w:hint="eastAsia" w:eastAsia="宋体"/>
                          <w:b/>
                          <w:bCs/>
                          <w:color w:val="FFFFFF" w:themeColor="background1"/>
                          <w:sz w:val="22"/>
                          <w:szCs w:val="28"/>
                          <w:lang w:val="en-US" w:eastAsia="zh-CN"/>
                          <w14:textFill>
                            <w14:solidFill>
                              <w14:schemeClr w14:val="bg1"/>
                            </w14:solidFill>
                          </w14:textFill>
                        </w:rPr>
                        <w:t>图例：</w:t>
                      </w:r>
                    </w:p>
                    <w:p w14:paraId="2907E5A5">
                      <w:pPr>
                        <w:spacing w:line="360" w:lineRule="auto"/>
                        <w:jc w:val="right"/>
                        <w:rPr>
                          <w:rFonts w:hint="eastAsia" w:eastAsia="宋体"/>
                          <w:color w:val="FF0000"/>
                          <w:sz w:val="22"/>
                          <w:szCs w:val="21"/>
                          <w:lang w:val="en-US" w:eastAsia="zh-CN"/>
                        </w:rPr>
                      </w:pPr>
                      <w:r>
                        <w:rPr>
                          <w:rFonts w:hint="eastAsia" w:eastAsia="宋体"/>
                          <w:b/>
                          <w:bCs/>
                          <w:color w:val="FF0000"/>
                          <w:sz w:val="22"/>
                          <w:szCs w:val="21"/>
                          <w:lang w:val="en-US" w:eastAsia="zh-CN"/>
                        </w:rPr>
                        <w:t>项目厂址</w:t>
                      </w:r>
                    </w:p>
                    <w:p w14:paraId="287984C5">
                      <w:pPr>
                        <w:spacing w:line="360" w:lineRule="auto"/>
                        <w:jc w:val="right"/>
                        <w:rPr>
                          <w:rFonts w:hint="default" w:eastAsia="宋体"/>
                          <w:color w:val="FFFF00"/>
                          <w:sz w:val="22"/>
                          <w:szCs w:val="21"/>
                          <w:lang w:val="en-US" w:eastAsia="zh-CN"/>
                        </w:rPr>
                      </w:pPr>
                      <w:r>
                        <w:rPr>
                          <w:rFonts w:hint="eastAsia" w:eastAsia="宋体"/>
                          <w:color w:val="FFFF00"/>
                          <w:sz w:val="22"/>
                          <w:szCs w:val="21"/>
                          <w:lang w:val="en-US" w:eastAsia="zh-CN"/>
                        </w:rPr>
                        <w:t>环境保护目标</w:t>
                      </w:r>
                    </w:p>
                    <w:p w14:paraId="4648D126">
                      <w:pPr>
                        <w:spacing w:line="360" w:lineRule="auto"/>
                        <w:jc w:val="right"/>
                        <w:rPr>
                          <w:rFonts w:hint="eastAsia" w:eastAsia="宋体"/>
                          <w:color w:val="F79646" w:themeColor="accent6"/>
                          <w:sz w:val="22"/>
                          <w:szCs w:val="21"/>
                          <w:lang w:val="en-US" w:eastAsia="zh-CN"/>
                          <w14:textFill>
                            <w14:solidFill>
                              <w14:schemeClr w14:val="accent6"/>
                            </w14:solidFill>
                          </w14:textFill>
                        </w:rPr>
                      </w:pPr>
                      <w:r>
                        <w:rPr>
                          <w:rFonts w:hint="eastAsia" w:eastAsia="宋体"/>
                          <w:b/>
                          <w:bCs/>
                          <w:color w:val="F79646" w:themeColor="accent6"/>
                          <w:sz w:val="22"/>
                          <w:szCs w:val="21"/>
                          <w:lang w:val="en-US" w:eastAsia="zh-CN"/>
                          <w14:textFill>
                            <w14:solidFill>
                              <w14:schemeClr w14:val="accent6"/>
                            </w14:solidFill>
                          </w14:textFill>
                        </w:rPr>
                        <w:t>大气评价范围</w:t>
                      </w:r>
                    </w:p>
                    <w:p w14:paraId="079FC213">
                      <w:pPr>
                        <w:spacing w:line="360" w:lineRule="auto"/>
                        <w:jc w:val="right"/>
                        <w:rPr>
                          <w:rFonts w:hint="default" w:eastAsia="宋体"/>
                          <w:color w:val="B7DEE8" w:themeColor="accent5" w:themeTint="66"/>
                          <w:sz w:val="22"/>
                          <w:szCs w:val="21"/>
                          <w:lang w:val="en-US" w:eastAsia="zh-CN"/>
                          <w14:textFill>
                            <w14:solidFill>
                              <w14:schemeClr w14:val="accent5">
                                <w14:lumMod w14:val="40000"/>
                                <w14:lumOff w14:val="60000"/>
                              </w14:schemeClr>
                            </w14:solidFill>
                          </w14:textFill>
                        </w:rPr>
                      </w:pPr>
                    </w:p>
                  </w:txbxContent>
                </v:textbox>
              </v:shape>
            </w:pict>
          </mc:Fallback>
        </mc:AlternateContent>
      </w:r>
      <w:r>
        <w:rPr>
          <w:color w:val="auto"/>
        </w:rPr>
        <mc:AlternateContent>
          <mc:Choice Requires="wps">
            <w:drawing>
              <wp:anchor distT="0" distB="0" distL="114300" distR="114300" simplePos="0" relativeHeight="251664384" behindDoc="0" locked="0" layoutInCell="1" allowOverlap="1">
                <wp:simplePos x="0" y="0"/>
                <wp:positionH relativeFrom="column">
                  <wp:posOffset>874395</wp:posOffset>
                </wp:positionH>
                <wp:positionV relativeFrom="paragraph">
                  <wp:posOffset>6249035</wp:posOffset>
                </wp:positionV>
                <wp:extent cx="7858125" cy="375285"/>
                <wp:effectExtent l="0" t="0" r="0" b="0"/>
                <wp:wrapNone/>
                <wp:docPr id="148" name="文本框 148"/>
                <wp:cNvGraphicFramePr/>
                <a:graphic xmlns:a="http://schemas.openxmlformats.org/drawingml/2006/main">
                  <a:graphicData uri="http://schemas.microsoft.com/office/word/2010/wordprocessingShape">
                    <wps:wsp>
                      <wps:cNvSpPr txBox="1"/>
                      <wps:spPr>
                        <a:xfrm>
                          <a:off x="1415415" y="6824980"/>
                          <a:ext cx="7858125" cy="3752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31C9D3">
                            <w:pPr>
                              <w:jc w:val="center"/>
                              <w:rPr>
                                <w:b/>
                                <w:bCs/>
                                <w:color w:val="auto"/>
                                <w:sz w:val="24"/>
                                <w:szCs w:val="32"/>
                              </w:rPr>
                            </w:pPr>
                            <w:r>
                              <w:rPr>
                                <w:b/>
                                <w:bCs/>
                                <w:color w:val="auto"/>
                                <w:sz w:val="24"/>
                                <w:szCs w:val="32"/>
                              </w:rPr>
                              <w:t>图1-4 环境保护目标示意图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8.85pt;margin-top:492.05pt;height:29.55pt;width:618.75pt;z-index:251664384;mso-width-relative:page;mso-height-relative:page;" filled="f" stroked="f" coordsize="21600,21600" o:gfxdata="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IVNNON0AAAANAQAADwAAAAAA&#10;AAABACAAAAAiAAAAZHJzL2Rvd25yZXYueG1sUEsBAhQAFAAAAAgAh07iQGDfY+xHAgAAdgQAAA4A&#10;AAAAAAAAAQAgAAAALAEAAGRycy9lMm9Eb2MueG1sUEsFBgAAAAAGAAYAWQEAAOUFAAAAAA==&#10;">
                <v:fill on="f" focussize="0,0"/>
                <v:stroke on="f" weight="0.5pt"/>
                <v:imagedata o:title=""/>
                <o:lock v:ext="edit" aspectratio="f"/>
                <v:textbox>
                  <w:txbxContent>
                    <w:p w14:paraId="0931C9D3">
                      <w:pPr>
                        <w:jc w:val="center"/>
                        <w:rPr>
                          <w:b/>
                          <w:bCs/>
                          <w:color w:val="auto"/>
                          <w:sz w:val="24"/>
                          <w:szCs w:val="32"/>
                        </w:rPr>
                      </w:pPr>
                      <w:r>
                        <w:rPr>
                          <w:b/>
                          <w:bCs/>
                          <w:color w:val="auto"/>
                          <w:sz w:val="24"/>
                          <w:szCs w:val="32"/>
                        </w:rPr>
                        <w:t>图1-4 环境保护目标示意图</w:t>
                      </w:r>
                    </w:p>
                  </w:txbxContent>
                </v:textbox>
              </v:shape>
            </w:pict>
          </mc:Fallback>
        </mc:AlternateContent>
      </w:r>
    </w:p>
    <w:p w14:paraId="55E208D8">
      <w:pPr>
        <w:spacing w:line="360" w:lineRule="auto"/>
        <w:jc w:val="center"/>
        <w:outlineLvl w:val="0"/>
        <w:rPr>
          <w:b/>
          <w:bCs/>
          <w:color w:val="auto"/>
          <w:sz w:val="32"/>
          <w:szCs w:val="40"/>
        </w:rPr>
      </w:pPr>
      <w:bookmarkStart w:id="252" w:name="_Toc32099"/>
      <w:r>
        <w:rPr>
          <w:b/>
          <w:bCs/>
          <w:color w:val="auto"/>
          <w:sz w:val="32"/>
          <w:szCs w:val="40"/>
        </w:rPr>
        <w:t>2 建设项目</w:t>
      </w:r>
      <w:r>
        <w:rPr>
          <w:rFonts w:hint="eastAsia"/>
          <w:b/>
          <w:bCs/>
          <w:color w:val="auto"/>
          <w:sz w:val="32"/>
          <w:szCs w:val="40"/>
          <w:lang w:val="en-US" w:eastAsia="zh-CN"/>
        </w:rPr>
        <w:t>过程</w:t>
      </w:r>
      <w:r>
        <w:rPr>
          <w:b/>
          <w:bCs/>
          <w:color w:val="auto"/>
          <w:sz w:val="32"/>
          <w:szCs w:val="40"/>
        </w:rPr>
        <w:t>回顾</w:t>
      </w:r>
      <w:bookmarkEnd w:id="252"/>
    </w:p>
    <w:p w14:paraId="5B7A352D">
      <w:pPr>
        <w:spacing w:line="360" w:lineRule="auto"/>
        <w:rPr>
          <w:color w:val="auto"/>
          <w:sz w:val="24"/>
          <w:szCs w:val="32"/>
        </w:rPr>
      </w:pPr>
    </w:p>
    <w:p w14:paraId="7A56D450">
      <w:pPr>
        <w:adjustRightInd w:val="0"/>
        <w:snapToGrid w:val="0"/>
        <w:spacing w:line="360" w:lineRule="auto"/>
        <w:outlineLvl w:val="1"/>
        <w:rPr>
          <w:rFonts w:hint="default" w:eastAsia="宋体"/>
          <w:b/>
          <w:bCs/>
          <w:color w:val="auto"/>
          <w:sz w:val="28"/>
          <w:szCs w:val="36"/>
          <w:lang w:val="en-US" w:eastAsia="zh-CN"/>
        </w:rPr>
      </w:pPr>
      <w:bookmarkStart w:id="253" w:name="_Toc12048"/>
      <w:r>
        <w:rPr>
          <w:b/>
          <w:bCs/>
          <w:color w:val="auto"/>
          <w:sz w:val="28"/>
          <w:szCs w:val="36"/>
        </w:rPr>
        <w:t xml:space="preserve">2.1 </w:t>
      </w:r>
      <w:r>
        <w:rPr>
          <w:rFonts w:hint="eastAsia"/>
          <w:b/>
          <w:bCs/>
          <w:color w:val="auto"/>
          <w:sz w:val="28"/>
          <w:szCs w:val="36"/>
          <w:lang w:val="en-US" w:eastAsia="zh-CN"/>
        </w:rPr>
        <w:t>环保手续履行情况</w:t>
      </w:r>
      <w:bookmarkEnd w:id="253"/>
    </w:p>
    <w:p w14:paraId="507314BA">
      <w:pPr>
        <w:adjustRightInd w:val="0"/>
        <w:snapToGrid w:val="0"/>
        <w:spacing w:line="360" w:lineRule="auto"/>
        <w:rPr>
          <w:rFonts w:hint="default" w:eastAsia="宋体"/>
          <w:color w:val="auto"/>
          <w:kern w:val="24"/>
          <w:sz w:val="24"/>
          <w:lang w:val="en-US" w:eastAsia="zh-CN"/>
        </w:rPr>
      </w:pPr>
      <w:r>
        <w:rPr>
          <w:rFonts w:hint="eastAsia"/>
          <w:b/>
          <w:bCs/>
          <w:color w:val="auto"/>
          <w:kern w:val="24"/>
          <w:sz w:val="24"/>
          <w:lang w:val="en-US" w:eastAsia="zh-CN"/>
        </w:rPr>
        <w:t>2.1.1 环境影响评价及其他相关环保手续履行情况</w:t>
      </w:r>
    </w:p>
    <w:p w14:paraId="1937ACC0">
      <w:pPr>
        <w:adjustRightInd w:val="0"/>
        <w:snapToGrid w:val="0"/>
        <w:spacing w:line="360" w:lineRule="auto"/>
        <w:ind w:firstLine="480" w:firstLineChars="200"/>
        <w:rPr>
          <w:rFonts w:hint="eastAsia"/>
          <w:color w:val="auto"/>
          <w:kern w:val="24"/>
          <w:sz w:val="24"/>
          <w:lang w:val="en-US" w:eastAsia="zh-CN"/>
        </w:rPr>
      </w:pPr>
      <w:r>
        <w:rPr>
          <w:rFonts w:hint="eastAsia"/>
          <w:color w:val="auto"/>
          <w:kern w:val="24"/>
          <w:sz w:val="24"/>
        </w:rPr>
        <w:t>安徽华中天力铝业有限公司年产11万吨再生铝建设项目于2016年6月30日取得原淮北市环境保护局环评批复，批复文号</w:t>
      </w:r>
      <w:r>
        <w:rPr>
          <w:rFonts w:hint="eastAsia"/>
          <w:color w:val="auto"/>
          <w:kern w:val="24"/>
          <w:sz w:val="24"/>
          <w:lang w:eastAsia="zh-CN"/>
        </w:rPr>
        <w:t>：</w:t>
      </w:r>
      <w:r>
        <w:rPr>
          <w:rFonts w:hint="eastAsia"/>
          <w:color w:val="auto"/>
          <w:kern w:val="24"/>
          <w:sz w:val="24"/>
          <w:lang w:val="en-US" w:eastAsia="zh-CN"/>
        </w:rPr>
        <w:t>淮环行【2016】27号，一期产能5.05万吨/年，二期产能5.95万吨/年。</w:t>
      </w:r>
    </w:p>
    <w:p w14:paraId="6A33BC16">
      <w:pPr>
        <w:adjustRightInd w:val="0"/>
        <w:snapToGrid w:val="0"/>
        <w:spacing w:line="360" w:lineRule="auto"/>
        <w:ind w:firstLine="480" w:firstLineChars="200"/>
        <w:rPr>
          <w:rFonts w:hint="eastAsia"/>
          <w:color w:val="auto"/>
          <w:kern w:val="24"/>
          <w:sz w:val="24"/>
          <w:lang w:val="en-US" w:eastAsia="zh-CN"/>
        </w:rPr>
      </w:pPr>
      <w:r>
        <w:rPr>
          <w:rFonts w:hint="eastAsia"/>
          <w:color w:val="auto"/>
          <w:kern w:val="24"/>
          <w:sz w:val="24"/>
          <w:lang w:val="en-US" w:eastAsia="zh-CN"/>
        </w:rPr>
        <w:t>2022年12月由于原</w:t>
      </w:r>
      <w:r>
        <w:rPr>
          <w:rFonts w:hint="eastAsia"/>
          <w:color w:val="auto"/>
          <w:kern w:val="24"/>
          <w:sz w:val="24"/>
        </w:rPr>
        <w:t>安徽华中天力铝业有限公司</w:t>
      </w:r>
      <w:r>
        <w:rPr>
          <w:rFonts w:hint="eastAsia"/>
          <w:color w:val="auto"/>
          <w:kern w:val="24"/>
          <w:sz w:val="24"/>
          <w:lang w:val="en-US" w:eastAsia="zh-CN"/>
        </w:rPr>
        <w:t>破产，濉溪经开区投资发展有限公司经濉溪县人民法院司法拍卖取得濉溪经济开发区玉兰西路8号原华中天力公司的所有土地、厂房、设备及配套物资等资产。</w:t>
      </w:r>
    </w:p>
    <w:p w14:paraId="07FAA8A6">
      <w:pPr>
        <w:adjustRightInd w:val="0"/>
        <w:snapToGrid w:val="0"/>
        <w:spacing w:line="360" w:lineRule="auto"/>
        <w:ind w:firstLine="480" w:firstLineChars="200"/>
        <w:rPr>
          <w:rFonts w:hint="eastAsia"/>
          <w:color w:val="auto"/>
          <w:kern w:val="24"/>
          <w:sz w:val="24"/>
          <w:lang w:val="en-US" w:eastAsia="zh-CN"/>
        </w:rPr>
      </w:pPr>
      <w:r>
        <w:rPr>
          <w:rFonts w:hint="eastAsia"/>
          <w:color w:val="auto"/>
          <w:kern w:val="24"/>
          <w:sz w:val="24"/>
          <w:lang w:val="en-US" w:eastAsia="zh-CN"/>
        </w:rPr>
        <w:t>2023年1月1日起濉溪经开区投资发展有限公司委托给安徽力幕新材料科技有限公司进行生产经营及日常管理，安徽力幕新材料科技有限公司将《年产11万吨再生铝建设项目》的厂房、设备及配套物资转租给安徽省裕康铝业有限公司，由安徽省裕康铝业有限公司进行生产经营及日常管理。</w:t>
      </w:r>
    </w:p>
    <w:p w14:paraId="141B97C8">
      <w:pPr>
        <w:adjustRightInd w:val="0"/>
        <w:snapToGrid w:val="0"/>
        <w:spacing w:line="360" w:lineRule="auto"/>
        <w:ind w:firstLine="480" w:firstLineChars="200"/>
        <w:rPr>
          <w:rFonts w:hint="eastAsia" w:eastAsia="宋体" w:cs="Times New Roman"/>
          <w:color w:val="auto"/>
          <w:sz w:val="24"/>
          <w:szCs w:val="24"/>
          <w:lang w:val="en-US" w:eastAsia="zh-CN"/>
        </w:rPr>
      </w:pPr>
      <w:r>
        <w:rPr>
          <w:rFonts w:hint="eastAsia"/>
          <w:color w:val="auto"/>
          <w:kern w:val="24"/>
          <w:sz w:val="24"/>
          <w:lang w:val="en-US" w:eastAsia="zh-CN"/>
        </w:rPr>
        <w:t>2025年由于经营问题，安徽省裕康铝业有限公司生产经营的《年产11万吨再生铝建设项目》7月12日开始停产。停产后由安徽瑞瑟科金属材料有限公司接手原安徽华中天力铝业有限公司年产11万吨再生铝建设项目的厂房、设备进行生产。</w:t>
      </w:r>
      <w:r>
        <w:rPr>
          <w:rFonts w:hint="default" w:ascii="Times New Roman" w:hAnsi="Times New Roman" w:eastAsia="宋体" w:cs="Times New Roman"/>
          <w:color w:val="auto"/>
          <w:sz w:val="24"/>
          <w:szCs w:val="24"/>
        </w:rPr>
        <w:t>根据相关法律法规及行政许可承继规定，年产11万吨再生铝建设项目的环境影响评价审批文件及其验收文件，已依法完成权利义务的转移程序，由安徽瑞瑟科金属材料有限公司依法承继并享有相应使用权</w:t>
      </w:r>
      <w:r>
        <w:rPr>
          <w:rFonts w:hint="eastAsia" w:cs="Times New Roman"/>
          <w:color w:val="auto"/>
          <w:sz w:val="24"/>
          <w:szCs w:val="24"/>
          <w:lang w:eastAsia="zh-CN"/>
        </w:rPr>
        <w:t>。</w:t>
      </w:r>
    </w:p>
    <w:p w14:paraId="546F2463">
      <w:pPr>
        <w:adjustRightInd w:val="0"/>
        <w:snapToGrid w:val="0"/>
        <w:spacing w:line="360" w:lineRule="auto"/>
        <w:ind w:firstLine="480" w:firstLineChars="200"/>
        <w:rPr>
          <w:rFonts w:hint="default" w:eastAsia="宋体"/>
          <w:color w:val="auto"/>
          <w:kern w:val="24"/>
          <w:sz w:val="24"/>
          <w:lang w:val="en-US" w:eastAsia="zh-CN"/>
        </w:rPr>
      </w:pPr>
      <w:r>
        <w:rPr>
          <w:rFonts w:hint="eastAsia" w:cs="Times New Roman"/>
          <w:color w:val="auto"/>
          <w:sz w:val="24"/>
          <w:szCs w:val="24"/>
          <w:lang w:val="en-US" w:eastAsia="zh-CN"/>
        </w:rPr>
        <w:t>2025年11月，安徽瑞瑟科金属材料有限公司在生产过程中发现现有主要排放口（一期，二期未建设）二氧化硫排放量为3.74t/a，氮氧化物排放量为8.16t/a，排污许可证中二氧化硫许可排放量为0.18t/a，氮氧化物排放量为6.8t/a，在生产产能未超过原环评设定产能且污染防治设施均正常运行的前提下，企业现有一期主要排放口二氧化硫、氮氧化物实际排放量已远超原环评预测排放量。因此安徽瑞瑟科金属材料有限公司于2025年11月委托东晟环保科技集团（安徽）股份有限公司编制《安徽瑞瑟科金属材料有限公司（原安徽华中天力铝业有限公司年产11万吨再生铝建设项目）主要排放口二氧化硫、氨氧化物许可排放量核算报告》。项目现有主要排放口二氧化硫排放量由0.18t/a增加至12.635t/a（新增12.455t/a），氮氧化物排放量由6.8t/a增加至19.454t/a（新增12.654t/a）</w:t>
      </w:r>
      <w:r>
        <w:rPr>
          <w:rFonts w:hint="eastAsia" w:ascii="Times New Roman" w:hAnsi="Times New Roman" w:eastAsia="宋体" w:cs="Times New Roman"/>
          <w:color w:val="auto"/>
          <w:sz w:val="24"/>
          <w:szCs w:val="24"/>
          <w:lang w:eastAsia="zh-CN"/>
        </w:rPr>
        <w:t>。</w:t>
      </w:r>
    </w:p>
    <w:p w14:paraId="45F54DB5">
      <w:pPr>
        <w:spacing w:line="360" w:lineRule="auto"/>
        <w:rPr>
          <w:rFonts w:hint="default" w:eastAsia="宋体"/>
          <w:b/>
          <w:bCs/>
          <w:color w:val="auto"/>
          <w:sz w:val="24"/>
          <w:szCs w:val="32"/>
          <w:lang w:val="en-US" w:eastAsia="zh-CN"/>
        </w:rPr>
      </w:pPr>
      <w:r>
        <w:rPr>
          <w:rFonts w:hint="eastAsia"/>
          <w:b/>
          <w:bCs/>
          <w:color w:val="auto"/>
          <w:sz w:val="24"/>
          <w:szCs w:val="32"/>
          <w:lang w:val="en-US" w:eastAsia="zh-CN"/>
        </w:rPr>
        <w:t>2.1.2 排污许可证申请</w:t>
      </w:r>
    </w:p>
    <w:p w14:paraId="1DC3108E">
      <w:pPr>
        <w:spacing w:line="360" w:lineRule="auto"/>
        <w:ind w:firstLine="480" w:firstLineChars="200"/>
        <w:rPr>
          <w:rFonts w:hint="eastAsia"/>
          <w:color w:val="auto"/>
          <w:kern w:val="24"/>
          <w:sz w:val="24"/>
          <w:lang w:val="en-US" w:eastAsia="zh-CN"/>
        </w:rPr>
      </w:pPr>
      <w:r>
        <w:rPr>
          <w:rFonts w:hint="eastAsia"/>
          <w:color w:val="auto"/>
          <w:kern w:val="24"/>
          <w:sz w:val="24"/>
          <w:lang w:val="en-US" w:eastAsia="zh-CN"/>
        </w:rPr>
        <w:t>原安徽华中天力铝业有限公司于2020年4月25日完成对年产11万吨再生铝建设项目的排污许可证申请，排污许可证编号为91340621050197606E002V。由于2022年12月原安徽华中天力铝业有限公司破产，该排污许可证于2023年8月29日注销。</w:t>
      </w:r>
    </w:p>
    <w:p w14:paraId="6134F211">
      <w:pPr>
        <w:spacing w:line="360" w:lineRule="auto"/>
        <w:ind w:firstLine="480" w:firstLineChars="200"/>
        <w:rPr>
          <w:rFonts w:hint="eastAsia"/>
          <w:color w:val="auto"/>
          <w:kern w:val="24"/>
          <w:sz w:val="24"/>
          <w:lang w:val="en-US" w:eastAsia="zh-CN"/>
        </w:rPr>
      </w:pPr>
      <w:r>
        <w:rPr>
          <w:rFonts w:hint="eastAsia"/>
          <w:color w:val="auto"/>
          <w:kern w:val="24"/>
          <w:sz w:val="24"/>
          <w:lang w:val="en-US" w:eastAsia="zh-CN"/>
        </w:rPr>
        <w:t>安徽省裕康铝业有限公司租赁年产11万吨再生铝建设项目厂房、设备及配套物资后，于2024年6月20日完成对年产11万吨再生铝建设项目的排污许可证申请，排污许可证编号为91340621MA2TC70P61001P。由于经营问题该项目于2025年7月12日开始停产，该排污许可证于2026年1月14日注销。</w:t>
      </w:r>
    </w:p>
    <w:p w14:paraId="66695A05">
      <w:pPr>
        <w:spacing w:line="360" w:lineRule="auto"/>
        <w:ind w:firstLine="480" w:firstLineChars="200"/>
        <w:rPr>
          <w:rFonts w:hint="eastAsia"/>
          <w:color w:val="auto"/>
          <w:kern w:val="24"/>
          <w:sz w:val="24"/>
          <w:lang w:val="en-US" w:eastAsia="zh-CN"/>
        </w:rPr>
      </w:pPr>
      <w:r>
        <w:rPr>
          <w:rFonts w:hint="eastAsia" w:cs="Times New Roman"/>
          <w:color w:val="auto"/>
          <w:sz w:val="24"/>
          <w:szCs w:val="24"/>
          <w:lang w:val="en-US" w:eastAsia="zh-CN"/>
        </w:rPr>
        <w:t>安徽瑞瑟科金属材料有限公司目前正在申请</w:t>
      </w:r>
      <w:r>
        <w:rPr>
          <w:rFonts w:hint="eastAsia"/>
          <w:color w:val="auto"/>
          <w:kern w:val="24"/>
          <w:sz w:val="24"/>
          <w:lang w:val="en-US" w:eastAsia="zh-CN"/>
        </w:rPr>
        <w:t>年产11万吨再生铝建设项目（一期工程）的排污许可证。</w:t>
      </w:r>
    </w:p>
    <w:p w14:paraId="4BA99BD2">
      <w:pPr>
        <w:spacing w:line="360" w:lineRule="auto"/>
        <w:rPr>
          <w:rFonts w:hint="default"/>
          <w:b/>
          <w:bCs/>
          <w:color w:val="auto"/>
          <w:sz w:val="24"/>
          <w:szCs w:val="32"/>
          <w:lang w:val="en-US" w:eastAsia="zh-CN"/>
        </w:rPr>
      </w:pPr>
      <w:r>
        <w:rPr>
          <w:rFonts w:hint="eastAsia"/>
          <w:b/>
          <w:bCs/>
          <w:color w:val="auto"/>
          <w:sz w:val="24"/>
          <w:szCs w:val="32"/>
          <w:lang w:val="en-US" w:eastAsia="zh-CN"/>
        </w:rPr>
        <w:t>2.1.3 环保竣工验收</w:t>
      </w:r>
    </w:p>
    <w:p w14:paraId="7411CD0A">
      <w:pPr>
        <w:spacing w:line="360" w:lineRule="auto"/>
        <w:ind w:firstLine="480" w:firstLineChars="200"/>
        <w:rPr>
          <w:rFonts w:hint="eastAsia"/>
          <w:color w:val="auto"/>
          <w:kern w:val="24"/>
          <w:sz w:val="24"/>
          <w:lang w:val="en-US" w:eastAsia="zh-CN"/>
        </w:rPr>
      </w:pPr>
      <w:r>
        <w:rPr>
          <w:rFonts w:hint="eastAsia"/>
          <w:color w:val="auto"/>
          <w:sz w:val="24"/>
          <w:szCs w:val="32"/>
          <w:lang w:val="en-US" w:eastAsia="zh-CN"/>
        </w:rPr>
        <w:t>该项目一期工程</w:t>
      </w:r>
      <w:r>
        <w:rPr>
          <w:rFonts w:hint="eastAsia"/>
          <w:color w:val="auto"/>
          <w:kern w:val="24"/>
          <w:sz w:val="24"/>
          <w:lang w:val="en-US" w:eastAsia="zh-CN"/>
        </w:rPr>
        <w:t>于2018年建成，主要生产设备为</w:t>
      </w:r>
      <w:r>
        <w:rPr>
          <w:rFonts w:hint="eastAsia"/>
          <w:color w:val="auto"/>
          <w:kern w:val="24"/>
          <w:sz w:val="24"/>
          <w:highlight w:val="none"/>
          <w:lang w:val="en-US" w:eastAsia="zh-CN"/>
        </w:rPr>
        <w:t>1台40t熔炼炉、1台30t熔炼炉、1台10t熔炼精炼两用炉、1台30t精炼炉、1台20t精炼炉及2条260模铸锭叠锭生产线，</w:t>
      </w:r>
      <w:r>
        <w:rPr>
          <w:rFonts w:hint="eastAsia"/>
          <w:color w:val="auto"/>
          <w:kern w:val="24"/>
          <w:sz w:val="24"/>
          <w:lang w:val="en-US" w:eastAsia="zh-CN"/>
        </w:rPr>
        <w:t>由于项目资金问题一期一直处于停产状态，2020年10月开始进行设备调试工作，于2021年9月通过自主竣工环境保护验收。</w:t>
      </w:r>
    </w:p>
    <w:p w14:paraId="701089BC">
      <w:pPr>
        <w:spacing w:line="360" w:lineRule="auto"/>
        <w:ind w:firstLine="480" w:firstLineChars="200"/>
        <w:rPr>
          <w:color w:val="auto"/>
          <w:sz w:val="24"/>
          <w:szCs w:val="32"/>
        </w:rPr>
      </w:pPr>
      <w:r>
        <w:rPr>
          <w:color w:val="auto"/>
          <w:sz w:val="24"/>
          <w:szCs w:val="32"/>
        </w:rPr>
        <w:t>项目</w:t>
      </w:r>
      <w:r>
        <w:rPr>
          <w:rFonts w:hint="eastAsia"/>
          <w:color w:val="auto"/>
          <w:sz w:val="24"/>
          <w:szCs w:val="32"/>
          <w:lang w:val="en-US" w:eastAsia="zh-CN"/>
        </w:rPr>
        <w:t>环保手续履行</w:t>
      </w:r>
      <w:r>
        <w:rPr>
          <w:color w:val="auto"/>
          <w:sz w:val="24"/>
          <w:szCs w:val="32"/>
        </w:rPr>
        <w:t>情况具体如下：</w:t>
      </w:r>
    </w:p>
    <w:p w14:paraId="4580E390">
      <w:pPr>
        <w:spacing w:line="360" w:lineRule="auto"/>
        <w:jc w:val="center"/>
        <w:rPr>
          <w:rFonts w:hint="eastAsia" w:eastAsia="宋体"/>
          <w:b/>
          <w:bCs/>
          <w:color w:val="auto"/>
          <w:sz w:val="24"/>
          <w:szCs w:val="32"/>
          <w:lang w:val="en-US" w:eastAsia="zh-CN"/>
        </w:rPr>
      </w:pPr>
      <w:r>
        <w:rPr>
          <w:b/>
          <w:bCs/>
          <w:color w:val="auto"/>
          <w:sz w:val="24"/>
          <w:szCs w:val="32"/>
        </w:rPr>
        <w:t>表2-1 项目</w:t>
      </w:r>
      <w:r>
        <w:rPr>
          <w:rFonts w:hint="eastAsia"/>
          <w:b/>
          <w:bCs/>
          <w:color w:val="auto"/>
          <w:sz w:val="24"/>
          <w:szCs w:val="32"/>
        </w:rPr>
        <w:t>环保手续履行情况</w:t>
      </w:r>
      <w:r>
        <w:rPr>
          <w:rFonts w:hint="eastAsia"/>
          <w:b/>
          <w:bCs/>
          <w:color w:val="auto"/>
          <w:sz w:val="24"/>
          <w:szCs w:val="32"/>
          <w:lang w:val="en-US" w:eastAsia="zh-CN"/>
        </w:rPr>
        <w:t>一览表</w:t>
      </w:r>
    </w:p>
    <w:tbl>
      <w:tblPr>
        <w:tblStyle w:val="31"/>
        <w:tblW w:w="4981"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68"/>
        <w:gridCol w:w="1595"/>
        <w:gridCol w:w="1436"/>
        <w:gridCol w:w="1339"/>
        <w:gridCol w:w="2226"/>
        <w:gridCol w:w="2860"/>
      </w:tblGrid>
      <w:tr w14:paraId="279188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236" w:type="pct"/>
            <w:vMerge w:val="restart"/>
            <w:tcBorders>
              <w:tl2br w:val="nil"/>
              <w:tr2bl w:val="nil"/>
            </w:tcBorders>
            <w:noWrap w:val="0"/>
            <w:vAlign w:val="center"/>
          </w:tcPr>
          <w:p w14:paraId="610AC1DA">
            <w:pPr>
              <w:snapToGrid w:val="0"/>
              <w:spacing w:before="60" w:after="60" w:line="240" w:lineRule="auto"/>
              <w:jc w:val="center"/>
              <w:rPr>
                <w:rFonts w:ascii="Times New Roman"/>
                <w:b/>
                <w:bCs/>
                <w:color w:val="auto"/>
                <w:sz w:val="21"/>
              </w:rPr>
            </w:pPr>
            <w:r>
              <w:rPr>
                <w:rFonts w:ascii="Times New Roman"/>
                <w:b/>
                <w:bCs/>
                <w:color w:val="auto"/>
                <w:sz w:val="21"/>
              </w:rPr>
              <w:t>序号</w:t>
            </w:r>
          </w:p>
        </w:tc>
        <w:tc>
          <w:tcPr>
            <w:tcW w:w="803" w:type="pct"/>
            <w:vMerge w:val="restart"/>
            <w:tcBorders>
              <w:tl2br w:val="nil"/>
              <w:tr2bl w:val="nil"/>
            </w:tcBorders>
            <w:noWrap w:val="0"/>
            <w:vAlign w:val="center"/>
          </w:tcPr>
          <w:p w14:paraId="5BC2D615">
            <w:pPr>
              <w:snapToGrid w:val="0"/>
              <w:spacing w:before="60" w:after="60" w:line="240" w:lineRule="auto"/>
              <w:jc w:val="center"/>
              <w:rPr>
                <w:rFonts w:ascii="Times New Roman"/>
                <w:b/>
                <w:bCs/>
                <w:color w:val="auto"/>
                <w:sz w:val="21"/>
              </w:rPr>
            </w:pPr>
            <w:r>
              <w:rPr>
                <w:rFonts w:ascii="Times New Roman"/>
                <w:b/>
                <w:bCs/>
                <w:color w:val="auto"/>
                <w:sz w:val="21"/>
              </w:rPr>
              <w:t>建设项目名称</w:t>
            </w:r>
          </w:p>
        </w:tc>
        <w:tc>
          <w:tcPr>
            <w:tcW w:w="1397" w:type="pct"/>
            <w:gridSpan w:val="2"/>
            <w:tcBorders>
              <w:tl2br w:val="nil"/>
              <w:tr2bl w:val="nil"/>
            </w:tcBorders>
            <w:noWrap w:val="0"/>
            <w:vAlign w:val="center"/>
          </w:tcPr>
          <w:p w14:paraId="1477FC0F">
            <w:pPr>
              <w:snapToGrid w:val="0"/>
              <w:spacing w:before="60" w:after="60" w:line="240" w:lineRule="auto"/>
              <w:jc w:val="center"/>
              <w:rPr>
                <w:rFonts w:ascii="Times New Roman"/>
                <w:b/>
                <w:bCs/>
                <w:color w:val="auto"/>
                <w:sz w:val="21"/>
              </w:rPr>
            </w:pPr>
            <w:r>
              <w:rPr>
                <w:rFonts w:ascii="Times New Roman"/>
                <w:b/>
                <w:bCs/>
                <w:color w:val="auto"/>
                <w:sz w:val="21"/>
              </w:rPr>
              <w:t>环评情况</w:t>
            </w:r>
          </w:p>
        </w:tc>
        <w:tc>
          <w:tcPr>
            <w:tcW w:w="1121" w:type="pct"/>
            <w:vMerge w:val="restart"/>
            <w:tcBorders>
              <w:tl2br w:val="nil"/>
              <w:tr2bl w:val="nil"/>
            </w:tcBorders>
            <w:noWrap w:val="0"/>
            <w:vAlign w:val="center"/>
          </w:tcPr>
          <w:p w14:paraId="18474E7A">
            <w:pPr>
              <w:snapToGrid w:val="0"/>
              <w:spacing w:before="60" w:after="60" w:line="240" w:lineRule="auto"/>
              <w:jc w:val="center"/>
              <w:rPr>
                <w:rFonts w:ascii="Times New Roman"/>
                <w:b/>
                <w:bCs/>
                <w:color w:val="auto"/>
                <w:sz w:val="21"/>
              </w:rPr>
            </w:pPr>
            <w:r>
              <w:rPr>
                <w:rFonts w:ascii="Times New Roman"/>
                <w:b/>
                <w:bCs/>
                <w:color w:val="auto"/>
                <w:sz w:val="21"/>
              </w:rPr>
              <w:t>验收情况</w:t>
            </w:r>
          </w:p>
        </w:tc>
        <w:tc>
          <w:tcPr>
            <w:tcW w:w="1440" w:type="pct"/>
            <w:vMerge w:val="restart"/>
            <w:tcBorders>
              <w:tl2br w:val="nil"/>
              <w:tr2bl w:val="nil"/>
            </w:tcBorders>
            <w:noWrap w:val="0"/>
            <w:vAlign w:val="center"/>
          </w:tcPr>
          <w:p w14:paraId="3412EE71">
            <w:pPr>
              <w:snapToGrid w:val="0"/>
              <w:spacing w:before="60" w:after="60" w:line="240" w:lineRule="auto"/>
              <w:jc w:val="center"/>
              <w:rPr>
                <w:rFonts w:ascii="Times New Roman"/>
                <w:b/>
                <w:bCs/>
                <w:color w:val="auto"/>
                <w:sz w:val="21"/>
              </w:rPr>
            </w:pPr>
            <w:r>
              <w:rPr>
                <w:rFonts w:ascii="Times New Roman"/>
                <w:b/>
                <w:bCs/>
                <w:color w:val="auto"/>
                <w:sz w:val="21"/>
              </w:rPr>
              <w:t>备注</w:t>
            </w:r>
          </w:p>
        </w:tc>
      </w:tr>
      <w:tr w14:paraId="3B8AA5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36" w:type="pct"/>
            <w:vMerge w:val="continue"/>
            <w:tcBorders>
              <w:tl2br w:val="nil"/>
              <w:tr2bl w:val="nil"/>
            </w:tcBorders>
            <w:noWrap w:val="0"/>
            <w:vAlign w:val="center"/>
          </w:tcPr>
          <w:p w14:paraId="02F95AC1">
            <w:pPr>
              <w:snapToGrid w:val="0"/>
              <w:spacing w:before="60" w:after="60" w:line="240" w:lineRule="auto"/>
              <w:jc w:val="center"/>
              <w:rPr>
                <w:rFonts w:ascii="Times New Roman"/>
                <w:b/>
                <w:bCs/>
                <w:color w:val="auto"/>
                <w:sz w:val="21"/>
              </w:rPr>
            </w:pPr>
          </w:p>
        </w:tc>
        <w:tc>
          <w:tcPr>
            <w:tcW w:w="803" w:type="pct"/>
            <w:vMerge w:val="continue"/>
            <w:tcBorders>
              <w:tl2br w:val="nil"/>
              <w:tr2bl w:val="nil"/>
            </w:tcBorders>
            <w:noWrap w:val="0"/>
            <w:vAlign w:val="center"/>
          </w:tcPr>
          <w:p w14:paraId="699A5535">
            <w:pPr>
              <w:snapToGrid w:val="0"/>
              <w:spacing w:before="60" w:after="60" w:line="240" w:lineRule="auto"/>
              <w:jc w:val="center"/>
              <w:rPr>
                <w:rFonts w:ascii="Times New Roman"/>
                <w:b/>
                <w:bCs/>
                <w:color w:val="auto"/>
                <w:sz w:val="21"/>
              </w:rPr>
            </w:pPr>
          </w:p>
        </w:tc>
        <w:tc>
          <w:tcPr>
            <w:tcW w:w="723" w:type="pct"/>
            <w:tcBorders>
              <w:tl2br w:val="nil"/>
              <w:tr2bl w:val="nil"/>
            </w:tcBorders>
            <w:noWrap w:val="0"/>
            <w:vAlign w:val="center"/>
          </w:tcPr>
          <w:p w14:paraId="53A61C77">
            <w:pPr>
              <w:snapToGrid w:val="0"/>
              <w:spacing w:before="60" w:after="60" w:line="240" w:lineRule="auto"/>
              <w:jc w:val="center"/>
              <w:rPr>
                <w:rFonts w:ascii="Times New Roman"/>
                <w:b/>
                <w:bCs/>
                <w:color w:val="auto"/>
                <w:sz w:val="21"/>
              </w:rPr>
            </w:pPr>
            <w:r>
              <w:rPr>
                <w:rFonts w:ascii="Times New Roman"/>
                <w:b/>
                <w:bCs/>
                <w:color w:val="auto"/>
                <w:sz w:val="21"/>
              </w:rPr>
              <w:t>审批单位</w:t>
            </w:r>
          </w:p>
        </w:tc>
        <w:tc>
          <w:tcPr>
            <w:tcW w:w="673" w:type="pct"/>
            <w:tcBorders>
              <w:tl2br w:val="nil"/>
              <w:tr2bl w:val="nil"/>
            </w:tcBorders>
            <w:noWrap w:val="0"/>
            <w:vAlign w:val="center"/>
          </w:tcPr>
          <w:p w14:paraId="2E21DA62">
            <w:pPr>
              <w:snapToGrid w:val="0"/>
              <w:spacing w:before="60" w:after="60" w:line="240" w:lineRule="auto"/>
              <w:jc w:val="center"/>
              <w:rPr>
                <w:rFonts w:ascii="Times New Roman"/>
                <w:b/>
                <w:bCs/>
                <w:color w:val="auto"/>
                <w:sz w:val="21"/>
              </w:rPr>
            </w:pPr>
            <w:r>
              <w:rPr>
                <w:rFonts w:ascii="Times New Roman"/>
                <w:b/>
                <w:bCs/>
                <w:color w:val="auto"/>
                <w:sz w:val="21"/>
              </w:rPr>
              <w:t>批准文号</w:t>
            </w:r>
          </w:p>
        </w:tc>
        <w:tc>
          <w:tcPr>
            <w:tcW w:w="1121" w:type="pct"/>
            <w:vMerge w:val="continue"/>
            <w:tcBorders>
              <w:tl2br w:val="nil"/>
              <w:tr2bl w:val="nil"/>
            </w:tcBorders>
            <w:noWrap w:val="0"/>
            <w:vAlign w:val="center"/>
          </w:tcPr>
          <w:p w14:paraId="46CC5CA1">
            <w:pPr>
              <w:snapToGrid w:val="0"/>
              <w:spacing w:before="60" w:after="60" w:line="240" w:lineRule="auto"/>
              <w:jc w:val="center"/>
              <w:rPr>
                <w:rFonts w:ascii="Times New Roman"/>
                <w:b/>
                <w:bCs/>
                <w:color w:val="auto"/>
                <w:sz w:val="21"/>
              </w:rPr>
            </w:pPr>
          </w:p>
        </w:tc>
        <w:tc>
          <w:tcPr>
            <w:tcW w:w="1440" w:type="pct"/>
            <w:vMerge w:val="continue"/>
            <w:tcBorders>
              <w:tl2br w:val="nil"/>
              <w:tr2bl w:val="nil"/>
            </w:tcBorders>
            <w:noWrap w:val="0"/>
            <w:vAlign w:val="center"/>
          </w:tcPr>
          <w:p w14:paraId="13251B27">
            <w:pPr>
              <w:snapToGrid w:val="0"/>
              <w:spacing w:before="60" w:after="60" w:line="240" w:lineRule="auto"/>
              <w:jc w:val="center"/>
              <w:rPr>
                <w:rFonts w:ascii="Times New Roman"/>
                <w:b/>
                <w:bCs/>
                <w:color w:val="auto"/>
                <w:sz w:val="21"/>
              </w:rPr>
            </w:pPr>
          </w:p>
        </w:tc>
      </w:tr>
      <w:tr w14:paraId="2EDCCB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36" w:type="pct"/>
            <w:tcBorders>
              <w:tl2br w:val="nil"/>
              <w:tr2bl w:val="nil"/>
            </w:tcBorders>
            <w:noWrap w:val="0"/>
            <w:vAlign w:val="center"/>
          </w:tcPr>
          <w:p w14:paraId="217DA53C">
            <w:pPr>
              <w:snapToGrid w:val="0"/>
              <w:spacing w:before="60" w:after="60" w:line="240" w:lineRule="auto"/>
              <w:jc w:val="center"/>
              <w:rPr>
                <w:rFonts w:ascii="Times New Roman"/>
                <w:color w:val="auto"/>
                <w:sz w:val="21"/>
              </w:rPr>
            </w:pPr>
            <w:r>
              <w:rPr>
                <w:rFonts w:ascii="Times New Roman"/>
                <w:color w:val="auto"/>
                <w:sz w:val="21"/>
              </w:rPr>
              <w:t>1</w:t>
            </w:r>
          </w:p>
        </w:tc>
        <w:tc>
          <w:tcPr>
            <w:tcW w:w="803" w:type="pct"/>
            <w:tcBorders>
              <w:tl2br w:val="nil"/>
              <w:tr2bl w:val="nil"/>
            </w:tcBorders>
            <w:noWrap w:val="0"/>
            <w:vAlign w:val="center"/>
          </w:tcPr>
          <w:p w14:paraId="5F88636A">
            <w:pPr>
              <w:snapToGrid w:val="0"/>
              <w:spacing w:before="60" w:after="60" w:line="240" w:lineRule="auto"/>
              <w:jc w:val="center"/>
              <w:rPr>
                <w:rFonts w:ascii="Times New Roman"/>
                <w:color w:val="auto"/>
                <w:sz w:val="21"/>
              </w:rPr>
            </w:pPr>
            <w:r>
              <w:rPr>
                <w:rFonts w:hint="eastAsia" w:ascii="Times New Roman"/>
                <w:color w:val="auto"/>
                <w:sz w:val="21"/>
                <w:lang w:val="en-US" w:eastAsia="zh-CN"/>
              </w:rPr>
              <w:t>年产11万吨再生铝建设项目</w:t>
            </w:r>
          </w:p>
        </w:tc>
        <w:tc>
          <w:tcPr>
            <w:tcW w:w="723" w:type="pct"/>
            <w:tcBorders>
              <w:tl2br w:val="nil"/>
              <w:tr2bl w:val="nil"/>
            </w:tcBorders>
            <w:noWrap w:val="0"/>
            <w:vAlign w:val="center"/>
          </w:tcPr>
          <w:p w14:paraId="7E13216D">
            <w:pPr>
              <w:snapToGrid w:val="0"/>
              <w:spacing w:before="60" w:after="60" w:line="240" w:lineRule="auto"/>
              <w:jc w:val="center"/>
              <w:rPr>
                <w:rFonts w:hint="default" w:ascii="Times New Roman" w:eastAsia="宋体"/>
                <w:color w:val="auto"/>
                <w:sz w:val="21"/>
                <w:lang w:val="en-US" w:eastAsia="zh-CN"/>
              </w:rPr>
            </w:pPr>
            <w:r>
              <w:rPr>
                <w:rFonts w:ascii="Times New Roman"/>
                <w:color w:val="auto"/>
                <w:sz w:val="21"/>
              </w:rPr>
              <w:t>原</w:t>
            </w:r>
            <w:r>
              <w:rPr>
                <w:rFonts w:hint="eastAsia"/>
                <w:color w:val="auto"/>
                <w:sz w:val="21"/>
                <w:lang w:val="en-US" w:eastAsia="zh-CN"/>
              </w:rPr>
              <w:t>淮北市环境保护局</w:t>
            </w:r>
          </w:p>
        </w:tc>
        <w:tc>
          <w:tcPr>
            <w:tcW w:w="673" w:type="pct"/>
            <w:tcBorders>
              <w:tl2br w:val="nil"/>
              <w:tr2bl w:val="nil"/>
            </w:tcBorders>
            <w:noWrap w:val="0"/>
            <w:vAlign w:val="center"/>
          </w:tcPr>
          <w:p w14:paraId="63059779">
            <w:pPr>
              <w:snapToGrid w:val="0"/>
              <w:spacing w:before="60" w:after="60" w:line="240" w:lineRule="auto"/>
              <w:jc w:val="center"/>
              <w:rPr>
                <w:rFonts w:hint="default" w:ascii="Times New Roman" w:eastAsia="宋体"/>
                <w:color w:val="auto"/>
                <w:sz w:val="21"/>
                <w:lang w:val="en-US" w:eastAsia="zh-CN"/>
              </w:rPr>
            </w:pPr>
            <w:r>
              <w:rPr>
                <w:rFonts w:hint="eastAsia"/>
                <w:color w:val="auto"/>
                <w:sz w:val="21"/>
                <w:lang w:val="en-US" w:eastAsia="zh-CN"/>
              </w:rPr>
              <w:t>淮环行[2016]27号</w:t>
            </w:r>
          </w:p>
        </w:tc>
        <w:tc>
          <w:tcPr>
            <w:tcW w:w="1121" w:type="pct"/>
            <w:tcBorders>
              <w:tl2br w:val="nil"/>
              <w:tr2bl w:val="nil"/>
            </w:tcBorders>
            <w:noWrap w:val="0"/>
            <w:vAlign w:val="center"/>
          </w:tcPr>
          <w:p w14:paraId="33CC7A86">
            <w:pPr>
              <w:snapToGrid w:val="0"/>
              <w:spacing w:before="60" w:after="60" w:line="240" w:lineRule="auto"/>
              <w:jc w:val="center"/>
              <w:rPr>
                <w:rFonts w:ascii="Times New Roman"/>
                <w:color w:val="auto"/>
                <w:sz w:val="21"/>
              </w:rPr>
            </w:pPr>
            <w:r>
              <w:rPr>
                <w:rFonts w:hint="eastAsia" w:ascii="Times New Roman"/>
                <w:color w:val="auto"/>
                <w:sz w:val="21"/>
              </w:rPr>
              <w:t>于</w:t>
            </w:r>
            <w:r>
              <w:rPr>
                <w:rFonts w:ascii="Times New Roman"/>
                <w:color w:val="auto"/>
                <w:sz w:val="21"/>
              </w:rPr>
              <w:t>202</w:t>
            </w:r>
            <w:r>
              <w:rPr>
                <w:rFonts w:hint="eastAsia"/>
                <w:color w:val="auto"/>
                <w:sz w:val="21"/>
                <w:lang w:val="en-US" w:eastAsia="zh-CN"/>
              </w:rPr>
              <w:t>1</w:t>
            </w:r>
            <w:r>
              <w:rPr>
                <w:rFonts w:ascii="Times New Roman"/>
                <w:color w:val="auto"/>
                <w:sz w:val="21"/>
              </w:rPr>
              <w:t>年</w:t>
            </w:r>
            <w:r>
              <w:rPr>
                <w:rFonts w:hint="eastAsia"/>
                <w:color w:val="auto"/>
                <w:sz w:val="21"/>
                <w:lang w:val="en-US" w:eastAsia="zh-CN"/>
              </w:rPr>
              <w:t>9</w:t>
            </w:r>
            <w:r>
              <w:rPr>
                <w:rFonts w:ascii="Times New Roman"/>
                <w:color w:val="auto"/>
                <w:sz w:val="21"/>
              </w:rPr>
              <w:t>月通过阶段性</w:t>
            </w:r>
            <w:r>
              <w:rPr>
                <w:rFonts w:hint="eastAsia" w:ascii="Times New Roman"/>
                <w:color w:val="auto"/>
                <w:sz w:val="21"/>
              </w:rPr>
              <w:t>环保自主验收</w:t>
            </w:r>
          </w:p>
        </w:tc>
        <w:tc>
          <w:tcPr>
            <w:tcW w:w="1440" w:type="pct"/>
            <w:tcBorders>
              <w:tl2br w:val="nil"/>
              <w:tr2bl w:val="nil"/>
            </w:tcBorders>
            <w:noWrap w:val="0"/>
            <w:vAlign w:val="center"/>
          </w:tcPr>
          <w:p w14:paraId="688B6AA6">
            <w:pPr>
              <w:snapToGrid w:val="0"/>
              <w:spacing w:before="60" w:after="60" w:line="240" w:lineRule="auto"/>
              <w:jc w:val="center"/>
              <w:rPr>
                <w:rFonts w:hint="eastAsia" w:ascii="Times New Roman" w:eastAsia="宋体"/>
                <w:color w:val="auto"/>
                <w:sz w:val="21"/>
                <w:lang w:eastAsia="zh-CN"/>
              </w:rPr>
            </w:pPr>
            <w:r>
              <w:rPr>
                <w:rFonts w:ascii="Times New Roman"/>
                <w:color w:val="auto"/>
                <w:sz w:val="21"/>
              </w:rPr>
              <w:t>阶段性自主验收总产能</w:t>
            </w:r>
            <w:r>
              <w:rPr>
                <w:rFonts w:hint="eastAsia" w:ascii="Times New Roman"/>
                <w:color w:val="auto"/>
                <w:sz w:val="21"/>
              </w:rPr>
              <w:t>为</w:t>
            </w:r>
            <w:r>
              <w:rPr>
                <w:rFonts w:hint="eastAsia"/>
                <w:color w:val="auto"/>
                <w:sz w:val="21"/>
                <w:lang w:val="en-US" w:eastAsia="zh-CN"/>
              </w:rPr>
              <w:t>5.05万</w:t>
            </w:r>
            <w:r>
              <w:rPr>
                <w:rFonts w:hint="eastAsia" w:ascii="Times New Roman"/>
                <w:color w:val="auto"/>
                <w:sz w:val="21"/>
              </w:rPr>
              <w:t>t/a</w:t>
            </w:r>
            <w:r>
              <w:rPr>
                <w:rFonts w:hint="eastAsia"/>
                <w:color w:val="auto"/>
                <w:sz w:val="21"/>
                <w:lang w:val="en-US" w:eastAsia="zh-CN"/>
              </w:rPr>
              <w:t>再生铝（一期工程）</w:t>
            </w:r>
          </w:p>
        </w:tc>
      </w:tr>
    </w:tbl>
    <w:p w14:paraId="0DCE3F12">
      <w:pPr>
        <w:spacing w:line="360" w:lineRule="auto"/>
        <w:ind w:firstLine="480" w:firstLineChars="200"/>
        <w:rPr>
          <w:color w:val="auto"/>
          <w:sz w:val="24"/>
          <w:szCs w:val="32"/>
        </w:rPr>
      </w:pPr>
    </w:p>
    <w:p w14:paraId="0693E793">
      <w:pPr>
        <w:adjustRightInd w:val="0"/>
        <w:snapToGrid w:val="0"/>
        <w:spacing w:line="360" w:lineRule="auto"/>
        <w:outlineLvl w:val="1"/>
        <w:rPr>
          <w:rFonts w:hint="eastAsia"/>
          <w:b/>
          <w:bCs/>
          <w:color w:val="auto"/>
          <w:sz w:val="28"/>
          <w:szCs w:val="36"/>
        </w:rPr>
      </w:pPr>
      <w:bookmarkStart w:id="254" w:name="_Toc27021"/>
      <w:r>
        <w:rPr>
          <w:rFonts w:hint="eastAsia"/>
          <w:b/>
          <w:bCs/>
          <w:color w:val="auto"/>
          <w:sz w:val="28"/>
          <w:szCs w:val="36"/>
        </w:rPr>
        <w:t>2.</w:t>
      </w:r>
      <w:r>
        <w:rPr>
          <w:rFonts w:hint="eastAsia"/>
          <w:b/>
          <w:bCs/>
          <w:color w:val="auto"/>
          <w:sz w:val="28"/>
          <w:szCs w:val="36"/>
          <w:lang w:val="en-US" w:eastAsia="zh-CN"/>
        </w:rPr>
        <w:t>2</w:t>
      </w:r>
      <w:r>
        <w:rPr>
          <w:rFonts w:hint="eastAsia"/>
          <w:b/>
          <w:bCs/>
          <w:color w:val="auto"/>
          <w:sz w:val="28"/>
          <w:szCs w:val="36"/>
        </w:rPr>
        <w:t xml:space="preserve"> 环评批复及环保措施落实情况</w:t>
      </w:r>
      <w:bookmarkEnd w:id="254"/>
    </w:p>
    <w:p w14:paraId="0FB87F83">
      <w:pPr>
        <w:spacing w:line="360" w:lineRule="auto"/>
        <w:jc w:val="center"/>
        <w:rPr>
          <w:rFonts w:hint="eastAsia" w:eastAsia="宋体"/>
          <w:b/>
          <w:bCs/>
          <w:color w:val="auto"/>
          <w:spacing w:val="6"/>
          <w:sz w:val="24"/>
          <w:lang w:eastAsia="zh-CN"/>
        </w:rPr>
      </w:pPr>
      <w:r>
        <w:rPr>
          <w:b/>
          <w:bCs/>
          <w:color w:val="auto"/>
          <w:spacing w:val="6"/>
          <w:sz w:val="24"/>
        </w:rPr>
        <w:t>表2-</w:t>
      </w:r>
      <w:r>
        <w:rPr>
          <w:rFonts w:hint="eastAsia"/>
          <w:b/>
          <w:bCs/>
          <w:color w:val="auto"/>
          <w:spacing w:val="6"/>
          <w:sz w:val="24"/>
          <w:lang w:val="en-US" w:eastAsia="zh-CN"/>
        </w:rPr>
        <w:t>2</w:t>
      </w:r>
      <w:r>
        <w:rPr>
          <w:b/>
          <w:bCs/>
          <w:color w:val="auto"/>
          <w:spacing w:val="6"/>
          <w:sz w:val="24"/>
        </w:rPr>
        <w:t xml:space="preserve"> 企业环保措施落实情况</w:t>
      </w:r>
      <w:r>
        <w:rPr>
          <w:rFonts w:hint="eastAsia"/>
          <w:b/>
          <w:bCs/>
          <w:color w:val="auto"/>
          <w:spacing w:val="6"/>
          <w:sz w:val="24"/>
          <w:lang w:val="en-US" w:eastAsia="zh-CN"/>
        </w:rPr>
        <w:t>一览</w:t>
      </w:r>
      <w:r>
        <w:rPr>
          <w:b/>
          <w:bCs/>
          <w:color w:val="auto"/>
          <w:spacing w:val="6"/>
          <w:sz w:val="24"/>
        </w:rPr>
        <w:t>表</w:t>
      </w:r>
      <w:r>
        <w:rPr>
          <w:rFonts w:hint="eastAsia"/>
          <w:b/>
          <w:bCs/>
          <w:color w:val="auto"/>
          <w:spacing w:val="6"/>
          <w:sz w:val="24"/>
          <w:lang w:eastAsia="zh-CN"/>
        </w:rPr>
        <w:t>（</w:t>
      </w:r>
      <w:r>
        <w:rPr>
          <w:rFonts w:hint="eastAsia"/>
          <w:b/>
          <w:bCs/>
          <w:color w:val="auto"/>
          <w:spacing w:val="6"/>
          <w:sz w:val="24"/>
          <w:lang w:val="en-US" w:eastAsia="zh-CN"/>
        </w:rPr>
        <w:t>一期工程</w:t>
      </w:r>
      <w:r>
        <w:rPr>
          <w:rFonts w:hint="eastAsia"/>
          <w:b/>
          <w:bCs/>
          <w:color w:val="auto"/>
          <w:spacing w:val="6"/>
          <w:sz w:val="24"/>
          <w:lang w:eastAsia="zh-CN"/>
        </w:rPr>
        <w:t>）</w:t>
      </w:r>
    </w:p>
    <w:tbl>
      <w:tblPr>
        <w:tblStyle w:val="31"/>
        <w:tblW w:w="4979"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897"/>
        <w:gridCol w:w="3547"/>
        <w:gridCol w:w="3201"/>
        <w:gridCol w:w="2275"/>
      </w:tblGrid>
      <w:tr w14:paraId="0754B8A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52" w:type="pct"/>
            <w:tcBorders>
              <w:tl2br w:val="nil"/>
              <w:tr2bl w:val="nil"/>
            </w:tcBorders>
            <w:vAlign w:val="center"/>
          </w:tcPr>
          <w:p w14:paraId="0D5E386E">
            <w:pPr>
              <w:jc w:val="center"/>
              <w:rPr>
                <w:b/>
                <w:bCs/>
                <w:color w:val="auto"/>
                <w:spacing w:val="6"/>
                <w:szCs w:val="21"/>
              </w:rPr>
            </w:pPr>
            <w:r>
              <w:rPr>
                <w:b/>
                <w:bCs/>
                <w:color w:val="auto"/>
                <w:spacing w:val="6"/>
                <w:szCs w:val="21"/>
              </w:rPr>
              <w:t>污染类别</w:t>
            </w:r>
          </w:p>
        </w:tc>
        <w:tc>
          <w:tcPr>
            <w:tcW w:w="1787" w:type="pct"/>
            <w:tcBorders>
              <w:tl2br w:val="nil"/>
              <w:tr2bl w:val="nil"/>
            </w:tcBorders>
            <w:vAlign w:val="center"/>
          </w:tcPr>
          <w:p w14:paraId="1C5A96BB">
            <w:pPr>
              <w:jc w:val="center"/>
              <w:rPr>
                <w:b/>
                <w:bCs/>
                <w:color w:val="auto"/>
                <w:spacing w:val="6"/>
                <w:szCs w:val="21"/>
              </w:rPr>
            </w:pPr>
            <w:r>
              <w:rPr>
                <w:b/>
                <w:bCs/>
                <w:color w:val="auto"/>
                <w:spacing w:val="6"/>
                <w:szCs w:val="21"/>
              </w:rPr>
              <w:t>环评及批复要求</w:t>
            </w:r>
          </w:p>
        </w:tc>
        <w:tc>
          <w:tcPr>
            <w:tcW w:w="1613" w:type="pct"/>
            <w:tcBorders>
              <w:tl2br w:val="nil"/>
              <w:tr2bl w:val="nil"/>
            </w:tcBorders>
            <w:vAlign w:val="center"/>
          </w:tcPr>
          <w:p w14:paraId="59FE8AFC">
            <w:pPr>
              <w:jc w:val="center"/>
              <w:rPr>
                <w:b/>
                <w:bCs/>
                <w:color w:val="auto"/>
                <w:spacing w:val="6"/>
                <w:szCs w:val="21"/>
              </w:rPr>
            </w:pPr>
            <w:r>
              <w:rPr>
                <w:rFonts w:hint="eastAsia"/>
                <w:b/>
                <w:bCs/>
                <w:color w:val="auto"/>
                <w:spacing w:val="6"/>
                <w:szCs w:val="21"/>
                <w:lang w:val="en-US" w:eastAsia="zh-CN"/>
              </w:rPr>
              <w:t>实际建设</w:t>
            </w:r>
            <w:r>
              <w:rPr>
                <w:b/>
                <w:bCs/>
                <w:color w:val="auto"/>
                <w:spacing w:val="6"/>
                <w:szCs w:val="21"/>
              </w:rPr>
              <w:t>情况</w:t>
            </w:r>
          </w:p>
        </w:tc>
        <w:tc>
          <w:tcPr>
            <w:tcW w:w="1146" w:type="pct"/>
            <w:tcBorders>
              <w:tl2br w:val="nil"/>
              <w:tr2bl w:val="nil"/>
            </w:tcBorders>
            <w:vAlign w:val="center"/>
          </w:tcPr>
          <w:p w14:paraId="526D319E">
            <w:pPr>
              <w:jc w:val="center"/>
              <w:rPr>
                <w:rFonts w:hint="default" w:eastAsia="宋体"/>
                <w:b/>
                <w:bCs/>
                <w:color w:val="auto"/>
                <w:spacing w:val="6"/>
                <w:szCs w:val="21"/>
                <w:lang w:val="en-US" w:eastAsia="zh-CN"/>
              </w:rPr>
            </w:pPr>
            <w:r>
              <w:rPr>
                <w:rFonts w:hint="eastAsia"/>
                <w:b/>
                <w:bCs/>
                <w:color w:val="auto"/>
                <w:spacing w:val="6"/>
                <w:szCs w:val="21"/>
                <w:lang w:val="en-US" w:eastAsia="zh-CN"/>
              </w:rPr>
              <w:t>变动内容</w:t>
            </w:r>
          </w:p>
        </w:tc>
      </w:tr>
      <w:tr w14:paraId="788AB5F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6" w:hRule="atLeast"/>
          <w:jc w:val="center"/>
        </w:trPr>
        <w:tc>
          <w:tcPr>
            <w:tcW w:w="452" w:type="pct"/>
            <w:tcBorders>
              <w:tl2br w:val="nil"/>
              <w:tr2bl w:val="nil"/>
            </w:tcBorders>
            <w:vAlign w:val="center"/>
          </w:tcPr>
          <w:p w14:paraId="3F7E5655">
            <w:pPr>
              <w:jc w:val="center"/>
              <w:rPr>
                <w:bCs/>
                <w:color w:val="auto"/>
                <w:spacing w:val="6"/>
                <w:szCs w:val="21"/>
              </w:rPr>
            </w:pPr>
            <w:r>
              <w:rPr>
                <w:bCs/>
                <w:color w:val="auto"/>
                <w:spacing w:val="6"/>
                <w:szCs w:val="21"/>
              </w:rPr>
              <w:t>废气</w:t>
            </w:r>
          </w:p>
        </w:tc>
        <w:tc>
          <w:tcPr>
            <w:tcW w:w="1787" w:type="pct"/>
            <w:tcBorders>
              <w:tl2br w:val="nil"/>
              <w:tr2bl w:val="nil"/>
            </w:tcBorders>
            <w:vAlign w:val="center"/>
          </w:tcPr>
          <w:p w14:paraId="67D0345D">
            <w:pPr>
              <w:pStyle w:val="9"/>
              <w:ind w:firstLine="420" w:firstLineChars="200"/>
              <w:jc w:val="both"/>
              <w:rPr>
                <w:rFonts w:hint="eastAsia"/>
                <w:color w:val="auto"/>
                <w:szCs w:val="21"/>
                <w:highlight w:val="none"/>
              </w:rPr>
            </w:pPr>
            <w:r>
              <w:rPr>
                <w:rFonts w:hint="eastAsia"/>
                <w:color w:val="auto"/>
                <w:szCs w:val="21"/>
                <w:highlight w:val="none"/>
              </w:rPr>
              <w:t>落实车间的污染防治措施，确保车间废气排放满足《大气污染物综合排放标准》</w:t>
            </w:r>
            <w:r>
              <w:rPr>
                <w:rFonts w:hint="eastAsia"/>
                <w:color w:val="auto"/>
                <w:szCs w:val="21"/>
                <w:highlight w:val="none"/>
                <w:lang w:eastAsia="zh-CN"/>
              </w:rPr>
              <w:t>（</w:t>
            </w:r>
            <w:r>
              <w:rPr>
                <w:rFonts w:hint="eastAsia"/>
                <w:color w:val="auto"/>
                <w:szCs w:val="21"/>
                <w:highlight w:val="none"/>
              </w:rPr>
              <w:t>GB16297-1996</w:t>
            </w:r>
            <w:r>
              <w:rPr>
                <w:rFonts w:hint="eastAsia"/>
                <w:color w:val="auto"/>
                <w:szCs w:val="21"/>
                <w:highlight w:val="none"/>
                <w:lang w:eastAsia="zh-CN"/>
              </w:rPr>
              <w:t>）</w:t>
            </w:r>
            <w:r>
              <w:rPr>
                <w:rFonts w:hint="eastAsia"/>
                <w:color w:val="auto"/>
                <w:szCs w:val="21"/>
                <w:highlight w:val="none"/>
              </w:rPr>
              <w:t>及总量控制要求</w:t>
            </w:r>
            <w:r>
              <w:rPr>
                <w:rFonts w:hint="eastAsia"/>
                <w:color w:val="auto"/>
                <w:szCs w:val="21"/>
                <w:highlight w:val="none"/>
                <w:lang w:eastAsia="zh-CN"/>
              </w:rPr>
              <w:t>（</w:t>
            </w:r>
            <w:r>
              <w:rPr>
                <w:rFonts w:hint="eastAsia"/>
                <w:color w:val="auto"/>
                <w:szCs w:val="21"/>
                <w:highlight w:val="none"/>
              </w:rPr>
              <w:t>二氧化硫</w:t>
            </w:r>
            <w:r>
              <w:rPr>
                <w:rFonts w:hint="eastAsia"/>
                <w:color w:val="auto"/>
                <w:szCs w:val="21"/>
                <w:highlight w:val="none"/>
                <w:lang w:eastAsia="zh-CN"/>
              </w:rPr>
              <w:t>：</w:t>
            </w:r>
            <w:r>
              <w:rPr>
                <w:rFonts w:hint="eastAsia"/>
                <w:color w:val="auto"/>
                <w:szCs w:val="21"/>
                <w:highlight w:val="none"/>
              </w:rPr>
              <w:t>0.5</w:t>
            </w:r>
            <w:r>
              <w:rPr>
                <w:rFonts w:hint="eastAsia"/>
                <w:color w:val="auto"/>
                <w:szCs w:val="21"/>
                <w:highlight w:val="none"/>
                <w:lang w:val="en-US" w:eastAsia="zh-CN"/>
              </w:rPr>
              <w:t>吨</w:t>
            </w:r>
            <w:r>
              <w:rPr>
                <w:rFonts w:hint="eastAsia"/>
                <w:color w:val="auto"/>
                <w:szCs w:val="21"/>
                <w:highlight w:val="none"/>
              </w:rPr>
              <w:t>/年，氮氧化物</w:t>
            </w:r>
            <w:r>
              <w:rPr>
                <w:rFonts w:hint="eastAsia"/>
                <w:color w:val="auto"/>
                <w:szCs w:val="21"/>
                <w:highlight w:val="none"/>
                <w:lang w:eastAsia="zh-CN"/>
              </w:rPr>
              <w:t>：</w:t>
            </w:r>
            <w:r>
              <w:rPr>
                <w:rFonts w:hint="eastAsia"/>
                <w:color w:val="auto"/>
                <w:szCs w:val="21"/>
                <w:highlight w:val="none"/>
              </w:rPr>
              <w:t>16.46吨/年</w:t>
            </w:r>
            <w:r>
              <w:rPr>
                <w:rFonts w:hint="eastAsia"/>
                <w:color w:val="auto"/>
                <w:szCs w:val="21"/>
                <w:highlight w:val="none"/>
                <w:lang w:eastAsia="zh-CN"/>
              </w:rPr>
              <w:t>）</w:t>
            </w:r>
            <w:r>
              <w:rPr>
                <w:rFonts w:hint="eastAsia"/>
                <w:color w:val="auto"/>
                <w:szCs w:val="21"/>
                <w:highlight w:val="none"/>
              </w:rPr>
              <w:t>的要求。卫生防护距离</w:t>
            </w:r>
            <w:r>
              <w:rPr>
                <w:rFonts w:hint="eastAsia"/>
                <w:color w:val="auto"/>
                <w:szCs w:val="21"/>
                <w:highlight w:val="none"/>
                <w:lang w:eastAsia="zh-CN"/>
              </w:rPr>
              <w:t>（</w:t>
            </w:r>
            <w:r>
              <w:rPr>
                <w:rFonts w:hint="eastAsia"/>
                <w:color w:val="auto"/>
                <w:szCs w:val="21"/>
                <w:highlight w:val="none"/>
              </w:rPr>
              <w:t>一期生产车间、期生产车间边界外100m</w:t>
            </w:r>
            <w:r>
              <w:rPr>
                <w:rFonts w:hint="eastAsia"/>
                <w:color w:val="auto"/>
                <w:szCs w:val="21"/>
                <w:highlight w:val="none"/>
                <w:lang w:eastAsia="zh-CN"/>
              </w:rPr>
              <w:t>；</w:t>
            </w:r>
            <w:r>
              <w:rPr>
                <w:rFonts w:hint="eastAsia"/>
                <w:color w:val="auto"/>
                <w:szCs w:val="21"/>
                <w:highlight w:val="none"/>
              </w:rPr>
              <w:t>一期炒灰房、二期的重复利用率</w:t>
            </w:r>
            <w:r>
              <w:rPr>
                <w:rFonts w:hint="eastAsia"/>
                <w:color w:val="auto"/>
                <w:szCs w:val="21"/>
                <w:highlight w:val="none"/>
                <w:lang w:eastAsia="zh-CN"/>
              </w:rPr>
              <w:t>）</w:t>
            </w:r>
            <w:r>
              <w:rPr>
                <w:rFonts w:hint="eastAsia"/>
                <w:color w:val="auto"/>
                <w:szCs w:val="21"/>
                <w:highlight w:val="none"/>
              </w:rPr>
              <w:t>。</w:t>
            </w:r>
          </w:p>
          <w:p w14:paraId="4117AA1F">
            <w:pPr>
              <w:pStyle w:val="9"/>
              <w:ind w:firstLine="420" w:firstLineChars="200"/>
              <w:jc w:val="both"/>
              <w:rPr>
                <w:rFonts w:hint="eastAsia" w:eastAsia="宋体"/>
                <w:color w:val="auto"/>
                <w:szCs w:val="21"/>
                <w:lang w:val="en-US" w:eastAsia="zh-CN"/>
              </w:rPr>
            </w:pPr>
            <w:r>
              <w:rPr>
                <w:rFonts w:hint="eastAsia"/>
                <w:color w:val="auto"/>
                <w:szCs w:val="21"/>
                <w:highlight w:val="none"/>
                <w:lang w:val="en-US" w:eastAsia="zh-CN"/>
              </w:rPr>
              <w:t>原环评中设置2套“旋风除尘+布袋除尘+碱喷淋”装置，用于处理</w:t>
            </w:r>
            <w:r>
              <w:rPr>
                <w:color w:val="auto"/>
              </w:rPr>
              <w:t>熔炼烟气净化系统</w:t>
            </w:r>
            <w:r>
              <w:rPr>
                <w:rFonts w:hint="eastAsia"/>
                <w:color w:val="auto"/>
                <w:lang w:val="en-US" w:eastAsia="zh-CN"/>
              </w:rPr>
              <w:t>废气和</w:t>
            </w:r>
            <w:r>
              <w:rPr>
                <w:color w:val="auto"/>
              </w:rPr>
              <w:t>铝渣处理系统</w:t>
            </w:r>
            <w:r>
              <w:rPr>
                <w:rFonts w:hint="eastAsia"/>
                <w:color w:val="auto"/>
                <w:lang w:val="en-US" w:eastAsia="zh-CN"/>
              </w:rPr>
              <w:t>废气。</w:t>
            </w:r>
          </w:p>
        </w:tc>
        <w:tc>
          <w:tcPr>
            <w:tcW w:w="1613" w:type="pct"/>
            <w:tcBorders>
              <w:tl2br w:val="nil"/>
              <w:tr2bl w:val="nil"/>
            </w:tcBorders>
            <w:vAlign w:val="center"/>
          </w:tcPr>
          <w:p w14:paraId="1050EA82">
            <w:pPr>
              <w:ind w:firstLine="444" w:firstLineChars="200"/>
              <w:jc w:val="both"/>
              <w:rPr>
                <w:rFonts w:hint="eastAsia"/>
                <w:color w:val="auto"/>
                <w:szCs w:val="21"/>
                <w:lang w:val="en-US" w:eastAsia="zh-CN"/>
              </w:rPr>
            </w:pPr>
            <w:r>
              <w:rPr>
                <w:rFonts w:hint="eastAsia"/>
                <w:bCs/>
                <w:color w:val="auto"/>
                <w:spacing w:val="6"/>
                <w:szCs w:val="21"/>
                <w:lang w:val="en-US" w:eastAsia="zh-CN"/>
              </w:rPr>
              <w:t>项目实际废气处理工艺为“SNCR+烟气急冷+活性炭喷粉+</w:t>
            </w:r>
            <w:r>
              <w:rPr>
                <w:rFonts w:hint="eastAsia"/>
                <w:color w:val="auto"/>
                <w:szCs w:val="21"/>
                <w:lang w:val="en-US" w:eastAsia="zh-CN"/>
              </w:rPr>
              <w:t>重力沉降除尘</w:t>
            </w:r>
            <w:r>
              <w:rPr>
                <w:color w:val="auto"/>
                <w:szCs w:val="21"/>
              </w:rPr>
              <w:t>器</w:t>
            </w:r>
            <w:r>
              <w:rPr>
                <w:rFonts w:hint="eastAsia"/>
                <w:color w:val="auto"/>
                <w:szCs w:val="21"/>
              </w:rPr>
              <w:t>+</w:t>
            </w:r>
            <w:r>
              <w:rPr>
                <w:color w:val="auto"/>
                <w:szCs w:val="21"/>
              </w:rPr>
              <w:t>布袋除尘器</w:t>
            </w:r>
            <w:r>
              <w:rPr>
                <w:rFonts w:hint="eastAsia"/>
                <w:color w:val="auto"/>
                <w:szCs w:val="21"/>
              </w:rPr>
              <w:t>+碱喷淋</w:t>
            </w:r>
            <w:r>
              <w:rPr>
                <w:rFonts w:hint="eastAsia"/>
                <w:color w:val="auto"/>
                <w:szCs w:val="21"/>
                <w:lang w:eastAsia="zh-CN"/>
              </w:rPr>
              <w:t>”</w:t>
            </w:r>
            <w:r>
              <w:rPr>
                <w:rFonts w:hint="eastAsia"/>
                <w:color w:val="auto"/>
                <w:szCs w:val="21"/>
                <w:lang w:val="en-US" w:eastAsia="zh-CN"/>
              </w:rPr>
              <w:t>处理，处理后由1根24.5m高（DA001）排气筒排放；</w:t>
            </w:r>
          </w:p>
          <w:p w14:paraId="2812A4BB">
            <w:pPr>
              <w:ind w:firstLine="420" w:firstLineChars="200"/>
              <w:jc w:val="both"/>
              <w:rPr>
                <w:rFonts w:hint="eastAsia" w:eastAsia="宋体"/>
                <w:bCs/>
                <w:color w:val="auto"/>
                <w:spacing w:val="6"/>
                <w:szCs w:val="21"/>
                <w:lang w:val="en-US" w:eastAsia="zh-CN"/>
              </w:rPr>
            </w:pPr>
            <w:r>
              <w:rPr>
                <w:rFonts w:hint="eastAsia"/>
                <w:color w:val="auto"/>
                <w:szCs w:val="21"/>
                <w:lang w:val="en-US" w:eastAsia="zh-CN"/>
              </w:rPr>
              <w:t>项目危废库铝灰暂存过程中产生氨气经收集后采用一级水喷淋装置处理，处理后由1根15m高（DA002）排气筒排放</w:t>
            </w:r>
            <w:r>
              <w:rPr>
                <w:rFonts w:hint="eastAsia" w:eastAsia="宋体"/>
                <w:bCs/>
                <w:color w:val="auto"/>
                <w:spacing w:val="6"/>
                <w:szCs w:val="21"/>
                <w:lang w:val="en-US" w:eastAsia="zh-CN"/>
              </w:rPr>
              <w:t>。</w:t>
            </w:r>
          </w:p>
        </w:tc>
        <w:tc>
          <w:tcPr>
            <w:tcW w:w="1146" w:type="pct"/>
            <w:tcBorders>
              <w:tl2br w:val="nil"/>
              <w:tr2bl w:val="nil"/>
            </w:tcBorders>
            <w:vAlign w:val="center"/>
          </w:tcPr>
          <w:p w14:paraId="45A14310">
            <w:pPr>
              <w:jc w:val="both"/>
              <w:rPr>
                <w:rFonts w:hint="default" w:eastAsia="宋体"/>
                <w:bCs/>
                <w:color w:val="auto"/>
                <w:spacing w:val="6"/>
                <w:szCs w:val="21"/>
                <w:lang w:val="en-US" w:eastAsia="zh-CN"/>
              </w:rPr>
            </w:pPr>
            <w:r>
              <w:rPr>
                <w:rFonts w:hint="eastAsia"/>
                <w:color w:val="auto"/>
                <w:szCs w:val="21"/>
                <w:lang w:val="en-US" w:eastAsia="zh-CN"/>
              </w:rPr>
              <w:t>项目实际建设1套废气处理设施，处理工艺为</w:t>
            </w:r>
            <w:r>
              <w:rPr>
                <w:rFonts w:hint="eastAsia"/>
                <w:color w:val="auto"/>
                <w:szCs w:val="21"/>
                <w:lang w:eastAsia="zh-CN"/>
              </w:rPr>
              <w:t>“</w:t>
            </w:r>
            <w:r>
              <w:rPr>
                <w:rFonts w:hint="eastAsia"/>
                <w:color w:val="auto"/>
                <w:szCs w:val="21"/>
                <w:lang w:val="en-US" w:eastAsia="zh-CN"/>
              </w:rPr>
              <w:t>SNCR+</w:t>
            </w:r>
            <w:r>
              <w:rPr>
                <w:rFonts w:hint="eastAsia"/>
                <w:bCs/>
                <w:color w:val="auto"/>
                <w:spacing w:val="6"/>
                <w:szCs w:val="21"/>
                <w:lang w:val="en-US" w:eastAsia="zh-CN"/>
              </w:rPr>
              <w:t>烟气急冷</w:t>
            </w:r>
            <w:r>
              <w:rPr>
                <w:rFonts w:hint="eastAsia"/>
                <w:color w:val="auto"/>
                <w:szCs w:val="21"/>
                <w:lang w:val="en-US" w:eastAsia="zh-CN"/>
              </w:rPr>
              <w:t>+活性炭喷粉+重力沉降</w:t>
            </w:r>
            <w:r>
              <w:rPr>
                <w:color w:val="auto"/>
                <w:szCs w:val="21"/>
              </w:rPr>
              <w:t>除尘器</w:t>
            </w:r>
            <w:r>
              <w:rPr>
                <w:rFonts w:hint="eastAsia"/>
                <w:color w:val="auto"/>
                <w:szCs w:val="21"/>
              </w:rPr>
              <w:t>+</w:t>
            </w:r>
            <w:r>
              <w:rPr>
                <w:color w:val="auto"/>
                <w:szCs w:val="21"/>
              </w:rPr>
              <w:t>布袋除尘器</w:t>
            </w:r>
            <w:r>
              <w:rPr>
                <w:rFonts w:hint="eastAsia"/>
                <w:color w:val="auto"/>
                <w:szCs w:val="21"/>
              </w:rPr>
              <w:t>+碱喷淋</w:t>
            </w:r>
            <w:r>
              <w:rPr>
                <w:rFonts w:hint="eastAsia"/>
                <w:color w:val="auto"/>
                <w:szCs w:val="21"/>
                <w:lang w:eastAsia="zh-CN"/>
              </w:rPr>
              <w:t>”</w:t>
            </w:r>
            <w:r>
              <w:rPr>
                <w:rFonts w:hint="eastAsia"/>
                <w:color w:val="auto"/>
                <w:szCs w:val="21"/>
                <w:lang w:val="en-US" w:eastAsia="zh-CN"/>
              </w:rPr>
              <w:t>处理设施</w:t>
            </w:r>
            <w:r>
              <w:rPr>
                <w:rFonts w:hint="eastAsia"/>
                <w:bCs/>
                <w:color w:val="auto"/>
                <w:spacing w:val="6"/>
                <w:szCs w:val="21"/>
                <w:lang w:val="en-US" w:eastAsia="zh-CN"/>
              </w:rPr>
              <w:t>；</w:t>
            </w:r>
            <w:r>
              <w:rPr>
                <w:rFonts w:hint="eastAsia"/>
                <w:color w:val="auto"/>
                <w:szCs w:val="21"/>
                <w:lang w:val="en-US" w:eastAsia="zh-CN"/>
              </w:rPr>
              <w:t>铝灰暂存废气由无组织排放改为有组织排放，治理措施为“一级水喷淋”。</w:t>
            </w:r>
          </w:p>
        </w:tc>
      </w:tr>
      <w:tr w14:paraId="7DBEFEA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52" w:type="pct"/>
            <w:tcBorders>
              <w:tl2br w:val="nil"/>
              <w:tr2bl w:val="nil"/>
            </w:tcBorders>
            <w:vAlign w:val="center"/>
          </w:tcPr>
          <w:p w14:paraId="008441BB">
            <w:pPr>
              <w:jc w:val="center"/>
              <w:rPr>
                <w:bCs/>
                <w:color w:val="auto"/>
                <w:spacing w:val="6"/>
                <w:szCs w:val="21"/>
              </w:rPr>
            </w:pPr>
            <w:r>
              <w:rPr>
                <w:bCs/>
                <w:color w:val="auto"/>
                <w:spacing w:val="6"/>
                <w:szCs w:val="21"/>
              </w:rPr>
              <w:t>废水</w:t>
            </w:r>
          </w:p>
        </w:tc>
        <w:tc>
          <w:tcPr>
            <w:tcW w:w="1787" w:type="pct"/>
            <w:tcBorders>
              <w:tl2br w:val="nil"/>
              <w:tr2bl w:val="nil"/>
            </w:tcBorders>
            <w:vAlign w:val="center"/>
          </w:tcPr>
          <w:p w14:paraId="4A990E08">
            <w:pPr>
              <w:ind w:firstLine="444" w:firstLineChars="200"/>
              <w:jc w:val="both"/>
              <w:rPr>
                <w:rFonts w:hint="eastAsia" w:eastAsia="宋体"/>
                <w:bCs/>
                <w:color w:val="auto"/>
                <w:spacing w:val="6"/>
                <w:szCs w:val="21"/>
                <w:lang w:eastAsia="zh-CN"/>
              </w:rPr>
            </w:pPr>
            <w:r>
              <w:rPr>
                <w:rFonts w:hint="eastAsia"/>
                <w:bCs/>
                <w:color w:val="auto"/>
                <w:spacing w:val="6"/>
                <w:szCs w:val="21"/>
              </w:rPr>
              <w:t>原则同意《报告书》提出的污水处理方案，生产废水不外排</w:t>
            </w:r>
            <w:r>
              <w:rPr>
                <w:rFonts w:hint="eastAsia"/>
                <w:bCs/>
                <w:color w:val="auto"/>
                <w:spacing w:val="6"/>
                <w:szCs w:val="21"/>
                <w:lang w:eastAsia="zh-CN"/>
              </w:rPr>
              <w:t>；</w:t>
            </w:r>
            <w:r>
              <w:rPr>
                <w:rFonts w:hint="eastAsia"/>
                <w:bCs/>
                <w:color w:val="auto"/>
                <w:spacing w:val="6"/>
                <w:szCs w:val="21"/>
              </w:rPr>
              <w:t>循环冷</w:t>
            </w:r>
            <w:r>
              <w:rPr>
                <w:rFonts w:hint="eastAsia"/>
                <w:bCs/>
                <w:color w:val="auto"/>
                <w:spacing w:val="6"/>
                <w:szCs w:val="21"/>
                <w:lang w:val="en-US" w:eastAsia="zh-CN"/>
              </w:rPr>
              <w:t>却</w:t>
            </w:r>
            <w:r>
              <w:rPr>
                <w:rFonts w:hint="eastAsia"/>
                <w:bCs/>
                <w:color w:val="auto"/>
                <w:spacing w:val="6"/>
                <w:szCs w:val="21"/>
              </w:rPr>
              <w:t>水用于绿化</w:t>
            </w:r>
            <w:r>
              <w:rPr>
                <w:rFonts w:hint="eastAsia"/>
                <w:bCs/>
                <w:color w:val="auto"/>
                <w:spacing w:val="6"/>
                <w:szCs w:val="21"/>
                <w:lang w:eastAsia="zh-CN"/>
              </w:rPr>
              <w:t>；</w:t>
            </w:r>
            <w:r>
              <w:rPr>
                <w:rFonts w:hint="eastAsia"/>
                <w:bCs/>
                <w:color w:val="auto"/>
                <w:spacing w:val="6"/>
                <w:szCs w:val="21"/>
              </w:rPr>
              <w:t>生活污水经化粪池、食堂废水经隔油池满足《污水综合排放标准》</w:t>
            </w:r>
            <w:r>
              <w:rPr>
                <w:rFonts w:hint="eastAsia"/>
                <w:bCs/>
                <w:color w:val="auto"/>
                <w:spacing w:val="6"/>
                <w:szCs w:val="21"/>
                <w:lang w:eastAsia="zh-CN"/>
              </w:rPr>
              <w:t>（</w:t>
            </w:r>
            <w:r>
              <w:rPr>
                <w:rFonts w:hint="eastAsia"/>
                <w:bCs/>
                <w:color w:val="auto"/>
                <w:spacing w:val="6"/>
                <w:szCs w:val="21"/>
              </w:rPr>
              <w:t>GB8978-1996</w:t>
            </w:r>
            <w:r>
              <w:rPr>
                <w:rFonts w:hint="eastAsia"/>
                <w:bCs/>
                <w:color w:val="auto"/>
                <w:spacing w:val="6"/>
                <w:szCs w:val="21"/>
                <w:lang w:eastAsia="zh-CN"/>
              </w:rPr>
              <w:t>）</w:t>
            </w:r>
            <w:r>
              <w:rPr>
                <w:rFonts w:hint="eastAsia"/>
                <w:bCs/>
                <w:color w:val="auto"/>
                <w:spacing w:val="6"/>
                <w:szCs w:val="21"/>
              </w:rPr>
              <w:t>中三级标准及接管要求后排入污水管网进入滩溪县第二污水处理厂集中处理</w:t>
            </w:r>
            <w:r>
              <w:rPr>
                <w:rFonts w:hint="eastAsia"/>
                <w:bCs/>
                <w:color w:val="auto"/>
                <w:spacing w:val="6"/>
                <w:szCs w:val="21"/>
                <w:lang w:eastAsia="zh-CN"/>
              </w:rPr>
              <w:t>。</w:t>
            </w:r>
          </w:p>
        </w:tc>
        <w:tc>
          <w:tcPr>
            <w:tcW w:w="1613" w:type="pct"/>
            <w:tcBorders>
              <w:tl2br w:val="nil"/>
              <w:tr2bl w:val="nil"/>
            </w:tcBorders>
            <w:vAlign w:val="center"/>
          </w:tcPr>
          <w:p w14:paraId="1A5DD7F8">
            <w:pPr>
              <w:pStyle w:val="9"/>
              <w:spacing w:after="0"/>
              <w:ind w:firstLine="420" w:firstLineChars="200"/>
              <w:jc w:val="both"/>
              <w:rPr>
                <w:rFonts w:hint="eastAsia" w:eastAsia="宋体"/>
                <w:color w:val="auto"/>
                <w:szCs w:val="21"/>
                <w:lang w:val="en-US" w:eastAsia="zh-CN"/>
              </w:rPr>
            </w:pPr>
            <w:r>
              <w:rPr>
                <w:color w:val="auto"/>
                <w:szCs w:val="21"/>
              </w:rPr>
              <w:t>已落实。</w:t>
            </w:r>
            <w:r>
              <w:rPr>
                <w:rFonts w:hint="eastAsia"/>
                <w:color w:val="auto"/>
                <w:szCs w:val="21"/>
                <w:lang w:val="en-US" w:eastAsia="zh-CN"/>
              </w:rPr>
              <w:t>项目无生产废水外排，项目采用“雨污分流、清污分流”系统。循环冷却水回用于生产，不外排；生活污水经化粪池处理后排入开发区污水管网</w:t>
            </w:r>
            <w:r>
              <w:rPr>
                <w:rFonts w:hint="eastAsia"/>
                <w:bCs/>
                <w:color w:val="auto"/>
                <w:spacing w:val="6"/>
                <w:szCs w:val="21"/>
              </w:rPr>
              <w:t>进入滩溪县第二污水处理厂集中处理</w:t>
            </w:r>
            <w:r>
              <w:rPr>
                <w:rFonts w:hint="eastAsia"/>
                <w:bCs/>
                <w:color w:val="auto"/>
                <w:spacing w:val="6"/>
                <w:szCs w:val="21"/>
                <w:lang w:eastAsia="zh-CN"/>
              </w:rPr>
              <w:t>。</w:t>
            </w:r>
          </w:p>
        </w:tc>
        <w:tc>
          <w:tcPr>
            <w:tcW w:w="1146" w:type="pct"/>
            <w:tcBorders>
              <w:tl2br w:val="nil"/>
              <w:tr2bl w:val="nil"/>
            </w:tcBorders>
            <w:vAlign w:val="center"/>
          </w:tcPr>
          <w:p w14:paraId="6DEE1D2D">
            <w:pPr>
              <w:pStyle w:val="9"/>
              <w:spacing w:after="0"/>
              <w:jc w:val="center"/>
              <w:rPr>
                <w:rFonts w:hint="eastAsia" w:eastAsia="宋体"/>
                <w:color w:val="auto"/>
                <w:szCs w:val="21"/>
                <w:lang w:eastAsia="zh-CN"/>
              </w:rPr>
            </w:pPr>
            <w:r>
              <w:rPr>
                <w:rFonts w:hint="eastAsia"/>
                <w:color w:val="auto"/>
                <w:szCs w:val="21"/>
                <w:lang w:val="en-US" w:eastAsia="zh-CN"/>
              </w:rPr>
              <w:t>/</w:t>
            </w:r>
          </w:p>
        </w:tc>
      </w:tr>
      <w:tr w14:paraId="04151D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52" w:type="pct"/>
            <w:tcBorders>
              <w:tl2br w:val="nil"/>
              <w:tr2bl w:val="nil"/>
            </w:tcBorders>
            <w:vAlign w:val="center"/>
          </w:tcPr>
          <w:p w14:paraId="693BF3BE">
            <w:pPr>
              <w:jc w:val="center"/>
              <w:rPr>
                <w:bCs/>
                <w:color w:val="auto"/>
                <w:spacing w:val="6"/>
                <w:szCs w:val="21"/>
              </w:rPr>
            </w:pPr>
            <w:r>
              <w:rPr>
                <w:bCs/>
                <w:color w:val="auto"/>
                <w:spacing w:val="6"/>
                <w:szCs w:val="21"/>
              </w:rPr>
              <w:t>噪声</w:t>
            </w:r>
          </w:p>
        </w:tc>
        <w:tc>
          <w:tcPr>
            <w:tcW w:w="1787" w:type="pct"/>
            <w:tcBorders>
              <w:tl2br w:val="nil"/>
              <w:tr2bl w:val="nil"/>
            </w:tcBorders>
            <w:vAlign w:val="center"/>
          </w:tcPr>
          <w:p w14:paraId="2CA13893">
            <w:pPr>
              <w:ind w:firstLine="444" w:firstLineChars="200"/>
              <w:jc w:val="both"/>
              <w:rPr>
                <w:rFonts w:hint="eastAsia" w:eastAsia="宋体"/>
                <w:bCs/>
                <w:color w:val="auto"/>
                <w:spacing w:val="6"/>
                <w:szCs w:val="21"/>
                <w:lang w:eastAsia="zh-CN"/>
              </w:rPr>
            </w:pPr>
            <w:r>
              <w:rPr>
                <w:rFonts w:hint="eastAsia"/>
                <w:bCs/>
                <w:color w:val="auto"/>
                <w:spacing w:val="6"/>
                <w:szCs w:val="21"/>
              </w:rPr>
              <w:t>优化厂区平面布置，合理布置高噪声设备</w:t>
            </w:r>
            <w:r>
              <w:rPr>
                <w:rFonts w:hint="eastAsia"/>
                <w:bCs/>
                <w:color w:val="auto"/>
                <w:spacing w:val="6"/>
                <w:szCs w:val="21"/>
                <w:lang w:eastAsia="zh-CN"/>
              </w:rPr>
              <w:t>；</w:t>
            </w:r>
            <w:r>
              <w:rPr>
                <w:rFonts w:hint="eastAsia"/>
                <w:bCs/>
                <w:color w:val="auto"/>
                <w:spacing w:val="6"/>
                <w:szCs w:val="21"/>
              </w:rPr>
              <w:t>选用低噪声设备、采取消音、隔声、吸声、减振等措施进行噪声治理</w:t>
            </w:r>
            <w:r>
              <w:rPr>
                <w:rFonts w:hint="eastAsia"/>
                <w:bCs/>
                <w:color w:val="auto"/>
                <w:spacing w:val="6"/>
                <w:szCs w:val="21"/>
                <w:lang w:eastAsia="zh-CN"/>
              </w:rPr>
              <w:t>。</w:t>
            </w:r>
          </w:p>
        </w:tc>
        <w:tc>
          <w:tcPr>
            <w:tcW w:w="1613" w:type="pct"/>
            <w:tcBorders>
              <w:tl2br w:val="nil"/>
              <w:tr2bl w:val="nil"/>
            </w:tcBorders>
            <w:vAlign w:val="center"/>
          </w:tcPr>
          <w:p w14:paraId="4EA60D56">
            <w:pPr>
              <w:widowControl/>
              <w:ind w:firstLine="444" w:firstLineChars="200"/>
              <w:rPr>
                <w:bCs/>
                <w:color w:val="auto"/>
                <w:spacing w:val="6"/>
                <w:szCs w:val="21"/>
              </w:rPr>
            </w:pPr>
            <w:r>
              <w:rPr>
                <w:bCs/>
                <w:color w:val="auto"/>
                <w:spacing w:val="6"/>
                <w:szCs w:val="21"/>
              </w:rPr>
              <w:t>已落实。</w:t>
            </w:r>
            <w:r>
              <w:rPr>
                <w:color w:val="auto"/>
                <w:kern w:val="0"/>
                <w:szCs w:val="21"/>
                <w:lang w:bidi="ar"/>
              </w:rPr>
              <w:t>项目考虑了噪声的综合治理，除尽量选用低噪声机电设备外，对车间及厂区布置进行了优化，对高噪设备主要采取了消声、隔声、减振等常规治理措施。。</w:t>
            </w:r>
            <w:r>
              <w:rPr>
                <w:bCs/>
                <w:color w:val="auto"/>
                <w:spacing w:val="6"/>
                <w:szCs w:val="21"/>
              </w:rPr>
              <w:t>厂界噪声</w:t>
            </w:r>
            <w:r>
              <w:rPr>
                <w:color w:val="auto"/>
                <w:kern w:val="0"/>
                <w:szCs w:val="21"/>
                <w:lang w:bidi="ar"/>
              </w:rPr>
              <w:t>能够满足</w:t>
            </w:r>
            <w:r>
              <w:rPr>
                <w:bCs/>
                <w:color w:val="auto"/>
                <w:spacing w:val="6"/>
                <w:szCs w:val="21"/>
              </w:rPr>
              <w:t>《工业企业厂界环境噪声排放标准》（GB12348-2008）3类区要求。</w:t>
            </w:r>
          </w:p>
        </w:tc>
        <w:tc>
          <w:tcPr>
            <w:tcW w:w="1146" w:type="pct"/>
            <w:tcBorders>
              <w:tl2br w:val="nil"/>
              <w:tr2bl w:val="nil"/>
            </w:tcBorders>
            <w:vAlign w:val="center"/>
          </w:tcPr>
          <w:p w14:paraId="351C4FB5">
            <w:pPr>
              <w:widowControl/>
              <w:jc w:val="center"/>
              <w:rPr>
                <w:bCs/>
                <w:color w:val="auto"/>
                <w:spacing w:val="6"/>
                <w:szCs w:val="21"/>
              </w:rPr>
            </w:pPr>
            <w:r>
              <w:rPr>
                <w:rFonts w:hint="eastAsia"/>
                <w:bCs/>
                <w:color w:val="auto"/>
                <w:spacing w:val="6"/>
                <w:szCs w:val="21"/>
              </w:rPr>
              <w:t>/</w:t>
            </w:r>
          </w:p>
        </w:tc>
      </w:tr>
      <w:tr w14:paraId="63F77F5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52" w:type="pct"/>
            <w:tcBorders>
              <w:tl2br w:val="nil"/>
              <w:tr2bl w:val="nil"/>
            </w:tcBorders>
            <w:vAlign w:val="center"/>
          </w:tcPr>
          <w:p w14:paraId="44701616">
            <w:pPr>
              <w:jc w:val="center"/>
              <w:rPr>
                <w:bCs/>
                <w:color w:val="auto"/>
                <w:spacing w:val="6"/>
                <w:szCs w:val="21"/>
              </w:rPr>
            </w:pPr>
            <w:r>
              <w:rPr>
                <w:bCs/>
                <w:color w:val="auto"/>
                <w:spacing w:val="6"/>
                <w:szCs w:val="21"/>
              </w:rPr>
              <w:t>固废</w:t>
            </w:r>
          </w:p>
        </w:tc>
        <w:tc>
          <w:tcPr>
            <w:tcW w:w="1787" w:type="pct"/>
            <w:tcBorders>
              <w:tl2br w:val="nil"/>
              <w:tr2bl w:val="nil"/>
            </w:tcBorders>
          </w:tcPr>
          <w:p w14:paraId="382679A6">
            <w:pPr>
              <w:rPr>
                <w:bCs/>
                <w:color w:val="auto"/>
                <w:spacing w:val="6"/>
                <w:szCs w:val="21"/>
              </w:rPr>
            </w:pPr>
            <w:r>
              <w:rPr>
                <w:rFonts w:hint="eastAsia"/>
                <w:bCs/>
                <w:color w:val="auto"/>
                <w:spacing w:val="6"/>
                <w:szCs w:val="21"/>
              </w:rPr>
              <w:t>强化固废在产生、收集、贮运各环节的管理，采取有效地防护措施，加强固体废弃物的环境管理工作</w:t>
            </w:r>
            <w:r>
              <w:rPr>
                <w:rFonts w:hint="eastAsia"/>
                <w:bCs/>
                <w:color w:val="auto"/>
                <w:spacing w:val="6"/>
                <w:szCs w:val="21"/>
                <w:lang w:eastAsia="zh-CN"/>
              </w:rPr>
              <w:t>；</w:t>
            </w:r>
            <w:r>
              <w:rPr>
                <w:rFonts w:hint="eastAsia"/>
                <w:bCs/>
                <w:color w:val="auto"/>
                <w:spacing w:val="6"/>
                <w:szCs w:val="21"/>
              </w:rPr>
              <w:t>废铁、塑料等杂质、废气碱喷淋的盐渣、废分子筛等收集后外售</w:t>
            </w:r>
            <w:r>
              <w:rPr>
                <w:rFonts w:hint="eastAsia"/>
                <w:bCs/>
                <w:color w:val="auto"/>
                <w:spacing w:val="6"/>
                <w:szCs w:val="21"/>
                <w:lang w:eastAsia="zh-CN"/>
              </w:rPr>
              <w:t>；</w:t>
            </w:r>
            <w:r>
              <w:rPr>
                <w:rFonts w:hint="eastAsia"/>
                <w:bCs/>
                <w:color w:val="auto"/>
                <w:spacing w:val="6"/>
                <w:szCs w:val="21"/>
              </w:rPr>
              <w:t>铝灰、除尘灰作为水泥厂生产原料外售;加强对废活性炭等危险废物的管理，并按相关规定进行转贮存、转移</w:t>
            </w:r>
            <w:r>
              <w:rPr>
                <w:rFonts w:hint="eastAsia"/>
                <w:bCs/>
                <w:color w:val="auto"/>
                <w:spacing w:val="6"/>
                <w:szCs w:val="21"/>
                <w:lang w:eastAsia="zh-CN"/>
              </w:rPr>
              <w:t>；</w:t>
            </w:r>
            <w:r>
              <w:rPr>
                <w:rFonts w:hint="eastAsia"/>
                <w:bCs/>
                <w:color w:val="auto"/>
                <w:spacing w:val="6"/>
                <w:szCs w:val="21"/>
              </w:rPr>
              <w:t>生活垃圾集中收集后处置。</w:t>
            </w:r>
          </w:p>
        </w:tc>
        <w:tc>
          <w:tcPr>
            <w:tcW w:w="1613" w:type="pct"/>
            <w:tcBorders>
              <w:tl2br w:val="nil"/>
              <w:tr2bl w:val="nil"/>
            </w:tcBorders>
            <w:vAlign w:val="center"/>
          </w:tcPr>
          <w:p w14:paraId="7D950044">
            <w:pPr>
              <w:widowControl/>
              <w:ind w:firstLine="444" w:firstLineChars="200"/>
              <w:rPr>
                <w:color w:val="auto"/>
                <w:szCs w:val="21"/>
              </w:rPr>
            </w:pPr>
            <w:r>
              <w:rPr>
                <w:bCs/>
                <w:color w:val="auto"/>
                <w:spacing w:val="6"/>
                <w:szCs w:val="21"/>
              </w:rPr>
              <w:t>已落实。</w:t>
            </w:r>
            <w:r>
              <w:rPr>
                <w:color w:val="auto"/>
                <w:kern w:val="0"/>
                <w:szCs w:val="21"/>
                <w:lang w:bidi="ar"/>
              </w:rPr>
              <w:t>本项目</w:t>
            </w:r>
            <w:r>
              <w:rPr>
                <w:rFonts w:hint="eastAsia"/>
                <w:color w:val="auto"/>
                <w:kern w:val="0"/>
                <w:szCs w:val="21"/>
                <w:lang w:val="en-US" w:eastAsia="zh-CN" w:bidi="ar"/>
              </w:rPr>
              <w:t>实际运行过程中</w:t>
            </w:r>
            <w:r>
              <w:rPr>
                <w:color w:val="auto"/>
                <w:kern w:val="0"/>
                <w:szCs w:val="21"/>
                <w:lang w:bidi="ar"/>
              </w:rPr>
              <w:t>固体废物主要为</w:t>
            </w:r>
            <w:r>
              <w:rPr>
                <w:rFonts w:hint="eastAsia"/>
                <w:color w:val="auto"/>
                <w:kern w:val="0"/>
                <w:szCs w:val="21"/>
                <w:lang w:val="en-US" w:eastAsia="zh-CN" w:bidi="ar"/>
              </w:rPr>
              <w:t>废铝灰、除尘灰、废布袋、</w:t>
            </w:r>
            <w:r>
              <w:rPr>
                <w:rFonts w:hint="eastAsia"/>
                <w:bCs/>
                <w:color w:val="auto"/>
                <w:spacing w:val="6"/>
                <w:szCs w:val="21"/>
              </w:rPr>
              <w:t>废铁、塑料等杂质</w:t>
            </w:r>
            <w:r>
              <w:rPr>
                <w:rFonts w:hint="eastAsia"/>
                <w:bCs/>
                <w:color w:val="auto"/>
                <w:spacing w:val="6"/>
                <w:szCs w:val="21"/>
                <w:lang w:eastAsia="zh-CN"/>
              </w:rPr>
              <w:t>，</w:t>
            </w:r>
            <w:r>
              <w:rPr>
                <w:rFonts w:hint="eastAsia"/>
                <w:color w:val="auto"/>
                <w:kern w:val="0"/>
                <w:szCs w:val="21"/>
                <w:lang w:val="en-US" w:eastAsia="zh-CN" w:bidi="ar"/>
              </w:rPr>
              <w:t>废铝灰、除尘灰、废布袋属于危险废物</w:t>
            </w:r>
            <w:r>
              <w:rPr>
                <w:color w:val="auto"/>
                <w:kern w:val="0"/>
                <w:szCs w:val="21"/>
                <w:lang w:bidi="ar"/>
              </w:rPr>
              <w:t>交由有资质的单位处理处置，</w:t>
            </w:r>
            <w:r>
              <w:rPr>
                <w:rFonts w:hint="eastAsia"/>
                <w:bCs/>
                <w:color w:val="auto"/>
                <w:spacing w:val="6"/>
                <w:szCs w:val="21"/>
              </w:rPr>
              <w:t>废铁、塑料</w:t>
            </w:r>
            <w:r>
              <w:rPr>
                <w:rFonts w:hint="eastAsia"/>
                <w:bCs/>
                <w:color w:val="auto"/>
                <w:spacing w:val="6"/>
                <w:szCs w:val="21"/>
                <w:lang w:val="en-US" w:eastAsia="zh-CN"/>
              </w:rPr>
              <w:t>等杂质外售至物资回收单位</w:t>
            </w:r>
            <w:r>
              <w:rPr>
                <w:color w:val="auto"/>
                <w:kern w:val="0"/>
                <w:szCs w:val="21"/>
                <w:lang w:bidi="ar"/>
              </w:rPr>
              <w:t>，生活垃圾交由环卫部门处理。</w:t>
            </w:r>
          </w:p>
          <w:p w14:paraId="06A18192">
            <w:pPr>
              <w:jc w:val="center"/>
              <w:rPr>
                <w:bCs/>
                <w:color w:val="auto"/>
                <w:spacing w:val="6"/>
                <w:szCs w:val="21"/>
              </w:rPr>
            </w:pPr>
          </w:p>
        </w:tc>
        <w:tc>
          <w:tcPr>
            <w:tcW w:w="1146" w:type="pct"/>
            <w:tcBorders>
              <w:tl2br w:val="nil"/>
              <w:tr2bl w:val="nil"/>
            </w:tcBorders>
            <w:vAlign w:val="center"/>
          </w:tcPr>
          <w:p w14:paraId="6FAA583B">
            <w:pPr>
              <w:jc w:val="center"/>
              <w:rPr>
                <w:bCs/>
                <w:color w:val="auto"/>
                <w:spacing w:val="6"/>
                <w:szCs w:val="21"/>
              </w:rPr>
            </w:pPr>
            <w:r>
              <w:rPr>
                <w:rFonts w:hint="eastAsia"/>
                <w:bCs/>
                <w:color w:val="auto"/>
                <w:spacing w:val="6"/>
                <w:szCs w:val="21"/>
              </w:rPr>
              <w:t>/</w:t>
            </w:r>
          </w:p>
        </w:tc>
      </w:tr>
      <w:tr w14:paraId="2AFFD7F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52" w:type="pct"/>
            <w:tcBorders>
              <w:tl2br w:val="nil"/>
              <w:tr2bl w:val="nil"/>
            </w:tcBorders>
            <w:vAlign w:val="center"/>
          </w:tcPr>
          <w:p w14:paraId="3E04013F">
            <w:pPr>
              <w:jc w:val="center"/>
              <w:rPr>
                <w:bCs/>
                <w:color w:val="auto"/>
                <w:spacing w:val="6"/>
                <w:szCs w:val="21"/>
              </w:rPr>
            </w:pPr>
            <w:r>
              <w:rPr>
                <w:bCs/>
                <w:color w:val="auto"/>
                <w:spacing w:val="6"/>
                <w:szCs w:val="21"/>
              </w:rPr>
              <w:t>风险</w:t>
            </w:r>
          </w:p>
        </w:tc>
        <w:tc>
          <w:tcPr>
            <w:tcW w:w="1787" w:type="pct"/>
            <w:tcBorders>
              <w:tl2br w:val="nil"/>
              <w:tr2bl w:val="nil"/>
            </w:tcBorders>
            <w:vAlign w:val="center"/>
          </w:tcPr>
          <w:p w14:paraId="476472DD">
            <w:pPr>
              <w:jc w:val="both"/>
              <w:rPr>
                <w:bCs/>
                <w:color w:val="auto"/>
                <w:spacing w:val="6"/>
                <w:szCs w:val="21"/>
              </w:rPr>
            </w:pPr>
            <w:r>
              <w:rPr>
                <w:bCs/>
                <w:color w:val="auto"/>
                <w:spacing w:val="6"/>
                <w:szCs w:val="21"/>
              </w:rPr>
              <w:t>建设一座容积为</w:t>
            </w:r>
            <w:r>
              <w:rPr>
                <w:rFonts w:hint="eastAsia"/>
                <w:bCs/>
                <w:color w:val="auto"/>
                <w:spacing w:val="6"/>
                <w:szCs w:val="21"/>
                <w:lang w:val="en-US" w:eastAsia="zh-CN"/>
              </w:rPr>
              <w:t>300</w:t>
            </w:r>
            <w:r>
              <w:rPr>
                <w:bCs/>
                <w:color w:val="auto"/>
                <w:spacing w:val="6"/>
                <w:szCs w:val="21"/>
              </w:rPr>
              <w:t>m</w:t>
            </w:r>
            <w:r>
              <w:rPr>
                <w:rFonts w:hint="eastAsia"/>
                <w:bCs/>
                <w:color w:val="auto"/>
                <w:spacing w:val="6"/>
                <w:szCs w:val="21"/>
                <w:vertAlign w:val="superscript"/>
                <w:lang w:val="en-US" w:eastAsia="zh-CN"/>
              </w:rPr>
              <w:t>3</w:t>
            </w:r>
            <w:r>
              <w:rPr>
                <w:bCs/>
                <w:color w:val="auto"/>
                <w:spacing w:val="6"/>
                <w:szCs w:val="21"/>
              </w:rPr>
              <w:t>事故应急池</w:t>
            </w:r>
          </w:p>
        </w:tc>
        <w:tc>
          <w:tcPr>
            <w:tcW w:w="1613" w:type="pct"/>
            <w:tcBorders>
              <w:tl2br w:val="nil"/>
              <w:tr2bl w:val="nil"/>
            </w:tcBorders>
            <w:vAlign w:val="center"/>
          </w:tcPr>
          <w:p w14:paraId="3AAF0884">
            <w:pPr>
              <w:jc w:val="center"/>
              <w:rPr>
                <w:bCs/>
                <w:color w:val="auto"/>
                <w:spacing w:val="6"/>
                <w:szCs w:val="21"/>
              </w:rPr>
            </w:pPr>
            <w:r>
              <w:rPr>
                <w:rFonts w:hint="eastAsia"/>
                <w:bCs/>
                <w:color w:val="auto"/>
                <w:spacing w:val="6"/>
                <w:szCs w:val="21"/>
                <w:lang w:val="en-US" w:eastAsia="zh-CN"/>
              </w:rPr>
              <w:t xml:space="preserve">  </w:t>
            </w:r>
            <w:r>
              <w:rPr>
                <w:bCs/>
                <w:color w:val="auto"/>
                <w:spacing w:val="6"/>
                <w:szCs w:val="21"/>
              </w:rPr>
              <w:t>已落实</w:t>
            </w:r>
            <w:r>
              <w:rPr>
                <w:rFonts w:hint="eastAsia"/>
                <w:bCs/>
                <w:color w:val="auto"/>
                <w:spacing w:val="6"/>
                <w:szCs w:val="21"/>
                <w:lang w:eastAsia="zh-CN"/>
              </w:rPr>
              <w:t>，</w:t>
            </w:r>
            <w:r>
              <w:rPr>
                <w:rFonts w:hint="eastAsia"/>
                <w:bCs/>
                <w:color w:val="auto"/>
                <w:spacing w:val="6"/>
                <w:szCs w:val="21"/>
                <w:lang w:val="en-US" w:eastAsia="zh-CN"/>
              </w:rPr>
              <w:t>厂区已建设1座</w:t>
            </w:r>
            <w:r>
              <w:rPr>
                <w:bCs/>
                <w:color w:val="auto"/>
                <w:spacing w:val="6"/>
                <w:szCs w:val="21"/>
              </w:rPr>
              <w:t>容积为</w:t>
            </w:r>
            <w:r>
              <w:rPr>
                <w:rFonts w:hint="eastAsia"/>
                <w:bCs/>
                <w:color w:val="auto"/>
                <w:spacing w:val="6"/>
                <w:szCs w:val="21"/>
                <w:lang w:val="en-US" w:eastAsia="zh-CN"/>
              </w:rPr>
              <w:t>300</w:t>
            </w:r>
            <w:r>
              <w:rPr>
                <w:bCs/>
                <w:color w:val="auto"/>
                <w:spacing w:val="6"/>
                <w:szCs w:val="21"/>
              </w:rPr>
              <w:t>m</w:t>
            </w:r>
            <w:r>
              <w:rPr>
                <w:rFonts w:hint="eastAsia"/>
                <w:bCs/>
                <w:color w:val="auto"/>
                <w:spacing w:val="6"/>
                <w:szCs w:val="21"/>
                <w:vertAlign w:val="superscript"/>
                <w:lang w:val="en-US" w:eastAsia="zh-CN"/>
              </w:rPr>
              <w:t>3</w:t>
            </w:r>
            <w:r>
              <w:rPr>
                <w:bCs/>
                <w:color w:val="auto"/>
                <w:spacing w:val="6"/>
                <w:szCs w:val="21"/>
              </w:rPr>
              <w:t>事故应急池，</w:t>
            </w:r>
          </w:p>
        </w:tc>
        <w:tc>
          <w:tcPr>
            <w:tcW w:w="1146" w:type="pct"/>
            <w:tcBorders>
              <w:tl2br w:val="nil"/>
              <w:tr2bl w:val="nil"/>
            </w:tcBorders>
            <w:vAlign w:val="center"/>
          </w:tcPr>
          <w:p w14:paraId="6ACFA425">
            <w:pPr>
              <w:jc w:val="center"/>
              <w:rPr>
                <w:bCs/>
                <w:color w:val="auto"/>
                <w:spacing w:val="6"/>
                <w:szCs w:val="21"/>
              </w:rPr>
            </w:pPr>
            <w:r>
              <w:rPr>
                <w:rFonts w:hint="eastAsia"/>
                <w:bCs/>
                <w:color w:val="auto"/>
                <w:spacing w:val="6"/>
                <w:szCs w:val="21"/>
              </w:rPr>
              <w:t>/</w:t>
            </w:r>
          </w:p>
        </w:tc>
      </w:tr>
      <w:tr w14:paraId="0E0091F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52" w:type="pct"/>
            <w:tcBorders>
              <w:tl2br w:val="nil"/>
              <w:tr2bl w:val="nil"/>
            </w:tcBorders>
            <w:vAlign w:val="center"/>
          </w:tcPr>
          <w:p w14:paraId="2AB84994">
            <w:pPr>
              <w:jc w:val="center"/>
              <w:rPr>
                <w:bCs/>
                <w:color w:val="auto"/>
                <w:spacing w:val="6"/>
                <w:szCs w:val="21"/>
              </w:rPr>
            </w:pPr>
            <w:r>
              <w:rPr>
                <w:bCs/>
                <w:color w:val="auto"/>
                <w:spacing w:val="6"/>
                <w:szCs w:val="21"/>
              </w:rPr>
              <w:t>防渗</w:t>
            </w:r>
          </w:p>
        </w:tc>
        <w:tc>
          <w:tcPr>
            <w:tcW w:w="1787" w:type="pct"/>
            <w:tcBorders>
              <w:tl2br w:val="nil"/>
              <w:tr2bl w:val="nil"/>
            </w:tcBorders>
          </w:tcPr>
          <w:p w14:paraId="296F200A">
            <w:pPr>
              <w:rPr>
                <w:bCs/>
                <w:color w:val="auto"/>
                <w:spacing w:val="6"/>
                <w:szCs w:val="21"/>
              </w:rPr>
            </w:pPr>
            <w:r>
              <w:rPr>
                <w:color w:val="auto"/>
                <w:szCs w:val="21"/>
              </w:rPr>
              <w:t>污水管沟、废水处理站、危废暂存点、事故应急池等重点防渗区域的防腐防渗工作，防止污染地下水。</w:t>
            </w:r>
          </w:p>
        </w:tc>
        <w:tc>
          <w:tcPr>
            <w:tcW w:w="1613" w:type="pct"/>
            <w:tcBorders>
              <w:tl2br w:val="nil"/>
              <w:tr2bl w:val="nil"/>
            </w:tcBorders>
            <w:vAlign w:val="center"/>
          </w:tcPr>
          <w:p w14:paraId="6F5699C2">
            <w:pPr>
              <w:jc w:val="center"/>
              <w:rPr>
                <w:bCs/>
                <w:color w:val="auto"/>
                <w:spacing w:val="6"/>
                <w:szCs w:val="21"/>
              </w:rPr>
            </w:pPr>
            <w:r>
              <w:rPr>
                <w:bCs/>
                <w:color w:val="auto"/>
                <w:spacing w:val="6"/>
                <w:szCs w:val="21"/>
              </w:rPr>
              <w:t>已落实。</w:t>
            </w:r>
          </w:p>
        </w:tc>
        <w:tc>
          <w:tcPr>
            <w:tcW w:w="1146" w:type="pct"/>
            <w:tcBorders>
              <w:tl2br w:val="nil"/>
              <w:tr2bl w:val="nil"/>
            </w:tcBorders>
            <w:vAlign w:val="center"/>
          </w:tcPr>
          <w:p w14:paraId="208B0DD2">
            <w:pPr>
              <w:jc w:val="center"/>
              <w:rPr>
                <w:bCs/>
                <w:color w:val="auto"/>
                <w:spacing w:val="6"/>
                <w:szCs w:val="21"/>
              </w:rPr>
            </w:pPr>
            <w:r>
              <w:rPr>
                <w:rFonts w:hint="eastAsia"/>
                <w:bCs/>
                <w:color w:val="auto"/>
                <w:spacing w:val="6"/>
                <w:szCs w:val="21"/>
              </w:rPr>
              <w:t>/</w:t>
            </w:r>
          </w:p>
        </w:tc>
      </w:tr>
    </w:tbl>
    <w:p w14:paraId="64336C24">
      <w:pPr>
        <w:spacing w:line="360" w:lineRule="auto"/>
        <w:outlineLvl w:val="1"/>
        <w:rPr>
          <w:b/>
          <w:bCs/>
          <w:color w:val="auto"/>
          <w:sz w:val="28"/>
          <w:szCs w:val="36"/>
        </w:rPr>
      </w:pPr>
      <w:bookmarkStart w:id="255" w:name="_Toc54"/>
      <w:r>
        <w:rPr>
          <w:b/>
          <w:bCs/>
          <w:color w:val="auto"/>
          <w:sz w:val="28"/>
          <w:szCs w:val="36"/>
        </w:rPr>
        <w:t>2.</w:t>
      </w:r>
      <w:r>
        <w:rPr>
          <w:rFonts w:hint="eastAsia"/>
          <w:b/>
          <w:bCs/>
          <w:color w:val="auto"/>
          <w:sz w:val="28"/>
          <w:szCs w:val="36"/>
          <w:lang w:val="en-US" w:eastAsia="zh-CN"/>
        </w:rPr>
        <w:t>3</w:t>
      </w:r>
      <w:r>
        <w:rPr>
          <w:b/>
          <w:bCs/>
          <w:color w:val="auto"/>
          <w:sz w:val="28"/>
          <w:szCs w:val="36"/>
        </w:rPr>
        <w:t xml:space="preserve"> 环境监测情况回顾</w:t>
      </w:r>
      <w:bookmarkEnd w:id="255"/>
    </w:p>
    <w:p w14:paraId="1E7924B0">
      <w:pPr>
        <w:keepNext w:val="0"/>
        <w:keepLines w:val="0"/>
        <w:pageBreakBefore w:val="0"/>
        <w:widowControl w:val="0"/>
        <w:kinsoku/>
        <w:wordWrap/>
        <w:overflowPunct/>
        <w:topLinePunct w:val="0"/>
        <w:autoSpaceDE/>
        <w:autoSpaceDN/>
        <w:bidi w:val="0"/>
        <w:adjustRightInd/>
        <w:snapToGrid/>
        <w:spacing w:line="360" w:lineRule="auto"/>
        <w:textAlignment w:val="auto"/>
        <w:outlineLvl w:val="2"/>
        <w:rPr>
          <w:b/>
          <w:bCs/>
          <w:color w:val="auto"/>
          <w:sz w:val="24"/>
          <w:szCs w:val="32"/>
        </w:rPr>
      </w:pPr>
      <w:r>
        <w:rPr>
          <w:b/>
          <w:bCs/>
          <w:color w:val="auto"/>
          <w:sz w:val="24"/>
          <w:szCs w:val="32"/>
        </w:rPr>
        <w:t>2.</w:t>
      </w:r>
      <w:r>
        <w:rPr>
          <w:rFonts w:hint="eastAsia"/>
          <w:b/>
          <w:bCs/>
          <w:color w:val="auto"/>
          <w:sz w:val="24"/>
          <w:szCs w:val="32"/>
          <w:lang w:val="en-US" w:eastAsia="zh-CN"/>
        </w:rPr>
        <w:t>3</w:t>
      </w:r>
      <w:r>
        <w:rPr>
          <w:b/>
          <w:bCs/>
          <w:color w:val="auto"/>
          <w:sz w:val="24"/>
          <w:szCs w:val="32"/>
        </w:rPr>
        <w:t>.1 环评阶段监测情况</w:t>
      </w:r>
    </w:p>
    <w:p w14:paraId="6053ACD4">
      <w:pPr>
        <w:keepNext w:val="0"/>
        <w:keepLines w:val="0"/>
        <w:pageBreakBefore w:val="0"/>
        <w:widowControl w:val="0"/>
        <w:kinsoku/>
        <w:wordWrap/>
        <w:overflowPunct/>
        <w:topLinePunct w:val="0"/>
        <w:autoSpaceDE/>
        <w:autoSpaceDN/>
        <w:bidi w:val="0"/>
        <w:adjustRightInd/>
        <w:snapToGrid/>
        <w:spacing w:line="360" w:lineRule="auto"/>
        <w:textAlignment w:val="auto"/>
        <w:outlineLvl w:val="3"/>
        <w:rPr>
          <w:rFonts w:hint="default" w:eastAsia="宋体"/>
          <w:b/>
          <w:bCs/>
          <w:color w:val="auto"/>
          <w:sz w:val="24"/>
          <w:szCs w:val="32"/>
          <w:lang w:val="en-US" w:eastAsia="zh-CN"/>
        </w:rPr>
      </w:pPr>
      <w:bookmarkStart w:id="256" w:name="_Toc9975"/>
      <w:bookmarkStart w:id="257" w:name="_Toc30909"/>
      <w:bookmarkStart w:id="258" w:name="_Toc909"/>
      <w:r>
        <w:rPr>
          <w:b/>
          <w:bCs/>
          <w:color w:val="auto"/>
          <w:sz w:val="24"/>
          <w:szCs w:val="32"/>
        </w:rPr>
        <w:t>2.</w:t>
      </w:r>
      <w:r>
        <w:rPr>
          <w:rFonts w:hint="eastAsia"/>
          <w:b/>
          <w:bCs/>
          <w:color w:val="auto"/>
          <w:sz w:val="24"/>
          <w:szCs w:val="32"/>
          <w:lang w:val="en-US" w:eastAsia="zh-CN"/>
        </w:rPr>
        <w:t>3</w:t>
      </w:r>
      <w:r>
        <w:rPr>
          <w:b/>
          <w:bCs/>
          <w:color w:val="auto"/>
          <w:sz w:val="24"/>
          <w:szCs w:val="32"/>
        </w:rPr>
        <w:t xml:space="preserve">.1.1 </w:t>
      </w:r>
      <w:r>
        <w:rPr>
          <w:rFonts w:hint="eastAsia"/>
          <w:b/>
          <w:bCs/>
          <w:color w:val="auto"/>
          <w:sz w:val="24"/>
          <w:szCs w:val="32"/>
          <w:lang w:val="en-US" w:eastAsia="zh-CN"/>
        </w:rPr>
        <w:t>环评阶段</w:t>
      </w:r>
      <w:r>
        <w:rPr>
          <w:b/>
          <w:bCs/>
          <w:color w:val="auto"/>
          <w:sz w:val="24"/>
          <w:szCs w:val="32"/>
        </w:rPr>
        <w:t>地表水</w:t>
      </w:r>
      <w:bookmarkEnd w:id="256"/>
      <w:bookmarkEnd w:id="257"/>
      <w:bookmarkEnd w:id="258"/>
      <w:r>
        <w:rPr>
          <w:rFonts w:hint="eastAsia"/>
          <w:b/>
          <w:bCs/>
          <w:color w:val="auto"/>
          <w:sz w:val="24"/>
          <w:szCs w:val="32"/>
          <w:lang w:val="en-US" w:eastAsia="zh-CN"/>
        </w:rPr>
        <w:t>环境质量监测情况</w:t>
      </w:r>
    </w:p>
    <w:p w14:paraId="0F91FF85">
      <w:pPr>
        <w:spacing w:line="360" w:lineRule="auto"/>
        <w:ind w:firstLine="480" w:firstLineChars="200"/>
        <w:rPr>
          <w:rFonts w:hint="default"/>
          <w:color w:val="auto"/>
          <w:sz w:val="24"/>
          <w:szCs w:val="32"/>
          <w:lang w:val="en-US" w:eastAsia="zh-CN"/>
        </w:rPr>
      </w:pPr>
      <w:r>
        <w:rPr>
          <w:rFonts w:hint="eastAsia"/>
          <w:color w:val="auto"/>
          <w:sz w:val="24"/>
          <w:szCs w:val="32"/>
          <w:lang w:val="en-US" w:eastAsia="zh-CN"/>
        </w:rPr>
        <w:t>（1）监测项目及监测点位</w:t>
      </w:r>
    </w:p>
    <w:p w14:paraId="2F8AE515">
      <w:pPr>
        <w:spacing w:line="360" w:lineRule="auto"/>
        <w:ind w:firstLine="480" w:firstLineChars="200"/>
        <w:rPr>
          <w:rFonts w:hint="default" w:eastAsia="宋体"/>
          <w:color w:val="auto"/>
          <w:sz w:val="24"/>
          <w:szCs w:val="32"/>
          <w:lang w:val="en-US" w:eastAsia="zh-CN"/>
        </w:rPr>
      </w:pPr>
      <w:r>
        <w:rPr>
          <w:color w:val="auto"/>
          <w:sz w:val="24"/>
          <w:szCs w:val="32"/>
        </w:rPr>
        <w:t>环评阶段地表水现状监测于2014年7月9日～7月10日</w:t>
      </w:r>
      <w:r>
        <w:rPr>
          <w:rFonts w:hint="eastAsia"/>
          <w:color w:val="auto"/>
          <w:sz w:val="24"/>
          <w:szCs w:val="32"/>
          <w:lang w:val="en-US" w:eastAsia="zh-CN"/>
        </w:rPr>
        <w:t>进行。连续监测两天，每天各采样一次。监测项目为pH、COD、NH</w:t>
      </w:r>
      <w:r>
        <w:rPr>
          <w:rFonts w:hint="eastAsia"/>
          <w:color w:val="auto"/>
          <w:sz w:val="24"/>
          <w:szCs w:val="32"/>
          <w:vertAlign w:val="subscript"/>
          <w:lang w:val="en-US" w:eastAsia="zh-CN"/>
        </w:rPr>
        <w:t>3</w:t>
      </w:r>
      <w:r>
        <w:rPr>
          <w:rFonts w:hint="eastAsia"/>
          <w:color w:val="auto"/>
          <w:sz w:val="24"/>
          <w:szCs w:val="32"/>
          <w:lang w:val="en-US" w:eastAsia="zh-CN"/>
        </w:rPr>
        <w:t>-N、BOD</w:t>
      </w:r>
      <w:r>
        <w:rPr>
          <w:rFonts w:hint="eastAsia"/>
          <w:color w:val="auto"/>
          <w:sz w:val="24"/>
          <w:szCs w:val="32"/>
          <w:vertAlign w:val="subscript"/>
          <w:lang w:val="en-US" w:eastAsia="zh-CN"/>
        </w:rPr>
        <w:t>5</w:t>
      </w:r>
      <w:r>
        <w:rPr>
          <w:rFonts w:hint="eastAsia"/>
          <w:color w:val="auto"/>
          <w:sz w:val="24"/>
          <w:szCs w:val="32"/>
          <w:lang w:val="en-US" w:eastAsia="zh-CN"/>
        </w:rPr>
        <w:t>、溶解氧、TP。监测点位布设见表2-3及图2-1。</w:t>
      </w:r>
    </w:p>
    <w:p w14:paraId="7F0D4B51">
      <w:pPr>
        <w:spacing w:line="360" w:lineRule="auto"/>
        <w:jc w:val="center"/>
        <w:rPr>
          <w:rFonts w:hint="default" w:eastAsia="宋体"/>
          <w:b/>
          <w:bCs/>
          <w:color w:val="auto"/>
          <w:sz w:val="24"/>
          <w:szCs w:val="32"/>
          <w:lang w:val="en-US" w:eastAsia="zh-CN"/>
        </w:rPr>
      </w:pPr>
      <w:r>
        <w:rPr>
          <w:rFonts w:hint="eastAsia"/>
          <w:b/>
          <w:bCs/>
          <w:color w:val="auto"/>
          <w:sz w:val="24"/>
          <w:szCs w:val="32"/>
          <w:lang w:val="en-US" w:eastAsia="zh-CN"/>
        </w:rPr>
        <w:t>表2-3 地表水现状监测点位布设一览表</w:t>
      </w:r>
    </w:p>
    <w:tbl>
      <w:tblPr>
        <w:tblStyle w:val="31"/>
        <w:tblW w:w="4999"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974"/>
        <w:gridCol w:w="7189"/>
        <w:gridCol w:w="1797"/>
      </w:tblGrid>
      <w:tr w14:paraId="086FC79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489" w:type="pct"/>
            <w:tcBorders>
              <w:tl2br w:val="nil"/>
              <w:tr2bl w:val="nil"/>
            </w:tcBorders>
            <w:shd w:val="clear" w:color="auto" w:fill="auto"/>
            <w:noWrap w:val="0"/>
            <w:vAlign w:val="center"/>
          </w:tcPr>
          <w:p w14:paraId="1994F3A6">
            <w:pPr>
              <w:spacing w:before="31" w:beforeLines="10" w:line="264" w:lineRule="auto"/>
              <w:jc w:val="center"/>
              <w:rPr>
                <w:rFonts w:hint="default" w:ascii="Times New Roman" w:hAnsi="Times New Roman" w:cs="Times New Roman"/>
                <w:b/>
                <w:color w:val="auto"/>
              </w:rPr>
            </w:pPr>
            <w:r>
              <w:rPr>
                <w:rFonts w:hint="default" w:ascii="Times New Roman" w:hAnsi="Times New Roman" w:cs="Times New Roman"/>
                <w:b/>
                <w:color w:val="auto"/>
              </w:rPr>
              <w:t>序号</w:t>
            </w:r>
          </w:p>
        </w:tc>
        <w:tc>
          <w:tcPr>
            <w:tcW w:w="3608" w:type="pct"/>
            <w:tcBorders>
              <w:tl2br w:val="nil"/>
              <w:tr2bl w:val="nil"/>
            </w:tcBorders>
            <w:shd w:val="clear" w:color="auto" w:fill="auto"/>
            <w:noWrap w:val="0"/>
            <w:vAlign w:val="center"/>
          </w:tcPr>
          <w:p w14:paraId="69E60080">
            <w:pPr>
              <w:spacing w:before="31" w:beforeLines="10" w:line="264" w:lineRule="auto"/>
              <w:jc w:val="center"/>
              <w:rPr>
                <w:rFonts w:hint="default" w:ascii="Times New Roman" w:hAnsi="Times New Roman" w:cs="Times New Roman"/>
                <w:b/>
                <w:color w:val="auto"/>
              </w:rPr>
            </w:pPr>
            <w:r>
              <w:rPr>
                <w:rFonts w:hint="default" w:ascii="Times New Roman" w:hAnsi="Times New Roman" w:cs="Times New Roman"/>
                <w:b/>
                <w:color w:val="auto"/>
              </w:rPr>
              <w:t>监测点位</w:t>
            </w:r>
          </w:p>
        </w:tc>
        <w:tc>
          <w:tcPr>
            <w:tcW w:w="902" w:type="pct"/>
            <w:tcBorders>
              <w:tl2br w:val="nil"/>
              <w:tr2bl w:val="nil"/>
            </w:tcBorders>
            <w:shd w:val="clear" w:color="auto" w:fill="auto"/>
            <w:noWrap w:val="0"/>
            <w:vAlign w:val="center"/>
          </w:tcPr>
          <w:p w14:paraId="79F629FF">
            <w:pPr>
              <w:spacing w:before="31" w:beforeLines="10" w:line="264" w:lineRule="auto"/>
              <w:jc w:val="center"/>
              <w:rPr>
                <w:rFonts w:hint="default" w:ascii="Times New Roman" w:hAnsi="Times New Roman" w:cs="Times New Roman"/>
                <w:b/>
                <w:color w:val="auto"/>
              </w:rPr>
            </w:pPr>
            <w:r>
              <w:rPr>
                <w:rFonts w:hint="default" w:ascii="Times New Roman" w:hAnsi="Times New Roman" w:cs="Times New Roman"/>
                <w:b/>
                <w:color w:val="auto"/>
              </w:rPr>
              <w:t>监测水系</w:t>
            </w:r>
          </w:p>
        </w:tc>
      </w:tr>
      <w:tr w14:paraId="2757423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489" w:type="pct"/>
            <w:tcBorders>
              <w:tl2br w:val="nil"/>
              <w:tr2bl w:val="nil"/>
            </w:tcBorders>
            <w:shd w:val="clear" w:color="auto" w:fill="auto"/>
            <w:noWrap w:val="0"/>
            <w:vAlign w:val="center"/>
          </w:tcPr>
          <w:p w14:paraId="498391F1">
            <w:pPr>
              <w:spacing w:before="31" w:beforeLines="10" w:line="264" w:lineRule="auto"/>
              <w:jc w:val="center"/>
              <w:rPr>
                <w:rFonts w:hint="default" w:ascii="Times New Roman" w:hAnsi="Times New Roman" w:cs="Times New Roman"/>
                <w:color w:val="auto"/>
              </w:rPr>
            </w:pPr>
            <w:r>
              <w:rPr>
                <w:rFonts w:hint="default" w:ascii="Times New Roman" w:hAnsi="Times New Roman" w:cs="Times New Roman"/>
                <w:color w:val="auto"/>
              </w:rPr>
              <w:t>1</w:t>
            </w:r>
          </w:p>
        </w:tc>
        <w:tc>
          <w:tcPr>
            <w:tcW w:w="3608" w:type="pct"/>
            <w:tcBorders>
              <w:tl2br w:val="nil"/>
              <w:tr2bl w:val="nil"/>
            </w:tcBorders>
            <w:shd w:val="clear" w:color="auto" w:fill="auto"/>
            <w:noWrap w:val="0"/>
            <w:vAlign w:val="center"/>
          </w:tcPr>
          <w:p w14:paraId="609D60F3">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cs="Times New Roman"/>
                <w:color w:val="auto"/>
                <w:szCs w:val="21"/>
              </w:rPr>
            </w:pPr>
            <w:r>
              <w:rPr>
                <w:rFonts w:hint="default" w:ascii="Times New Roman" w:hAnsi="Times New Roman" w:cs="Times New Roman"/>
                <w:color w:val="auto"/>
                <w:szCs w:val="21"/>
              </w:rPr>
              <w:t>濉溪县第二污水处理厂入巴河排污口上游200米</w:t>
            </w:r>
          </w:p>
        </w:tc>
        <w:tc>
          <w:tcPr>
            <w:tcW w:w="902" w:type="pct"/>
            <w:vMerge w:val="restart"/>
            <w:tcBorders>
              <w:tl2br w:val="nil"/>
              <w:tr2bl w:val="nil"/>
            </w:tcBorders>
            <w:shd w:val="clear" w:color="auto" w:fill="auto"/>
            <w:noWrap w:val="0"/>
            <w:vAlign w:val="center"/>
          </w:tcPr>
          <w:p w14:paraId="70E22B81">
            <w:pPr>
              <w:spacing w:before="31" w:beforeLines="10" w:line="264" w:lineRule="auto"/>
              <w:jc w:val="center"/>
              <w:rPr>
                <w:rFonts w:hint="default" w:ascii="Times New Roman" w:hAnsi="Times New Roman" w:cs="Times New Roman"/>
                <w:color w:val="auto"/>
              </w:rPr>
            </w:pPr>
            <w:r>
              <w:rPr>
                <w:rFonts w:hint="default" w:ascii="Times New Roman" w:hAnsi="Times New Roman" w:cs="Times New Roman"/>
                <w:color w:val="auto"/>
                <w:szCs w:val="21"/>
              </w:rPr>
              <w:t>巴河</w:t>
            </w:r>
          </w:p>
        </w:tc>
      </w:tr>
      <w:tr w14:paraId="23964F2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489" w:type="pct"/>
            <w:tcBorders>
              <w:tl2br w:val="nil"/>
              <w:tr2bl w:val="nil"/>
            </w:tcBorders>
            <w:shd w:val="clear" w:color="auto" w:fill="auto"/>
            <w:noWrap w:val="0"/>
            <w:vAlign w:val="center"/>
          </w:tcPr>
          <w:p w14:paraId="61B46589">
            <w:pPr>
              <w:spacing w:before="31" w:beforeLines="10" w:line="264" w:lineRule="auto"/>
              <w:jc w:val="center"/>
              <w:rPr>
                <w:rFonts w:hint="default" w:ascii="Times New Roman" w:hAnsi="Times New Roman" w:cs="Times New Roman"/>
                <w:color w:val="auto"/>
              </w:rPr>
            </w:pPr>
            <w:r>
              <w:rPr>
                <w:rFonts w:hint="default" w:ascii="Times New Roman" w:hAnsi="Times New Roman" w:cs="Times New Roman"/>
                <w:color w:val="auto"/>
              </w:rPr>
              <w:t>2</w:t>
            </w:r>
          </w:p>
        </w:tc>
        <w:tc>
          <w:tcPr>
            <w:tcW w:w="3608" w:type="pct"/>
            <w:tcBorders>
              <w:tl2br w:val="nil"/>
              <w:tr2bl w:val="nil"/>
            </w:tcBorders>
            <w:shd w:val="clear" w:color="auto" w:fill="auto"/>
            <w:noWrap w:val="0"/>
            <w:vAlign w:val="center"/>
          </w:tcPr>
          <w:p w14:paraId="77890EDC">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cs="Times New Roman"/>
                <w:color w:val="auto"/>
                <w:szCs w:val="21"/>
              </w:rPr>
            </w:pPr>
            <w:r>
              <w:rPr>
                <w:rFonts w:hint="default" w:ascii="Times New Roman" w:hAnsi="Times New Roman" w:cs="Times New Roman"/>
                <w:color w:val="auto"/>
                <w:szCs w:val="21"/>
              </w:rPr>
              <w:t>濉溪县第二污水处理厂入巴河处</w:t>
            </w:r>
          </w:p>
        </w:tc>
        <w:tc>
          <w:tcPr>
            <w:tcW w:w="902" w:type="pct"/>
            <w:vMerge w:val="continue"/>
            <w:tcBorders>
              <w:tl2br w:val="nil"/>
              <w:tr2bl w:val="nil"/>
            </w:tcBorders>
            <w:shd w:val="clear" w:color="auto" w:fill="auto"/>
            <w:noWrap w:val="0"/>
            <w:vAlign w:val="center"/>
          </w:tcPr>
          <w:p w14:paraId="357DB8B0">
            <w:pPr>
              <w:spacing w:before="31" w:beforeLines="10" w:line="264" w:lineRule="auto"/>
              <w:jc w:val="center"/>
              <w:rPr>
                <w:rFonts w:hint="default" w:ascii="Times New Roman" w:hAnsi="Times New Roman" w:cs="Times New Roman"/>
                <w:color w:val="auto"/>
              </w:rPr>
            </w:pPr>
          </w:p>
        </w:tc>
      </w:tr>
      <w:tr w14:paraId="1C408C6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489" w:type="pct"/>
            <w:tcBorders>
              <w:tl2br w:val="nil"/>
              <w:tr2bl w:val="nil"/>
            </w:tcBorders>
            <w:shd w:val="clear" w:color="auto" w:fill="auto"/>
            <w:noWrap w:val="0"/>
            <w:vAlign w:val="center"/>
          </w:tcPr>
          <w:p w14:paraId="360188A1">
            <w:pPr>
              <w:spacing w:before="31" w:beforeLines="10" w:line="264" w:lineRule="auto"/>
              <w:jc w:val="center"/>
              <w:rPr>
                <w:rFonts w:hint="default" w:ascii="Times New Roman" w:hAnsi="Times New Roman" w:cs="Times New Roman"/>
                <w:color w:val="auto"/>
              </w:rPr>
            </w:pPr>
            <w:r>
              <w:rPr>
                <w:rFonts w:hint="default" w:ascii="Times New Roman" w:hAnsi="Times New Roman" w:cs="Times New Roman"/>
                <w:color w:val="auto"/>
              </w:rPr>
              <w:t>3</w:t>
            </w:r>
          </w:p>
        </w:tc>
        <w:tc>
          <w:tcPr>
            <w:tcW w:w="3608" w:type="pct"/>
            <w:tcBorders>
              <w:tl2br w:val="nil"/>
              <w:tr2bl w:val="nil"/>
            </w:tcBorders>
            <w:shd w:val="clear" w:color="auto" w:fill="auto"/>
            <w:noWrap w:val="0"/>
            <w:vAlign w:val="center"/>
          </w:tcPr>
          <w:p w14:paraId="294445ED">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cs="Times New Roman"/>
                <w:color w:val="auto"/>
                <w:szCs w:val="21"/>
              </w:rPr>
            </w:pPr>
            <w:r>
              <w:rPr>
                <w:rFonts w:hint="default" w:ascii="Times New Roman" w:hAnsi="Times New Roman" w:cs="Times New Roman"/>
                <w:color w:val="auto"/>
                <w:szCs w:val="21"/>
              </w:rPr>
              <w:t>濉溪县第二污水处理厂入王引河排污口下游500米</w:t>
            </w:r>
          </w:p>
        </w:tc>
        <w:tc>
          <w:tcPr>
            <w:tcW w:w="902" w:type="pct"/>
            <w:vMerge w:val="restart"/>
            <w:tcBorders>
              <w:tl2br w:val="nil"/>
              <w:tr2bl w:val="nil"/>
            </w:tcBorders>
            <w:shd w:val="clear" w:color="auto" w:fill="auto"/>
            <w:noWrap w:val="0"/>
            <w:vAlign w:val="center"/>
          </w:tcPr>
          <w:p w14:paraId="3AC109D9">
            <w:pPr>
              <w:spacing w:before="31" w:beforeLines="10" w:line="264" w:lineRule="auto"/>
              <w:jc w:val="center"/>
              <w:rPr>
                <w:rFonts w:hint="default" w:ascii="Times New Roman" w:hAnsi="Times New Roman" w:cs="Times New Roman"/>
                <w:color w:val="auto"/>
              </w:rPr>
            </w:pPr>
            <w:r>
              <w:rPr>
                <w:rFonts w:hint="default" w:ascii="Times New Roman" w:hAnsi="Times New Roman" w:cs="Times New Roman"/>
                <w:color w:val="auto"/>
                <w:szCs w:val="21"/>
              </w:rPr>
              <w:t>王引河</w:t>
            </w:r>
          </w:p>
        </w:tc>
      </w:tr>
      <w:tr w14:paraId="1E83773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489" w:type="pct"/>
            <w:tcBorders>
              <w:tl2br w:val="nil"/>
              <w:tr2bl w:val="nil"/>
            </w:tcBorders>
            <w:shd w:val="clear" w:color="auto" w:fill="auto"/>
            <w:noWrap w:val="0"/>
            <w:vAlign w:val="center"/>
          </w:tcPr>
          <w:p w14:paraId="1D1F8A05">
            <w:pPr>
              <w:spacing w:before="31" w:beforeLines="10" w:line="264" w:lineRule="auto"/>
              <w:jc w:val="center"/>
              <w:rPr>
                <w:rFonts w:hint="default" w:ascii="Times New Roman" w:hAnsi="Times New Roman" w:cs="Times New Roman"/>
                <w:color w:val="auto"/>
              </w:rPr>
            </w:pPr>
            <w:r>
              <w:rPr>
                <w:rFonts w:hint="default" w:ascii="Times New Roman" w:hAnsi="Times New Roman" w:cs="Times New Roman"/>
                <w:color w:val="auto"/>
              </w:rPr>
              <w:t>4</w:t>
            </w:r>
          </w:p>
        </w:tc>
        <w:tc>
          <w:tcPr>
            <w:tcW w:w="3608" w:type="pct"/>
            <w:tcBorders>
              <w:tl2br w:val="nil"/>
              <w:tr2bl w:val="nil"/>
            </w:tcBorders>
            <w:shd w:val="clear" w:color="auto" w:fill="auto"/>
            <w:noWrap w:val="0"/>
            <w:vAlign w:val="center"/>
          </w:tcPr>
          <w:p w14:paraId="5714EA99">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cs="Times New Roman"/>
                <w:color w:val="auto"/>
                <w:szCs w:val="21"/>
              </w:rPr>
            </w:pPr>
            <w:r>
              <w:rPr>
                <w:rFonts w:hint="default" w:ascii="Times New Roman" w:hAnsi="Times New Roman" w:cs="Times New Roman"/>
                <w:color w:val="auto"/>
                <w:szCs w:val="21"/>
              </w:rPr>
              <w:t>濉溪县第二污水处理厂入王引河排污口下游1000米</w:t>
            </w:r>
          </w:p>
        </w:tc>
        <w:tc>
          <w:tcPr>
            <w:tcW w:w="902" w:type="pct"/>
            <w:vMerge w:val="continue"/>
            <w:tcBorders>
              <w:tl2br w:val="nil"/>
              <w:tr2bl w:val="nil"/>
            </w:tcBorders>
            <w:shd w:val="clear" w:color="auto" w:fill="auto"/>
            <w:noWrap w:val="0"/>
            <w:vAlign w:val="center"/>
          </w:tcPr>
          <w:p w14:paraId="347BDB35">
            <w:pPr>
              <w:spacing w:before="31" w:beforeLines="10" w:line="264" w:lineRule="auto"/>
              <w:jc w:val="center"/>
              <w:rPr>
                <w:rFonts w:hint="default" w:ascii="Times New Roman" w:hAnsi="Times New Roman" w:cs="Times New Roman"/>
                <w:color w:val="auto"/>
              </w:rPr>
            </w:pPr>
          </w:p>
        </w:tc>
      </w:tr>
      <w:tr w14:paraId="5601F95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489" w:type="pct"/>
            <w:tcBorders>
              <w:tl2br w:val="nil"/>
              <w:tr2bl w:val="nil"/>
            </w:tcBorders>
            <w:shd w:val="clear" w:color="auto" w:fill="auto"/>
            <w:noWrap w:val="0"/>
            <w:vAlign w:val="center"/>
          </w:tcPr>
          <w:p w14:paraId="39AE3B64">
            <w:pPr>
              <w:spacing w:before="31" w:beforeLines="10" w:line="264" w:lineRule="auto"/>
              <w:jc w:val="center"/>
              <w:rPr>
                <w:rFonts w:hint="default" w:ascii="Times New Roman" w:hAnsi="Times New Roman" w:cs="Times New Roman"/>
                <w:color w:val="auto"/>
              </w:rPr>
            </w:pPr>
            <w:r>
              <w:rPr>
                <w:rFonts w:hint="default" w:ascii="Times New Roman" w:hAnsi="Times New Roman" w:cs="Times New Roman"/>
                <w:color w:val="auto"/>
              </w:rPr>
              <w:t>5</w:t>
            </w:r>
          </w:p>
        </w:tc>
        <w:tc>
          <w:tcPr>
            <w:tcW w:w="3608" w:type="pct"/>
            <w:tcBorders>
              <w:tl2br w:val="nil"/>
              <w:tr2bl w:val="nil"/>
            </w:tcBorders>
            <w:shd w:val="clear" w:color="auto" w:fill="auto"/>
            <w:noWrap w:val="0"/>
            <w:vAlign w:val="center"/>
          </w:tcPr>
          <w:p w14:paraId="7AFEA71F">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cs="Times New Roman"/>
                <w:color w:val="auto"/>
                <w:szCs w:val="21"/>
              </w:rPr>
            </w:pPr>
            <w:r>
              <w:rPr>
                <w:rFonts w:hint="default" w:ascii="Times New Roman" w:hAnsi="Times New Roman" w:cs="Times New Roman"/>
                <w:color w:val="auto"/>
                <w:szCs w:val="21"/>
              </w:rPr>
              <w:t>濉溪县第二污水处理厂入王引河排污口下游1500米</w:t>
            </w:r>
          </w:p>
        </w:tc>
        <w:tc>
          <w:tcPr>
            <w:tcW w:w="902" w:type="pct"/>
            <w:vMerge w:val="continue"/>
            <w:tcBorders>
              <w:tl2br w:val="nil"/>
              <w:tr2bl w:val="nil"/>
            </w:tcBorders>
            <w:shd w:val="clear" w:color="auto" w:fill="auto"/>
            <w:noWrap w:val="0"/>
            <w:vAlign w:val="center"/>
          </w:tcPr>
          <w:p w14:paraId="13F75B52">
            <w:pPr>
              <w:spacing w:before="31" w:beforeLines="10" w:line="264" w:lineRule="auto"/>
              <w:jc w:val="center"/>
              <w:rPr>
                <w:rFonts w:hint="default" w:ascii="Times New Roman" w:hAnsi="Times New Roman" w:cs="Times New Roman"/>
                <w:color w:val="auto"/>
              </w:rPr>
            </w:pPr>
          </w:p>
        </w:tc>
      </w:tr>
    </w:tbl>
    <w:p w14:paraId="40C4C032">
      <w:pPr>
        <w:spacing w:line="360" w:lineRule="auto"/>
        <w:rPr>
          <w:color w:val="auto"/>
          <w:sz w:val="24"/>
          <w:szCs w:val="32"/>
        </w:rPr>
        <w:sectPr>
          <w:headerReference r:id="rId11" w:type="default"/>
          <w:footerReference r:id="rId12" w:type="default"/>
          <w:pgSz w:w="11906" w:h="16838"/>
          <w:pgMar w:top="1440" w:right="1080" w:bottom="1440" w:left="1080" w:header="708" w:footer="709" w:gutter="0"/>
          <w:pgBorders>
            <w:top w:val="none" w:sz="0" w:space="0"/>
            <w:left w:val="none" w:sz="0" w:space="0"/>
            <w:bottom w:val="none" w:sz="0" w:space="0"/>
            <w:right w:val="none" w:sz="0" w:space="0"/>
          </w:pgBorders>
          <w:pgNumType w:fmt="numberInDash"/>
          <w:cols w:space="0" w:num="1"/>
          <w:docGrid w:linePitch="360" w:charSpace="0"/>
        </w:sectPr>
      </w:pPr>
    </w:p>
    <w:p w14:paraId="4531CD72">
      <w:pPr>
        <w:spacing w:line="360" w:lineRule="auto"/>
        <w:ind w:left="4620" w:hanging="4620" w:hangingChars="2200"/>
        <w:jc w:val="left"/>
        <w:rPr>
          <w:rFonts w:hint="default" w:eastAsia="宋体"/>
          <w:b/>
          <w:bCs/>
          <w:color w:val="auto"/>
          <w:sz w:val="24"/>
          <w:szCs w:val="32"/>
          <w:lang w:val="en-US" w:eastAsia="zh-CN"/>
        </w:rPr>
        <w:sectPr>
          <w:pgSz w:w="16838" w:h="11906" w:orient="landscape"/>
          <w:pgMar w:top="1080" w:right="1440" w:bottom="1080" w:left="1440" w:header="708" w:footer="709" w:gutter="0"/>
          <w:pgBorders>
            <w:top w:val="none" w:sz="0" w:space="0"/>
            <w:left w:val="none" w:sz="0" w:space="0"/>
            <w:bottom w:val="none" w:sz="0" w:space="0"/>
            <w:right w:val="none" w:sz="0" w:space="0"/>
          </w:pgBorders>
          <w:pgNumType w:fmt="numberInDash"/>
          <w:cols w:space="0" w:num="1"/>
          <w:docGrid w:linePitch="360" w:charSpace="0"/>
        </w:sectPr>
      </w:pPr>
      <w:r>
        <w:rPr>
          <w:color w:val="auto"/>
        </w:rPr>
        <w:drawing>
          <wp:anchor distT="0" distB="0" distL="114300" distR="114300" simplePos="0" relativeHeight="251766784" behindDoc="0" locked="0" layoutInCell="1" allowOverlap="1">
            <wp:simplePos x="0" y="0"/>
            <wp:positionH relativeFrom="column">
              <wp:posOffset>7795895</wp:posOffset>
            </wp:positionH>
            <wp:positionV relativeFrom="paragraph">
              <wp:posOffset>9525</wp:posOffset>
            </wp:positionV>
            <wp:extent cx="904875" cy="1220470"/>
            <wp:effectExtent l="0" t="0" r="9525" b="17780"/>
            <wp:wrapNone/>
            <wp:docPr id="150" name="图片 150" descr="风向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风向标"/>
                    <pic:cNvPicPr>
                      <a:picLocks noChangeAspect="1"/>
                    </pic:cNvPicPr>
                  </pic:nvPicPr>
                  <pic:blipFill>
                    <a:blip r:embed="rId18"/>
                    <a:srcRect l="8090" t="1916" r="5231" b="6034"/>
                    <a:stretch>
                      <a:fillRect/>
                    </a:stretch>
                  </pic:blipFill>
                  <pic:spPr>
                    <a:xfrm>
                      <a:off x="0" y="0"/>
                      <a:ext cx="904875" cy="1220470"/>
                    </a:xfrm>
                    <a:prstGeom prst="rect">
                      <a:avLst/>
                    </a:prstGeom>
                  </pic:spPr>
                </pic:pic>
              </a:graphicData>
            </a:graphic>
          </wp:anchor>
        </w:drawing>
      </w:r>
      <w:r>
        <w:rPr>
          <w:color w:val="auto"/>
          <w:sz w:val="24"/>
        </w:rPr>
        <mc:AlternateContent>
          <mc:Choice Requires="wps">
            <w:drawing>
              <wp:anchor distT="0" distB="0" distL="114300" distR="114300" simplePos="0" relativeHeight="251763712" behindDoc="0" locked="0" layoutInCell="1" allowOverlap="1">
                <wp:simplePos x="0" y="0"/>
                <wp:positionH relativeFrom="column">
                  <wp:posOffset>4093845</wp:posOffset>
                </wp:positionH>
                <wp:positionV relativeFrom="paragraph">
                  <wp:posOffset>-8890</wp:posOffset>
                </wp:positionV>
                <wp:extent cx="4476750" cy="5854700"/>
                <wp:effectExtent l="0" t="0" r="0" b="12700"/>
                <wp:wrapNone/>
                <wp:docPr id="146" name="任意多边形 146"/>
                <wp:cNvGraphicFramePr/>
                <a:graphic xmlns:a="http://schemas.openxmlformats.org/drawingml/2006/main">
                  <a:graphicData uri="http://schemas.microsoft.com/office/word/2010/wordprocessingShape">
                    <wps:wsp>
                      <wps:cNvSpPr/>
                      <wps:spPr>
                        <a:xfrm>
                          <a:off x="5024120" y="679450"/>
                          <a:ext cx="4476750" cy="5854700"/>
                        </a:xfrm>
                        <a:custGeom>
                          <a:avLst/>
                          <a:gdLst>
                            <a:gd name="connisteX0" fmla="*/ 0 w 4476750"/>
                            <a:gd name="connsiteY0" fmla="*/ 12700 h 5854700"/>
                            <a:gd name="connisteX1" fmla="*/ 323850 w 4476750"/>
                            <a:gd name="connsiteY1" fmla="*/ 508000 h 5854700"/>
                            <a:gd name="connisteX2" fmla="*/ 565150 w 4476750"/>
                            <a:gd name="connsiteY2" fmla="*/ 914400 h 5854700"/>
                            <a:gd name="connisteX3" fmla="*/ 990600 w 4476750"/>
                            <a:gd name="connsiteY3" fmla="*/ 1536700 h 5854700"/>
                            <a:gd name="connisteX4" fmla="*/ 1397000 w 4476750"/>
                            <a:gd name="connsiteY4" fmla="*/ 2082800 h 5854700"/>
                            <a:gd name="connisteX5" fmla="*/ 1549400 w 4476750"/>
                            <a:gd name="connsiteY5" fmla="*/ 2222500 h 5854700"/>
                            <a:gd name="connisteX6" fmla="*/ 1562100 w 4476750"/>
                            <a:gd name="connsiteY6" fmla="*/ 2489200 h 5854700"/>
                            <a:gd name="connisteX7" fmla="*/ 1631950 w 4476750"/>
                            <a:gd name="connsiteY7" fmla="*/ 2806700 h 5854700"/>
                            <a:gd name="connisteX8" fmla="*/ 1847850 w 4476750"/>
                            <a:gd name="connsiteY8" fmla="*/ 3327400 h 5854700"/>
                            <a:gd name="connisteX9" fmla="*/ 2006600 w 4476750"/>
                            <a:gd name="connsiteY9" fmla="*/ 4006850 h 5854700"/>
                            <a:gd name="connisteX10" fmla="*/ 2089150 w 4476750"/>
                            <a:gd name="connsiteY10" fmla="*/ 4235450 h 5854700"/>
                            <a:gd name="connisteX11" fmla="*/ 2533650 w 4476750"/>
                            <a:gd name="connsiteY11" fmla="*/ 4616450 h 5854700"/>
                            <a:gd name="connisteX12" fmla="*/ 3143250 w 4476750"/>
                            <a:gd name="connsiteY12" fmla="*/ 5086350 h 5854700"/>
                            <a:gd name="connisteX13" fmla="*/ 3657600 w 4476750"/>
                            <a:gd name="connsiteY13" fmla="*/ 5556250 h 5854700"/>
                            <a:gd name="connisteX14" fmla="*/ 4070350 w 4476750"/>
                            <a:gd name="connsiteY14" fmla="*/ 5759450 h 5854700"/>
                            <a:gd name="connisteX15" fmla="*/ 4273550 w 4476750"/>
                            <a:gd name="connsiteY15" fmla="*/ 5854700 h 5854700"/>
                            <a:gd name="connisteX16" fmla="*/ 4476750 w 4476750"/>
                            <a:gd name="connsiteY16" fmla="*/ 5835650 h 5854700"/>
                            <a:gd name="connisteX17" fmla="*/ 4032250 w 4476750"/>
                            <a:gd name="connsiteY17" fmla="*/ 5664200 h 5854700"/>
                            <a:gd name="connisteX18" fmla="*/ 3803650 w 4476750"/>
                            <a:gd name="connsiteY18" fmla="*/ 5530850 h 5854700"/>
                            <a:gd name="connisteX19" fmla="*/ 3479800 w 4476750"/>
                            <a:gd name="connsiteY19" fmla="*/ 5289550 h 5854700"/>
                            <a:gd name="connisteX20" fmla="*/ 3232150 w 4476750"/>
                            <a:gd name="connsiteY20" fmla="*/ 5035550 h 5854700"/>
                            <a:gd name="connisteX21" fmla="*/ 2921000 w 4476750"/>
                            <a:gd name="connsiteY21" fmla="*/ 4775200 h 5854700"/>
                            <a:gd name="connisteX22" fmla="*/ 2590800 w 4476750"/>
                            <a:gd name="connsiteY22" fmla="*/ 4540250 h 5854700"/>
                            <a:gd name="connisteX23" fmla="*/ 2292350 w 4476750"/>
                            <a:gd name="connsiteY23" fmla="*/ 4305300 h 5854700"/>
                            <a:gd name="connisteX24" fmla="*/ 2165350 w 4476750"/>
                            <a:gd name="connsiteY24" fmla="*/ 4197350 h 5854700"/>
                            <a:gd name="connisteX25" fmla="*/ 2127250 w 4476750"/>
                            <a:gd name="connsiteY25" fmla="*/ 3975100 h 5854700"/>
                            <a:gd name="connisteX26" fmla="*/ 2012950 w 4476750"/>
                            <a:gd name="connsiteY26" fmla="*/ 3568700 h 5854700"/>
                            <a:gd name="connisteX27" fmla="*/ 1974850 w 4476750"/>
                            <a:gd name="connsiteY27" fmla="*/ 3314700 h 5854700"/>
                            <a:gd name="connisteX28" fmla="*/ 1816100 w 4476750"/>
                            <a:gd name="connsiteY28" fmla="*/ 2990850 h 5854700"/>
                            <a:gd name="connisteX29" fmla="*/ 1708150 w 4476750"/>
                            <a:gd name="connsiteY29" fmla="*/ 2679700 h 5854700"/>
                            <a:gd name="connisteX30" fmla="*/ 1663700 w 4476750"/>
                            <a:gd name="connsiteY30" fmla="*/ 2438400 h 5854700"/>
                            <a:gd name="connisteX31" fmla="*/ 1663700 w 4476750"/>
                            <a:gd name="connsiteY31" fmla="*/ 2298700 h 5854700"/>
                            <a:gd name="connisteX32" fmla="*/ 1631950 w 4476750"/>
                            <a:gd name="connsiteY32" fmla="*/ 2190750 h 5854700"/>
                            <a:gd name="connisteX33" fmla="*/ 1492250 w 4476750"/>
                            <a:gd name="connsiteY33" fmla="*/ 2025650 h 5854700"/>
                            <a:gd name="connisteX34" fmla="*/ 990600 w 4476750"/>
                            <a:gd name="connsiteY34" fmla="*/ 1327150 h 5854700"/>
                            <a:gd name="connisteX35" fmla="*/ 654050 w 4476750"/>
                            <a:gd name="connsiteY35" fmla="*/ 857250 h 5854700"/>
                            <a:gd name="connisteX36" fmla="*/ 488950 w 4476750"/>
                            <a:gd name="connsiteY36" fmla="*/ 590550 h 5854700"/>
                            <a:gd name="connisteX37" fmla="*/ 254000 w 4476750"/>
                            <a:gd name="connsiteY37" fmla="*/ 222250 h 5854700"/>
                            <a:gd name="connisteX38" fmla="*/ 158750 w 4476750"/>
                            <a:gd name="connsiteY38" fmla="*/ 38100 h 5854700"/>
                            <a:gd name="connisteX39" fmla="*/ 127000 w 4476750"/>
                            <a:gd name="connsiteY39" fmla="*/ 0 h 5854700"/>
                            <a:gd name="connisteX40" fmla="*/ 0 w 4476750"/>
                            <a:gd name="connsiteY40" fmla="*/ 12700 h 585470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 ang="0">
                              <a:pos x="connisteX26" y="connsiteY26"/>
                            </a:cxn>
                            <a:cxn ang="0">
                              <a:pos x="connisteX27" y="connsiteY27"/>
                            </a:cxn>
                            <a:cxn ang="0">
                              <a:pos x="connisteX28" y="connsiteY28"/>
                            </a:cxn>
                            <a:cxn ang="0">
                              <a:pos x="connisteX29" y="connsiteY29"/>
                            </a:cxn>
                            <a:cxn ang="0">
                              <a:pos x="connisteX30" y="connsiteY30"/>
                            </a:cxn>
                            <a:cxn ang="0">
                              <a:pos x="connisteX31" y="connsiteY31"/>
                            </a:cxn>
                            <a:cxn ang="0">
                              <a:pos x="connisteX32" y="connsiteY32"/>
                            </a:cxn>
                            <a:cxn ang="0">
                              <a:pos x="connisteX33" y="connsiteY33"/>
                            </a:cxn>
                            <a:cxn ang="0">
                              <a:pos x="connisteX34" y="connsiteY34"/>
                            </a:cxn>
                            <a:cxn ang="0">
                              <a:pos x="connisteX35" y="connsiteY35"/>
                            </a:cxn>
                            <a:cxn ang="0">
                              <a:pos x="connisteX36" y="connsiteY36"/>
                            </a:cxn>
                            <a:cxn ang="0">
                              <a:pos x="connisteX37" y="connsiteY37"/>
                            </a:cxn>
                            <a:cxn ang="0">
                              <a:pos x="connisteX38" y="connsiteY38"/>
                            </a:cxn>
                            <a:cxn ang="0">
                              <a:pos x="connisteX39" y="connsiteY39"/>
                            </a:cxn>
                            <a:cxn ang="0">
                              <a:pos x="connisteX40" y="connsiteY40"/>
                            </a:cxn>
                          </a:cxnLst>
                          <a:rect l="l" t="t" r="r" b="b"/>
                          <a:pathLst>
                            <a:path w="4476750" h="5854700">
                              <a:moveTo>
                                <a:pt x="0" y="12700"/>
                              </a:moveTo>
                              <a:lnTo>
                                <a:pt x="323850" y="508000"/>
                              </a:lnTo>
                              <a:lnTo>
                                <a:pt x="565150" y="914400"/>
                              </a:lnTo>
                              <a:lnTo>
                                <a:pt x="990600" y="1536700"/>
                              </a:lnTo>
                              <a:lnTo>
                                <a:pt x="1397000" y="2082800"/>
                              </a:lnTo>
                              <a:lnTo>
                                <a:pt x="1549400" y="2222500"/>
                              </a:lnTo>
                              <a:lnTo>
                                <a:pt x="1562100" y="2489200"/>
                              </a:lnTo>
                              <a:lnTo>
                                <a:pt x="1631950" y="2806700"/>
                              </a:lnTo>
                              <a:lnTo>
                                <a:pt x="1847850" y="3327400"/>
                              </a:lnTo>
                              <a:lnTo>
                                <a:pt x="2006600" y="4006850"/>
                              </a:lnTo>
                              <a:lnTo>
                                <a:pt x="2089150" y="4235450"/>
                              </a:lnTo>
                              <a:lnTo>
                                <a:pt x="2533650" y="4616450"/>
                              </a:lnTo>
                              <a:lnTo>
                                <a:pt x="3143250" y="5086350"/>
                              </a:lnTo>
                              <a:lnTo>
                                <a:pt x="3657600" y="5556250"/>
                              </a:lnTo>
                              <a:lnTo>
                                <a:pt x="4070350" y="5759450"/>
                              </a:lnTo>
                              <a:lnTo>
                                <a:pt x="4273550" y="5854700"/>
                              </a:lnTo>
                              <a:lnTo>
                                <a:pt x="4476750" y="5835650"/>
                              </a:lnTo>
                              <a:lnTo>
                                <a:pt x="4032250" y="5664200"/>
                              </a:lnTo>
                              <a:lnTo>
                                <a:pt x="3803650" y="5530850"/>
                              </a:lnTo>
                              <a:lnTo>
                                <a:pt x="3479800" y="5289550"/>
                              </a:lnTo>
                              <a:lnTo>
                                <a:pt x="3232150" y="5035550"/>
                              </a:lnTo>
                              <a:lnTo>
                                <a:pt x="2921000" y="4775200"/>
                              </a:lnTo>
                              <a:lnTo>
                                <a:pt x="2590800" y="4540250"/>
                              </a:lnTo>
                              <a:lnTo>
                                <a:pt x="2292350" y="4305300"/>
                              </a:lnTo>
                              <a:lnTo>
                                <a:pt x="2165350" y="4197350"/>
                              </a:lnTo>
                              <a:lnTo>
                                <a:pt x="2127250" y="3975100"/>
                              </a:lnTo>
                              <a:lnTo>
                                <a:pt x="2012950" y="3568700"/>
                              </a:lnTo>
                              <a:lnTo>
                                <a:pt x="1974850" y="3314700"/>
                              </a:lnTo>
                              <a:lnTo>
                                <a:pt x="1816100" y="2990850"/>
                              </a:lnTo>
                              <a:lnTo>
                                <a:pt x="1708150" y="2679700"/>
                              </a:lnTo>
                              <a:lnTo>
                                <a:pt x="1663700" y="2438400"/>
                              </a:lnTo>
                              <a:lnTo>
                                <a:pt x="1663700" y="2298700"/>
                              </a:lnTo>
                              <a:lnTo>
                                <a:pt x="1631950" y="2190750"/>
                              </a:lnTo>
                              <a:lnTo>
                                <a:pt x="1492250" y="2025650"/>
                              </a:lnTo>
                              <a:lnTo>
                                <a:pt x="990600" y="1327150"/>
                              </a:lnTo>
                              <a:lnTo>
                                <a:pt x="654050" y="857250"/>
                              </a:lnTo>
                              <a:lnTo>
                                <a:pt x="488950" y="590550"/>
                              </a:lnTo>
                              <a:lnTo>
                                <a:pt x="254000" y="222250"/>
                              </a:lnTo>
                              <a:lnTo>
                                <a:pt x="158750" y="38100"/>
                              </a:lnTo>
                              <a:lnTo>
                                <a:pt x="127000" y="0"/>
                              </a:lnTo>
                              <a:lnTo>
                                <a:pt x="0" y="12700"/>
                              </a:lnTo>
                              <a:close/>
                            </a:path>
                          </a:pathLst>
                        </a:custGeom>
                        <a:gradFill>
                          <a:gsLst>
                            <a:gs pos="0">
                              <a:srgbClr val="CFF9AE">
                                <a:alpha val="11000"/>
                              </a:srgbClr>
                            </a:gs>
                            <a:gs pos="90000">
                              <a:srgbClr val="49E7CE"/>
                            </a:gs>
                          </a:gsLst>
                          <a:path path="circle">
                            <a:fillToRect l="100000" t="100000"/>
                          </a:path>
                          <a:tileRect r="-100000" b="-100000"/>
                        </a:gradFill>
                        <a:ln>
                          <a:no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322.35pt;margin-top:-0.7pt;height:461pt;width:352.5pt;z-index:251763712;mso-width-relative:page;mso-height-relative:page;" fillcolor="#CFF9AE" filled="t" stroked="f" coordsize="4476750,5854700" o:gfxdata="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" path="m0,12700l323850,508000,565150,914400,990600,1536700,1397000,2082800,1549400,2222500,1562100,2489200,1631950,2806700,1847850,3327400,2006600,4006850,2089150,4235450,2533650,4616450,3143250,5086350,3657600,5556250,4070350,5759450,4273550,5854700,4476750,5835650,4032250,5664200,3803650,5530850,3479800,5289550,3232150,5035550,2921000,4775200,2590800,4540250,2292350,4305300,2165350,4197350,2127250,3975100,2012950,3568700,1974850,3314700,1816100,2990850,1708150,2679700,1663700,2438400,1663700,2298700,1631950,2190750,1492250,2025650,990600,1327150,654050,857250,488950,590550,254000,222250,158750,38100,127000,0,0,12700xe">
                <v:path o:connectlocs="0,12700;323850,508000;565150,914400;990600,1536700;1397000,2082800;1549400,2222500;1562100,2489200;1631950,2806700;1847850,3327400;2006600,4006850;2089150,4235450;2533650,4616450;3143250,5086350;3657600,5556250;4070350,5759450;4273550,5854700;4476750,5835650;4032250,5664200;3803650,5530850;3479800,5289550;3232150,5035550;2921000,4775200;2590800,4540250;2292350,4305300;2165350,4197350;2127250,3975100;2012950,3568700;1974850,3314700;1816100,2990850;1708150,2679700;1663700,2438400;1663700,2298700;1631950,2190750;1492250,2025650;990600,1327150;654050,857250;488950,590550;254000,222250;158750,38100;127000,0;0,12700" o:connectangles="0,0,0,0,0,0,0,0,0,0,0,0,0,0,0,0,0,0,0,0,0,0,0,0,0,0,0,0,0,0,0,0,0,0,0,0,0,0,0,0,0"/>
                <v:fill type="gradientRadial" on="t" color2="#49E7CE" opacity="7208f" focus="100%" focussize="0f,0f" focusposition="65536f,65536f" rotate="t">
                  <o:fill type="gradientRadial" v:ext="backwardCompatible"/>
                </v:fill>
                <v:stroke on="f" weight="2pt"/>
                <v:imagedata o:title=""/>
                <o:lock v:ext="edit" aspectratio="f"/>
              </v:shape>
            </w:pict>
          </mc:Fallback>
        </mc:AlternateContent>
      </w:r>
      <w:r>
        <w:rPr>
          <w:color w:val="auto"/>
          <w:sz w:val="24"/>
        </w:rPr>
        <mc:AlternateContent>
          <mc:Choice Requires="wps">
            <w:drawing>
              <wp:anchor distT="0" distB="0" distL="114300" distR="114300" simplePos="0" relativeHeight="251753472" behindDoc="0" locked="0" layoutInCell="1" allowOverlap="1">
                <wp:simplePos x="0" y="0"/>
                <wp:positionH relativeFrom="column">
                  <wp:posOffset>5410835</wp:posOffset>
                </wp:positionH>
                <wp:positionV relativeFrom="paragraph">
                  <wp:posOffset>3915410</wp:posOffset>
                </wp:positionV>
                <wp:extent cx="424815" cy="307975"/>
                <wp:effectExtent l="0" t="0" r="0" b="0"/>
                <wp:wrapNone/>
                <wp:docPr id="135" name="文本框 135"/>
                <wp:cNvGraphicFramePr/>
                <a:graphic xmlns:a="http://schemas.openxmlformats.org/drawingml/2006/main">
                  <a:graphicData uri="http://schemas.microsoft.com/office/word/2010/wordprocessingShape">
                    <wps:wsp>
                      <wps:cNvSpPr txBox="1"/>
                      <wps:spPr>
                        <a:xfrm>
                          <a:off x="0" y="0"/>
                          <a:ext cx="424815" cy="3079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4976EE">
                            <w:pPr>
                              <w:rPr>
                                <w:rFonts w:hint="default" w:eastAsia="宋体"/>
                                <w:b/>
                                <w:bCs/>
                                <w:color w:val="FFFF00"/>
                                <w:sz w:val="22"/>
                                <w:szCs w:val="28"/>
                                <w:lang w:val="en-US" w:eastAsia="zh-CN"/>
                              </w:rPr>
                            </w:pPr>
                            <w:r>
                              <w:rPr>
                                <w:rFonts w:hint="eastAsia"/>
                                <w:b/>
                                <w:bCs/>
                                <w:color w:val="FFFF00"/>
                                <w:sz w:val="22"/>
                                <w:szCs w:val="28"/>
                                <w:lang w:val="en-US" w:eastAsia="zh-CN"/>
                              </w:rPr>
                              <w:t>W2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6.05pt;margin-top:308.3pt;height:24.25pt;width:33.45pt;z-index:251753472;mso-width-relative:page;mso-height-relative:page;" filled="f" stroked="f" coordsize="21600,21600" o:gfxdata="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6ByarbAAAACwEAAA8AAAAAAAAAAQAgAAAAIgAA&#10;AGRycy9kb3ducmV2LnhtbFBLAQIUABQAAAAIAIdO4kBPTW58PgIAAGkEAAAOAAAAAAAAAAEAIAAA&#10;ACoBAABkcnMvZTJvRG9jLnhtbFBLBQYAAAAABgAGAFkBAADaBQAAAAA=&#10;">
                <v:fill on="f" focussize="0,0"/>
                <v:stroke on="f" weight="0.5pt"/>
                <v:imagedata o:title=""/>
                <o:lock v:ext="edit" aspectratio="f"/>
                <v:textbox>
                  <w:txbxContent>
                    <w:p w14:paraId="524976EE">
                      <w:pPr>
                        <w:rPr>
                          <w:rFonts w:hint="default" w:eastAsia="宋体"/>
                          <w:b/>
                          <w:bCs/>
                          <w:color w:val="FFFF00"/>
                          <w:sz w:val="22"/>
                          <w:szCs w:val="28"/>
                          <w:lang w:val="en-US" w:eastAsia="zh-CN"/>
                        </w:rPr>
                      </w:pPr>
                      <w:r>
                        <w:rPr>
                          <w:rFonts w:hint="eastAsia"/>
                          <w:b/>
                          <w:bCs/>
                          <w:color w:val="FFFF00"/>
                          <w:sz w:val="22"/>
                          <w:szCs w:val="28"/>
                          <w:lang w:val="en-US" w:eastAsia="zh-CN"/>
                        </w:rPr>
                        <w:t>W2</w:t>
                      </w:r>
                    </w:p>
                  </w:txbxContent>
                </v:textbox>
              </v:shape>
            </w:pict>
          </mc:Fallback>
        </mc:AlternateContent>
      </w:r>
      <w:r>
        <w:rPr>
          <w:color w:val="auto"/>
          <w:sz w:val="24"/>
        </w:rPr>
        <mc:AlternateContent>
          <mc:Choice Requires="wps">
            <w:drawing>
              <wp:anchor distT="0" distB="0" distL="114300" distR="114300" simplePos="0" relativeHeight="251752448" behindDoc="0" locked="0" layoutInCell="1" allowOverlap="1">
                <wp:simplePos x="0" y="0"/>
                <wp:positionH relativeFrom="column">
                  <wp:posOffset>5426710</wp:posOffset>
                </wp:positionH>
                <wp:positionV relativeFrom="paragraph">
                  <wp:posOffset>3374390</wp:posOffset>
                </wp:positionV>
                <wp:extent cx="189865" cy="610235"/>
                <wp:effectExtent l="13970" t="0" r="24765" b="18415"/>
                <wp:wrapNone/>
                <wp:docPr id="134" name="直接箭头连接符 134"/>
                <wp:cNvGraphicFramePr/>
                <a:graphic xmlns:a="http://schemas.openxmlformats.org/drawingml/2006/main">
                  <a:graphicData uri="http://schemas.microsoft.com/office/word/2010/wordprocessingShape">
                    <wps:wsp>
                      <wps:cNvCnPr/>
                      <wps:spPr>
                        <a:xfrm flipH="1">
                          <a:off x="0" y="0"/>
                          <a:ext cx="189865" cy="610235"/>
                        </a:xfrm>
                        <a:prstGeom prst="straightConnector1">
                          <a:avLst/>
                        </a:prstGeom>
                        <a:ln>
                          <a:solidFill>
                            <a:srgbClr val="FFFF00"/>
                          </a:solidFill>
                          <a:headEnd type="triangle" w="med" len="med"/>
                          <a:tailEnd type="triangle" w="med" len="med"/>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427.3pt;margin-top:265.7pt;height:48.05pt;width:14.95pt;z-index:251752448;mso-width-relative:page;mso-height-relative:page;" filled="f" stroked="t" coordsize="21600,21600" o:gfxdata="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kJwSzZAAAA&#10;CwEAAA8AAAAAAAAAAQAgAAAAIgAAAGRycy9kb3ducmV2LnhtbFBLAQIUABQAAAAIAIdO4kDjzrNA&#10;HAIAAB0EAAAOAAAAAAAAAAEAIAAAACgBAABkcnMvZTJvRG9jLnhtbFBLBQYAAAAABgAGAFkBAAC2&#10;BQAAAAA=&#10;">
                <v:fill on="f" focussize="0,0"/>
                <v:stroke weight="2pt" color="#FFFF00 [3204]" joinstyle="round" startarrow="block" endarrow="block"/>
                <v:imagedata o:title=""/>
                <o:lock v:ext="edit" aspectratio="f"/>
              </v:shape>
            </w:pict>
          </mc:Fallback>
        </mc:AlternateContent>
      </w:r>
      <w:r>
        <w:rPr>
          <w:color w:val="auto"/>
          <w:sz w:val="24"/>
        </w:rPr>
        <mc:AlternateContent>
          <mc:Choice Requires="wps">
            <w:drawing>
              <wp:anchor distT="0" distB="0" distL="114300" distR="114300" simplePos="0" relativeHeight="251755520" behindDoc="0" locked="0" layoutInCell="1" allowOverlap="1">
                <wp:simplePos x="0" y="0"/>
                <wp:positionH relativeFrom="column">
                  <wp:posOffset>5959475</wp:posOffset>
                </wp:positionH>
                <wp:positionV relativeFrom="paragraph">
                  <wp:posOffset>4203700</wp:posOffset>
                </wp:positionV>
                <wp:extent cx="424815" cy="367030"/>
                <wp:effectExtent l="0" t="0" r="0" b="0"/>
                <wp:wrapNone/>
                <wp:docPr id="137" name="文本框 137"/>
                <wp:cNvGraphicFramePr/>
                <a:graphic xmlns:a="http://schemas.openxmlformats.org/drawingml/2006/main">
                  <a:graphicData uri="http://schemas.microsoft.com/office/word/2010/wordprocessingShape">
                    <wps:wsp>
                      <wps:cNvSpPr txBox="1"/>
                      <wps:spPr>
                        <a:xfrm>
                          <a:off x="0" y="0"/>
                          <a:ext cx="424815" cy="3670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2EB72E">
                            <w:pPr>
                              <w:rPr>
                                <w:rFonts w:hint="default" w:eastAsia="宋体"/>
                                <w:b/>
                                <w:bCs/>
                                <w:color w:val="FFFF00"/>
                                <w:sz w:val="22"/>
                                <w:szCs w:val="28"/>
                                <w:lang w:val="en-US" w:eastAsia="zh-CN"/>
                              </w:rPr>
                            </w:pPr>
                            <w:r>
                              <w:rPr>
                                <w:rFonts w:hint="eastAsia"/>
                                <w:b/>
                                <w:bCs/>
                                <w:color w:val="FFFF00"/>
                                <w:sz w:val="22"/>
                                <w:szCs w:val="28"/>
                                <w:lang w:val="en-US" w:eastAsia="zh-CN"/>
                              </w:rPr>
                              <w:t>W3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69.25pt;margin-top:331pt;height:28.9pt;width:33.45pt;z-index:251755520;mso-width-relative:page;mso-height-relative:page;" filled="f" stroked="f" coordsize="21600,21600" o:gfxdata="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D8w0gt0AAAAMAQAADwAAAAAAAAABACAAAAAi&#10;AAAAZHJzL2Rvd25yZXYueG1sUEsBAhQAFAAAAAgAh07iQG5Jies+AgAAaQQAAA4AAAAAAAAAAQAg&#10;AAAALAEAAGRycy9lMm9Eb2MueG1sUEsFBgAAAAAGAAYAWQEAANwFAAAAAA==&#10;">
                <v:fill on="f" focussize="0,0"/>
                <v:stroke on="f" weight="0.5pt"/>
                <v:imagedata o:title=""/>
                <o:lock v:ext="edit" aspectratio="f"/>
                <v:textbox>
                  <w:txbxContent>
                    <w:p w14:paraId="722EB72E">
                      <w:pPr>
                        <w:rPr>
                          <w:rFonts w:hint="default" w:eastAsia="宋体"/>
                          <w:b/>
                          <w:bCs/>
                          <w:color w:val="FFFF00"/>
                          <w:sz w:val="22"/>
                          <w:szCs w:val="28"/>
                          <w:lang w:val="en-US" w:eastAsia="zh-CN"/>
                        </w:rPr>
                      </w:pPr>
                      <w:r>
                        <w:rPr>
                          <w:rFonts w:hint="eastAsia"/>
                          <w:b/>
                          <w:bCs/>
                          <w:color w:val="FFFF00"/>
                          <w:sz w:val="22"/>
                          <w:szCs w:val="28"/>
                          <w:lang w:val="en-US" w:eastAsia="zh-CN"/>
                        </w:rPr>
                        <w:t>W3</w:t>
                      </w:r>
                    </w:p>
                  </w:txbxContent>
                </v:textbox>
              </v:shape>
            </w:pict>
          </mc:Fallback>
        </mc:AlternateContent>
      </w:r>
      <w:r>
        <w:rPr>
          <w:color w:val="auto"/>
          <w:sz w:val="24"/>
        </w:rPr>
        <mc:AlternateContent>
          <mc:Choice Requires="wps">
            <w:drawing>
              <wp:anchor distT="0" distB="0" distL="114300" distR="114300" simplePos="0" relativeHeight="251754496" behindDoc="0" locked="0" layoutInCell="1" allowOverlap="1">
                <wp:simplePos x="0" y="0"/>
                <wp:positionH relativeFrom="column">
                  <wp:posOffset>5962015</wp:posOffset>
                </wp:positionH>
                <wp:positionV relativeFrom="paragraph">
                  <wp:posOffset>3710940</wp:posOffset>
                </wp:positionV>
                <wp:extent cx="189865" cy="610235"/>
                <wp:effectExtent l="13970" t="0" r="24765" b="18415"/>
                <wp:wrapNone/>
                <wp:docPr id="136" name="直接箭头连接符 136"/>
                <wp:cNvGraphicFramePr/>
                <a:graphic xmlns:a="http://schemas.openxmlformats.org/drawingml/2006/main">
                  <a:graphicData uri="http://schemas.microsoft.com/office/word/2010/wordprocessingShape">
                    <wps:wsp>
                      <wps:cNvCnPr/>
                      <wps:spPr>
                        <a:xfrm flipH="1">
                          <a:off x="0" y="0"/>
                          <a:ext cx="189865" cy="610235"/>
                        </a:xfrm>
                        <a:prstGeom prst="straightConnector1">
                          <a:avLst/>
                        </a:prstGeom>
                        <a:ln>
                          <a:solidFill>
                            <a:srgbClr val="FFFF00"/>
                          </a:solidFill>
                          <a:headEnd type="triangle" w="med" len="med"/>
                          <a:tailEnd type="triangle" w="med" len="med"/>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469.45pt;margin-top:292.2pt;height:48.05pt;width:14.95pt;z-index:251754496;mso-width-relative:page;mso-height-relative:page;" filled="f" stroked="t" coordsize="21600,21600" o:gfxdata="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rDuHMdkAAAAL&#10;AQAADwAAAAAAAAABACAAAAAiAAAAZHJzL2Rvd25yZXYueG1sUEsBAhQAFAAAAAgAh07iQNTzU6Ub&#10;AgAAHQQAAA4AAAAAAAAAAQAgAAAAKAEAAGRycy9lMm9Eb2MueG1sUEsFBgAAAAAGAAYAWQEAALUF&#10;AAAAAA==&#10;">
                <v:fill on="f" focussize="0,0"/>
                <v:stroke weight="2pt" color="#FFFF00 [3204]" joinstyle="round" startarrow="block" endarrow="block"/>
                <v:imagedata o:title=""/>
                <o:lock v:ext="edit" aspectratio="f"/>
              </v:shape>
            </w:pict>
          </mc:Fallback>
        </mc:AlternateContent>
      </w:r>
      <w:r>
        <w:rPr>
          <w:color w:val="auto"/>
          <w:sz w:val="24"/>
        </w:rPr>
        <mc:AlternateContent>
          <mc:Choice Requires="wps">
            <w:drawing>
              <wp:anchor distT="0" distB="0" distL="114300" distR="114300" simplePos="0" relativeHeight="251756544" behindDoc="0" locked="0" layoutInCell="1" allowOverlap="1">
                <wp:simplePos x="0" y="0"/>
                <wp:positionH relativeFrom="column">
                  <wp:posOffset>6673215</wp:posOffset>
                </wp:positionH>
                <wp:positionV relativeFrom="paragraph">
                  <wp:posOffset>4344670</wp:posOffset>
                </wp:positionV>
                <wp:extent cx="189865" cy="610235"/>
                <wp:effectExtent l="13970" t="0" r="24765" b="18415"/>
                <wp:wrapNone/>
                <wp:docPr id="138" name="直接箭头连接符 138"/>
                <wp:cNvGraphicFramePr/>
                <a:graphic xmlns:a="http://schemas.openxmlformats.org/drawingml/2006/main">
                  <a:graphicData uri="http://schemas.microsoft.com/office/word/2010/wordprocessingShape">
                    <wps:wsp>
                      <wps:cNvCnPr/>
                      <wps:spPr>
                        <a:xfrm flipH="1">
                          <a:off x="0" y="0"/>
                          <a:ext cx="189865" cy="610235"/>
                        </a:xfrm>
                        <a:prstGeom prst="straightConnector1">
                          <a:avLst/>
                        </a:prstGeom>
                        <a:ln>
                          <a:solidFill>
                            <a:srgbClr val="FFFF00"/>
                          </a:solidFill>
                          <a:headEnd type="triangle" w="med" len="med"/>
                          <a:tailEnd type="triangle" w="med" len="med"/>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525.45pt;margin-top:342.1pt;height:48.05pt;width:14.95pt;z-index:251756544;mso-width-relative:page;mso-height-relative:page;" filled="f" stroked="t" coordsize="21600,21600" o:gfxdata="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CiatW9kAAAAN&#10;AQAADwAAAAAAAAABACAAAAAiAAAAZHJzL2Rvd25yZXYueG1sUEsBAhQAFAAAAAgAh07iQJJKYHEb&#10;AgAAHQQAAA4AAAAAAAAAAQAgAAAAKAEAAGRycy9lMm9Eb2MueG1sUEsFBgAAAAAGAAYAWQEAALUF&#10;AAAAAA==&#10;">
                <v:fill on="f" focussize="0,0"/>
                <v:stroke weight="2pt" color="#FFFF00 [3204]" joinstyle="round" startarrow="block" endarrow="block"/>
                <v:imagedata o:title=""/>
                <o:lock v:ext="edit" aspectratio="f"/>
              </v:shape>
            </w:pict>
          </mc:Fallback>
        </mc:AlternateContent>
      </w:r>
      <w:r>
        <w:rPr>
          <w:color w:val="auto"/>
          <w:sz w:val="24"/>
        </w:rPr>
        <mc:AlternateContent>
          <mc:Choice Requires="wps">
            <w:drawing>
              <wp:anchor distT="0" distB="0" distL="114300" distR="114300" simplePos="0" relativeHeight="251757568" behindDoc="0" locked="0" layoutInCell="1" allowOverlap="1">
                <wp:simplePos x="0" y="0"/>
                <wp:positionH relativeFrom="column">
                  <wp:posOffset>6622415</wp:posOffset>
                </wp:positionH>
                <wp:positionV relativeFrom="paragraph">
                  <wp:posOffset>4830445</wp:posOffset>
                </wp:positionV>
                <wp:extent cx="424815" cy="367030"/>
                <wp:effectExtent l="0" t="0" r="0" b="0"/>
                <wp:wrapNone/>
                <wp:docPr id="139" name="文本框 139"/>
                <wp:cNvGraphicFramePr/>
                <a:graphic xmlns:a="http://schemas.openxmlformats.org/drawingml/2006/main">
                  <a:graphicData uri="http://schemas.microsoft.com/office/word/2010/wordprocessingShape">
                    <wps:wsp>
                      <wps:cNvSpPr txBox="1"/>
                      <wps:spPr>
                        <a:xfrm>
                          <a:off x="0" y="0"/>
                          <a:ext cx="424815" cy="3670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C32107">
                            <w:pPr>
                              <w:rPr>
                                <w:rFonts w:hint="default" w:eastAsia="宋体"/>
                                <w:b/>
                                <w:bCs/>
                                <w:color w:val="FFFF00"/>
                                <w:sz w:val="22"/>
                                <w:szCs w:val="28"/>
                                <w:lang w:val="en-US" w:eastAsia="zh-CN"/>
                              </w:rPr>
                            </w:pPr>
                            <w:r>
                              <w:rPr>
                                <w:rFonts w:hint="eastAsia"/>
                                <w:b/>
                                <w:bCs/>
                                <w:color w:val="FFFF00"/>
                                <w:sz w:val="22"/>
                                <w:szCs w:val="28"/>
                                <w:lang w:val="en-US" w:eastAsia="zh-CN"/>
                              </w:rPr>
                              <w:t>W4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1.45pt;margin-top:380.35pt;height:28.9pt;width:33.45pt;z-index:251757568;mso-width-relative:page;mso-height-relative:page;" filled="f" stroked="f" coordsize="21600,21600" o:gfxdata="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1EpF1t0AAAANAQAADwAAAAAAAAABACAAAAAi&#10;AAAAZHJzL2Rvd25yZXYueG1sUEsBAhQAFAAAAAgAh07iQGkSaDQ+AgAAaQQAAA4AAAAAAAAAAQAg&#10;AAAALAEAAGRycy9lMm9Eb2MueG1sUEsFBgAAAAAGAAYAWQEAANwFAAAAAA==&#10;">
                <v:fill on="f" focussize="0,0"/>
                <v:stroke on="f" weight="0.5pt"/>
                <v:imagedata o:title=""/>
                <o:lock v:ext="edit" aspectratio="f"/>
                <v:textbox>
                  <w:txbxContent>
                    <w:p w14:paraId="49C32107">
                      <w:pPr>
                        <w:rPr>
                          <w:rFonts w:hint="default" w:eastAsia="宋体"/>
                          <w:b/>
                          <w:bCs/>
                          <w:color w:val="FFFF00"/>
                          <w:sz w:val="22"/>
                          <w:szCs w:val="28"/>
                          <w:lang w:val="en-US" w:eastAsia="zh-CN"/>
                        </w:rPr>
                      </w:pPr>
                      <w:r>
                        <w:rPr>
                          <w:rFonts w:hint="eastAsia"/>
                          <w:b/>
                          <w:bCs/>
                          <w:color w:val="FFFF00"/>
                          <w:sz w:val="22"/>
                          <w:szCs w:val="28"/>
                          <w:lang w:val="en-US" w:eastAsia="zh-CN"/>
                        </w:rPr>
                        <w:t>W4</w:t>
                      </w:r>
                    </w:p>
                  </w:txbxContent>
                </v:textbox>
              </v:shape>
            </w:pict>
          </mc:Fallback>
        </mc:AlternateContent>
      </w:r>
      <w:r>
        <w:rPr>
          <w:color w:val="auto"/>
          <w:sz w:val="24"/>
        </w:rPr>
        <mc:AlternateContent>
          <mc:Choice Requires="wps">
            <w:drawing>
              <wp:anchor distT="0" distB="0" distL="114300" distR="114300" simplePos="0" relativeHeight="251758592" behindDoc="0" locked="0" layoutInCell="1" allowOverlap="1">
                <wp:simplePos x="0" y="0"/>
                <wp:positionH relativeFrom="column">
                  <wp:posOffset>7116445</wp:posOffset>
                </wp:positionH>
                <wp:positionV relativeFrom="paragraph">
                  <wp:posOffset>4637405</wp:posOffset>
                </wp:positionV>
                <wp:extent cx="189865" cy="610235"/>
                <wp:effectExtent l="13970" t="0" r="24765" b="18415"/>
                <wp:wrapNone/>
                <wp:docPr id="140" name="直接箭头连接符 140"/>
                <wp:cNvGraphicFramePr/>
                <a:graphic xmlns:a="http://schemas.openxmlformats.org/drawingml/2006/main">
                  <a:graphicData uri="http://schemas.microsoft.com/office/word/2010/wordprocessingShape">
                    <wps:wsp>
                      <wps:cNvCnPr/>
                      <wps:spPr>
                        <a:xfrm flipH="1">
                          <a:off x="0" y="0"/>
                          <a:ext cx="189865" cy="610235"/>
                        </a:xfrm>
                        <a:prstGeom prst="straightConnector1">
                          <a:avLst/>
                        </a:prstGeom>
                        <a:ln>
                          <a:solidFill>
                            <a:srgbClr val="FFFF00"/>
                          </a:solidFill>
                          <a:headEnd type="triangle" w="med" len="med"/>
                          <a:tailEnd type="triangle" w="med" len="med"/>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560.35pt;margin-top:365.15pt;height:48.05pt;width:14.95pt;z-index:251758592;mso-width-relative:page;mso-height-relative:page;" filled="f" stroked="t" coordsize="21600,21600" o:gfxdata="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ZbmDaAAAA&#10;DQEAAA8AAAAAAAAAAQAgAAAAIgAAAGRycy9kb3ducmV2LnhtbFBLAQIUABQAAAAIAIdO4kBCWbcf&#10;GwIAAB0EAAAOAAAAAAAAAAEAIAAAACkBAABkcnMvZTJvRG9jLnhtbFBLBQYAAAAABgAGAFkBAAC2&#10;BQAAAAA=&#10;">
                <v:fill on="f" focussize="0,0"/>
                <v:stroke weight="2pt" color="#FFFF00 [3204]" joinstyle="round" startarrow="block" endarrow="block"/>
                <v:imagedata o:title=""/>
                <o:lock v:ext="edit" aspectratio="f"/>
              </v:shape>
            </w:pict>
          </mc:Fallback>
        </mc:AlternateContent>
      </w:r>
      <w:r>
        <w:rPr>
          <w:color w:val="auto"/>
          <w:sz w:val="24"/>
        </w:rPr>
        <mc:AlternateContent>
          <mc:Choice Requires="wps">
            <w:drawing>
              <wp:anchor distT="0" distB="0" distL="114300" distR="114300" simplePos="0" relativeHeight="251759616" behindDoc="0" locked="0" layoutInCell="1" allowOverlap="1">
                <wp:simplePos x="0" y="0"/>
                <wp:positionH relativeFrom="column">
                  <wp:posOffset>7086600</wp:posOffset>
                </wp:positionH>
                <wp:positionV relativeFrom="paragraph">
                  <wp:posOffset>5121275</wp:posOffset>
                </wp:positionV>
                <wp:extent cx="424815" cy="367030"/>
                <wp:effectExtent l="0" t="0" r="0" b="0"/>
                <wp:wrapNone/>
                <wp:docPr id="141" name="文本框 141"/>
                <wp:cNvGraphicFramePr/>
                <a:graphic xmlns:a="http://schemas.openxmlformats.org/drawingml/2006/main">
                  <a:graphicData uri="http://schemas.microsoft.com/office/word/2010/wordprocessingShape">
                    <wps:wsp>
                      <wps:cNvSpPr txBox="1"/>
                      <wps:spPr>
                        <a:xfrm>
                          <a:off x="0" y="0"/>
                          <a:ext cx="424815" cy="3670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3ECC99">
                            <w:pPr>
                              <w:rPr>
                                <w:rFonts w:hint="default" w:eastAsia="宋体"/>
                                <w:b/>
                                <w:bCs/>
                                <w:color w:val="FFFF00"/>
                                <w:sz w:val="22"/>
                                <w:szCs w:val="28"/>
                                <w:lang w:val="en-US" w:eastAsia="zh-CN"/>
                              </w:rPr>
                            </w:pPr>
                            <w:r>
                              <w:rPr>
                                <w:rFonts w:hint="eastAsia"/>
                                <w:b/>
                                <w:bCs/>
                                <w:color w:val="FFFF00"/>
                                <w:sz w:val="22"/>
                                <w:szCs w:val="28"/>
                                <w:lang w:val="en-US" w:eastAsia="zh-CN"/>
                              </w:rPr>
                              <w:t>W5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58pt;margin-top:403.25pt;height:28.9pt;width:33.45pt;z-index:251759616;mso-width-relative:page;mso-height-relative:page;" filled="f" stroked="f" coordsize="21600,21600" o:gfxdata="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h6Cy90AAAANAQAADwAAAAAAAAABACAAAAAi&#10;AAAAZHJzL2Rvd25yZXYueG1sUEsBAhQAFAAAAAgAh07iQDzShBA+AgAAaQQAAA4AAAAAAAAAAQAg&#10;AAAALAEAAGRycy9lMm9Eb2MueG1sUEsFBgAAAAAGAAYAWQEAANwFAAAAAA==&#10;">
                <v:fill on="f" focussize="0,0"/>
                <v:stroke on="f" weight="0.5pt"/>
                <v:imagedata o:title=""/>
                <o:lock v:ext="edit" aspectratio="f"/>
                <v:textbox>
                  <w:txbxContent>
                    <w:p w14:paraId="573ECC99">
                      <w:pPr>
                        <w:rPr>
                          <w:rFonts w:hint="default" w:eastAsia="宋体"/>
                          <w:b/>
                          <w:bCs/>
                          <w:color w:val="FFFF00"/>
                          <w:sz w:val="22"/>
                          <w:szCs w:val="28"/>
                          <w:lang w:val="en-US" w:eastAsia="zh-CN"/>
                        </w:rPr>
                      </w:pPr>
                      <w:r>
                        <w:rPr>
                          <w:rFonts w:hint="eastAsia"/>
                          <w:b/>
                          <w:bCs/>
                          <w:color w:val="FFFF00"/>
                          <w:sz w:val="22"/>
                          <w:szCs w:val="28"/>
                          <w:lang w:val="en-US" w:eastAsia="zh-CN"/>
                        </w:rPr>
                        <w:t>W5</w:t>
                      </w:r>
                    </w:p>
                  </w:txbxContent>
                </v:textbox>
              </v:shape>
            </w:pict>
          </mc:Fallback>
        </mc:AlternateContent>
      </w:r>
      <w:r>
        <w:rPr>
          <w:color w:val="auto"/>
          <w:sz w:val="24"/>
        </w:rPr>
        <mc:AlternateContent>
          <mc:Choice Requires="wps">
            <w:drawing>
              <wp:anchor distT="0" distB="0" distL="114300" distR="114300" simplePos="0" relativeHeight="251765760" behindDoc="0" locked="0" layoutInCell="1" allowOverlap="1">
                <wp:simplePos x="0" y="0"/>
                <wp:positionH relativeFrom="column">
                  <wp:posOffset>5020310</wp:posOffset>
                </wp:positionH>
                <wp:positionV relativeFrom="paragraph">
                  <wp:posOffset>1037590</wp:posOffset>
                </wp:positionV>
                <wp:extent cx="773430" cy="307975"/>
                <wp:effectExtent l="0" t="0" r="0" b="0"/>
                <wp:wrapNone/>
                <wp:docPr id="149" name="文本框 149"/>
                <wp:cNvGraphicFramePr/>
                <a:graphic xmlns:a="http://schemas.openxmlformats.org/drawingml/2006/main">
                  <a:graphicData uri="http://schemas.microsoft.com/office/word/2010/wordprocessingShape">
                    <wps:wsp>
                      <wps:cNvSpPr txBox="1"/>
                      <wps:spPr>
                        <a:xfrm>
                          <a:off x="0" y="0"/>
                          <a:ext cx="773430" cy="3079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62A829">
                            <w:pPr>
                              <w:rPr>
                                <w:rFonts w:hint="default" w:eastAsia="宋体"/>
                                <w:b/>
                                <w:bCs/>
                                <w:color w:val="FFFF00"/>
                                <w:sz w:val="22"/>
                                <w:szCs w:val="28"/>
                                <w:lang w:val="en-US" w:eastAsia="zh-CN"/>
                              </w:rPr>
                            </w:pPr>
                            <w:r>
                              <w:rPr>
                                <w:rFonts w:hint="eastAsia"/>
                                <w:b/>
                                <w:bCs/>
                                <w:color w:val="FFFF00"/>
                                <w:sz w:val="22"/>
                                <w:szCs w:val="28"/>
                                <w:lang w:val="en-US" w:eastAsia="zh-CN"/>
                              </w:rPr>
                              <w:t>王引河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5.3pt;margin-top:81.7pt;height:24.25pt;width:60.9pt;z-index:251765760;mso-width-relative:page;mso-height-relative:page;" filled="f" stroked="f" coordsize="21600,21600" o:gfxdata="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Pl60RzcAAAACwEAAA8AAAAAAAAAAQAgAAAAIgAA&#10;AGRycy9kb3ducmV2LnhtbFBLAQIUABQAAAAIAIdO4kBMjmK+PQIAAGkEAAAOAAAAAAAAAAEAIAAA&#10;ACsBAABkcnMvZTJvRG9jLnhtbFBLBQYAAAAABgAGAFkBAADaBQAAAAA=&#10;">
                <v:fill on="f" focussize="0,0"/>
                <v:stroke on="f" weight="0.5pt"/>
                <v:imagedata o:title=""/>
                <o:lock v:ext="edit" aspectratio="f"/>
                <v:textbox>
                  <w:txbxContent>
                    <w:p w14:paraId="1062A829">
                      <w:pPr>
                        <w:rPr>
                          <w:rFonts w:hint="default" w:eastAsia="宋体"/>
                          <w:b/>
                          <w:bCs/>
                          <w:color w:val="FFFF00"/>
                          <w:sz w:val="22"/>
                          <w:szCs w:val="28"/>
                          <w:lang w:val="en-US" w:eastAsia="zh-CN"/>
                        </w:rPr>
                      </w:pPr>
                      <w:r>
                        <w:rPr>
                          <w:rFonts w:hint="eastAsia"/>
                          <w:b/>
                          <w:bCs/>
                          <w:color w:val="FFFF00"/>
                          <w:sz w:val="22"/>
                          <w:szCs w:val="28"/>
                          <w:lang w:val="en-US" w:eastAsia="zh-CN"/>
                        </w:rPr>
                        <w:t>王引河</w:t>
                      </w:r>
                    </w:p>
                  </w:txbxContent>
                </v:textbox>
              </v:shape>
            </w:pict>
          </mc:Fallback>
        </mc:AlternateContent>
      </w:r>
      <w:r>
        <w:rPr>
          <w:color w:val="auto"/>
          <w:sz w:val="24"/>
        </w:rPr>
        <mc:AlternateContent>
          <mc:Choice Requires="wps">
            <w:drawing>
              <wp:anchor distT="0" distB="0" distL="114300" distR="114300" simplePos="0" relativeHeight="251764736" behindDoc="0" locked="0" layoutInCell="1" allowOverlap="1">
                <wp:simplePos x="0" y="0"/>
                <wp:positionH relativeFrom="column">
                  <wp:posOffset>2829560</wp:posOffset>
                </wp:positionH>
                <wp:positionV relativeFrom="paragraph">
                  <wp:posOffset>3006090</wp:posOffset>
                </wp:positionV>
                <wp:extent cx="589280" cy="307975"/>
                <wp:effectExtent l="0" t="0" r="0" b="0"/>
                <wp:wrapNone/>
                <wp:docPr id="147" name="文本框 147"/>
                <wp:cNvGraphicFramePr/>
                <a:graphic xmlns:a="http://schemas.openxmlformats.org/drawingml/2006/main">
                  <a:graphicData uri="http://schemas.microsoft.com/office/word/2010/wordprocessingShape">
                    <wps:wsp>
                      <wps:cNvSpPr txBox="1"/>
                      <wps:spPr>
                        <a:xfrm>
                          <a:off x="0" y="0"/>
                          <a:ext cx="589280" cy="3079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68050B">
                            <w:pPr>
                              <w:rPr>
                                <w:rFonts w:hint="default" w:eastAsia="宋体"/>
                                <w:b/>
                                <w:bCs/>
                                <w:color w:val="FFFF00"/>
                                <w:sz w:val="22"/>
                                <w:szCs w:val="28"/>
                                <w:lang w:val="en-US" w:eastAsia="zh-CN"/>
                              </w:rPr>
                            </w:pPr>
                            <w:r>
                              <w:rPr>
                                <w:rFonts w:hint="eastAsia"/>
                                <w:b/>
                                <w:bCs/>
                                <w:color w:val="FFFF00"/>
                                <w:sz w:val="22"/>
                                <w:szCs w:val="28"/>
                                <w:lang w:val="en-US" w:eastAsia="zh-CN"/>
                              </w:rPr>
                              <w:t>巴河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2.8pt;margin-top:236.7pt;height:24.25pt;width:46.4pt;z-index:251764736;mso-width-relative:page;mso-height-relative:page;" filled="f" stroked="f" coordsize="21600,21600" o:gfxdata="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JQgFc/cAAAACwEAAA8AAAAAAAAAAQAgAAAAIgAA&#10;AGRycy9kb3ducmV2LnhtbFBLAQIUABQAAAAIAIdO4kA1UlzyPQIAAGkEAAAOAAAAAAAAAAEAIAAA&#10;ACsBAABkcnMvZTJvRG9jLnhtbFBLBQYAAAAABgAGAFkBAADaBQAAAAA=&#10;">
                <v:fill on="f" focussize="0,0"/>
                <v:stroke on="f" weight="0.5pt"/>
                <v:imagedata o:title=""/>
                <o:lock v:ext="edit" aspectratio="f"/>
                <v:textbox>
                  <w:txbxContent>
                    <w:p w14:paraId="4368050B">
                      <w:pPr>
                        <w:rPr>
                          <w:rFonts w:hint="default" w:eastAsia="宋体"/>
                          <w:b/>
                          <w:bCs/>
                          <w:color w:val="FFFF00"/>
                          <w:sz w:val="22"/>
                          <w:szCs w:val="28"/>
                          <w:lang w:val="en-US" w:eastAsia="zh-CN"/>
                        </w:rPr>
                      </w:pPr>
                      <w:r>
                        <w:rPr>
                          <w:rFonts w:hint="eastAsia"/>
                          <w:b/>
                          <w:bCs/>
                          <w:color w:val="FFFF00"/>
                          <w:sz w:val="22"/>
                          <w:szCs w:val="28"/>
                          <w:lang w:val="en-US" w:eastAsia="zh-CN"/>
                        </w:rPr>
                        <w:t>巴河</w:t>
                      </w:r>
                    </w:p>
                  </w:txbxContent>
                </v:textbox>
              </v:shape>
            </w:pict>
          </mc:Fallback>
        </mc:AlternateContent>
      </w:r>
      <w:r>
        <w:rPr>
          <w:color w:val="auto"/>
          <w:sz w:val="24"/>
        </w:rPr>
        <mc:AlternateContent>
          <mc:Choice Requires="wps">
            <w:drawing>
              <wp:anchor distT="0" distB="0" distL="114300" distR="114300" simplePos="0" relativeHeight="251762688" behindDoc="0" locked="0" layoutInCell="1" allowOverlap="1">
                <wp:simplePos x="0" y="0"/>
                <wp:positionH relativeFrom="column">
                  <wp:posOffset>10160</wp:posOffset>
                </wp:positionH>
                <wp:positionV relativeFrom="paragraph">
                  <wp:posOffset>2099310</wp:posOffset>
                </wp:positionV>
                <wp:extent cx="6196965" cy="2117725"/>
                <wp:effectExtent l="0" t="0" r="13335" b="15875"/>
                <wp:wrapNone/>
                <wp:docPr id="145" name="任意多边形 145"/>
                <wp:cNvGraphicFramePr/>
                <a:graphic xmlns:a="http://schemas.openxmlformats.org/drawingml/2006/main">
                  <a:graphicData uri="http://schemas.microsoft.com/office/word/2010/wordprocessingShape">
                    <wps:wsp>
                      <wps:cNvSpPr/>
                      <wps:spPr>
                        <a:xfrm>
                          <a:off x="924560" y="2785110"/>
                          <a:ext cx="6196965" cy="2117725"/>
                        </a:xfrm>
                        <a:custGeom>
                          <a:avLst/>
                          <a:gdLst>
                            <a:gd name="connisteX0" fmla="*/ 0 w 6196965"/>
                            <a:gd name="connsiteY0" fmla="*/ 6350 h 2117725"/>
                            <a:gd name="connisteX1" fmla="*/ 240665 w 6196965"/>
                            <a:gd name="connsiteY1" fmla="*/ 0 h 2117725"/>
                            <a:gd name="connisteX2" fmla="*/ 498475 w 6196965"/>
                            <a:gd name="connsiteY2" fmla="*/ 6350 h 2117725"/>
                            <a:gd name="connisteX3" fmla="*/ 571500 w 6196965"/>
                            <a:gd name="connsiteY3" fmla="*/ 0 h 2117725"/>
                            <a:gd name="connisteX4" fmla="*/ 750570 w 6196965"/>
                            <a:gd name="connsiteY4" fmla="*/ 6350 h 2117725"/>
                            <a:gd name="connisteX5" fmla="*/ 974725 w 6196965"/>
                            <a:gd name="connsiteY5" fmla="*/ 56515 h 2117725"/>
                            <a:gd name="connisteX6" fmla="*/ 1176655 w 6196965"/>
                            <a:gd name="connsiteY6" fmla="*/ 107315 h 2117725"/>
                            <a:gd name="connisteX7" fmla="*/ 1355725 w 6196965"/>
                            <a:gd name="connsiteY7" fmla="*/ 185420 h 2117725"/>
                            <a:gd name="connisteX8" fmla="*/ 1607820 w 6196965"/>
                            <a:gd name="connsiteY8" fmla="*/ 320040 h 2117725"/>
                            <a:gd name="connisteX9" fmla="*/ 1837690 w 6196965"/>
                            <a:gd name="connsiteY9" fmla="*/ 466090 h 2117725"/>
                            <a:gd name="connisteX10" fmla="*/ 2016760 w 6196965"/>
                            <a:gd name="connsiteY10" fmla="*/ 593725 h 2117725"/>
                            <a:gd name="connisteX11" fmla="*/ 2162810 w 6196965"/>
                            <a:gd name="connsiteY11" fmla="*/ 701040 h 2117725"/>
                            <a:gd name="connisteX12" fmla="*/ 2538095 w 6196965"/>
                            <a:gd name="connsiteY12" fmla="*/ 768350 h 2117725"/>
                            <a:gd name="connisteX13" fmla="*/ 2935605 w 6196965"/>
                            <a:gd name="connsiteY13" fmla="*/ 824230 h 2117725"/>
                            <a:gd name="connisteX14" fmla="*/ 3316605 w 6196965"/>
                            <a:gd name="connsiteY14" fmla="*/ 885825 h 2117725"/>
                            <a:gd name="connisteX15" fmla="*/ 3764915 w 6196965"/>
                            <a:gd name="connsiteY15" fmla="*/ 1020445 h 2117725"/>
                            <a:gd name="connisteX16" fmla="*/ 3994785 w 6196965"/>
                            <a:gd name="connsiteY16" fmla="*/ 1115695 h 2117725"/>
                            <a:gd name="connisteX17" fmla="*/ 4084320 w 6196965"/>
                            <a:gd name="connsiteY17" fmla="*/ 1160780 h 2117725"/>
                            <a:gd name="connisteX18" fmla="*/ 4286250 w 6196965"/>
                            <a:gd name="connsiteY18" fmla="*/ 1165225 h 2117725"/>
                            <a:gd name="connisteX19" fmla="*/ 4532630 w 6196965"/>
                            <a:gd name="connsiteY19" fmla="*/ 1199515 h 2117725"/>
                            <a:gd name="connisteX20" fmla="*/ 4773295 w 6196965"/>
                            <a:gd name="connsiteY20" fmla="*/ 1283970 h 2117725"/>
                            <a:gd name="connisteX21" fmla="*/ 4992370 w 6196965"/>
                            <a:gd name="connsiteY21" fmla="*/ 1333500 h 2117725"/>
                            <a:gd name="connisteX22" fmla="*/ 5098415 w 6196965"/>
                            <a:gd name="connsiteY22" fmla="*/ 1333500 h 2117725"/>
                            <a:gd name="connisteX23" fmla="*/ 5244465 w 6196965"/>
                            <a:gd name="connsiteY23" fmla="*/ 1390015 h 2117725"/>
                            <a:gd name="connisteX24" fmla="*/ 5412105 w 6196965"/>
                            <a:gd name="connsiteY24" fmla="*/ 1474470 h 2117725"/>
                            <a:gd name="connisteX25" fmla="*/ 5675630 w 6196965"/>
                            <a:gd name="connsiteY25" fmla="*/ 1670050 h 2117725"/>
                            <a:gd name="connisteX26" fmla="*/ 5826760 w 6196965"/>
                            <a:gd name="connsiteY26" fmla="*/ 1748790 h 2117725"/>
                            <a:gd name="connisteX27" fmla="*/ 6000750 w 6196965"/>
                            <a:gd name="connsiteY27" fmla="*/ 1866265 h 2117725"/>
                            <a:gd name="connisteX28" fmla="*/ 6157595 w 6196965"/>
                            <a:gd name="connsiteY28" fmla="*/ 2045970 h 2117725"/>
                            <a:gd name="connisteX29" fmla="*/ 6179820 w 6196965"/>
                            <a:gd name="connsiteY29" fmla="*/ 2085340 h 2117725"/>
                            <a:gd name="connisteX30" fmla="*/ 6196965 w 6196965"/>
                            <a:gd name="connsiteY30" fmla="*/ 2117725 h 2117725"/>
                            <a:gd name="connisteX31" fmla="*/ 5995035 w 6196965"/>
                            <a:gd name="connsiteY31" fmla="*/ 1927225 h 2117725"/>
                            <a:gd name="connisteX32" fmla="*/ 5882640 w 6196965"/>
                            <a:gd name="connsiteY32" fmla="*/ 1827530 h 2117725"/>
                            <a:gd name="connisteX33" fmla="*/ 5737225 w 6196965"/>
                            <a:gd name="connsiteY33" fmla="*/ 1760220 h 2117725"/>
                            <a:gd name="connisteX34" fmla="*/ 5518785 w 6196965"/>
                            <a:gd name="connsiteY34" fmla="*/ 1647825 h 2117725"/>
                            <a:gd name="connisteX35" fmla="*/ 5423535 w 6196965"/>
                            <a:gd name="connsiteY35" fmla="*/ 1564005 h 2117725"/>
                            <a:gd name="connisteX36" fmla="*/ 5300345 w 6196965"/>
                            <a:gd name="connsiteY36" fmla="*/ 1474470 h 2117725"/>
                            <a:gd name="connisteX37" fmla="*/ 5098415 w 6196965"/>
                            <a:gd name="connsiteY37" fmla="*/ 1401445 h 2117725"/>
                            <a:gd name="connisteX38" fmla="*/ 4768215 w 6196965"/>
                            <a:gd name="connsiteY38" fmla="*/ 1333500 h 2117725"/>
                            <a:gd name="connisteX39" fmla="*/ 4498975 w 6196965"/>
                            <a:gd name="connsiteY39" fmla="*/ 1233170 h 2117725"/>
                            <a:gd name="connisteX40" fmla="*/ 4297045 w 6196965"/>
                            <a:gd name="connsiteY40" fmla="*/ 1193800 h 2117725"/>
                            <a:gd name="connisteX41" fmla="*/ 4151630 w 6196965"/>
                            <a:gd name="connsiteY41" fmla="*/ 1193800 h 2117725"/>
                            <a:gd name="connisteX42" fmla="*/ 4028440 w 6196965"/>
                            <a:gd name="connsiteY42" fmla="*/ 1188720 h 2117725"/>
                            <a:gd name="connisteX43" fmla="*/ 3865880 w 6196965"/>
                            <a:gd name="connsiteY43" fmla="*/ 1115695 h 2117725"/>
                            <a:gd name="connisteX44" fmla="*/ 3625215 w 6196965"/>
                            <a:gd name="connsiteY44" fmla="*/ 1020445 h 2117725"/>
                            <a:gd name="connisteX45" fmla="*/ 3272155 w 6196965"/>
                            <a:gd name="connsiteY45" fmla="*/ 925195 h 2117725"/>
                            <a:gd name="connisteX46" fmla="*/ 2823845 w 6196965"/>
                            <a:gd name="connsiteY46" fmla="*/ 863600 h 2117725"/>
                            <a:gd name="connisteX47" fmla="*/ 2358390 w 6196965"/>
                            <a:gd name="connsiteY47" fmla="*/ 784225 h 2117725"/>
                            <a:gd name="connisteX48" fmla="*/ 2129155 w 6196965"/>
                            <a:gd name="connsiteY48" fmla="*/ 734695 h 2117725"/>
                            <a:gd name="connisteX49" fmla="*/ 1949450 w 6196965"/>
                            <a:gd name="connsiteY49" fmla="*/ 617220 h 2117725"/>
                            <a:gd name="connisteX50" fmla="*/ 1658620 w 6196965"/>
                            <a:gd name="connsiteY50" fmla="*/ 421005 h 2117725"/>
                            <a:gd name="connisteX51" fmla="*/ 1423035 w 6196965"/>
                            <a:gd name="connsiteY51" fmla="*/ 285750 h 2117725"/>
                            <a:gd name="connisteX52" fmla="*/ 1221105 w 6196965"/>
                            <a:gd name="connsiteY52" fmla="*/ 174625 h 2117725"/>
                            <a:gd name="connisteX53" fmla="*/ 980440 w 6196965"/>
                            <a:gd name="connsiteY53" fmla="*/ 113030 h 2117725"/>
                            <a:gd name="connisteX54" fmla="*/ 762000 w 6196965"/>
                            <a:gd name="connsiteY54" fmla="*/ 50800 h 2117725"/>
                            <a:gd name="connisteX55" fmla="*/ 442595 w 6196965"/>
                            <a:gd name="connsiteY55" fmla="*/ 28575 h 2117725"/>
                            <a:gd name="connisteX56" fmla="*/ 218440 w 6196965"/>
                            <a:gd name="connsiteY56" fmla="*/ 40005 h 2117725"/>
                            <a:gd name="connisteX57" fmla="*/ 16510 w 6196965"/>
                            <a:gd name="connsiteY57" fmla="*/ 45720 h 2117725"/>
                            <a:gd name="connisteX58" fmla="*/ 0 w 6196965"/>
                            <a:gd name="connsiteY58" fmla="*/ 6350 h 211772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 ang="0">
                              <a:pos x="connisteX26" y="connsiteY26"/>
                            </a:cxn>
                            <a:cxn ang="0">
                              <a:pos x="connisteX27" y="connsiteY27"/>
                            </a:cxn>
                            <a:cxn ang="0">
                              <a:pos x="connisteX28" y="connsiteY28"/>
                            </a:cxn>
                            <a:cxn ang="0">
                              <a:pos x="connisteX29" y="connsiteY29"/>
                            </a:cxn>
                            <a:cxn ang="0">
                              <a:pos x="connisteX30" y="connsiteY30"/>
                            </a:cxn>
                            <a:cxn ang="0">
                              <a:pos x="connisteX31" y="connsiteY31"/>
                            </a:cxn>
                            <a:cxn ang="0">
                              <a:pos x="connisteX32" y="connsiteY32"/>
                            </a:cxn>
                            <a:cxn ang="0">
                              <a:pos x="connisteX33" y="connsiteY33"/>
                            </a:cxn>
                            <a:cxn ang="0">
                              <a:pos x="connisteX34" y="connsiteY34"/>
                            </a:cxn>
                            <a:cxn ang="0">
                              <a:pos x="connisteX35" y="connsiteY35"/>
                            </a:cxn>
                            <a:cxn ang="0">
                              <a:pos x="connisteX36" y="connsiteY36"/>
                            </a:cxn>
                            <a:cxn ang="0">
                              <a:pos x="connisteX37" y="connsiteY37"/>
                            </a:cxn>
                            <a:cxn ang="0">
                              <a:pos x="connisteX38" y="connsiteY38"/>
                            </a:cxn>
                            <a:cxn ang="0">
                              <a:pos x="connisteX39" y="connsiteY39"/>
                            </a:cxn>
                            <a:cxn ang="0">
                              <a:pos x="connisteX40" y="connsiteY40"/>
                            </a:cxn>
                            <a:cxn ang="0">
                              <a:pos x="connisteX41" y="connsiteY41"/>
                            </a:cxn>
                            <a:cxn ang="0">
                              <a:pos x="connisteX42" y="connsiteY42"/>
                            </a:cxn>
                            <a:cxn ang="0">
                              <a:pos x="connisteX43" y="connsiteY43"/>
                            </a:cxn>
                            <a:cxn ang="0">
                              <a:pos x="connisteX44" y="connsiteY44"/>
                            </a:cxn>
                            <a:cxn ang="0">
                              <a:pos x="connisteX45" y="connsiteY45"/>
                            </a:cxn>
                            <a:cxn ang="0">
                              <a:pos x="connisteX46" y="connsiteY46"/>
                            </a:cxn>
                            <a:cxn ang="0">
                              <a:pos x="connisteX47" y="connsiteY47"/>
                            </a:cxn>
                            <a:cxn ang="0">
                              <a:pos x="connisteX48" y="connsiteY48"/>
                            </a:cxn>
                            <a:cxn ang="0">
                              <a:pos x="connisteX49" y="connsiteY49"/>
                            </a:cxn>
                            <a:cxn ang="0">
                              <a:pos x="connisteX50" y="connsiteY50"/>
                            </a:cxn>
                            <a:cxn ang="0">
                              <a:pos x="connisteX51" y="connsiteY51"/>
                            </a:cxn>
                            <a:cxn ang="0">
                              <a:pos x="connisteX52" y="connsiteY52"/>
                            </a:cxn>
                            <a:cxn ang="0">
                              <a:pos x="connisteX53" y="connsiteY53"/>
                            </a:cxn>
                            <a:cxn ang="0">
                              <a:pos x="connisteX54" y="connsiteY54"/>
                            </a:cxn>
                            <a:cxn ang="0">
                              <a:pos x="connisteX55" y="connsiteY55"/>
                            </a:cxn>
                            <a:cxn ang="0">
                              <a:pos x="connisteX56" y="connsiteY56"/>
                            </a:cxn>
                            <a:cxn ang="0">
                              <a:pos x="connisteX57" y="connsiteY57"/>
                            </a:cxn>
                            <a:cxn ang="0">
                              <a:pos x="connisteX58" y="connsiteY58"/>
                            </a:cxn>
                          </a:cxnLst>
                          <a:rect l="l" t="t" r="r" b="b"/>
                          <a:pathLst>
                            <a:path w="6196965" h="2117725">
                              <a:moveTo>
                                <a:pt x="0" y="6350"/>
                              </a:moveTo>
                              <a:lnTo>
                                <a:pt x="240665" y="0"/>
                              </a:lnTo>
                              <a:lnTo>
                                <a:pt x="498475" y="6350"/>
                              </a:lnTo>
                              <a:lnTo>
                                <a:pt x="571500" y="0"/>
                              </a:lnTo>
                              <a:lnTo>
                                <a:pt x="750570" y="6350"/>
                              </a:lnTo>
                              <a:lnTo>
                                <a:pt x="974725" y="56515"/>
                              </a:lnTo>
                              <a:lnTo>
                                <a:pt x="1176655" y="107315"/>
                              </a:lnTo>
                              <a:lnTo>
                                <a:pt x="1355725" y="185420"/>
                              </a:lnTo>
                              <a:lnTo>
                                <a:pt x="1607820" y="320040"/>
                              </a:lnTo>
                              <a:lnTo>
                                <a:pt x="1837690" y="466090"/>
                              </a:lnTo>
                              <a:lnTo>
                                <a:pt x="2016760" y="593725"/>
                              </a:lnTo>
                              <a:lnTo>
                                <a:pt x="2162810" y="701040"/>
                              </a:lnTo>
                              <a:lnTo>
                                <a:pt x="2538095" y="768350"/>
                              </a:lnTo>
                              <a:lnTo>
                                <a:pt x="2935605" y="824230"/>
                              </a:lnTo>
                              <a:lnTo>
                                <a:pt x="3316605" y="885825"/>
                              </a:lnTo>
                              <a:lnTo>
                                <a:pt x="3764915" y="1020445"/>
                              </a:lnTo>
                              <a:lnTo>
                                <a:pt x="3994785" y="1115695"/>
                              </a:lnTo>
                              <a:lnTo>
                                <a:pt x="4084320" y="1160780"/>
                              </a:lnTo>
                              <a:lnTo>
                                <a:pt x="4286250" y="1165225"/>
                              </a:lnTo>
                              <a:lnTo>
                                <a:pt x="4532630" y="1199515"/>
                              </a:lnTo>
                              <a:lnTo>
                                <a:pt x="4773295" y="1283970"/>
                              </a:lnTo>
                              <a:lnTo>
                                <a:pt x="4992370" y="1333500"/>
                              </a:lnTo>
                              <a:lnTo>
                                <a:pt x="5098415" y="1333500"/>
                              </a:lnTo>
                              <a:lnTo>
                                <a:pt x="5244465" y="1390015"/>
                              </a:lnTo>
                              <a:lnTo>
                                <a:pt x="5412105" y="1474470"/>
                              </a:lnTo>
                              <a:lnTo>
                                <a:pt x="5675630" y="1670050"/>
                              </a:lnTo>
                              <a:lnTo>
                                <a:pt x="5826760" y="1748790"/>
                              </a:lnTo>
                              <a:lnTo>
                                <a:pt x="6000750" y="1866265"/>
                              </a:lnTo>
                              <a:lnTo>
                                <a:pt x="6157595" y="2045970"/>
                              </a:lnTo>
                              <a:lnTo>
                                <a:pt x="6179820" y="2085340"/>
                              </a:lnTo>
                              <a:lnTo>
                                <a:pt x="6196965" y="2117725"/>
                              </a:lnTo>
                              <a:lnTo>
                                <a:pt x="5995035" y="1927225"/>
                              </a:lnTo>
                              <a:lnTo>
                                <a:pt x="5882640" y="1827530"/>
                              </a:lnTo>
                              <a:lnTo>
                                <a:pt x="5737225" y="1760220"/>
                              </a:lnTo>
                              <a:lnTo>
                                <a:pt x="5518785" y="1647825"/>
                              </a:lnTo>
                              <a:lnTo>
                                <a:pt x="5423535" y="1564005"/>
                              </a:lnTo>
                              <a:lnTo>
                                <a:pt x="5300345" y="1474470"/>
                              </a:lnTo>
                              <a:lnTo>
                                <a:pt x="5098415" y="1401445"/>
                              </a:lnTo>
                              <a:lnTo>
                                <a:pt x="4768215" y="1333500"/>
                              </a:lnTo>
                              <a:lnTo>
                                <a:pt x="4498975" y="1233170"/>
                              </a:lnTo>
                              <a:lnTo>
                                <a:pt x="4297045" y="1193800"/>
                              </a:lnTo>
                              <a:lnTo>
                                <a:pt x="4151630" y="1193800"/>
                              </a:lnTo>
                              <a:lnTo>
                                <a:pt x="4028440" y="1188720"/>
                              </a:lnTo>
                              <a:lnTo>
                                <a:pt x="3865880" y="1115695"/>
                              </a:lnTo>
                              <a:lnTo>
                                <a:pt x="3625215" y="1020445"/>
                              </a:lnTo>
                              <a:lnTo>
                                <a:pt x="3272155" y="925195"/>
                              </a:lnTo>
                              <a:lnTo>
                                <a:pt x="2823845" y="863600"/>
                              </a:lnTo>
                              <a:lnTo>
                                <a:pt x="2358390" y="784225"/>
                              </a:lnTo>
                              <a:lnTo>
                                <a:pt x="2129155" y="734695"/>
                              </a:lnTo>
                              <a:lnTo>
                                <a:pt x="1949450" y="617220"/>
                              </a:lnTo>
                              <a:lnTo>
                                <a:pt x="1658620" y="421005"/>
                              </a:lnTo>
                              <a:lnTo>
                                <a:pt x="1423035" y="285750"/>
                              </a:lnTo>
                              <a:lnTo>
                                <a:pt x="1221105" y="174625"/>
                              </a:lnTo>
                              <a:lnTo>
                                <a:pt x="980440" y="113030"/>
                              </a:lnTo>
                              <a:lnTo>
                                <a:pt x="762000" y="50800"/>
                              </a:lnTo>
                              <a:lnTo>
                                <a:pt x="442595" y="28575"/>
                              </a:lnTo>
                              <a:lnTo>
                                <a:pt x="218440" y="40005"/>
                              </a:lnTo>
                              <a:lnTo>
                                <a:pt x="16510" y="45720"/>
                              </a:lnTo>
                              <a:lnTo>
                                <a:pt x="0" y="6350"/>
                              </a:lnTo>
                              <a:close/>
                            </a:path>
                          </a:pathLst>
                        </a:custGeom>
                        <a:gradFill>
                          <a:gsLst>
                            <a:gs pos="0">
                              <a:srgbClr val="CFF9AE">
                                <a:alpha val="46000"/>
                              </a:srgbClr>
                            </a:gs>
                            <a:gs pos="90000">
                              <a:srgbClr val="49E7CE"/>
                            </a:gs>
                          </a:gsLst>
                          <a:path path="circle">
                            <a:fillToRect l="100000" t="100000"/>
                          </a:path>
                          <a:tileRect r="-100000" b="-100000"/>
                        </a:gradFill>
                        <a:ln>
                          <a:no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0.8pt;margin-top:165.3pt;height:166.75pt;width:487.95pt;z-index:251762688;mso-width-relative:page;mso-height-relative:page;" fillcolor="#CFF9AE" filled="t" stroked="f" coordsize="6196965,2117725" o:gfxdata="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" path="m0,6350l240665,0,498475,6350,571500,0,750570,6350,974725,56515,1176655,107315,1355725,185420,1607820,320040,1837690,466090,2016760,593725,2162810,701040,2538095,768350,2935605,824230,3316605,885825,3764915,1020445,3994785,1115695,4084320,1160780,4286250,1165225,4532630,1199515,4773295,1283970,4992370,1333500,5098415,1333500,5244465,1390015,5412105,1474470,5675630,1670050,5826760,1748790,6000750,1866265,6157595,2045970,6179820,2085340,6196965,2117725,5995035,1927225,5882640,1827530,5737225,1760220,5518785,1647825,5423535,1564005,5300345,1474470,5098415,1401445,4768215,1333500,4498975,1233170,4297045,1193800,4151630,1193800,4028440,1188720,3865880,1115695,3625215,1020445,3272155,925195,2823845,863600,2358390,784225,2129155,734695,1949450,617220,1658620,421005,1423035,285750,1221105,174625,980440,113030,762000,50800,442595,28575,218440,40005,16510,45720,0,6350xe">
                <v:path o:connectlocs="0,6350;240665,0;498475,6350;571500,0;750570,6350;974725,56515;1176655,107315;1355725,185420;1607820,320040;1837690,466090;2016760,593725;2162810,701040;2538095,768350;2935605,824230;3316605,885825;3764915,1020445;3994785,1115695;4084320,1160780;4286250,1165225;4532630,1199515;4773295,1283970;4992370,1333500;5098415,1333500;5244465,1390015;5412105,1474470;5675630,1670050;5826760,1748790;6000750,1866265;6157595,2045970;6179820,2085340;6196965,2117725;5995035,1927225;5882640,1827530;5737225,1760220;5518785,1647825;5423535,1564005;5300345,1474470;5098415,1401445;4768215,1333500;4498975,1233170;4297045,1193800;4151630,1193800;4028440,1188720;3865880,1115695;3625215,1020445;3272155,925195;2823845,863600;2358390,784225;2129155,734695;1949450,617220;1658620,421005;1423035,285750;1221105,174625;980440,113030;762000,50800;442595,28575;218440,40005;16510,45720;0,6350" o:connectangles="0,0,0,0,0,0,0,0,0,0,0,0,0,0,0,0,0,0,0,0,0,0,0,0,0,0,0,0,0,0,0,0,0,0,0,0,0,0,0,0,0,0,0,0,0,0,0,0,0,0,0,0,0,0,0,0,0,0,0"/>
                <v:fill type="gradientRadial" on="t" color2="#49E7CE" opacity="30146f" focus="100%" focussize="0f,0f" focusposition="65536f,65536f" rotate="t">
                  <o:fill type="gradientRadial" v:ext="backwardCompatible"/>
                </v:fill>
                <v:stroke on="f" weight="2pt"/>
                <v:imagedata o:title=""/>
                <o:lock v:ext="edit" aspectratio="f"/>
              </v:shape>
            </w:pict>
          </mc:Fallback>
        </mc:AlternateContent>
      </w:r>
      <w:r>
        <w:rPr>
          <w:color w:val="auto"/>
          <w:sz w:val="24"/>
        </w:rPr>
        <mc:AlternateContent>
          <mc:Choice Requires="wps">
            <w:drawing>
              <wp:anchor distT="0" distB="0" distL="114300" distR="114300" simplePos="0" relativeHeight="251761664" behindDoc="0" locked="0" layoutInCell="1" allowOverlap="1">
                <wp:simplePos x="0" y="0"/>
                <wp:positionH relativeFrom="column">
                  <wp:posOffset>3521710</wp:posOffset>
                </wp:positionH>
                <wp:positionV relativeFrom="paragraph">
                  <wp:posOffset>2323465</wp:posOffset>
                </wp:positionV>
                <wp:extent cx="1757680" cy="367030"/>
                <wp:effectExtent l="4445" t="4445" r="47625" b="676275"/>
                <wp:wrapNone/>
                <wp:docPr id="144" name="圆角矩形标注 144"/>
                <wp:cNvGraphicFramePr/>
                <a:graphic xmlns:a="http://schemas.openxmlformats.org/drawingml/2006/main">
                  <a:graphicData uri="http://schemas.microsoft.com/office/word/2010/wordprocessingShape">
                    <wps:wsp>
                      <wps:cNvSpPr/>
                      <wps:spPr>
                        <a:xfrm>
                          <a:off x="5167630" y="2870200"/>
                          <a:ext cx="1757680" cy="367030"/>
                        </a:xfrm>
                        <a:prstGeom prst="wedgeRoundRectCallout">
                          <a:avLst>
                            <a:gd name="adj1" fmla="val 51697"/>
                            <a:gd name="adj2" fmla="val 229411"/>
                            <a:gd name="adj3" fmla="val 16667"/>
                          </a:avLst>
                        </a:prstGeom>
                        <a:ln w="3175"/>
                      </wps:spPr>
                      <wps:style>
                        <a:lnRef idx="2">
                          <a:schemeClr val="accent1">
                            <a:lumMod val="75000"/>
                          </a:schemeClr>
                        </a:lnRef>
                        <a:fillRef idx="1">
                          <a:schemeClr val="accent1"/>
                        </a:fillRef>
                        <a:effectRef idx="0">
                          <a:srgbClr val="FFFFFF"/>
                        </a:effectRef>
                        <a:fontRef idx="minor">
                          <a:schemeClr val="lt1"/>
                        </a:fontRef>
                      </wps:style>
                      <wps:txbx>
                        <w:txbxContent>
                          <w:p w14:paraId="6FE2ECC2">
                            <w:pPr>
                              <w:jc w:val="center"/>
                              <w:rPr>
                                <w:b/>
                                <w:bCs/>
                                <w:color w:val="FFFFFF" w:themeColor="background1"/>
                                <w:sz w:val="24"/>
                                <w:szCs w:val="32"/>
                                <w14:textFill>
                                  <w14:solidFill>
                                    <w14:schemeClr w14:val="bg1"/>
                                  </w14:solidFill>
                                </w14:textFill>
                              </w:rPr>
                            </w:pPr>
                            <w:r>
                              <w:rPr>
                                <w:rFonts w:hint="default" w:ascii="Times New Roman" w:hAnsi="Times New Roman" w:cs="Times New Roman"/>
                                <w:b/>
                                <w:bCs/>
                                <w:color w:val="FFFFFF" w:themeColor="background1"/>
                                <w:sz w:val="24"/>
                                <w:szCs w:val="24"/>
                                <w14:textFill>
                                  <w14:solidFill>
                                    <w14:schemeClr w14:val="bg1"/>
                                  </w14:solidFill>
                                </w14:textFill>
                              </w:rPr>
                              <w:t>濉溪县第二污水处理厂</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77.3pt;margin-top:182.95pt;height:28.9pt;width:138.4pt;z-index:251761664;v-text-anchor:middle;mso-width-relative:page;mso-height-relative:page;" fillcolor="#4F81BD [3204]" filled="t" stroked="t" coordsize="21600,21600" o:gfxdata="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" adj="21967,60353,14400">
                <v:fill on="t" focussize="0,0"/>
                <v:stroke weight="0.25pt" color="#376092 [2404]" joinstyle="round"/>
                <v:imagedata o:title=""/>
                <o:lock v:ext="edit" aspectratio="f"/>
                <v:textbox>
                  <w:txbxContent>
                    <w:p w14:paraId="6FE2ECC2">
                      <w:pPr>
                        <w:jc w:val="center"/>
                        <w:rPr>
                          <w:b/>
                          <w:bCs/>
                          <w:color w:val="FFFFFF" w:themeColor="background1"/>
                          <w:sz w:val="24"/>
                          <w:szCs w:val="32"/>
                          <w14:textFill>
                            <w14:solidFill>
                              <w14:schemeClr w14:val="bg1"/>
                            </w14:solidFill>
                          </w14:textFill>
                        </w:rPr>
                      </w:pPr>
                      <w:r>
                        <w:rPr>
                          <w:rFonts w:hint="default" w:ascii="Times New Roman" w:hAnsi="Times New Roman" w:cs="Times New Roman"/>
                          <w:b/>
                          <w:bCs/>
                          <w:color w:val="FFFFFF" w:themeColor="background1"/>
                          <w:sz w:val="24"/>
                          <w:szCs w:val="24"/>
                          <w14:textFill>
                            <w14:solidFill>
                              <w14:schemeClr w14:val="bg1"/>
                            </w14:solidFill>
                          </w14:textFill>
                        </w:rPr>
                        <w:t>濉溪县第二污水处理厂</w:t>
                      </w:r>
                    </w:p>
                  </w:txbxContent>
                </v:textbox>
              </v:shape>
            </w:pict>
          </mc:Fallback>
        </mc:AlternateContent>
      </w:r>
      <w:r>
        <w:rPr>
          <w:color w:val="auto"/>
          <w:sz w:val="24"/>
        </w:rPr>
        <mc:AlternateContent>
          <mc:Choice Requires="wps">
            <w:drawing>
              <wp:anchor distT="0" distB="0" distL="114300" distR="114300" simplePos="0" relativeHeight="251760640" behindDoc="0" locked="0" layoutInCell="1" allowOverlap="1">
                <wp:simplePos x="0" y="0"/>
                <wp:positionH relativeFrom="column">
                  <wp:posOffset>5224145</wp:posOffset>
                </wp:positionH>
                <wp:positionV relativeFrom="paragraph">
                  <wp:posOffset>3275965</wp:posOffset>
                </wp:positionV>
                <wp:extent cx="197485" cy="168910"/>
                <wp:effectExtent l="4445" t="4445" r="7620" b="17145"/>
                <wp:wrapNone/>
                <wp:docPr id="142" name="等腰三角形 142"/>
                <wp:cNvGraphicFramePr/>
                <a:graphic xmlns:a="http://schemas.openxmlformats.org/drawingml/2006/main">
                  <a:graphicData uri="http://schemas.microsoft.com/office/word/2010/wordprocessingShape">
                    <wps:wsp>
                      <wps:cNvSpPr/>
                      <wps:spPr>
                        <a:xfrm>
                          <a:off x="6215380" y="3968750"/>
                          <a:ext cx="197485" cy="168910"/>
                        </a:xfrm>
                        <a:prstGeom prst="triangle">
                          <a:avLst/>
                        </a:prstGeom>
                        <a:solidFill>
                          <a:schemeClr val="accent5"/>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411.35pt;margin-top:257.95pt;height:13.3pt;width:15.55pt;z-index:251760640;v-text-anchor:middle;mso-width-relative:page;mso-height-relative:page;" fillcolor="#4BACC6 [3208]" filled="t" stroked="t" coordsize="21600,21600" o:gfxdata="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" adj="1080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751424" behindDoc="0" locked="0" layoutInCell="1" allowOverlap="1">
                <wp:simplePos x="0" y="0"/>
                <wp:positionH relativeFrom="column">
                  <wp:posOffset>4715510</wp:posOffset>
                </wp:positionH>
                <wp:positionV relativeFrom="paragraph">
                  <wp:posOffset>3647440</wp:posOffset>
                </wp:positionV>
                <wp:extent cx="424815" cy="307975"/>
                <wp:effectExtent l="0" t="0" r="0" b="0"/>
                <wp:wrapNone/>
                <wp:docPr id="133" name="文本框 133"/>
                <wp:cNvGraphicFramePr/>
                <a:graphic xmlns:a="http://schemas.openxmlformats.org/drawingml/2006/main">
                  <a:graphicData uri="http://schemas.microsoft.com/office/word/2010/wordprocessingShape">
                    <wps:wsp>
                      <wps:cNvSpPr txBox="1"/>
                      <wps:spPr>
                        <a:xfrm>
                          <a:off x="5365115" y="4364355"/>
                          <a:ext cx="424815" cy="3079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B06E59">
                            <w:pPr>
                              <w:rPr>
                                <w:rFonts w:hint="default" w:eastAsia="宋体"/>
                                <w:b/>
                                <w:bCs/>
                                <w:color w:val="FFFF00"/>
                                <w:sz w:val="22"/>
                                <w:szCs w:val="28"/>
                                <w:lang w:val="en-US" w:eastAsia="zh-CN"/>
                              </w:rPr>
                            </w:pPr>
                            <w:r>
                              <w:rPr>
                                <w:rFonts w:hint="eastAsia"/>
                                <w:b/>
                                <w:bCs/>
                                <w:color w:val="FFFF00"/>
                                <w:sz w:val="22"/>
                                <w:szCs w:val="28"/>
                                <w:lang w:val="en-US" w:eastAsia="zh-CN"/>
                              </w:rPr>
                              <w:t>W1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1.3pt;margin-top:287.2pt;height:24.25pt;width:33.45pt;z-index:251751424;mso-width-relative:page;mso-height-relative:page;" filled="f" stroked="f" coordsize="21600,21600" o:gfxdata="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R+ILC90AAAALAQAADwAA&#10;AAAAAAABACAAAAAiAAAAZHJzL2Rvd25yZXYueG1sUEsBAhQAFAAAAAgAh07iQIQNCeNKAgAAdQQA&#10;AA4AAAAAAAAAAQAgAAAALAEAAGRycy9lMm9Eb2MueG1sUEsFBgAAAAAGAAYAWQEAAOgFAAAAAA==&#10;">
                <v:fill on="f" focussize="0,0"/>
                <v:stroke on="f" weight="0.5pt"/>
                <v:imagedata o:title=""/>
                <o:lock v:ext="edit" aspectratio="f"/>
                <v:textbox>
                  <w:txbxContent>
                    <w:p w14:paraId="2FB06E59">
                      <w:pPr>
                        <w:rPr>
                          <w:rFonts w:hint="default" w:eastAsia="宋体"/>
                          <w:b/>
                          <w:bCs/>
                          <w:color w:val="FFFF00"/>
                          <w:sz w:val="22"/>
                          <w:szCs w:val="28"/>
                          <w:lang w:val="en-US" w:eastAsia="zh-CN"/>
                        </w:rPr>
                      </w:pPr>
                      <w:r>
                        <w:rPr>
                          <w:rFonts w:hint="eastAsia"/>
                          <w:b/>
                          <w:bCs/>
                          <w:color w:val="FFFF00"/>
                          <w:sz w:val="22"/>
                          <w:szCs w:val="28"/>
                          <w:lang w:val="en-US" w:eastAsia="zh-CN"/>
                        </w:rPr>
                        <w:t>W1</w:t>
                      </w:r>
                    </w:p>
                  </w:txbxContent>
                </v:textbox>
              </v:shape>
            </w:pict>
          </mc:Fallback>
        </mc:AlternateContent>
      </w:r>
      <w:r>
        <w:rPr>
          <w:color w:val="auto"/>
          <w:sz w:val="24"/>
        </w:rPr>
        <mc:AlternateContent>
          <mc:Choice Requires="wps">
            <w:drawing>
              <wp:anchor distT="0" distB="0" distL="114300" distR="114300" simplePos="0" relativeHeight="251750400" behindDoc="0" locked="0" layoutInCell="1" allowOverlap="1">
                <wp:simplePos x="0" y="0"/>
                <wp:positionH relativeFrom="column">
                  <wp:posOffset>4824730</wp:posOffset>
                </wp:positionH>
                <wp:positionV relativeFrom="paragraph">
                  <wp:posOffset>3105150</wp:posOffset>
                </wp:positionV>
                <wp:extent cx="189865" cy="610235"/>
                <wp:effectExtent l="13970" t="0" r="24765" b="18415"/>
                <wp:wrapNone/>
                <wp:docPr id="132" name="直接箭头连接符 132"/>
                <wp:cNvGraphicFramePr/>
                <a:graphic xmlns:a="http://schemas.openxmlformats.org/drawingml/2006/main">
                  <a:graphicData uri="http://schemas.microsoft.com/office/word/2010/wordprocessingShape">
                    <wps:wsp>
                      <wps:cNvCnPr/>
                      <wps:spPr>
                        <a:xfrm flipH="1">
                          <a:off x="0" y="0"/>
                          <a:ext cx="189865" cy="610235"/>
                        </a:xfrm>
                        <a:prstGeom prst="straightConnector1">
                          <a:avLst/>
                        </a:prstGeom>
                        <a:ln>
                          <a:solidFill>
                            <a:srgbClr val="FFFF00"/>
                          </a:solidFill>
                          <a:headEnd type="triangle" w="med" len="med"/>
                          <a:tailEnd type="triangle" w="med" len="med"/>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379.9pt;margin-top:244.5pt;height:48.05pt;width:14.95pt;z-index:251750400;mso-width-relative:page;mso-height-relative:page;" filled="f" stroked="t" coordsize="21600,21600" o:gfxdata="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3q5oT9kAAAAL&#10;AQAADwAAAAAAAAABACAAAAAiAAAAZHJzL2Rvd25yZXYueG1sUEsBAhQAFAAAAAgAh07iQPuP4rUb&#10;AgAAHQQAAA4AAAAAAAAAAQAgAAAAKAEAAGRycy9lMm9Eb2MueG1sUEsFBgAAAAAGAAYAWQEAALUF&#10;AAAAAA==&#10;">
                <v:fill on="f" focussize="0,0"/>
                <v:stroke weight="2pt" color="#FFFF00 [3204]" joinstyle="round" startarrow="block" endarrow="block"/>
                <v:imagedata o:title=""/>
                <o:lock v:ext="edit" aspectratio="f"/>
              </v:shape>
            </w:pict>
          </mc:Fallback>
        </mc:AlternateContent>
      </w:r>
      <w:r>
        <w:rPr>
          <w:rFonts w:hint="eastAsia" w:eastAsia="宋体"/>
          <w:color w:val="auto"/>
          <w:sz w:val="24"/>
          <w:szCs w:val="32"/>
          <w:lang w:eastAsia="zh-CN"/>
        </w:rPr>
        <w:drawing>
          <wp:inline distT="0" distB="0" distL="114300" distR="114300">
            <wp:extent cx="8711565" cy="5843905"/>
            <wp:effectExtent l="0" t="0" r="13335" b="4445"/>
            <wp:docPr id="114" name="图片 1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1"/>
                    <pic:cNvPicPr>
                      <a:picLocks noChangeAspect="1"/>
                    </pic:cNvPicPr>
                  </pic:nvPicPr>
                  <pic:blipFill>
                    <a:blip r:embed="rId19"/>
                    <a:srcRect t="5504"/>
                    <a:stretch>
                      <a:fillRect/>
                    </a:stretch>
                  </pic:blipFill>
                  <pic:spPr>
                    <a:xfrm>
                      <a:off x="0" y="0"/>
                      <a:ext cx="8711565" cy="5843905"/>
                    </a:xfrm>
                    <a:prstGeom prst="rect">
                      <a:avLst/>
                    </a:prstGeom>
                  </pic:spPr>
                </pic:pic>
              </a:graphicData>
            </a:graphic>
          </wp:inline>
        </w:drawing>
      </w:r>
      <w:r>
        <w:rPr>
          <w:b/>
          <w:bCs/>
          <w:color w:val="auto"/>
          <w:sz w:val="24"/>
        </w:rPr>
        <mc:AlternateContent>
          <mc:Choice Requires="wps">
            <w:drawing>
              <wp:anchor distT="0" distB="0" distL="114300" distR="114300" simplePos="0" relativeHeight="251749376" behindDoc="0" locked="0" layoutInCell="1" allowOverlap="1">
                <wp:simplePos x="0" y="0"/>
                <wp:positionH relativeFrom="column">
                  <wp:posOffset>274955</wp:posOffset>
                </wp:positionH>
                <wp:positionV relativeFrom="paragraph">
                  <wp:posOffset>5422265</wp:posOffset>
                </wp:positionV>
                <wp:extent cx="358775" cy="0"/>
                <wp:effectExtent l="0" t="38100" r="3175" b="38100"/>
                <wp:wrapNone/>
                <wp:docPr id="131" name="直接箭头连接符 131"/>
                <wp:cNvGraphicFramePr/>
                <a:graphic xmlns:a="http://schemas.openxmlformats.org/drawingml/2006/main">
                  <a:graphicData uri="http://schemas.microsoft.com/office/word/2010/wordprocessingShape">
                    <wps:wsp>
                      <wps:cNvCnPr/>
                      <wps:spPr>
                        <a:xfrm>
                          <a:off x="1225550" y="6115685"/>
                          <a:ext cx="358775" cy="0"/>
                        </a:xfrm>
                        <a:prstGeom prst="straightConnector1">
                          <a:avLst/>
                        </a:prstGeom>
                        <a:ln>
                          <a:solidFill>
                            <a:srgbClr val="FFFF00"/>
                          </a:solidFill>
                          <a:headEnd type="triangle" w="med" len="med"/>
                          <a:tailEnd type="triangle" w="med" len="med"/>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21.65pt;margin-top:426.95pt;height:0pt;width:28.25pt;z-index:251749376;mso-width-relative:page;mso-height-relative:page;" filled="f" stroked="t" coordsize="21600,21600" o:gfxdata="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BZhaFTVAAAACQEA&#10;AA8AAAAAAAAAAQAgAAAAIgAAAGRycy9kb3ducmV2LnhtbFBLAQIUABQAAAAIAIdO4kB7gFIxHQIA&#10;ABoEAAAOAAAAAAAAAAEAIAAAACQBAABkcnMvZTJvRG9jLnhtbFBLBQYAAAAABgAGAFkBAACzBQAA&#10;AAA=&#10;">
                <v:fill on="f" focussize="0,0"/>
                <v:stroke weight="2pt" color="#FFFF00 [3204]" joinstyle="round" startarrow="block" endarrow="block"/>
                <v:imagedata o:title=""/>
                <o:lock v:ext="edit" aspectratio="f"/>
              </v:shape>
            </w:pict>
          </mc:Fallback>
        </mc:AlternateContent>
      </w:r>
      <w:r>
        <w:rPr>
          <w:b/>
          <w:bCs/>
          <w:color w:val="auto"/>
          <w:sz w:val="24"/>
        </w:rPr>
        <mc:AlternateContent>
          <mc:Choice Requires="wps">
            <w:drawing>
              <wp:anchor distT="0" distB="0" distL="114300" distR="114300" simplePos="0" relativeHeight="251748352" behindDoc="0" locked="0" layoutInCell="1" allowOverlap="1">
                <wp:simplePos x="0" y="0"/>
                <wp:positionH relativeFrom="column">
                  <wp:posOffset>303530</wp:posOffset>
                </wp:positionH>
                <wp:positionV relativeFrom="paragraph">
                  <wp:posOffset>5027930</wp:posOffset>
                </wp:positionV>
                <wp:extent cx="278765" cy="175895"/>
                <wp:effectExtent l="6350" t="6350" r="19685" b="8255"/>
                <wp:wrapNone/>
                <wp:docPr id="116" name="矩形 116"/>
                <wp:cNvGraphicFramePr/>
                <a:graphic xmlns:a="http://schemas.openxmlformats.org/drawingml/2006/main">
                  <a:graphicData uri="http://schemas.microsoft.com/office/word/2010/wordprocessingShape">
                    <wps:wsp>
                      <wps:cNvSpPr/>
                      <wps:spPr>
                        <a:xfrm>
                          <a:off x="1217930" y="5734685"/>
                          <a:ext cx="278765" cy="175895"/>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3.9pt;margin-top:395.9pt;height:13.85pt;width:21.95pt;z-index:251748352;v-text-anchor:middle;mso-width-relative:page;mso-height-relative:page;" filled="f" stroked="t" coordsize="21600,21600" o:gfxdata="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GdrCVPWAAAACQEAAA8AAAAAAAAAAQAgAAAAIgAAAGRycy9kb3ducmV2Lnht&#10;bFBLAQIUABQAAAAIAIdO4kBUqlyCbQIAAMMEAAAOAAAAAAAAAAEAIAAAACUBAABkcnMvZTJvRG9j&#10;LnhtbFBLBQYAAAAABgAGAFkBAAAEBgAAAAA=&#10;">
                <v:fill on="f" focussize="0,0"/>
                <v:stroke weight="1pt" color="#FF0000 [2404]" joinstyle="round"/>
                <v:imagedata o:title=""/>
                <o:lock v:ext="edit" aspectratio="f"/>
              </v:rect>
            </w:pict>
          </mc:Fallback>
        </mc:AlternateContent>
      </w:r>
      <w:r>
        <w:rPr>
          <w:b/>
          <w:bCs/>
          <w:color w:val="auto"/>
          <w:sz w:val="24"/>
        </w:rPr>
        <mc:AlternateContent>
          <mc:Choice Requires="wps">
            <w:drawing>
              <wp:anchor distT="0" distB="0" distL="114300" distR="114300" simplePos="0" relativeHeight="251747328" behindDoc="0" locked="0" layoutInCell="1" allowOverlap="1">
                <wp:simplePos x="0" y="0"/>
                <wp:positionH relativeFrom="column">
                  <wp:posOffset>106045</wp:posOffset>
                </wp:positionH>
                <wp:positionV relativeFrom="paragraph">
                  <wp:posOffset>4675505</wp:posOffset>
                </wp:positionV>
                <wp:extent cx="1480820" cy="886460"/>
                <wp:effectExtent l="4445" t="4445" r="19685" b="23495"/>
                <wp:wrapNone/>
                <wp:docPr id="115" name="文本框 115"/>
                <wp:cNvGraphicFramePr/>
                <a:graphic xmlns:a="http://schemas.openxmlformats.org/drawingml/2006/main">
                  <a:graphicData uri="http://schemas.microsoft.com/office/word/2010/wordprocessingShape">
                    <wps:wsp>
                      <wps:cNvSpPr txBox="1"/>
                      <wps:spPr>
                        <a:xfrm>
                          <a:off x="962025" y="4628515"/>
                          <a:ext cx="1480820" cy="88646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18A4056">
                            <w:pPr>
                              <w:spacing w:line="360" w:lineRule="auto"/>
                              <w:jc w:val="center"/>
                              <w:rPr>
                                <w:rFonts w:hint="eastAsia"/>
                                <w:b/>
                                <w:bCs/>
                                <w:sz w:val="24"/>
                                <w:szCs w:val="32"/>
                                <w:lang w:val="en-US" w:eastAsia="zh-CN"/>
                              </w:rPr>
                            </w:pPr>
                            <w:r>
                              <w:rPr>
                                <w:rFonts w:hint="eastAsia"/>
                                <w:b/>
                                <w:bCs/>
                                <w:sz w:val="24"/>
                                <w:szCs w:val="32"/>
                                <w:lang w:val="en-US" w:eastAsia="zh-CN"/>
                              </w:rPr>
                              <w:t>图例</w:t>
                            </w:r>
                          </w:p>
                          <w:p w14:paraId="430882C4">
                            <w:pPr>
                              <w:spacing w:line="360" w:lineRule="auto"/>
                              <w:jc w:val="right"/>
                              <w:rPr>
                                <w:rFonts w:hint="eastAsia"/>
                                <w:b/>
                                <w:bCs/>
                                <w:sz w:val="24"/>
                                <w:szCs w:val="32"/>
                                <w:lang w:val="en-US" w:eastAsia="zh-CN"/>
                              </w:rPr>
                            </w:pPr>
                            <w:r>
                              <w:rPr>
                                <w:rFonts w:hint="eastAsia"/>
                                <w:b/>
                                <w:bCs/>
                                <w:sz w:val="24"/>
                                <w:szCs w:val="32"/>
                                <w:lang w:val="en-US" w:eastAsia="zh-CN"/>
                              </w:rPr>
                              <w:t>项目厂址</w:t>
                            </w:r>
                          </w:p>
                          <w:p w14:paraId="2F80F013">
                            <w:pPr>
                              <w:spacing w:line="360" w:lineRule="auto"/>
                              <w:jc w:val="right"/>
                              <w:rPr>
                                <w:rFonts w:hint="default"/>
                                <w:b/>
                                <w:bCs/>
                                <w:sz w:val="24"/>
                                <w:szCs w:val="32"/>
                                <w:lang w:val="en-US" w:eastAsia="zh-CN"/>
                              </w:rPr>
                            </w:pPr>
                            <w:r>
                              <w:rPr>
                                <w:rFonts w:hint="eastAsia"/>
                                <w:b/>
                                <w:bCs/>
                                <w:sz w:val="24"/>
                                <w:szCs w:val="32"/>
                                <w:lang w:val="en-US" w:eastAsia="zh-CN"/>
                              </w:rPr>
                              <w:t>监测断面</w:t>
                            </w:r>
                          </w:p>
                          <w:p w14:paraId="20A61093">
                            <w:pPr>
                              <w:spacing w:line="360" w:lineRule="auto"/>
                              <w:jc w:val="center"/>
                              <w:rPr>
                                <w:rFonts w:hint="default"/>
                                <w:b/>
                                <w:bCs/>
                                <w:sz w:val="24"/>
                                <w:szCs w:val="32"/>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35pt;margin-top:368.15pt;height:69.8pt;width:116.6pt;z-index:251747328;mso-width-relative:page;mso-height-relative:page;" fillcolor="#FFFFFF [3201]" filled="t" stroked="t" coordsize="21600,21600" o:gfxdata="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eO6Gw1wAAAAoBAAAPAAAAAAAAAAEAIAAAACIAAABkcnMvZG93bnJldi54bWxQSwEC&#10;FAAUAAAACACHTuJA/cynlGcCAADGBAAADgAAAAAAAAABACAAAAAmAQAAZHJzL2Uyb0RvYy54bWxQ&#10;SwUGAAAAAAYABgBZAQAA/wUAAAAA&#10;">
                <v:fill on="t" focussize="0,0"/>
                <v:stroke weight="0.5pt" color="#000000 [3204]" joinstyle="round"/>
                <v:imagedata o:title=""/>
                <o:lock v:ext="edit" aspectratio="f"/>
                <v:textbox>
                  <w:txbxContent>
                    <w:p w14:paraId="718A4056">
                      <w:pPr>
                        <w:spacing w:line="360" w:lineRule="auto"/>
                        <w:jc w:val="center"/>
                        <w:rPr>
                          <w:rFonts w:hint="eastAsia"/>
                          <w:b/>
                          <w:bCs/>
                          <w:sz w:val="24"/>
                          <w:szCs w:val="32"/>
                          <w:lang w:val="en-US" w:eastAsia="zh-CN"/>
                        </w:rPr>
                      </w:pPr>
                      <w:r>
                        <w:rPr>
                          <w:rFonts w:hint="eastAsia"/>
                          <w:b/>
                          <w:bCs/>
                          <w:sz w:val="24"/>
                          <w:szCs w:val="32"/>
                          <w:lang w:val="en-US" w:eastAsia="zh-CN"/>
                        </w:rPr>
                        <w:t>图例</w:t>
                      </w:r>
                    </w:p>
                    <w:p w14:paraId="430882C4">
                      <w:pPr>
                        <w:spacing w:line="360" w:lineRule="auto"/>
                        <w:jc w:val="right"/>
                        <w:rPr>
                          <w:rFonts w:hint="eastAsia"/>
                          <w:b/>
                          <w:bCs/>
                          <w:sz w:val="24"/>
                          <w:szCs w:val="32"/>
                          <w:lang w:val="en-US" w:eastAsia="zh-CN"/>
                        </w:rPr>
                      </w:pPr>
                      <w:r>
                        <w:rPr>
                          <w:rFonts w:hint="eastAsia"/>
                          <w:b/>
                          <w:bCs/>
                          <w:sz w:val="24"/>
                          <w:szCs w:val="32"/>
                          <w:lang w:val="en-US" w:eastAsia="zh-CN"/>
                        </w:rPr>
                        <w:t>项目厂址</w:t>
                      </w:r>
                    </w:p>
                    <w:p w14:paraId="2F80F013">
                      <w:pPr>
                        <w:spacing w:line="360" w:lineRule="auto"/>
                        <w:jc w:val="right"/>
                        <w:rPr>
                          <w:rFonts w:hint="default"/>
                          <w:b/>
                          <w:bCs/>
                          <w:sz w:val="24"/>
                          <w:szCs w:val="32"/>
                          <w:lang w:val="en-US" w:eastAsia="zh-CN"/>
                        </w:rPr>
                      </w:pPr>
                      <w:r>
                        <w:rPr>
                          <w:rFonts w:hint="eastAsia"/>
                          <w:b/>
                          <w:bCs/>
                          <w:sz w:val="24"/>
                          <w:szCs w:val="32"/>
                          <w:lang w:val="en-US" w:eastAsia="zh-CN"/>
                        </w:rPr>
                        <w:t>监测断面</w:t>
                      </w:r>
                    </w:p>
                    <w:p w14:paraId="20A61093">
                      <w:pPr>
                        <w:spacing w:line="360" w:lineRule="auto"/>
                        <w:jc w:val="center"/>
                        <w:rPr>
                          <w:rFonts w:hint="default"/>
                          <w:b/>
                          <w:bCs/>
                          <w:sz w:val="24"/>
                          <w:szCs w:val="32"/>
                          <w:lang w:val="en-US" w:eastAsia="zh-CN"/>
                        </w:rPr>
                      </w:pPr>
                    </w:p>
                  </w:txbxContent>
                </v:textbox>
              </v:shape>
            </w:pict>
          </mc:Fallback>
        </mc:AlternateContent>
      </w:r>
      <w:r>
        <w:rPr>
          <w:rFonts w:hint="eastAsia"/>
          <w:b/>
          <w:bCs/>
          <w:color w:val="auto"/>
          <w:sz w:val="24"/>
          <w:szCs w:val="32"/>
          <w:lang w:val="en-US" w:eastAsia="zh-CN"/>
        </w:rPr>
        <w:t>图2-1 地表水环境质量现状监测点位布设示意图</w:t>
      </w:r>
    </w:p>
    <w:p w14:paraId="709DD79F">
      <w:pPr>
        <w:spacing w:line="360" w:lineRule="auto"/>
        <w:ind w:firstLine="480" w:firstLineChars="200"/>
        <w:jc w:val="left"/>
        <w:rPr>
          <w:rFonts w:hint="eastAsia"/>
          <w:b w:val="0"/>
          <w:bCs w:val="0"/>
          <w:color w:val="auto"/>
          <w:sz w:val="24"/>
          <w:szCs w:val="32"/>
          <w:lang w:val="en-US" w:eastAsia="zh-CN"/>
        </w:rPr>
      </w:pPr>
      <w:r>
        <w:rPr>
          <w:rFonts w:hint="eastAsia"/>
          <w:b w:val="0"/>
          <w:bCs w:val="0"/>
          <w:color w:val="auto"/>
          <w:sz w:val="24"/>
          <w:szCs w:val="32"/>
          <w:lang w:eastAsia="zh-CN"/>
        </w:rPr>
        <w:t>（</w:t>
      </w:r>
      <w:r>
        <w:rPr>
          <w:rFonts w:hint="eastAsia"/>
          <w:b w:val="0"/>
          <w:bCs w:val="0"/>
          <w:color w:val="auto"/>
          <w:sz w:val="24"/>
          <w:szCs w:val="32"/>
          <w:lang w:val="en-US" w:eastAsia="zh-CN"/>
        </w:rPr>
        <w:t>2</w:t>
      </w:r>
      <w:r>
        <w:rPr>
          <w:rFonts w:hint="eastAsia"/>
          <w:b w:val="0"/>
          <w:bCs w:val="0"/>
          <w:color w:val="auto"/>
          <w:sz w:val="24"/>
          <w:szCs w:val="32"/>
          <w:lang w:eastAsia="zh-CN"/>
        </w:rPr>
        <w:t>）</w:t>
      </w:r>
      <w:r>
        <w:rPr>
          <w:rFonts w:hint="eastAsia"/>
          <w:b w:val="0"/>
          <w:bCs w:val="0"/>
          <w:color w:val="auto"/>
          <w:sz w:val="24"/>
          <w:szCs w:val="32"/>
          <w:lang w:val="en-US" w:eastAsia="zh-CN"/>
        </w:rPr>
        <w:t>评价标准</w:t>
      </w:r>
    </w:p>
    <w:p w14:paraId="241FB049">
      <w:pPr>
        <w:spacing w:line="360" w:lineRule="auto"/>
        <w:ind w:firstLine="480" w:firstLineChars="200"/>
        <w:jc w:val="left"/>
        <w:rPr>
          <w:rFonts w:hint="eastAsia"/>
          <w:b w:val="0"/>
          <w:bCs w:val="0"/>
          <w:color w:val="auto"/>
          <w:sz w:val="24"/>
          <w:szCs w:val="32"/>
          <w:lang w:val="en-US" w:eastAsia="zh-CN"/>
        </w:rPr>
      </w:pPr>
      <w:r>
        <w:rPr>
          <w:rFonts w:hint="eastAsia"/>
          <w:b w:val="0"/>
          <w:bCs w:val="0"/>
          <w:color w:val="auto"/>
          <w:sz w:val="24"/>
          <w:szCs w:val="32"/>
          <w:lang w:val="en-US" w:eastAsia="zh-CN"/>
        </w:rPr>
        <w:t>王引河地表水环境质量执行《地表水环境质量标准》（GB3838-2002）中IV类；巴河地表水环境质量执行《地表水环境质量标准》（GB3838-2002）中V类。具体标准值见下表所示。</w:t>
      </w:r>
    </w:p>
    <w:p w14:paraId="62C40AD3">
      <w:pPr>
        <w:spacing w:line="360" w:lineRule="auto"/>
        <w:jc w:val="center"/>
        <w:rPr>
          <w:rFonts w:hint="default"/>
          <w:b w:val="0"/>
          <w:bCs w:val="0"/>
          <w:color w:val="auto"/>
          <w:sz w:val="24"/>
          <w:szCs w:val="32"/>
          <w:lang w:val="en-US" w:eastAsia="zh-CN"/>
        </w:rPr>
      </w:pPr>
      <w:r>
        <w:rPr>
          <w:rFonts w:hint="eastAsia"/>
          <w:b/>
          <w:bCs/>
          <w:color w:val="auto"/>
          <w:sz w:val="24"/>
          <w:szCs w:val="32"/>
          <w:lang w:val="en-US" w:eastAsia="zh-CN"/>
        </w:rPr>
        <w:t>表2-4 地表水环境质量标准（单位：mg/L，pH无量纲）</w:t>
      </w:r>
    </w:p>
    <w:tbl>
      <w:tblPr>
        <w:tblStyle w:val="31"/>
        <w:tblW w:w="4991"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2458"/>
        <w:gridCol w:w="2656"/>
        <w:gridCol w:w="2415"/>
        <w:gridCol w:w="2415"/>
      </w:tblGrid>
      <w:tr w14:paraId="3E35C73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236" w:type="pct"/>
            <w:vMerge w:val="restart"/>
            <w:noWrap w:val="0"/>
            <w:vAlign w:val="center"/>
          </w:tcPr>
          <w:p w14:paraId="1FE7BE62">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标准类别</w:t>
            </w:r>
          </w:p>
        </w:tc>
        <w:tc>
          <w:tcPr>
            <w:tcW w:w="1335" w:type="pct"/>
            <w:vMerge w:val="restart"/>
            <w:noWrap w:val="0"/>
            <w:vAlign w:val="center"/>
          </w:tcPr>
          <w:p w14:paraId="6EBDE777">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项目</w:t>
            </w:r>
          </w:p>
        </w:tc>
        <w:tc>
          <w:tcPr>
            <w:tcW w:w="2428" w:type="pct"/>
            <w:gridSpan w:val="2"/>
            <w:noWrap w:val="0"/>
            <w:vAlign w:val="center"/>
          </w:tcPr>
          <w:p w14:paraId="6EDF109A">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标准值（mg/L）</w:t>
            </w:r>
          </w:p>
        </w:tc>
      </w:tr>
      <w:tr w14:paraId="5468CAF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236" w:type="pct"/>
            <w:vMerge w:val="continue"/>
            <w:noWrap w:val="0"/>
            <w:vAlign w:val="center"/>
          </w:tcPr>
          <w:p w14:paraId="05D53B0F">
            <w:pPr>
              <w:widowControl/>
              <w:spacing w:line="240" w:lineRule="auto"/>
              <w:ind w:firstLine="0" w:firstLineChars="0"/>
              <w:jc w:val="center"/>
              <w:rPr>
                <w:rFonts w:hint="default" w:ascii="Times New Roman" w:hAnsi="Times New Roman" w:cs="Times New Roman"/>
                <w:color w:val="auto"/>
                <w:kern w:val="0"/>
                <w:sz w:val="21"/>
                <w:szCs w:val="21"/>
              </w:rPr>
            </w:pPr>
          </w:p>
        </w:tc>
        <w:tc>
          <w:tcPr>
            <w:tcW w:w="1335" w:type="pct"/>
            <w:vMerge w:val="continue"/>
            <w:noWrap w:val="0"/>
            <w:vAlign w:val="center"/>
          </w:tcPr>
          <w:p w14:paraId="7E6A5FAE">
            <w:pPr>
              <w:widowControl/>
              <w:spacing w:line="240" w:lineRule="auto"/>
              <w:ind w:firstLine="0" w:firstLineChars="0"/>
              <w:jc w:val="center"/>
              <w:rPr>
                <w:rFonts w:hint="default" w:ascii="Times New Roman" w:hAnsi="Times New Roman" w:cs="Times New Roman"/>
                <w:color w:val="auto"/>
                <w:kern w:val="0"/>
                <w:sz w:val="21"/>
                <w:szCs w:val="21"/>
              </w:rPr>
            </w:pPr>
          </w:p>
        </w:tc>
        <w:tc>
          <w:tcPr>
            <w:tcW w:w="1214" w:type="pct"/>
            <w:tcBorders>
              <w:right w:val="single" w:color="auto" w:sz="4" w:space="0"/>
            </w:tcBorders>
            <w:noWrap w:val="0"/>
            <w:vAlign w:val="center"/>
          </w:tcPr>
          <w:p w14:paraId="4A7271A4">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lang w:val="en-US" w:eastAsia="zh-CN"/>
              </w:rPr>
              <w:t>IV</w:t>
            </w:r>
            <w:r>
              <w:rPr>
                <w:rFonts w:hint="default" w:ascii="Times New Roman" w:hAnsi="Times New Roman" w:cs="Times New Roman"/>
                <w:color w:val="auto"/>
                <w:kern w:val="0"/>
                <w:sz w:val="21"/>
                <w:szCs w:val="21"/>
              </w:rPr>
              <w:t>类</w:t>
            </w:r>
          </w:p>
        </w:tc>
        <w:tc>
          <w:tcPr>
            <w:tcW w:w="1214" w:type="pct"/>
            <w:tcBorders>
              <w:left w:val="single" w:color="auto" w:sz="4" w:space="0"/>
            </w:tcBorders>
            <w:noWrap w:val="0"/>
            <w:vAlign w:val="center"/>
          </w:tcPr>
          <w:p w14:paraId="034050A3">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sz w:val="21"/>
                <w:szCs w:val="21"/>
              </w:rPr>
              <w:t>V类</w:t>
            </w:r>
          </w:p>
        </w:tc>
      </w:tr>
      <w:tr w14:paraId="4766FB5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236" w:type="pct"/>
            <w:vMerge w:val="restart"/>
            <w:noWrap w:val="0"/>
            <w:vAlign w:val="center"/>
          </w:tcPr>
          <w:p w14:paraId="297DF619">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《地表水环境质量标准》</w:t>
            </w:r>
          </w:p>
          <w:p w14:paraId="755D6ACD">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（GB3838-2002）</w:t>
            </w:r>
          </w:p>
        </w:tc>
        <w:tc>
          <w:tcPr>
            <w:tcW w:w="1335" w:type="pct"/>
            <w:noWrap w:val="0"/>
            <w:vAlign w:val="center"/>
          </w:tcPr>
          <w:p w14:paraId="4AE7CDE1">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pH</w:t>
            </w:r>
          </w:p>
        </w:tc>
        <w:tc>
          <w:tcPr>
            <w:tcW w:w="1214" w:type="pct"/>
            <w:tcBorders>
              <w:right w:val="single" w:color="auto" w:sz="4" w:space="0"/>
            </w:tcBorders>
            <w:noWrap w:val="0"/>
            <w:vAlign w:val="center"/>
          </w:tcPr>
          <w:p w14:paraId="35355462">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6～9</w:t>
            </w:r>
          </w:p>
        </w:tc>
        <w:tc>
          <w:tcPr>
            <w:tcW w:w="1214" w:type="pct"/>
            <w:tcBorders>
              <w:left w:val="single" w:color="auto" w:sz="4" w:space="0"/>
            </w:tcBorders>
            <w:noWrap w:val="0"/>
            <w:vAlign w:val="center"/>
          </w:tcPr>
          <w:p w14:paraId="21FA4F90">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6～9</w:t>
            </w:r>
          </w:p>
        </w:tc>
      </w:tr>
      <w:tr w14:paraId="31DCF48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236" w:type="pct"/>
            <w:vMerge w:val="continue"/>
            <w:noWrap w:val="0"/>
            <w:vAlign w:val="center"/>
          </w:tcPr>
          <w:p w14:paraId="149D7C75">
            <w:pPr>
              <w:widowControl/>
              <w:spacing w:line="240" w:lineRule="auto"/>
              <w:ind w:firstLine="0" w:firstLineChars="0"/>
              <w:jc w:val="center"/>
              <w:rPr>
                <w:rFonts w:hint="default" w:ascii="Times New Roman" w:hAnsi="Times New Roman" w:cs="Times New Roman"/>
                <w:color w:val="auto"/>
                <w:kern w:val="0"/>
                <w:sz w:val="21"/>
                <w:szCs w:val="21"/>
              </w:rPr>
            </w:pPr>
          </w:p>
        </w:tc>
        <w:tc>
          <w:tcPr>
            <w:tcW w:w="1335" w:type="pct"/>
            <w:noWrap w:val="0"/>
            <w:vAlign w:val="center"/>
          </w:tcPr>
          <w:p w14:paraId="6E27EFFA">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COD</w:t>
            </w:r>
          </w:p>
        </w:tc>
        <w:tc>
          <w:tcPr>
            <w:tcW w:w="1214" w:type="pct"/>
            <w:tcBorders>
              <w:right w:val="single" w:color="auto" w:sz="4" w:space="0"/>
            </w:tcBorders>
            <w:noWrap w:val="0"/>
            <w:vAlign w:val="center"/>
          </w:tcPr>
          <w:p w14:paraId="1962682D">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30</w:t>
            </w:r>
          </w:p>
        </w:tc>
        <w:tc>
          <w:tcPr>
            <w:tcW w:w="1214" w:type="pct"/>
            <w:tcBorders>
              <w:left w:val="single" w:color="auto" w:sz="4" w:space="0"/>
            </w:tcBorders>
            <w:noWrap w:val="0"/>
            <w:vAlign w:val="center"/>
          </w:tcPr>
          <w:p w14:paraId="32021870">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40</w:t>
            </w:r>
          </w:p>
        </w:tc>
      </w:tr>
      <w:tr w14:paraId="691711D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236" w:type="pct"/>
            <w:vMerge w:val="continue"/>
            <w:noWrap w:val="0"/>
            <w:vAlign w:val="center"/>
          </w:tcPr>
          <w:p w14:paraId="2926BB7E">
            <w:pPr>
              <w:widowControl/>
              <w:spacing w:line="240" w:lineRule="auto"/>
              <w:ind w:firstLine="0" w:firstLineChars="0"/>
              <w:jc w:val="center"/>
              <w:rPr>
                <w:rFonts w:hint="default" w:ascii="Times New Roman" w:hAnsi="Times New Roman" w:cs="Times New Roman"/>
                <w:color w:val="auto"/>
                <w:kern w:val="0"/>
                <w:sz w:val="21"/>
                <w:szCs w:val="21"/>
              </w:rPr>
            </w:pPr>
          </w:p>
        </w:tc>
        <w:tc>
          <w:tcPr>
            <w:tcW w:w="1335" w:type="pct"/>
            <w:noWrap w:val="0"/>
            <w:vAlign w:val="center"/>
          </w:tcPr>
          <w:p w14:paraId="1DD800C9">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BOD</w:t>
            </w:r>
            <w:r>
              <w:rPr>
                <w:rFonts w:hint="default" w:ascii="Times New Roman" w:hAnsi="Times New Roman" w:cs="Times New Roman"/>
                <w:color w:val="auto"/>
                <w:kern w:val="0"/>
                <w:sz w:val="21"/>
                <w:szCs w:val="21"/>
                <w:vertAlign w:val="subscript"/>
              </w:rPr>
              <w:t>5</w:t>
            </w:r>
          </w:p>
        </w:tc>
        <w:tc>
          <w:tcPr>
            <w:tcW w:w="1214" w:type="pct"/>
            <w:tcBorders>
              <w:right w:val="single" w:color="auto" w:sz="4" w:space="0"/>
            </w:tcBorders>
            <w:noWrap w:val="0"/>
            <w:vAlign w:val="center"/>
          </w:tcPr>
          <w:p w14:paraId="3202B451">
            <w:pPr>
              <w:widowControl/>
              <w:spacing w:line="240" w:lineRule="auto"/>
              <w:ind w:firstLine="0" w:firstLineChars="0"/>
              <w:jc w:val="center"/>
              <w:rPr>
                <w:rFonts w:hint="eastAsia" w:ascii="Times New Roman" w:hAnsi="Times New Roman" w:eastAsia="宋体" w:cs="Times New Roman"/>
                <w:color w:val="auto"/>
                <w:kern w:val="0"/>
                <w:sz w:val="21"/>
                <w:szCs w:val="21"/>
                <w:lang w:eastAsia="zh-CN"/>
              </w:rPr>
            </w:pPr>
            <w:r>
              <w:rPr>
                <w:rFonts w:hint="eastAsia" w:ascii="Times New Roman" w:hAnsi="Times New Roman" w:cs="Times New Roman"/>
                <w:color w:val="auto"/>
                <w:kern w:val="0"/>
                <w:sz w:val="21"/>
                <w:szCs w:val="21"/>
                <w:lang w:val="en-US" w:eastAsia="zh-CN"/>
              </w:rPr>
              <w:t>6</w:t>
            </w:r>
          </w:p>
        </w:tc>
        <w:tc>
          <w:tcPr>
            <w:tcW w:w="1214" w:type="pct"/>
            <w:tcBorders>
              <w:left w:val="single" w:color="auto" w:sz="4" w:space="0"/>
            </w:tcBorders>
            <w:noWrap w:val="0"/>
            <w:vAlign w:val="center"/>
          </w:tcPr>
          <w:p w14:paraId="044342D8">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10</w:t>
            </w:r>
          </w:p>
        </w:tc>
      </w:tr>
      <w:tr w14:paraId="5513C48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236" w:type="pct"/>
            <w:vMerge w:val="continue"/>
            <w:noWrap w:val="0"/>
            <w:vAlign w:val="center"/>
          </w:tcPr>
          <w:p w14:paraId="24D7EFBA">
            <w:pPr>
              <w:widowControl/>
              <w:spacing w:line="240" w:lineRule="auto"/>
              <w:ind w:firstLine="0" w:firstLineChars="0"/>
              <w:jc w:val="center"/>
              <w:rPr>
                <w:rFonts w:hint="default" w:ascii="Times New Roman" w:hAnsi="Times New Roman" w:cs="Times New Roman"/>
                <w:color w:val="auto"/>
                <w:kern w:val="0"/>
                <w:sz w:val="21"/>
                <w:szCs w:val="21"/>
              </w:rPr>
            </w:pPr>
          </w:p>
        </w:tc>
        <w:tc>
          <w:tcPr>
            <w:tcW w:w="1335" w:type="pct"/>
            <w:noWrap w:val="0"/>
            <w:vAlign w:val="center"/>
          </w:tcPr>
          <w:p w14:paraId="5DA2C4B6">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溶解氧</w:t>
            </w:r>
          </w:p>
        </w:tc>
        <w:tc>
          <w:tcPr>
            <w:tcW w:w="1214" w:type="pct"/>
            <w:tcBorders>
              <w:right w:val="single" w:color="auto" w:sz="4" w:space="0"/>
            </w:tcBorders>
            <w:noWrap w:val="0"/>
            <w:vAlign w:val="center"/>
          </w:tcPr>
          <w:p w14:paraId="481322D0">
            <w:pPr>
              <w:widowControl/>
              <w:spacing w:line="240" w:lineRule="auto"/>
              <w:ind w:firstLine="0" w:firstLineChars="0"/>
              <w:jc w:val="center"/>
              <w:rPr>
                <w:rFonts w:hint="eastAsia" w:ascii="Times New Roman" w:hAnsi="Times New Roman" w:eastAsia="宋体" w:cs="Times New Roman"/>
                <w:color w:val="auto"/>
                <w:kern w:val="0"/>
                <w:sz w:val="21"/>
                <w:szCs w:val="21"/>
                <w:lang w:eastAsia="zh-CN"/>
              </w:rPr>
            </w:pPr>
            <w:r>
              <w:rPr>
                <w:rFonts w:hint="eastAsia" w:ascii="Times New Roman" w:hAnsi="Times New Roman" w:cs="Times New Roman"/>
                <w:color w:val="auto"/>
                <w:kern w:val="0"/>
                <w:sz w:val="21"/>
                <w:szCs w:val="21"/>
                <w:lang w:val="en-US" w:eastAsia="zh-CN"/>
              </w:rPr>
              <w:t>3</w:t>
            </w:r>
          </w:p>
        </w:tc>
        <w:tc>
          <w:tcPr>
            <w:tcW w:w="1214" w:type="pct"/>
            <w:tcBorders>
              <w:left w:val="single" w:color="auto" w:sz="4" w:space="0"/>
            </w:tcBorders>
            <w:noWrap w:val="0"/>
            <w:vAlign w:val="center"/>
          </w:tcPr>
          <w:p w14:paraId="7F9E2B34">
            <w:pPr>
              <w:widowControl/>
              <w:spacing w:line="240" w:lineRule="auto"/>
              <w:ind w:firstLine="0" w:firstLineChars="0"/>
              <w:jc w:val="center"/>
              <w:rPr>
                <w:rFonts w:hint="eastAsia" w:ascii="Times New Roman" w:hAnsi="Times New Roman" w:eastAsia="宋体" w:cs="Times New Roman"/>
                <w:color w:val="auto"/>
                <w:kern w:val="0"/>
                <w:sz w:val="21"/>
                <w:szCs w:val="21"/>
                <w:lang w:eastAsia="zh-CN"/>
              </w:rPr>
            </w:pPr>
            <w:r>
              <w:rPr>
                <w:rFonts w:hint="eastAsia" w:ascii="Times New Roman" w:hAnsi="Times New Roman" w:cs="Times New Roman"/>
                <w:color w:val="auto"/>
                <w:kern w:val="0"/>
                <w:sz w:val="21"/>
                <w:szCs w:val="21"/>
                <w:lang w:val="en-US" w:eastAsia="zh-CN"/>
              </w:rPr>
              <w:t>2</w:t>
            </w:r>
          </w:p>
        </w:tc>
      </w:tr>
      <w:tr w14:paraId="2174C27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236" w:type="pct"/>
            <w:vMerge w:val="continue"/>
            <w:noWrap w:val="0"/>
            <w:vAlign w:val="center"/>
          </w:tcPr>
          <w:p w14:paraId="14A0105E">
            <w:pPr>
              <w:widowControl/>
              <w:spacing w:line="240" w:lineRule="auto"/>
              <w:ind w:firstLine="0" w:firstLineChars="0"/>
              <w:jc w:val="center"/>
              <w:rPr>
                <w:rFonts w:hint="default" w:ascii="Times New Roman" w:hAnsi="Times New Roman" w:cs="Times New Roman"/>
                <w:color w:val="auto"/>
                <w:kern w:val="0"/>
                <w:sz w:val="21"/>
                <w:szCs w:val="21"/>
              </w:rPr>
            </w:pPr>
          </w:p>
        </w:tc>
        <w:tc>
          <w:tcPr>
            <w:tcW w:w="1335" w:type="pct"/>
            <w:noWrap w:val="0"/>
            <w:vAlign w:val="center"/>
          </w:tcPr>
          <w:p w14:paraId="311494B2">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氨氮</w:t>
            </w:r>
          </w:p>
        </w:tc>
        <w:tc>
          <w:tcPr>
            <w:tcW w:w="1214" w:type="pct"/>
            <w:tcBorders>
              <w:right w:val="single" w:color="auto" w:sz="4" w:space="0"/>
            </w:tcBorders>
            <w:noWrap w:val="0"/>
            <w:vAlign w:val="center"/>
          </w:tcPr>
          <w:p w14:paraId="4DFB543F">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1.5</w:t>
            </w:r>
          </w:p>
        </w:tc>
        <w:tc>
          <w:tcPr>
            <w:tcW w:w="1214" w:type="pct"/>
            <w:tcBorders>
              <w:left w:val="single" w:color="auto" w:sz="4" w:space="0"/>
            </w:tcBorders>
            <w:noWrap w:val="0"/>
            <w:vAlign w:val="center"/>
          </w:tcPr>
          <w:p w14:paraId="1E3AF446">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2.0</w:t>
            </w:r>
          </w:p>
        </w:tc>
      </w:tr>
      <w:tr w14:paraId="53CBEA4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236" w:type="pct"/>
            <w:vMerge w:val="continue"/>
            <w:noWrap w:val="0"/>
            <w:vAlign w:val="center"/>
          </w:tcPr>
          <w:p w14:paraId="22268A55">
            <w:pPr>
              <w:widowControl/>
              <w:spacing w:line="240" w:lineRule="auto"/>
              <w:ind w:firstLine="0" w:firstLineChars="0"/>
              <w:jc w:val="center"/>
              <w:rPr>
                <w:rFonts w:hint="default" w:ascii="Times New Roman" w:hAnsi="Times New Roman" w:cs="Times New Roman"/>
                <w:color w:val="auto"/>
                <w:kern w:val="0"/>
                <w:sz w:val="21"/>
                <w:szCs w:val="21"/>
              </w:rPr>
            </w:pPr>
          </w:p>
        </w:tc>
        <w:tc>
          <w:tcPr>
            <w:tcW w:w="1335" w:type="pct"/>
            <w:noWrap w:val="0"/>
            <w:vAlign w:val="center"/>
          </w:tcPr>
          <w:p w14:paraId="367BFD60">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总磷</w:t>
            </w:r>
          </w:p>
        </w:tc>
        <w:tc>
          <w:tcPr>
            <w:tcW w:w="1214" w:type="pct"/>
            <w:tcBorders>
              <w:right w:val="single" w:color="auto" w:sz="4" w:space="0"/>
            </w:tcBorders>
            <w:noWrap w:val="0"/>
            <w:vAlign w:val="center"/>
          </w:tcPr>
          <w:p w14:paraId="24A70D7C">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0.3</w:t>
            </w:r>
          </w:p>
        </w:tc>
        <w:tc>
          <w:tcPr>
            <w:tcW w:w="1214" w:type="pct"/>
            <w:tcBorders>
              <w:left w:val="single" w:color="auto" w:sz="4" w:space="0"/>
            </w:tcBorders>
            <w:noWrap w:val="0"/>
            <w:vAlign w:val="center"/>
          </w:tcPr>
          <w:p w14:paraId="60188861">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0.4</w:t>
            </w:r>
          </w:p>
        </w:tc>
      </w:tr>
    </w:tbl>
    <w:p w14:paraId="0B6AEAB0">
      <w:pPr>
        <w:spacing w:line="360" w:lineRule="auto"/>
        <w:jc w:val="left"/>
        <w:rPr>
          <w:rFonts w:hint="eastAsia"/>
          <w:b w:val="0"/>
          <w:bCs w:val="0"/>
          <w:color w:val="auto"/>
          <w:sz w:val="24"/>
          <w:szCs w:val="32"/>
          <w:lang w:val="en-US" w:eastAsia="zh-CN"/>
        </w:rPr>
      </w:pPr>
    </w:p>
    <w:p w14:paraId="27A462F5">
      <w:pPr>
        <w:spacing w:line="360" w:lineRule="auto"/>
        <w:ind w:firstLine="480" w:firstLineChars="200"/>
        <w:jc w:val="left"/>
        <w:rPr>
          <w:rFonts w:hint="eastAsia" w:ascii="Times New Roman" w:hAnsi="Times New Roman" w:cs="Times New Roman"/>
          <w:b w:val="0"/>
          <w:bCs w:val="0"/>
          <w:color w:val="auto"/>
          <w:sz w:val="24"/>
          <w:szCs w:val="32"/>
          <w:lang w:val="en-US" w:eastAsia="zh-CN"/>
        </w:rPr>
      </w:pPr>
      <w:r>
        <w:rPr>
          <w:rFonts w:hint="default" w:ascii="Times New Roman" w:hAnsi="Times New Roman" w:cs="Times New Roman"/>
          <w:b w:val="0"/>
          <w:bCs w:val="0"/>
          <w:color w:val="auto"/>
          <w:sz w:val="24"/>
          <w:szCs w:val="32"/>
          <w:lang w:val="en-US" w:eastAsia="zh-CN"/>
        </w:rPr>
        <w:t>（3）</w:t>
      </w:r>
      <w:r>
        <w:rPr>
          <w:rFonts w:hint="eastAsia" w:ascii="Times New Roman" w:hAnsi="Times New Roman" w:cs="Times New Roman"/>
          <w:b w:val="0"/>
          <w:bCs w:val="0"/>
          <w:color w:val="auto"/>
          <w:sz w:val="24"/>
          <w:szCs w:val="32"/>
          <w:lang w:val="en-US" w:eastAsia="zh-CN"/>
        </w:rPr>
        <w:t>监测结果</w:t>
      </w:r>
    </w:p>
    <w:p w14:paraId="41E30C5B">
      <w:pPr>
        <w:spacing w:line="360" w:lineRule="auto"/>
        <w:ind w:firstLine="480" w:firstLineChars="200"/>
        <w:jc w:val="left"/>
        <w:rPr>
          <w:rFonts w:hint="default" w:ascii="Times New Roman" w:hAnsi="Times New Roman" w:eastAsia="宋体" w:cs="Times New Roman"/>
          <w:b w:val="0"/>
          <w:bCs w:val="0"/>
          <w:color w:val="auto"/>
          <w:sz w:val="24"/>
          <w:szCs w:val="32"/>
          <w:lang w:val="en-US" w:eastAsia="zh-CN"/>
        </w:rPr>
      </w:pPr>
      <w:r>
        <w:rPr>
          <w:rFonts w:hint="eastAsia" w:ascii="Times New Roman" w:hAnsi="Times New Roman" w:cs="Times New Roman"/>
          <w:b w:val="0"/>
          <w:bCs w:val="0"/>
          <w:color w:val="auto"/>
          <w:sz w:val="24"/>
          <w:szCs w:val="32"/>
          <w:lang w:val="en-US" w:eastAsia="zh-CN"/>
        </w:rPr>
        <w:t>环评阶段王引河、巴河水质监测结果如下。</w:t>
      </w:r>
    </w:p>
    <w:p w14:paraId="1E9DD453">
      <w:pPr>
        <w:spacing w:line="360" w:lineRule="auto"/>
        <w:jc w:val="center"/>
        <w:rPr>
          <w:rFonts w:hint="eastAsia" w:eastAsia="宋体"/>
          <w:b/>
          <w:bCs/>
          <w:color w:val="auto"/>
          <w:sz w:val="24"/>
          <w:szCs w:val="32"/>
          <w:lang w:eastAsia="zh-CN"/>
        </w:rPr>
      </w:pPr>
      <w:r>
        <w:rPr>
          <w:b/>
          <w:bCs/>
          <w:color w:val="auto"/>
          <w:sz w:val="24"/>
          <w:szCs w:val="32"/>
        </w:rPr>
        <w:t>表2-</w:t>
      </w:r>
      <w:r>
        <w:rPr>
          <w:rFonts w:hint="eastAsia"/>
          <w:b/>
          <w:bCs/>
          <w:color w:val="auto"/>
          <w:sz w:val="24"/>
          <w:szCs w:val="32"/>
          <w:lang w:val="en-US" w:eastAsia="zh-CN"/>
        </w:rPr>
        <w:t>5</w:t>
      </w:r>
      <w:r>
        <w:rPr>
          <w:b/>
          <w:bCs/>
          <w:color w:val="auto"/>
          <w:sz w:val="24"/>
          <w:szCs w:val="32"/>
        </w:rPr>
        <w:t xml:space="preserve"> </w:t>
      </w:r>
      <w:r>
        <w:rPr>
          <w:rFonts w:hint="eastAsia"/>
          <w:b/>
          <w:bCs/>
          <w:color w:val="auto"/>
          <w:sz w:val="24"/>
          <w:szCs w:val="32"/>
          <w:lang w:val="en-US" w:eastAsia="zh-CN"/>
        </w:rPr>
        <w:t>地表水环境质量现状监测结果及评价结果一览表（单位：mg/L；pH无量纲）</w:t>
      </w:r>
    </w:p>
    <w:tbl>
      <w:tblPr>
        <w:tblStyle w:val="31"/>
        <w:tblW w:w="498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52"/>
        <w:gridCol w:w="1393"/>
        <w:gridCol w:w="1721"/>
        <w:gridCol w:w="1010"/>
        <w:gridCol w:w="1010"/>
        <w:gridCol w:w="1010"/>
        <w:gridCol w:w="1010"/>
        <w:gridCol w:w="1010"/>
        <w:gridCol w:w="1010"/>
      </w:tblGrid>
      <w:tr w14:paraId="6798DA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79" w:type="pct"/>
            <w:noWrap w:val="0"/>
            <w:vAlign w:val="center"/>
          </w:tcPr>
          <w:p w14:paraId="00343561">
            <w:pPr>
              <w:bidi w:val="0"/>
              <w:jc w:val="center"/>
              <w:rPr>
                <w:rFonts w:hint="default" w:ascii="Times New Roman" w:hAnsi="Times New Roman" w:eastAsia="宋体" w:cs="Times New Roman"/>
                <w:b/>
                <w:bCs/>
                <w:color w:val="auto"/>
                <w:sz w:val="21"/>
                <w:szCs w:val="21"/>
              </w:rPr>
            </w:pPr>
            <w:bookmarkStart w:id="259" w:name="OLE_LINK100" w:colFirst="4" w:colLast="5"/>
            <w:r>
              <w:rPr>
                <w:rFonts w:hint="default" w:ascii="Times New Roman" w:hAnsi="Times New Roman" w:eastAsia="宋体" w:cs="Times New Roman"/>
                <w:b/>
                <w:bCs/>
                <w:color w:val="auto"/>
                <w:sz w:val="21"/>
                <w:szCs w:val="21"/>
              </w:rPr>
              <w:t>检测点位</w:t>
            </w:r>
          </w:p>
        </w:tc>
        <w:tc>
          <w:tcPr>
            <w:tcW w:w="701" w:type="pct"/>
            <w:noWrap w:val="0"/>
            <w:vAlign w:val="center"/>
          </w:tcPr>
          <w:p w14:paraId="16184ABA">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监测断面名称和位置</w:t>
            </w:r>
          </w:p>
        </w:tc>
        <w:tc>
          <w:tcPr>
            <w:tcW w:w="866" w:type="pct"/>
            <w:noWrap w:val="0"/>
            <w:vAlign w:val="center"/>
          </w:tcPr>
          <w:p w14:paraId="00F161A4">
            <w:pPr>
              <w:bidi w:val="0"/>
              <w:jc w:val="center"/>
              <w:rPr>
                <w:rFonts w:hint="default" w:ascii="Times New Roman" w:hAnsi="Times New Roman" w:eastAsia="宋体" w:cs="Times New Roman"/>
                <w:b/>
                <w:bCs/>
                <w:color w:val="auto"/>
                <w:sz w:val="21"/>
                <w:szCs w:val="21"/>
                <w:lang w:val="en-US" w:eastAsia="zh-CN"/>
              </w:rPr>
            </w:pPr>
            <w:r>
              <w:rPr>
                <w:rFonts w:hint="eastAsia" w:cs="Times New Roman"/>
                <w:b/>
                <w:bCs/>
                <w:color w:val="auto"/>
                <w:sz w:val="21"/>
                <w:szCs w:val="21"/>
                <w:lang w:val="en-US" w:eastAsia="zh-CN"/>
              </w:rPr>
              <w:t>监测时间</w:t>
            </w:r>
          </w:p>
        </w:tc>
        <w:tc>
          <w:tcPr>
            <w:tcW w:w="508" w:type="pct"/>
            <w:noWrap w:val="0"/>
            <w:vAlign w:val="center"/>
          </w:tcPr>
          <w:p w14:paraId="21079358">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pH</w:t>
            </w:r>
          </w:p>
        </w:tc>
        <w:tc>
          <w:tcPr>
            <w:tcW w:w="508" w:type="pct"/>
            <w:noWrap w:val="0"/>
            <w:vAlign w:val="center"/>
          </w:tcPr>
          <w:p w14:paraId="68A99C48">
            <w:pPr>
              <w:bidi w:val="0"/>
              <w:jc w:val="center"/>
              <w:rPr>
                <w:rFonts w:hint="default" w:ascii="Times New Roman" w:hAnsi="Times New Roman" w:eastAsia="宋体" w:cs="Times New Roman"/>
                <w:b/>
                <w:bCs/>
                <w:color w:val="auto"/>
                <w:sz w:val="21"/>
                <w:szCs w:val="21"/>
                <w:lang w:val="en-US" w:eastAsia="zh-CN"/>
              </w:rPr>
            </w:pPr>
            <w:r>
              <w:rPr>
                <w:rFonts w:hint="eastAsia" w:cs="Times New Roman"/>
                <w:b/>
                <w:bCs/>
                <w:color w:val="auto"/>
                <w:sz w:val="21"/>
                <w:szCs w:val="21"/>
                <w:lang w:val="en-US" w:eastAsia="zh-CN"/>
              </w:rPr>
              <w:t>COD</w:t>
            </w:r>
          </w:p>
        </w:tc>
        <w:tc>
          <w:tcPr>
            <w:tcW w:w="508" w:type="pct"/>
            <w:noWrap w:val="0"/>
            <w:vAlign w:val="center"/>
          </w:tcPr>
          <w:p w14:paraId="368D2247">
            <w:pPr>
              <w:bidi w:val="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BOD</w:t>
            </w:r>
            <w:r>
              <w:rPr>
                <w:rFonts w:hint="eastAsia" w:ascii="Times New Roman" w:hAnsi="Times New Roman" w:eastAsia="宋体" w:cs="Times New Roman"/>
                <w:b/>
                <w:bCs/>
                <w:color w:val="auto"/>
                <w:sz w:val="21"/>
                <w:szCs w:val="21"/>
                <w:vertAlign w:val="subscript"/>
                <w:lang w:val="en-US" w:eastAsia="zh-CN"/>
              </w:rPr>
              <w:t>5</w:t>
            </w:r>
          </w:p>
        </w:tc>
        <w:tc>
          <w:tcPr>
            <w:tcW w:w="508" w:type="pct"/>
            <w:noWrap w:val="0"/>
            <w:vAlign w:val="center"/>
          </w:tcPr>
          <w:p w14:paraId="0F62AE5F">
            <w:pPr>
              <w:bidi w:val="0"/>
              <w:jc w:val="center"/>
              <w:rPr>
                <w:rFonts w:hint="default" w:ascii="Times New Roman" w:hAnsi="Times New Roman" w:eastAsia="宋体" w:cs="Times New Roman"/>
                <w:b/>
                <w:bCs/>
                <w:color w:val="auto"/>
                <w:sz w:val="21"/>
                <w:szCs w:val="21"/>
                <w:lang w:val="en-US" w:eastAsia="zh-CN"/>
              </w:rPr>
            </w:pPr>
            <w:r>
              <w:rPr>
                <w:rFonts w:hint="eastAsia" w:cs="Times New Roman"/>
                <w:b/>
                <w:bCs/>
                <w:color w:val="auto"/>
                <w:sz w:val="21"/>
                <w:szCs w:val="21"/>
                <w:lang w:val="en-US" w:eastAsia="zh-CN"/>
              </w:rPr>
              <w:t>溶解氧</w:t>
            </w:r>
          </w:p>
        </w:tc>
        <w:tc>
          <w:tcPr>
            <w:tcW w:w="508" w:type="pct"/>
            <w:noWrap w:val="0"/>
            <w:vAlign w:val="center"/>
          </w:tcPr>
          <w:p w14:paraId="548D4C80">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氨氮</w:t>
            </w:r>
          </w:p>
        </w:tc>
        <w:tc>
          <w:tcPr>
            <w:tcW w:w="508" w:type="pct"/>
            <w:noWrap w:val="0"/>
            <w:vAlign w:val="center"/>
          </w:tcPr>
          <w:p w14:paraId="7D626059">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总磷</w:t>
            </w:r>
          </w:p>
        </w:tc>
      </w:tr>
      <w:bookmarkEnd w:id="259"/>
      <w:tr w14:paraId="60D1BB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79" w:type="pct"/>
            <w:vMerge w:val="restart"/>
            <w:noWrap w:val="0"/>
            <w:vAlign w:val="center"/>
          </w:tcPr>
          <w:p w14:paraId="13EA6102">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W1</w:t>
            </w:r>
          </w:p>
        </w:tc>
        <w:tc>
          <w:tcPr>
            <w:tcW w:w="701" w:type="pct"/>
            <w:vMerge w:val="restart"/>
            <w:noWrap w:val="0"/>
            <w:vAlign w:val="center"/>
          </w:tcPr>
          <w:p w14:paraId="7849D9D9">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濉溪县第二污水处理厂入巴河排污口上游200米</w:t>
            </w:r>
          </w:p>
        </w:tc>
        <w:tc>
          <w:tcPr>
            <w:tcW w:w="866" w:type="pct"/>
            <w:noWrap w:val="0"/>
            <w:vAlign w:val="center"/>
          </w:tcPr>
          <w:p w14:paraId="7D95FDC4">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2014.7.9</w:t>
            </w:r>
          </w:p>
        </w:tc>
        <w:tc>
          <w:tcPr>
            <w:tcW w:w="508" w:type="pct"/>
            <w:noWrap w:val="0"/>
            <w:vAlign w:val="center"/>
          </w:tcPr>
          <w:p w14:paraId="4C1196E9">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7.34</w:t>
            </w:r>
          </w:p>
        </w:tc>
        <w:tc>
          <w:tcPr>
            <w:tcW w:w="508" w:type="pct"/>
            <w:noWrap w:val="0"/>
            <w:vAlign w:val="center"/>
          </w:tcPr>
          <w:p w14:paraId="79671A14">
            <w:pPr>
              <w:jc w:val="center"/>
              <w:rPr>
                <w:rFonts w:hint="default" w:ascii="Times New Roman" w:hAnsi="Times New Roman" w:eastAsia="宋体" w:cs="Times New Roman"/>
                <w:color w:val="auto"/>
                <w:sz w:val="21"/>
                <w:szCs w:val="21"/>
              </w:rPr>
            </w:pPr>
            <w:r>
              <w:rPr>
                <w:color w:val="auto"/>
                <w:sz w:val="21"/>
                <w:szCs w:val="21"/>
              </w:rPr>
              <w:t>16</w:t>
            </w:r>
          </w:p>
        </w:tc>
        <w:tc>
          <w:tcPr>
            <w:tcW w:w="508" w:type="pct"/>
            <w:noWrap w:val="0"/>
            <w:vAlign w:val="center"/>
          </w:tcPr>
          <w:p w14:paraId="52C721FD">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2.6</w:t>
            </w:r>
          </w:p>
        </w:tc>
        <w:tc>
          <w:tcPr>
            <w:tcW w:w="508" w:type="pct"/>
            <w:noWrap w:val="0"/>
            <w:vAlign w:val="center"/>
          </w:tcPr>
          <w:p w14:paraId="753A6C0E">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7.8</w:t>
            </w:r>
          </w:p>
        </w:tc>
        <w:tc>
          <w:tcPr>
            <w:tcW w:w="508" w:type="pct"/>
            <w:noWrap w:val="0"/>
            <w:vAlign w:val="center"/>
          </w:tcPr>
          <w:p w14:paraId="5E082EAC">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0.283</w:t>
            </w:r>
          </w:p>
        </w:tc>
        <w:tc>
          <w:tcPr>
            <w:tcW w:w="508" w:type="pct"/>
            <w:noWrap w:val="0"/>
            <w:vAlign w:val="center"/>
          </w:tcPr>
          <w:p w14:paraId="30796FD3">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0.14</w:t>
            </w:r>
          </w:p>
        </w:tc>
      </w:tr>
      <w:tr w14:paraId="09FB6E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379" w:type="pct"/>
            <w:vMerge w:val="continue"/>
            <w:noWrap w:val="0"/>
            <w:vAlign w:val="center"/>
          </w:tcPr>
          <w:p w14:paraId="7EA3AB83">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200C2FC8">
            <w:pPr>
              <w:bidi w:val="0"/>
              <w:jc w:val="center"/>
              <w:rPr>
                <w:rFonts w:hint="default" w:ascii="Times New Roman" w:hAnsi="Times New Roman" w:eastAsia="宋体" w:cs="Times New Roman"/>
                <w:color w:val="auto"/>
                <w:sz w:val="21"/>
                <w:szCs w:val="21"/>
              </w:rPr>
            </w:pPr>
          </w:p>
        </w:tc>
        <w:tc>
          <w:tcPr>
            <w:tcW w:w="866" w:type="pct"/>
            <w:noWrap w:val="0"/>
            <w:vAlign w:val="center"/>
          </w:tcPr>
          <w:p w14:paraId="1F0BAAFC">
            <w:pPr>
              <w:bidi w:val="0"/>
              <w:jc w:val="center"/>
              <w:rPr>
                <w:rFonts w:hint="default" w:ascii="Times New Roman" w:hAnsi="Times New Roman" w:eastAsia="宋体" w:cs="Times New Roman"/>
                <w:color w:val="auto"/>
                <w:sz w:val="21"/>
                <w:szCs w:val="21"/>
                <w:lang w:val="en-US"/>
              </w:rPr>
            </w:pPr>
            <w:r>
              <w:rPr>
                <w:rFonts w:hint="eastAsia" w:cs="Times New Roman"/>
                <w:color w:val="auto"/>
                <w:sz w:val="21"/>
                <w:szCs w:val="21"/>
                <w:lang w:val="en-US" w:eastAsia="zh-CN"/>
              </w:rPr>
              <w:t>2014.7.10</w:t>
            </w:r>
          </w:p>
        </w:tc>
        <w:tc>
          <w:tcPr>
            <w:tcW w:w="508" w:type="pct"/>
            <w:noWrap w:val="0"/>
            <w:vAlign w:val="center"/>
          </w:tcPr>
          <w:p w14:paraId="5ADA2286">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7.28</w:t>
            </w:r>
          </w:p>
        </w:tc>
        <w:tc>
          <w:tcPr>
            <w:tcW w:w="508" w:type="pct"/>
            <w:noWrap w:val="0"/>
            <w:vAlign w:val="center"/>
          </w:tcPr>
          <w:p w14:paraId="040032B1">
            <w:pPr>
              <w:jc w:val="center"/>
              <w:rPr>
                <w:rFonts w:hint="default" w:ascii="Times New Roman" w:hAnsi="Times New Roman" w:eastAsia="宋体" w:cs="Times New Roman"/>
                <w:color w:val="auto"/>
                <w:sz w:val="21"/>
                <w:szCs w:val="21"/>
              </w:rPr>
            </w:pPr>
            <w:r>
              <w:rPr>
                <w:color w:val="auto"/>
                <w:sz w:val="21"/>
                <w:szCs w:val="21"/>
              </w:rPr>
              <w:t>15</w:t>
            </w:r>
          </w:p>
        </w:tc>
        <w:tc>
          <w:tcPr>
            <w:tcW w:w="508" w:type="pct"/>
            <w:noWrap w:val="0"/>
            <w:vAlign w:val="center"/>
          </w:tcPr>
          <w:p w14:paraId="31BE13EF">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2.4</w:t>
            </w:r>
          </w:p>
        </w:tc>
        <w:tc>
          <w:tcPr>
            <w:tcW w:w="508" w:type="pct"/>
            <w:noWrap w:val="0"/>
            <w:vAlign w:val="center"/>
          </w:tcPr>
          <w:p w14:paraId="56C8F851">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7.6</w:t>
            </w:r>
          </w:p>
        </w:tc>
        <w:tc>
          <w:tcPr>
            <w:tcW w:w="508" w:type="pct"/>
            <w:noWrap w:val="0"/>
            <w:vAlign w:val="center"/>
          </w:tcPr>
          <w:p w14:paraId="5B78787D">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0.265</w:t>
            </w:r>
          </w:p>
        </w:tc>
        <w:tc>
          <w:tcPr>
            <w:tcW w:w="508" w:type="pct"/>
            <w:noWrap w:val="0"/>
            <w:vAlign w:val="center"/>
          </w:tcPr>
          <w:p w14:paraId="7C2FB2F4">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0.15</w:t>
            </w:r>
          </w:p>
        </w:tc>
      </w:tr>
      <w:tr w14:paraId="1C52FB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379" w:type="pct"/>
            <w:vMerge w:val="continue"/>
            <w:noWrap w:val="0"/>
            <w:vAlign w:val="center"/>
          </w:tcPr>
          <w:p w14:paraId="6BC6E20C">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7BD43D94">
            <w:pPr>
              <w:bidi w:val="0"/>
              <w:jc w:val="center"/>
              <w:rPr>
                <w:rFonts w:hint="default" w:ascii="Times New Roman" w:hAnsi="Times New Roman" w:eastAsia="宋体" w:cs="Times New Roman"/>
                <w:color w:val="auto"/>
                <w:sz w:val="21"/>
                <w:szCs w:val="21"/>
              </w:rPr>
            </w:pPr>
          </w:p>
        </w:tc>
        <w:tc>
          <w:tcPr>
            <w:tcW w:w="866" w:type="pct"/>
            <w:noWrap w:val="0"/>
            <w:vAlign w:val="center"/>
          </w:tcPr>
          <w:p w14:paraId="486C3887">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标准限值（</w:t>
            </w:r>
            <w:r>
              <w:rPr>
                <w:rFonts w:hint="eastAsia"/>
                <w:b w:val="0"/>
                <w:bCs w:val="0"/>
                <w:color w:val="auto"/>
                <w:sz w:val="21"/>
                <w:szCs w:val="21"/>
                <w:lang w:val="en-US" w:eastAsia="zh-CN"/>
              </w:rPr>
              <w:t>GB3838中V类</w:t>
            </w:r>
            <w:r>
              <w:rPr>
                <w:rFonts w:hint="eastAsia" w:cs="Times New Roman"/>
                <w:color w:val="auto"/>
                <w:sz w:val="21"/>
                <w:szCs w:val="21"/>
                <w:lang w:val="en-US" w:eastAsia="zh-CN"/>
              </w:rPr>
              <w:t>）</w:t>
            </w:r>
          </w:p>
        </w:tc>
        <w:tc>
          <w:tcPr>
            <w:tcW w:w="508" w:type="pct"/>
            <w:noWrap w:val="0"/>
            <w:vAlign w:val="center"/>
          </w:tcPr>
          <w:p w14:paraId="6FD654C8">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6~9</w:t>
            </w:r>
          </w:p>
        </w:tc>
        <w:tc>
          <w:tcPr>
            <w:tcW w:w="508" w:type="pct"/>
            <w:noWrap w:val="0"/>
            <w:vAlign w:val="center"/>
          </w:tcPr>
          <w:p w14:paraId="7EA82676">
            <w:pPr>
              <w:jc w:val="center"/>
              <w:rPr>
                <w:rFonts w:hint="default" w:eastAsia="宋体"/>
                <w:color w:val="auto"/>
                <w:sz w:val="21"/>
                <w:szCs w:val="21"/>
                <w:lang w:val="en-US" w:eastAsia="zh-CN"/>
              </w:rPr>
            </w:pPr>
            <w:r>
              <w:rPr>
                <w:rFonts w:hint="eastAsia"/>
                <w:color w:val="auto"/>
                <w:sz w:val="21"/>
                <w:szCs w:val="21"/>
                <w:lang w:val="en-US" w:eastAsia="zh-CN"/>
              </w:rPr>
              <w:t>≤40</w:t>
            </w:r>
          </w:p>
        </w:tc>
        <w:tc>
          <w:tcPr>
            <w:tcW w:w="508" w:type="pct"/>
            <w:noWrap w:val="0"/>
            <w:vAlign w:val="center"/>
          </w:tcPr>
          <w:p w14:paraId="7BDCB3CB">
            <w:pPr>
              <w:bidi w:val="0"/>
              <w:jc w:val="center"/>
              <w:rPr>
                <w:rFonts w:hint="default" w:cs="Times New Roman"/>
                <w:color w:val="auto"/>
                <w:sz w:val="21"/>
                <w:szCs w:val="21"/>
                <w:lang w:val="en-US" w:eastAsia="zh-CN"/>
              </w:rPr>
            </w:pPr>
            <w:r>
              <w:rPr>
                <w:rFonts w:hint="eastAsia"/>
                <w:color w:val="auto"/>
                <w:sz w:val="21"/>
                <w:szCs w:val="21"/>
                <w:lang w:val="en-US" w:eastAsia="zh-CN"/>
              </w:rPr>
              <w:t>≤</w:t>
            </w:r>
            <w:r>
              <w:rPr>
                <w:rFonts w:hint="eastAsia" w:cs="Times New Roman"/>
                <w:color w:val="auto"/>
                <w:sz w:val="21"/>
                <w:szCs w:val="21"/>
                <w:lang w:val="en-US" w:eastAsia="zh-CN"/>
              </w:rPr>
              <w:t>10</w:t>
            </w:r>
          </w:p>
        </w:tc>
        <w:tc>
          <w:tcPr>
            <w:tcW w:w="508" w:type="pct"/>
            <w:noWrap w:val="0"/>
            <w:vAlign w:val="center"/>
          </w:tcPr>
          <w:p w14:paraId="13982BF2">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≥2</w:t>
            </w:r>
          </w:p>
        </w:tc>
        <w:tc>
          <w:tcPr>
            <w:tcW w:w="508" w:type="pct"/>
            <w:noWrap w:val="0"/>
            <w:vAlign w:val="center"/>
          </w:tcPr>
          <w:p w14:paraId="0AED80D3">
            <w:pPr>
              <w:bidi w:val="0"/>
              <w:jc w:val="center"/>
              <w:rPr>
                <w:rFonts w:hint="default" w:cs="Times New Roman"/>
                <w:color w:val="auto"/>
                <w:sz w:val="21"/>
                <w:szCs w:val="21"/>
                <w:lang w:val="en-US" w:eastAsia="zh-CN"/>
              </w:rPr>
            </w:pPr>
            <w:r>
              <w:rPr>
                <w:rFonts w:hint="eastAsia"/>
                <w:color w:val="auto"/>
                <w:sz w:val="21"/>
                <w:szCs w:val="21"/>
                <w:lang w:val="en-US" w:eastAsia="zh-CN"/>
              </w:rPr>
              <w:t>≤2.0</w:t>
            </w:r>
          </w:p>
        </w:tc>
        <w:tc>
          <w:tcPr>
            <w:tcW w:w="508" w:type="pct"/>
            <w:noWrap w:val="0"/>
            <w:vAlign w:val="center"/>
          </w:tcPr>
          <w:p w14:paraId="23B8A19B">
            <w:pPr>
              <w:bidi w:val="0"/>
              <w:jc w:val="center"/>
              <w:rPr>
                <w:rFonts w:hint="default" w:cs="Times New Roman"/>
                <w:color w:val="auto"/>
                <w:sz w:val="21"/>
                <w:szCs w:val="21"/>
                <w:lang w:val="en-US" w:eastAsia="zh-CN"/>
              </w:rPr>
            </w:pPr>
            <w:r>
              <w:rPr>
                <w:rFonts w:hint="eastAsia"/>
                <w:color w:val="auto"/>
                <w:sz w:val="21"/>
                <w:szCs w:val="21"/>
                <w:lang w:val="en-US" w:eastAsia="zh-CN"/>
              </w:rPr>
              <w:t>≤0.4</w:t>
            </w:r>
          </w:p>
        </w:tc>
      </w:tr>
      <w:tr w14:paraId="4B3512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379" w:type="pct"/>
            <w:vMerge w:val="continue"/>
            <w:noWrap w:val="0"/>
            <w:vAlign w:val="center"/>
          </w:tcPr>
          <w:p w14:paraId="7556D65E">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09084BAD">
            <w:pPr>
              <w:bidi w:val="0"/>
              <w:jc w:val="center"/>
              <w:rPr>
                <w:rFonts w:hint="default" w:ascii="Times New Roman" w:hAnsi="Times New Roman" w:eastAsia="宋体" w:cs="Times New Roman"/>
                <w:color w:val="auto"/>
                <w:sz w:val="21"/>
                <w:szCs w:val="21"/>
              </w:rPr>
            </w:pPr>
          </w:p>
        </w:tc>
        <w:tc>
          <w:tcPr>
            <w:tcW w:w="866" w:type="pct"/>
            <w:noWrap w:val="0"/>
            <w:vAlign w:val="center"/>
          </w:tcPr>
          <w:p w14:paraId="10AC5BB2">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是否达标</w:t>
            </w:r>
          </w:p>
        </w:tc>
        <w:tc>
          <w:tcPr>
            <w:tcW w:w="508" w:type="pct"/>
            <w:noWrap w:val="0"/>
            <w:vAlign w:val="center"/>
          </w:tcPr>
          <w:p w14:paraId="40646A7B">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是</w:t>
            </w:r>
          </w:p>
        </w:tc>
        <w:tc>
          <w:tcPr>
            <w:tcW w:w="508" w:type="pct"/>
            <w:noWrap w:val="0"/>
            <w:vAlign w:val="center"/>
          </w:tcPr>
          <w:p w14:paraId="24C4C523">
            <w:pPr>
              <w:jc w:val="center"/>
              <w:rPr>
                <w:rFonts w:hint="eastAsia" w:eastAsia="宋体"/>
                <w:color w:val="auto"/>
                <w:sz w:val="21"/>
                <w:szCs w:val="21"/>
                <w:lang w:val="en-US" w:eastAsia="zh-CN"/>
              </w:rPr>
            </w:pPr>
            <w:r>
              <w:rPr>
                <w:rFonts w:hint="eastAsia"/>
                <w:color w:val="auto"/>
                <w:sz w:val="21"/>
                <w:szCs w:val="21"/>
                <w:lang w:val="en-US" w:eastAsia="zh-CN"/>
              </w:rPr>
              <w:t>是</w:t>
            </w:r>
          </w:p>
        </w:tc>
        <w:tc>
          <w:tcPr>
            <w:tcW w:w="508" w:type="pct"/>
            <w:noWrap w:val="0"/>
            <w:vAlign w:val="center"/>
          </w:tcPr>
          <w:p w14:paraId="73D8FA16">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是</w:t>
            </w:r>
          </w:p>
        </w:tc>
        <w:tc>
          <w:tcPr>
            <w:tcW w:w="508" w:type="pct"/>
            <w:noWrap w:val="0"/>
            <w:vAlign w:val="center"/>
          </w:tcPr>
          <w:p w14:paraId="4D37A9FC">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是</w:t>
            </w:r>
          </w:p>
        </w:tc>
        <w:tc>
          <w:tcPr>
            <w:tcW w:w="508" w:type="pct"/>
            <w:noWrap w:val="0"/>
            <w:vAlign w:val="center"/>
          </w:tcPr>
          <w:p w14:paraId="143FA5C5">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是</w:t>
            </w:r>
          </w:p>
        </w:tc>
        <w:tc>
          <w:tcPr>
            <w:tcW w:w="508" w:type="pct"/>
            <w:noWrap w:val="0"/>
            <w:vAlign w:val="center"/>
          </w:tcPr>
          <w:p w14:paraId="0D291226">
            <w:pPr>
              <w:bidi w:val="0"/>
              <w:jc w:val="center"/>
              <w:rPr>
                <w:rFonts w:hint="default" w:cs="Times New Roman"/>
                <w:color w:val="auto"/>
                <w:sz w:val="21"/>
                <w:szCs w:val="21"/>
                <w:lang w:val="en-US" w:eastAsia="zh-CN"/>
              </w:rPr>
            </w:pPr>
            <w:r>
              <w:rPr>
                <w:rFonts w:hint="eastAsia" w:cs="Times New Roman"/>
                <w:color w:val="auto"/>
                <w:sz w:val="21"/>
                <w:szCs w:val="21"/>
                <w:lang w:val="en-US" w:eastAsia="zh-CN"/>
              </w:rPr>
              <w:t>是</w:t>
            </w:r>
          </w:p>
        </w:tc>
      </w:tr>
      <w:tr w14:paraId="01851C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79" w:type="pct"/>
            <w:vMerge w:val="restart"/>
            <w:noWrap w:val="0"/>
            <w:vAlign w:val="center"/>
          </w:tcPr>
          <w:p w14:paraId="7CAC145D">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W2</w:t>
            </w:r>
          </w:p>
        </w:tc>
        <w:tc>
          <w:tcPr>
            <w:tcW w:w="701" w:type="pct"/>
            <w:vMerge w:val="restart"/>
            <w:noWrap w:val="0"/>
            <w:vAlign w:val="center"/>
          </w:tcPr>
          <w:p w14:paraId="6C6D4EDF">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Cs w:val="21"/>
              </w:rPr>
              <w:t>濉溪县第二污水处理厂入巴河处</w:t>
            </w:r>
          </w:p>
        </w:tc>
        <w:tc>
          <w:tcPr>
            <w:tcW w:w="866" w:type="pct"/>
            <w:noWrap w:val="0"/>
            <w:vAlign w:val="center"/>
          </w:tcPr>
          <w:p w14:paraId="0BEC41F8">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2014.7.9</w:t>
            </w:r>
          </w:p>
        </w:tc>
        <w:tc>
          <w:tcPr>
            <w:tcW w:w="508" w:type="pct"/>
            <w:noWrap w:val="0"/>
            <w:vAlign w:val="center"/>
          </w:tcPr>
          <w:p w14:paraId="66B05240">
            <w:pPr>
              <w:jc w:val="center"/>
              <w:rPr>
                <w:rFonts w:hint="default" w:ascii="Times New Roman" w:hAnsi="Times New Roman" w:eastAsia="宋体" w:cs="Times New Roman"/>
                <w:color w:val="auto"/>
                <w:sz w:val="21"/>
                <w:szCs w:val="21"/>
              </w:rPr>
            </w:pPr>
            <w:r>
              <w:rPr>
                <w:color w:val="auto"/>
                <w:sz w:val="21"/>
                <w:szCs w:val="21"/>
              </w:rPr>
              <w:t>7.28</w:t>
            </w:r>
          </w:p>
        </w:tc>
        <w:tc>
          <w:tcPr>
            <w:tcW w:w="508" w:type="pct"/>
            <w:noWrap w:val="0"/>
            <w:vAlign w:val="center"/>
          </w:tcPr>
          <w:p w14:paraId="589D3737">
            <w:pPr>
              <w:jc w:val="center"/>
              <w:rPr>
                <w:rFonts w:hint="default" w:ascii="Times New Roman" w:hAnsi="Times New Roman" w:eastAsia="宋体" w:cs="Times New Roman"/>
                <w:color w:val="auto"/>
                <w:sz w:val="21"/>
                <w:szCs w:val="21"/>
              </w:rPr>
            </w:pPr>
            <w:r>
              <w:rPr>
                <w:color w:val="auto"/>
                <w:sz w:val="21"/>
                <w:szCs w:val="21"/>
              </w:rPr>
              <w:t>19</w:t>
            </w:r>
          </w:p>
        </w:tc>
        <w:tc>
          <w:tcPr>
            <w:tcW w:w="508" w:type="pct"/>
            <w:noWrap w:val="0"/>
            <w:vAlign w:val="center"/>
          </w:tcPr>
          <w:p w14:paraId="34FEB1EA">
            <w:pPr>
              <w:jc w:val="center"/>
              <w:rPr>
                <w:rFonts w:hint="default" w:ascii="Times New Roman" w:hAnsi="Times New Roman" w:eastAsia="宋体" w:cs="Times New Roman"/>
                <w:color w:val="auto"/>
                <w:sz w:val="21"/>
                <w:szCs w:val="21"/>
              </w:rPr>
            </w:pPr>
            <w:r>
              <w:rPr>
                <w:color w:val="auto"/>
                <w:sz w:val="21"/>
                <w:szCs w:val="21"/>
              </w:rPr>
              <w:t>3.2</w:t>
            </w:r>
          </w:p>
        </w:tc>
        <w:tc>
          <w:tcPr>
            <w:tcW w:w="508" w:type="pct"/>
            <w:noWrap w:val="0"/>
            <w:vAlign w:val="center"/>
          </w:tcPr>
          <w:p w14:paraId="54E73398">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6.9</w:t>
            </w:r>
          </w:p>
        </w:tc>
        <w:tc>
          <w:tcPr>
            <w:tcW w:w="508" w:type="pct"/>
            <w:noWrap w:val="0"/>
            <w:vAlign w:val="center"/>
          </w:tcPr>
          <w:p w14:paraId="1C375235">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rPr>
              <w:t>0.461</w:t>
            </w:r>
          </w:p>
        </w:tc>
        <w:tc>
          <w:tcPr>
            <w:tcW w:w="508" w:type="pct"/>
            <w:noWrap w:val="0"/>
            <w:vAlign w:val="center"/>
          </w:tcPr>
          <w:p w14:paraId="14A7117B">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0.18</w:t>
            </w:r>
          </w:p>
        </w:tc>
      </w:tr>
      <w:tr w14:paraId="53D3E1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79" w:type="pct"/>
            <w:vMerge w:val="continue"/>
            <w:noWrap w:val="0"/>
            <w:vAlign w:val="center"/>
          </w:tcPr>
          <w:p w14:paraId="208D374E">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39C7A58E">
            <w:pPr>
              <w:bidi w:val="0"/>
              <w:jc w:val="center"/>
              <w:rPr>
                <w:rFonts w:hint="default" w:ascii="Times New Roman" w:hAnsi="Times New Roman" w:eastAsia="宋体" w:cs="Times New Roman"/>
                <w:color w:val="auto"/>
                <w:sz w:val="21"/>
                <w:szCs w:val="21"/>
              </w:rPr>
            </w:pPr>
          </w:p>
        </w:tc>
        <w:tc>
          <w:tcPr>
            <w:tcW w:w="866" w:type="pct"/>
            <w:noWrap w:val="0"/>
            <w:vAlign w:val="center"/>
          </w:tcPr>
          <w:p w14:paraId="1101D8FD">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2014.7.10</w:t>
            </w:r>
          </w:p>
        </w:tc>
        <w:tc>
          <w:tcPr>
            <w:tcW w:w="508" w:type="pct"/>
            <w:noWrap w:val="0"/>
            <w:vAlign w:val="center"/>
          </w:tcPr>
          <w:p w14:paraId="54172AC4">
            <w:pPr>
              <w:jc w:val="center"/>
              <w:rPr>
                <w:rFonts w:hint="default" w:ascii="Times New Roman" w:hAnsi="Times New Roman" w:eastAsia="宋体" w:cs="Times New Roman"/>
                <w:color w:val="auto"/>
                <w:sz w:val="21"/>
                <w:szCs w:val="21"/>
              </w:rPr>
            </w:pPr>
            <w:r>
              <w:rPr>
                <w:color w:val="auto"/>
                <w:sz w:val="21"/>
                <w:szCs w:val="21"/>
              </w:rPr>
              <w:t>7.31</w:t>
            </w:r>
          </w:p>
        </w:tc>
        <w:tc>
          <w:tcPr>
            <w:tcW w:w="508" w:type="pct"/>
            <w:noWrap w:val="0"/>
            <w:vAlign w:val="center"/>
          </w:tcPr>
          <w:p w14:paraId="46B9B313">
            <w:pPr>
              <w:jc w:val="center"/>
              <w:rPr>
                <w:rFonts w:hint="default" w:ascii="Times New Roman" w:hAnsi="Times New Roman" w:eastAsia="宋体" w:cs="Times New Roman"/>
                <w:color w:val="auto"/>
                <w:sz w:val="21"/>
                <w:szCs w:val="21"/>
              </w:rPr>
            </w:pPr>
            <w:r>
              <w:rPr>
                <w:color w:val="auto"/>
                <w:sz w:val="21"/>
                <w:szCs w:val="21"/>
              </w:rPr>
              <w:t>18</w:t>
            </w:r>
          </w:p>
        </w:tc>
        <w:tc>
          <w:tcPr>
            <w:tcW w:w="508" w:type="pct"/>
            <w:noWrap w:val="0"/>
            <w:vAlign w:val="center"/>
          </w:tcPr>
          <w:p w14:paraId="55E78B54">
            <w:pPr>
              <w:jc w:val="center"/>
              <w:rPr>
                <w:rFonts w:hint="default" w:ascii="Times New Roman" w:hAnsi="Times New Roman" w:eastAsia="宋体" w:cs="Times New Roman"/>
                <w:color w:val="auto"/>
                <w:sz w:val="21"/>
                <w:szCs w:val="21"/>
              </w:rPr>
            </w:pPr>
            <w:r>
              <w:rPr>
                <w:color w:val="auto"/>
                <w:sz w:val="21"/>
                <w:szCs w:val="21"/>
              </w:rPr>
              <w:t>2.8</w:t>
            </w:r>
          </w:p>
        </w:tc>
        <w:tc>
          <w:tcPr>
            <w:tcW w:w="508" w:type="pct"/>
            <w:noWrap w:val="0"/>
            <w:vAlign w:val="center"/>
          </w:tcPr>
          <w:p w14:paraId="014B64D0">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7.2</w:t>
            </w:r>
          </w:p>
        </w:tc>
        <w:tc>
          <w:tcPr>
            <w:tcW w:w="508" w:type="pct"/>
            <w:noWrap w:val="0"/>
            <w:vAlign w:val="center"/>
          </w:tcPr>
          <w:p w14:paraId="77DD8306">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rPr>
              <w:t>0.411</w:t>
            </w:r>
          </w:p>
        </w:tc>
        <w:tc>
          <w:tcPr>
            <w:tcW w:w="508" w:type="pct"/>
            <w:noWrap w:val="0"/>
            <w:vAlign w:val="center"/>
          </w:tcPr>
          <w:p w14:paraId="6A0CF214">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0.18</w:t>
            </w:r>
          </w:p>
        </w:tc>
      </w:tr>
      <w:tr w14:paraId="7D05CD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79" w:type="pct"/>
            <w:vMerge w:val="continue"/>
            <w:noWrap w:val="0"/>
            <w:vAlign w:val="center"/>
          </w:tcPr>
          <w:p w14:paraId="762777E0">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02C69D2A">
            <w:pPr>
              <w:bidi w:val="0"/>
              <w:jc w:val="center"/>
              <w:rPr>
                <w:rFonts w:hint="default" w:ascii="Times New Roman" w:hAnsi="Times New Roman" w:eastAsia="宋体" w:cs="Times New Roman"/>
                <w:color w:val="auto"/>
                <w:sz w:val="21"/>
                <w:szCs w:val="21"/>
              </w:rPr>
            </w:pPr>
          </w:p>
        </w:tc>
        <w:tc>
          <w:tcPr>
            <w:tcW w:w="866" w:type="pct"/>
            <w:noWrap w:val="0"/>
            <w:vAlign w:val="center"/>
          </w:tcPr>
          <w:p w14:paraId="0C89316E">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标准限值（</w:t>
            </w:r>
            <w:r>
              <w:rPr>
                <w:rFonts w:hint="eastAsia"/>
                <w:b w:val="0"/>
                <w:bCs w:val="0"/>
                <w:color w:val="auto"/>
                <w:sz w:val="21"/>
                <w:szCs w:val="21"/>
                <w:lang w:val="en-US" w:eastAsia="zh-CN"/>
              </w:rPr>
              <w:t>GB3838中V类</w:t>
            </w:r>
            <w:r>
              <w:rPr>
                <w:rFonts w:hint="eastAsia" w:cs="Times New Roman"/>
                <w:color w:val="auto"/>
                <w:sz w:val="21"/>
                <w:szCs w:val="21"/>
                <w:lang w:val="en-US" w:eastAsia="zh-CN"/>
              </w:rPr>
              <w:t>）</w:t>
            </w:r>
          </w:p>
        </w:tc>
        <w:tc>
          <w:tcPr>
            <w:tcW w:w="508" w:type="pct"/>
            <w:noWrap w:val="0"/>
            <w:vAlign w:val="center"/>
          </w:tcPr>
          <w:p w14:paraId="3C8E4B04">
            <w:pPr>
              <w:bidi w:val="0"/>
              <w:jc w:val="center"/>
              <w:rPr>
                <w:color w:val="auto"/>
                <w:sz w:val="21"/>
                <w:szCs w:val="21"/>
              </w:rPr>
            </w:pPr>
            <w:r>
              <w:rPr>
                <w:rFonts w:hint="eastAsia" w:cs="Times New Roman"/>
                <w:color w:val="auto"/>
                <w:sz w:val="21"/>
                <w:szCs w:val="21"/>
                <w:lang w:val="en-US" w:eastAsia="zh-CN"/>
              </w:rPr>
              <w:t>6~9</w:t>
            </w:r>
          </w:p>
        </w:tc>
        <w:tc>
          <w:tcPr>
            <w:tcW w:w="508" w:type="pct"/>
            <w:noWrap w:val="0"/>
            <w:vAlign w:val="center"/>
          </w:tcPr>
          <w:p w14:paraId="43949866">
            <w:pPr>
              <w:jc w:val="center"/>
              <w:rPr>
                <w:color w:val="auto"/>
                <w:sz w:val="21"/>
                <w:szCs w:val="21"/>
              </w:rPr>
            </w:pPr>
            <w:r>
              <w:rPr>
                <w:rFonts w:hint="eastAsia"/>
                <w:color w:val="auto"/>
                <w:sz w:val="21"/>
                <w:szCs w:val="21"/>
                <w:lang w:val="en-US" w:eastAsia="zh-CN"/>
              </w:rPr>
              <w:t>≤40</w:t>
            </w:r>
          </w:p>
        </w:tc>
        <w:tc>
          <w:tcPr>
            <w:tcW w:w="508" w:type="pct"/>
            <w:noWrap w:val="0"/>
            <w:vAlign w:val="center"/>
          </w:tcPr>
          <w:p w14:paraId="6F5324C7">
            <w:pPr>
              <w:bidi w:val="0"/>
              <w:jc w:val="center"/>
              <w:rPr>
                <w:color w:val="auto"/>
                <w:sz w:val="21"/>
                <w:szCs w:val="21"/>
              </w:rPr>
            </w:pPr>
            <w:r>
              <w:rPr>
                <w:rFonts w:hint="eastAsia"/>
                <w:color w:val="auto"/>
                <w:sz w:val="21"/>
                <w:szCs w:val="21"/>
                <w:lang w:val="en-US" w:eastAsia="zh-CN"/>
              </w:rPr>
              <w:t>≤</w:t>
            </w:r>
            <w:r>
              <w:rPr>
                <w:rFonts w:hint="eastAsia" w:cs="Times New Roman"/>
                <w:color w:val="auto"/>
                <w:sz w:val="21"/>
                <w:szCs w:val="21"/>
                <w:lang w:val="en-US" w:eastAsia="zh-CN"/>
              </w:rPr>
              <w:t>10</w:t>
            </w:r>
          </w:p>
        </w:tc>
        <w:tc>
          <w:tcPr>
            <w:tcW w:w="508" w:type="pct"/>
            <w:noWrap w:val="0"/>
            <w:vAlign w:val="center"/>
          </w:tcPr>
          <w:p w14:paraId="6B3B8147">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≥2</w:t>
            </w:r>
          </w:p>
        </w:tc>
        <w:tc>
          <w:tcPr>
            <w:tcW w:w="508" w:type="pct"/>
            <w:noWrap w:val="0"/>
            <w:vAlign w:val="center"/>
          </w:tcPr>
          <w:p w14:paraId="2C0F796E">
            <w:pPr>
              <w:bidi w:val="0"/>
              <w:jc w:val="center"/>
              <w:rPr>
                <w:rFonts w:hint="default" w:ascii="Times New Roman" w:hAnsi="Times New Roman" w:cs="Times New Roman"/>
                <w:color w:val="auto"/>
                <w:sz w:val="21"/>
                <w:szCs w:val="21"/>
              </w:rPr>
            </w:pPr>
            <w:r>
              <w:rPr>
                <w:rFonts w:hint="eastAsia"/>
                <w:color w:val="auto"/>
                <w:sz w:val="21"/>
                <w:szCs w:val="21"/>
                <w:lang w:val="en-US" w:eastAsia="zh-CN"/>
              </w:rPr>
              <w:t>≤2.0</w:t>
            </w:r>
          </w:p>
        </w:tc>
        <w:tc>
          <w:tcPr>
            <w:tcW w:w="508" w:type="pct"/>
            <w:noWrap w:val="0"/>
            <w:vAlign w:val="center"/>
          </w:tcPr>
          <w:p w14:paraId="2059EFAC">
            <w:pPr>
              <w:bidi w:val="0"/>
              <w:jc w:val="center"/>
              <w:rPr>
                <w:rFonts w:hint="eastAsia" w:cs="Times New Roman"/>
                <w:color w:val="auto"/>
                <w:sz w:val="21"/>
                <w:szCs w:val="21"/>
                <w:lang w:val="en-US" w:eastAsia="zh-CN"/>
              </w:rPr>
            </w:pPr>
            <w:r>
              <w:rPr>
                <w:rFonts w:hint="eastAsia"/>
                <w:color w:val="auto"/>
                <w:sz w:val="21"/>
                <w:szCs w:val="21"/>
                <w:lang w:val="en-US" w:eastAsia="zh-CN"/>
              </w:rPr>
              <w:t>≤0.4</w:t>
            </w:r>
          </w:p>
        </w:tc>
      </w:tr>
      <w:tr w14:paraId="2FB10F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79" w:type="pct"/>
            <w:vMerge w:val="continue"/>
            <w:noWrap w:val="0"/>
            <w:vAlign w:val="center"/>
          </w:tcPr>
          <w:p w14:paraId="2EECD786">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3B70FD88">
            <w:pPr>
              <w:bidi w:val="0"/>
              <w:jc w:val="center"/>
              <w:rPr>
                <w:rFonts w:hint="default" w:ascii="Times New Roman" w:hAnsi="Times New Roman" w:eastAsia="宋体" w:cs="Times New Roman"/>
                <w:color w:val="auto"/>
                <w:sz w:val="21"/>
                <w:szCs w:val="21"/>
              </w:rPr>
            </w:pPr>
          </w:p>
        </w:tc>
        <w:tc>
          <w:tcPr>
            <w:tcW w:w="866" w:type="pct"/>
            <w:noWrap w:val="0"/>
            <w:vAlign w:val="center"/>
          </w:tcPr>
          <w:p w14:paraId="3FA672C5">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是否达标</w:t>
            </w:r>
          </w:p>
        </w:tc>
        <w:tc>
          <w:tcPr>
            <w:tcW w:w="508" w:type="pct"/>
            <w:noWrap w:val="0"/>
            <w:vAlign w:val="center"/>
          </w:tcPr>
          <w:p w14:paraId="39B63153">
            <w:pPr>
              <w:bidi w:val="0"/>
              <w:jc w:val="center"/>
              <w:rPr>
                <w:color w:val="auto"/>
                <w:sz w:val="21"/>
                <w:szCs w:val="21"/>
              </w:rPr>
            </w:pPr>
            <w:r>
              <w:rPr>
                <w:rFonts w:hint="eastAsia" w:cs="Times New Roman"/>
                <w:color w:val="auto"/>
                <w:sz w:val="21"/>
                <w:szCs w:val="21"/>
                <w:lang w:val="en-US" w:eastAsia="zh-CN"/>
              </w:rPr>
              <w:t>是</w:t>
            </w:r>
          </w:p>
        </w:tc>
        <w:tc>
          <w:tcPr>
            <w:tcW w:w="508" w:type="pct"/>
            <w:noWrap w:val="0"/>
            <w:vAlign w:val="center"/>
          </w:tcPr>
          <w:p w14:paraId="60E6B18D">
            <w:pPr>
              <w:jc w:val="center"/>
              <w:rPr>
                <w:color w:val="auto"/>
                <w:sz w:val="21"/>
                <w:szCs w:val="21"/>
              </w:rPr>
            </w:pPr>
            <w:r>
              <w:rPr>
                <w:rFonts w:hint="eastAsia"/>
                <w:color w:val="auto"/>
                <w:sz w:val="21"/>
                <w:szCs w:val="21"/>
                <w:lang w:val="en-US" w:eastAsia="zh-CN"/>
              </w:rPr>
              <w:t>是</w:t>
            </w:r>
          </w:p>
        </w:tc>
        <w:tc>
          <w:tcPr>
            <w:tcW w:w="508" w:type="pct"/>
            <w:noWrap w:val="0"/>
            <w:vAlign w:val="center"/>
          </w:tcPr>
          <w:p w14:paraId="1082A1C9">
            <w:pPr>
              <w:bidi w:val="0"/>
              <w:jc w:val="center"/>
              <w:rPr>
                <w:color w:val="auto"/>
                <w:sz w:val="21"/>
                <w:szCs w:val="21"/>
              </w:rPr>
            </w:pPr>
            <w:r>
              <w:rPr>
                <w:rFonts w:hint="eastAsia" w:cs="Times New Roman"/>
                <w:color w:val="auto"/>
                <w:sz w:val="21"/>
                <w:szCs w:val="21"/>
                <w:lang w:val="en-US" w:eastAsia="zh-CN"/>
              </w:rPr>
              <w:t>是</w:t>
            </w:r>
          </w:p>
        </w:tc>
        <w:tc>
          <w:tcPr>
            <w:tcW w:w="508" w:type="pct"/>
            <w:noWrap w:val="0"/>
            <w:vAlign w:val="center"/>
          </w:tcPr>
          <w:p w14:paraId="27278911">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c>
          <w:tcPr>
            <w:tcW w:w="508" w:type="pct"/>
            <w:noWrap w:val="0"/>
            <w:vAlign w:val="center"/>
          </w:tcPr>
          <w:p w14:paraId="161BD79A">
            <w:pPr>
              <w:bidi w:val="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是</w:t>
            </w:r>
          </w:p>
        </w:tc>
        <w:tc>
          <w:tcPr>
            <w:tcW w:w="508" w:type="pct"/>
            <w:noWrap w:val="0"/>
            <w:vAlign w:val="center"/>
          </w:tcPr>
          <w:p w14:paraId="3D55A905">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r>
      <w:tr w14:paraId="536F5D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7" w:hRule="atLeast"/>
          <w:jc w:val="center"/>
        </w:trPr>
        <w:tc>
          <w:tcPr>
            <w:tcW w:w="379" w:type="pct"/>
            <w:vMerge w:val="restart"/>
            <w:noWrap w:val="0"/>
            <w:vAlign w:val="center"/>
          </w:tcPr>
          <w:p w14:paraId="70D3C991">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W3</w:t>
            </w:r>
          </w:p>
        </w:tc>
        <w:tc>
          <w:tcPr>
            <w:tcW w:w="701" w:type="pct"/>
            <w:vMerge w:val="restart"/>
            <w:noWrap w:val="0"/>
            <w:vAlign w:val="center"/>
          </w:tcPr>
          <w:p w14:paraId="4E0F58DC">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Cs w:val="21"/>
              </w:rPr>
              <w:t>濉溪县第二污水处理厂入王引河排污口下游500米</w:t>
            </w:r>
          </w:p>
        </w:tc>
        <w:tc>
          <w:tcPr>
            <w:tcW w:w="866" w:type="pct"/>
            <w:noWrap w:val="0"/>
            <w:vAlign w:val="center"/>
          </w:tcPr>
          <w:p w14:paraId="7EF10F6C">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2014.7.9</w:t>
            </w:r>
          </w:p>
        </w:tc>
        <w:tc>
          <w:tcPr>
            <w:tcW w:w="508" w:type="pct"/>
            <w:noWrap w:val="0"/>
            <w:vAlign w:val="center"/>
          </w:tcPr>
          <w:p w14:paraId="6D7E0354">
            <w:pPr>
              <w:jc w:val="center"/>
              <w:rPr>
                <w:rFonts w:hint="default" w:ascii="Times New Roman" w:hAnsi="Times New Roman" w:eastAsia="宋体" w:cs="Times New Roman"/>
                <w:color w:val="auto"/>
                <w:sz w:val="21"/>
                <w:szCs w:val="21"/>
              </w:rPr>
            </w:pPr>
            <w:r>
              <w:rPr>
                <w:color w:val="auto"/>
                <w:sz w:val="21"/>
                <w:szCs w:val="21"/>
              </w:rPr>
              <w:t>7.48</w:t>
            </w:r>
          </w:p>
        </w:tc>
        <w:tc>
          <w:tcPr>
            <w:tcW w:w="508" w:type="pct"/>
            <w:noWrap w:val="0"/>
            <w:vAlign w:val="center"/>
          </w:tcPr>
          <w:p w14:paraId="501D1E2F">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19</w:t>
            </w:r>
          </w:p>
        </w:tc>
        <w:tc>
          <w:tcPr>
            <w:tcW w:w="508" w:type="pct"/>
            <w:noWrap w:val="0"/>
            <w:vAlign w:val="center"/>
          </w:tcPr>
          <w:p w14:paraId="5BD182E8">
            <w:pPr>
              <w:jc w:val="center"/>
              <w:rPr>
                <w:rFonts w:hint="default" w:ascii="Times New Roman" w:hAnsi="Times New Roman" w:eastAsia="宋体" w:cs="Times New Roman"/>
                <w:color w:val="auto"/>
                <w:sz w:val="21"/>
                <w:szCs w:val="21"/>
                <w:lang w:val="en-US" w:eastAsia="zh-CN"/>
              </w:rPr>
            </w:pPr>
            <w:r>
              <w:rPr>
                <w:color w:val="auto"/>
                <w:sz w:val="21"/>
                <w:szCs w:val="21"/>
              </w:rPr>
              <w:t>3</w:t>
            </w:r>
            <w:r>
              <w:rPr>
                <w:rFonts w:hint="eastAsia"/>
                <w:color w:val="auto"/>
                <w:sz w:val="21"/>
                <w:szCs w:val="21"/>
                <w:lang w:val="en-US" w:eastAsia="zh-CN"/>
              </w:rPr>
              <w:t>.0</w:t>
            </w:r>
          </w:p>
        </w:tc>
        <w:tc>
          <w:tcPr>
            <w:tcW w:w="508" w:type="pct"/>
            <w:noWrap w:val="0"/>
            <w:vAlign w:val="center"/>
          </w:tcPr>
          <w:p w14:paraId="2E0A6E80">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7.2</w:t>
            </w:r>
          </w:p>
        </w:tc>
        <w:tc>
          <w:tcPr>
            <w:tcW w:w="508" w:type="pct"/>
            <w:noWrap w:val="0"/>
            <w:vAlign w:val="center"/>
          </w:tcPr>
          <w:p w14:paraId="6F199368">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rPr>
              <w:t>0.389</w:t>
            </w:r>
          </w:p>
        </w:tc>
        <w:tc>
          <w:tcPr>
            <w:tcW w:w="508" w:type="pct"/>
            <w:noWrap w:val="0"/>
            <w:vAlign w:val="center"/>
          </w:tcPr>
          <w:p w14:paraId="01BCC356">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0.16</w:t>
            </w:r>
          </w:p>
        </w:tc>
      </w:tr>
      <w:tr w14:paraId="269300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379" w:type="pct"/>
            <w:vMerge w:val="continue"/>
            <w:noWrap w:val="0"/>
            <w:vAlign w:val="center"/>
          </w:tcPr>
          <w:p w14:paraId="0D11C86A">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2917A1C5">
            <w:pPr>
              <w:bidi w:val="0"/>
              <w:jc w:val="center"/>
              <w:rPr>
                <w:rFonts w:hint="default" w:ascii="Times New Roman" w:hAnsi="Times New Roman" w:eastAsia="宋体" w:cs="Times New Roman"/>
                <w:color w:val="auto"/>
                <w:sz w:val="21"/>
                <w:szCs w:val="21"/>
              </w:rPr>
            </w:pPr>
          </w:p>
        </w:tc>
        <w:tc>
          <w:tcPr>
            <w:tcW w:w="866" w:type="pct"/>
            <w:noWrap w:val="0"/>
            <w:vAlign w:val="center"/>
          </w:tcPr>
          <w:p w14:paraId="2FDC6CD9">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2014.7.10</w:t>
            </w:r>
          </w:p>
        </w:tc>
        <w:tc>
          <w:tcPr>
            <w:tcW w:w="508" w:type="pct"/>
            <w:noWrap w:val="0"/>
            <w:vAlign w:val="center"/>
          </w:tcPr>
          <w:p w14:paraId="3457593D">
            <w:pPr>
              <w:jc w:val="center"/>
              <w:rPr>
                <w:rFonts w:hint="default" w:ascii="Times New Roman" w:hAnsi="Times New Roman" w:eastAsia="宋体" w:cs="Times New Roman"/>
                <w:color w:val="auto"/>
                <w:sz w:val="21"/>
                <w:szCs w:val="21"/>
              </w:rPr>
            </w:pPr>
            <w:r>
              <w:rPr>
                <w:color w:val="auto"/>
                <w:sz w:val="21"/>
                <w:szCs w:val="21"/>
              </w:rPr>
              <w:t>7.26</w:t>
            </w:r>
          </w:p>
        </w:tc>
        <w:tc>
          <w:tcPr>
            <w:tcW w:w="508" w:type="pct"/>
            <w:noWrap w:val="0"/>
            <w:vAlign w:val="center"/>
          </w:tcPr>
          <w:p w14:paraId="722DE26D">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19</w:t>
            </w:r>
          </w:p>
        </w:tc>
        <w:tc>
          <w:tcPr>
            <w:tcW w:w="508" w:type="pct"/>
            <w:noWrap w:val="0"/>
            <w:vAlign w:val="center"/>
          </w:tcPr>
          <w:p w14:paraId="0410E881">
            <w:pPr>
              <w:jc w:val="center"/>
              <w:rPr>
                <w:rFonts w:hint="default" w:ascii="Times New Roman" w:hAnsi="Times New Roman" w:eastAsia="宋体" w:cs="Times New Roman"/>
                <w:color w:val="auto"/>
                <w:sz w:val="21"/>
                <w:szCs w:val="21"/>
              </w:rPr>
            </w:pPr>
            <w:r>
              <w:rPr>
                <w:color w:val="auto"/>
                <w:sz w:val="21"/>
                <w:szCs w:val="21"/>
              </w:rPr>
              <w:t>3.1</w:t>
            </w:r>
          </w:p>
        </w:tc>
        <w:tc>
          <w:tcPr>
            <w:tcW w:w="508" w:type="pct"/>
            <w:noWrap w:val="0"/>
            <w:vAlign w:val="center"/>
          </w:tcPr>
          <w:p w14:paraId="174943CF">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7.4</w:t>
            </w:r>
          </w:p>
        </w:tc>
        <w:tc>
          <w:tcPr>
            <w:tcW w:w="508" w:type="pct"/>
            <w:noWrap w:val="0"/>
            <w:vAlign w:val="center"/>
          </w:tcPr>
          <w:p w14:paraId="195E9B66">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0.</w:t>
            </w:r>
            <w:r>
              <w:rPr>
                <w:rFonts w:hint="default" w:ascii="Times New Roman" w:hAnsi="Times New Roman" w:cs="Times New Roman"/>
                <w:color w:val="auto"/>
                <w:sz w:val="21"/>
                <w:szCs w:val="21"/>
                <w:lang w:val="en-US" w:eastAsia="zh-CN"/>
              </w:rPr>
              <w:t>432</w:t>
            </w:r>
          </w:p>
        </w:tc>
        <w:tc>
          <w:tcPr>
            <w:tcW w:w="508" w:type="pct"/>
            <w:noWrap w:val="0"/>
            <w:vAlign w:val="center"/>
          </w:tcPr>
          <w:p w14:paraId="6FA6C2C3">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0.17</w:t>
            </w:r>
          </w:p>
        </w:tc>
      </w:tr>
      <w:tr w14:paraId="174E2C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379" w:type="pct"/>
            <w:vMerge w:val="continue"/>
            <w:noWrap w:val="0"/>
            <w:vAlign w:val="center"/>
          </w:tcPr>
          <w:p w14:paraId="7A9DC629">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6F43E91D">
            <w:pPr>
              <w:bidi w:val="0"/>
              <w:jc w:val="center"/>
              <w:rPr>
                <w:rFonts w:hint="default" w:ascii="Times New Roman" w:hAnsi="Times New Roman" w:eastAsia="宋体" w:cs="Times New Roman"/>
                <w:color w:val="auto"/>
                <w:sz w:val="21"/>
                <w:szCs w:val="21"/>
              </w:rPr>
            </w:pPr>
          </w:p>
        </w:tc>
        <w:tc>
          <w:tcPr>
            <w:tcW w:w="866" w:type="pct"/>
            <w:noWrap w:val="0"/>
            <w:vAlign w:val="center"/>
          </w:tcPr>
          <w:p w14:paraId="13CA432F">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标准限值（</w:t>
            </w:r>
            <w:r>
              <w:rPr>
                <w:rFonts w:hint="eastAsia"/>
                <w:b w:val="0"/>
                <w:bCs w:val="0"/>
                <w:color w:val="auto"/>
                <w:sz w:val="21"/>
                <w:szCs w:val="21"/>
                <w:lang w:val="en-US" w:eastAsia="zh-CN"/>
              </w:rPr>
              <w:t>GB3838中IV类</w:t>
            </w:r>
            <w:r>
              <w:rPr>
                <w:rFonts w:hint="eastAsia" w:cs="Times New Roman"/>
                <w:color w:val="auto"/>
                <w:sz w:val="21"/>
                <w:szCs w:val="21"/>
                <w:lang w:val="en-US" w:eastAsia="zh-CN"/>
              </w:rPr>
              <w:t>）</w:t>
            </w:r>
          </w:p>
        </w:tc>
        <w:tc>
          <w:tcPr>
            <w:tcW w:w="508" w:type="pct"/>
            <w:noWrap w:val="0"/>
            <w:vAlign w:val="center"/>
          </w:tcPr>
          <w:p w14:paraId="4E89CFF4">
            <w:pPr>
              <w:bidi w:val="0"/>
              <w:jc w:val="center"/>
              <w:rPr>
                <w:color w:val="auto"/>
                <w:sz w:val="21"/>
                <w:szCs w:val="21"/>
              </w:rPr>
            </w:pPr>
            <w:r>
              <w:rPr>
                <w:rFonts w:hint="eastAsia" w:cs="Times New Roman"/>
                <w:color w:val="auto"/>
                <w:sz w:val="21"/>
                <w:szCs w:val="21"/>
                <w:lang w:val="en-US" w:eastAsia="zh-CN"/>
              </w:rPr>
              <w:t>6~9</w:t>
            </w:r>
          </w:p>
        </w:tc>
        <w:tc>
          <w:tcPr>
            <w:tcW w:w="508" w:type="pct"/>
            <w:noWrap w:val="0"/>
            <w:vAlign w:val="center"/>
          </w:tcPr>
          <w:p w14:paraId="19F6688F">
            <w:pPr>
              <w:jc w:val="center"/>
              <w:rPr>
                <w:rFonts w:hint="eastAsia" w:cs="Times New Roman"/>
                <w:color w:val="auto"/>
                <w:sz w:val="21"/>
                <w:szCs w:val="21"/>
                <w:lang w:val="en-US" w:eastAsia="zh-CN"/>
              </w:rPr>
            </w:pPr>
            <w:r>
              <w:rPr>
                <w:rFonts w:hint="eastAsia"/>
                <w:color w:val="auto"/>
                <w:sz w:val="21"/>
                <w:szCs w:val="21"/>
                <w:lang w:val="en-US" w:eastAsia="zh-CN"/>
              </w:rPr>
              <w:t>≤30</w:t>
            </w:r>
          </w:p>
        </w:tc>
        <w:tc>
          <w:tcPr>
            <w:tcW w:w="508" w:type="pct"/>
            <w:noWrap w:val="0"/>
            <w:vAlign w:val="center"/>
          </w:tcPr>
          <w:p w14:paraId="094BFE97">
            <w:pPr>
              <w:bidi w:val="0"/>
              <w:jc w:val="center"/>
              <w:rPr>
                <w:color w:val="auto"/>
                <w:sz w:val="21"/>
                <w:szCs w:val="21"/>
              </w:rPr>
            </w:pPr>
            <w:r>
              <w:rPr>
                <w:rFonts w:hint="eastAsia"/>
                <w:color w:val="auto"/>
                <w:sz w:val="21"/>
                <w:szCs w:val="21"/>
                <w:lang w:val="en-US" w:eastAsia="zh-CN"/>
              </w:rPr>
              <w:t>≤</w:t>
            </w:r>
            <w:r>
              <w:rPr>
                <w:rFonts w:hint="eastAsia" w:cs="Times New Roman"/>
                <w:color w:val="auto"/>
                <w:sz w:val="21"/>
                <w:szCs w:val="21"/>
                <w:lang w:val="en-US" w:eastAsia="zh-CN"/>
              </w:rPr>
              <w:t>6</w:t>
            </w:r>
          </w:p>
        </w:tc>
        <w:tc>
          <w:tcPr>
            <w:tcW w:w="508" w:type="pct"/>
            <w:noWrap w:val="0"/>
            <w:vAlign w:val="center"/>
          </w:tcPr>
          <w:p w14:paraId="65D21AE0">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≥3</w:t>
            </w:r>
          </w:p>
        </w:tc>
        <w:tc>
          <w:tcPr>
            <w:tcW w:w="508" w:type="pct"/>
            <w:noWrap w:val="0"/>
            <w:vAlign w:val="center"/>
          </w:tcPr>
          <w:p w14:paraId="7659B5E4">
            <w:pPr>
              <w:bidi w:val="0"/>
              <w:jc w:val="center"/>
              <w:rPr>
                <w:rFonts w:hint="default" w:ascii="Times New Roman" w:hAnsi="Times New Roman" w:cs="Times New Roman"/>
                <w:color w:val="auto"/>
                <w:sz w:val="21"/>
                <w:szCs w:val="21"/>
                <w:lang w:val="en-US"/>
              </w:rPr>
            </w:pPr>
            <w:r>
              <w:rPr>
                <w:rFonts w:hint="eastAsia"/>
                <w:color w:val="auto"/>
                <w:sz w:val="21"/>
                <w:szCs w:val="21"/>
                <w:lang w:val="en-US" w:eastAsia="zh-CN"/>
              </w:rPr>
              <w:t>≤1.5</w:t>
            </w:r>
          </w:p>
        </w:tc>
        <w:tc>
          <w:tcPr>
            <w:tcW w:w="508" w:type="pct"/>
            <w:noWrap w:val="0"/>
            <w:vAlign w:val="center"/>
          </w:tcPr>
          <w:p w14:paraId="4838F6A2">
            <w:pPr>
              <w:bidi w:val="0"/>
              <w:jc w:val="center"/>
              <w:rPr>
                <w:rFonts w:hint="eastAsia" w:cs="Times New Roman"/>
                <w:color w:val="auto"/>
                <w:sz w:val="21"/>
                <w:szCs w:val="21"/>
                <w:lang w:val="en-US" w:eastAsia="zh-CN"/>
              </w:rPr>
            </w:pPr>
            <w:r>
              <w:rPr>
                <w:rFonts w:hint="eastAsia"/>
                <w:color w:val="auto"/>
                <w:sz w:val="21"/>
                <w:szCs w:val="21"/>
                <w:lang w:val="en-US" w:eastAsia="zh-CN"/>
              </w:rPr>
              <w:t>≤0.3</w:t>
            </w:r>
          </w:p>
        </w:tc>
      </w:tr>
      <w:tr w14:paraId="45B27C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379" w:type="pct"/>
            <w:vMerge w:val="continue"/>
            <w:noWrap w:val="0"/>
            <w:vAlign w:val="center"/>
          </w:tcPr>
          <w:p w14:paraId="52752D0C">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206CD007">
            <w:pPr>
              <w:bidi w:val="0"/>
              <w:jc w:val="center"/>
              <w:rPr>
                <w:rFonts w:hint="default" w:ascii="Times New Roman" w:hAnsi="Times New Roman" w:eastAsia="宋体" w:cs="Times New Roman"/>
                <w:color w:val="auto"/>
                <w:sz w:val="21"/>
                <w:szCs w:val="21"/>
              </w:rPr>
            </w:pPr>
          </w:p>
        </w:tc>
        <w:tc>
          <w:tcPr>
            <w:tcW w:w="866" w:type="pct"/>
            <w:noWrap w:val="0"/>
            <w:vAlign w:val="center"/>
          </w:tcPr>
          <w:p w14:paraId="7C4752C0">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是否达标</w:t>
            </w:r>
          </w:p>
        </w:tc>
        <w:tc>
          <w:tcPr>
            <w:tcW w:w="508" w:type="pct"/>
            <w:noWrap w:val="0"/>
            <w:vAlign w:val="center"/>
          </w:tcPr>
          <w:p w14:paraId="46B67749">
            <w:pPr>
              <w:bidi w:val="0"/>
              <w:jc w:val="center"/>
              <w:rPr>
                <w:color w:val="auto"/>
                <w:sz w:val="21"/>
                <w:szCs w:val="21"/>
              </w:rPr>
            </w:pPr>
            <w:r>
              <w:rPr>
                <w:rFonts w:hint="eastAsia" w:cs="Times New Roman"/>
                <w:color w:val="auto"/>
                <w:sz w:val="21"/>
                <w:szCs w:val="21"/>
                <w:lang w:val="en-US" w:eastAsia="zh-CN"/>
              </w:rPr>
              <w:t>是</w:t>
            </w:r>
          </w:p>
        </w:tc>
        <w:tc>
          <w:tcPr>
            <w:tcW w:w="508" w:type="pct"/>
            <w:noWrap w:val="0"/>
            <w:vAlign w:val="center"/>
          </w:tcPr>
          <w:p w14:paraId="0DC0E5A9">
            <w:pPr>
              <w:jc w:val="center"/>
              <w:rPr>
                <w:rFonts w:hint="eastAsia" w:cs="Times New Roman"/>
                <w:color w:val="auto"/>
                <w:sz w:val="21"/>
                <w:szCs w:val="21"/>
                <w:lang w:val="en-US" w:eastAsia="zh-CN"/>
              </w:rPr>
            </w:pPr>
            <w:r>
              <w:rPr>
                <w:rFonts w:hint="eastAsia"/>
                <w:color w:val="auto"/>
                <w:sz w:val="21"/>
                <w:szCs w:val="21"/>
                <w:lang w:val="en-US" w:eastAsia="zh-CN"/>
              </w:rPr>
              <w:t>是</w:t>
            </w:r>
          </w:p>
        </w:tc>
        <w:tc>
          <w:tcPr>
            <w:tcW w:w="508" w:type="pct"/>
            <w:noWrap w:val="0"/>
            <w:vAlign w:val="center"/>
          </w:tcPr>
          <w:p w14:paraId="45AB05B3">
            <w:pPr>
              <w:bidi w:val="0"/>
              <w:jc w:val="center"/>
              <w:rPr>
                <w:color w:val="auto"/>
                <w:sz w:val="21"/>
                <w:szCs w:val="21"/>
              </w:rPr>
            </w:pPr>
            <w:r>
              <w:rPr>
                <w:rFonts w:hint="eastAsia" w:cs="Times New Roman"/>
                <w:color w:val="auto"/>
                <w:sz w:val="21"/>
                <w:szCs w:val="21"/>
                <w:lang w:val="en-US" w:eastAsia="zh-CN"/>
              </w:rPr>
              <w:t>是</w:t>
            </w:r>
          </w:p>
        </w:tc>
        <w:tc>
          <w:tcPr>
            <w:tcW w:w="508" w:type="pct"/>
            <w:noWrap w:val="0"/>
            <w:vAlign w:val="center"/>
          </w:tcPr>
          <w:p w14:paraId="67FEB022">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c>
          <w:tcPr>
            <w:tcW w:w="508" w:type="pct"/>
            <w:noWrap w:val="0"/>
            <w:vAlign w:val="center"/>
          </w:tcPr>
          <w:p w14:paraId="275061B3">
            <w:pPr>
              <w:bidi w:val="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是</w:t>
            </w:r>
          </w:p>
        </w:tc>
        <w:tc>
          <w:tcPr>
            <w:tcW w:w="508" w:type="pct"/>
            <w:noWrap w:val="0"/>
            <w:vAlign w:val="center"/>
          </w:tcPr>
          <w:p w14:paraId="3096DB8A">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r>
      <w:tr w14:paraId="3DB187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379" w:type="pct"/>
            <w:vMerge w:val="restart"/>
            <w:noWrap w:val="0"/>
            <w:vAlign w:val="center"/>
          </w:tcPr>
          <w:p w14:paraId="300BE27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W4</w:t>
            </w:r>
          </w:p>
        </w:tc>
        <w:tc>
          <w:tcPr>
            <w:tcW w:w="701" w:type="pct"/>
            <w:vMerge w:val="restart"/>
            <w:noWrap w:val="0"/>
            <w:vAlign w:val="center"/>
          </w:tcPr>
          <w:p w14:paraId="4CDFAA51">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Cs w:val="21"/>
              </w:rPr>
              <w:t>濉溪县第二污水处理厂入王引河排污口下游1000米</w:t>
            </w:r>
          </w:p>
        </w:tc>
        <w:tc>
          <w:tcPr>
            <w:tcW w:w="866" w:type="pct"/>
            <w:noWrap w:val="0"/>
            <w:vAlign w:val="center"/>
          </w:tcPr>
          <w:p w14:paraId="3882E63B">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2014.7.9</w:t>
            </w:r>
          </w:p>
        </w:tc>
        <w:tc>
          <w:tcPr>
            <w:tcW w:w="508" w:type="pct"/>
            <w:noWrap w:val="0"/>
            <w:vAlign w:val="center"/>
          </w:tcPr>
          <w:p w14:paraId="464BC4AA">
            <w:pPr>
              <w:jc w:val="center"/>
              <w:rPr>
                <w:rFonts w:hint="default" w:ascii="Times New Roman" w:hAnsi="Times New Roman" w:eastAsia="宋体" w:cs="Times New Roman"/>
                <w:color w:val="auto"/>
                <w:sz w:val="21"/>
                <w:szCs w:val="21"/>
              </w:rPr>
            </w:pPr>
            <w:r>
              <w:rPr>
                <w:color w:val="auto"/>
                <w:sz w:val="21"/>
                <w:szCs w:val="21"/>
              </w:rPr>
              <w:t>7.34</w:t>
            </w:r>
          </w:p>
        </w:tc>
        <w:tc>
          <w:tcPr>
            <w:tcW w:w="508" w:type="pct"/>
            <w:noWrap w:val="0"/>
            <w:vAlign w:val="center"/>
          </w:tcPr>
          <w:p w14:paraId="4FF90CA7">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16</w:t>
            </w:r>
          </w:p>
        </w:tc>
        <w:tc>
          <w:tcPr>
            <w:tcW w:w="508" w:type="pct"/>
            <w:noWrap w:val="0"/>
            <w:vAlign w:val="center"/>
          </w:tcPr>
          <w:p w14:paraId="7EF35F7E">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2.6</w:t>
            </w:r>
          </w:p>
        </w:tc>
        <w:tc>
          <w:tcPr>
            <w:tcW w:w="508" w:type="pct"/>
            <w:noWrap w:val="0"/>
            <w:vAlign w:val="center"/>
          </w:tcPr>
          <w:p w14:paraId="5C131C04">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7.8</w:t>
            </w:r>
          </w:p>
        </w:tc>
        <w:tc>
          <w:tcPr>
            <w:tcW w:w="508" w:type="pct"/>
            <w:noWrap w:val="0"/>
            <w:vAlign w:val="center"/>
          </w:tcPr>
          <w:p w14:paraId="47E20D7A">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rPr>
              <w:t>0.283</w:t>
            </w:r>
          </w:p>
        </w:tc>
        <w:tc>
          <w:tcPr>
            <w:tcW w:w="508" w:type="pct"/>
            <w:noWrap w:val="0"/>
            <w:vAlign w:val="center"/>
          </w:tcPr>
          <w:p w14:paraId="71364319">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0.14</w:t>
            </w:r>
          </w:p>
        </w:tc>
      </w:tr>
      <w:tr w14:paraId="32DB27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7" w:hRule="atLeast"/>
          <w:jc w:val="center"/>
        </w:trPr>
        <w:tc>
          <w:tcPr>
            <w:tcW w:w="379" w:type="pct"/>
            <w:vMerge w:val="continue"/>
            <w:noWrap w:val="0"/>
            <w:vAlign w:val="center"/>
          </w:tcPr>
          <w:p w14:paraId="51C09E95">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21961354">
            <w:pPr>
              <w:bidi w:val="0"/>
              <w:jc w:val="center"/>
              <w:rPr>
                <w:rFonts w:hint="default" w:ascii="Times New Roman" w:hAnsi="Times New Roman" w:eastAsia="宋体" w:cs="Times New Roman"/>
                <w:color w:val="auto"/>
                <w:sz w:val="21"/>
                <w:szCs w:val="21"/>
              </w:rPr>
            </w:pPr>
          </w:p>
        </w:tc>
        <w:tc>
          <w:tcPr>
            <w:tcW w:w="866" w:type="pct"/>
            <w:noWrap w:val="0"/>
            <w:vAlign w:val="center"/>
          </w:tcPr>
          <w:p w14:paraId="6C46EE99">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2014.7.10</w:t>
            </w:r>
          </w:p>
        </w:tc>
        <w:tc>
          <w:tcPr>
            <w:tcW w:w="508" w:type="pct"/>
            <w:noWrap w:val="0"/>
            <w:vAlign w:val="center"/>
          </w:tcPr>
          <w:p w14:paraId="06BD9363">
            <w:pPr>
              <w:jc w:val="center"/>
              <w:rPr>
                <w:rFonts w:hint="default" w:ascii="Times New Roman" w:hAnsi="Times New Roman" w:eastAsia="宋体" w:cs="Times New Roman"/>
                <w:color w:val="auto"/>
                <w:sz w:val="21"/>
                <w:szCs w:val="21"/>
              </w:rPr>
            </w:pPr>
            <w:r>
              <w:rPr>
                <w:color w:val="auto"/>
                <w:sz w:val="21"/>
                <w:szCs w:val="21"/>
              </w:rPr>
              <w:t>7.45</w:t>
            </w:r>
          </w:p>
        </w:tc>
        <w:tc>
          <w:tcPr>
            <w:tcW w:w="508" w:type="pct"/>
            <w:noWrap w:val="0"/>
            <w:vAlign w:val="center"/>
          </w:tcPr>
          <w:p w14:paraId="570625E4">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18</w:t>
            </w:r>
          </w:p>
        </w:tc>
        <w:tc>
          <w:tcPr>
            <w:tcW w:w="508" w:type="pct"/>
            <w:noWrap w:val="0"/>
            <w:vAlign w:val="center"/>
          </w:tcPr>
          <w:p w14:paraId="0904EE45">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2.9</w:t>
            </w:r>
          </w:p>
        </w:tc>
        <w:tc>
          <w:tcPr>
            <w:tcW w:w="508" w:type="pct"/>
            <w:noWrap w:val="0"/>
            <w:vAlign w:val="center"/>
          </w:tcPr>
          <w:p w14:paraId="6F02216E">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7.8</w:t>
            </w:r>
          </w:p>
        </w:tc>
        <w:tc>
          <w:tcPr>
            <w:tcW w:w="508" w:type="pct"/>
            <w:noWrap w:val="0"/>
            <w:vAlign w:val="center"/>
          </w:tcPr>
          <w:p w14:paraId="57EB1849">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rPr>
              <w:t>0.394</w:t>
            </w:r>
          </w:p>
        </w:tc>
        <w:tc>
          <w:tcPr>
            <w:tcW w:w="508" w:type="pct"/>
            <w:noWrap w:val="0"/>
            <w:vAlign w:val="center"/>
          </w:tcPr>
          <w:p w14:paraId="4EA37F49">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0.16</w:t>
            </w:r>
          </w:p>
        </w:tc>
      </w:tr>
      <w:tr w14:paraId="601B02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7" w:hRule="atLeast"/>
          <w:jc w:val="center"/>
        </w:trPr>
        <w:tc>
          <w:tcPr>
            <w:tcW w:w="379" w:type="pct"/>
            <w:vMerge w:val="continue"/>
            <w:noWrap w:val="0"/>
            <w:vAlign w:val="center"/>
          </w:tcPr>
          <w:p w14:paraId="660400B2">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4024A45D">
            <w:pPr>
              <w:bidi w:val="0"/>
              <w:jc w:val="center"/>
              <w:rPr>
                <w:rFonts w:hint="default" w:ascii="Times New Roman" w:hAnsi="Times New Roman" w:eastAsia="宋体" w:cs="Times New Roman"/>
                <w:color w:val="auto"/>
                <w:sz w:val="21"/>
                <w:szCs w:val="21"/>
              </w:rPr>
            </w:pPr>
          </w:p>
        </w:tc>
        <w:tc>
          <w:tcPr>
            <w:tcW w:w="866" w:type="pct"/>
            <w:noWrap w:val="0"/>
            <w:vAlign w:val="center"/>
          </w:tcPr>
          <w:p w14:paraId="45187217">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标准限值（</w:t>
            </w:r>
            <w:r>
              <w:rPr>
                <w:rFonts w:hint="eastAsia"/>
                <w:b w:val="0"/>
                <w:bCs w:val="0"/>
                <w:color w:val="auto"/>
                <w:sz w:val="21"/>
                <w:szCs w:val="21"/>
                <w:lang w:val="en-US" w:eastAsia="zh-CN"/>
              </w:rPr>
              <w:t>GB3838中IV类</w:t>
            </w:r>
            <w:r>
              <w:rPr>
                <w:rFonts w:hint="eastAsia" w:cs="Times New Roman"/>
                <w:color w:val="auto"/>
                <w:sz w:val="21"/>
                <w:szCs w:val="21"/>
                <w:lang w:val="en-US" w:eastAsia="zh-CN"/>
              </w:rPr>
              <w:t>）</w:t>
            </w:r>
          </w:p>
        </w:tc>
        <w:tc>
          <w:tcPr>
            <w:tcW w:w="508" w:type="pct"/>
            <w:noWrap w:val="0"/>
            <w:vAlign w:val="center"/>
          </w:tcPr>
          <w:p w14:paraId="5541066C">
            <w:pPr>
              <w:bidi w:val="0"/>
              <w:jc w:val="center"/>
              <w:rPr>
                <w:color w:val="auto"/>
                <w:sz w:val="21"/>
                <w:szCs w:val="21"/>
              </w:rPr>
            </w:pPr>
            <w:r>
              <w:rPr>
                <w:rFonts w:hint="eastAsia" w:cs="Times New Roman"/>
                <w:color w:val="auto"/>
                <w:sz w:val="21"/>
                <w:szCs w:val="21"/>
                <w:lang w:val="en-US" w:eastAsia="zh-CN"/>
              </w:rPr>
              <w:t>6~9</w:t>
            </w:r>
          </w:p>
        </w:tc>
        <w:tc>
          <w:tcPr>
            <w:tcW w:w="508" w:type="pct"/>
            <w:noWrap w:val="0"/>
            <w:vAlign w:val="center"/>
          </w:tcPr>
          <w:p w14:paraId="76DAB15E">
            <w:pPr>
              <w:jc w:val="center"/>
              <w:rPr>
                <w:rFonts w:hint="eastAsia" w:cs="Times New Roman"/>
                <w:color w:val="auto"/>
                <w:sz w:val="21"/>
                <w:szCs w:val="21"/>
                <w:lang w:val="en-US" w:eastAsia="zh-CN"/>
              </w:rPr>
            </w:pPr>
            <w:r>
              <w:rPr>
                <w:rFonts w:hint="eastAsia"/>
                <w:color w:val="auto"/>
                <w:sz w:val="21"/>
                <w:szCs w:val="21"/>
                <w:lang w:val="en-US" w:eastAsia="zh-CN"/>
              </w:rPr>
              <w:t>≤30</w:t>
            </w:r>
          </w:p>
        </w:tc>
        <w:tc>
          <w:tcPr>
            <w:tcW w:w="508" w:type="pct"/>
            <w:noWrap w:val="0"/>
            <w:vAlign w:val="center"/>
          </w:tcPr>
          <w:p w14:paraId="3BB85E91">
            <w:pPr>
              <w:bidi w:val="0"/>
              <w:jc w:val="center"/>
              <w:rPr>
                <w:rFonts w:hint="eastAsia" w:cs="Times New Roman"/>
                <w:color w:val="auto"/>
                <w:sz w:val="21"/>
                <w:szCs w:val="21"/>
                <w:lang w:val="en-US" w:eastAsia="zh-CN"/>
              </w:rPr>
            </w:pPr>
            <w:r>
              <w:rPr>
                <w:rFonts w:hint="eastAsia"/>
                <w:color w:val="auto"/>
                <w:sz w:val="21"/>
                <w:szCs w:val="21"/>
                <w:lang w:val="en-US" w:eastAsia="zh-CN"/>
              </w:rPr>
              <w:t>≤</w:t>
            </w:r>
            <w:r>
              <w:rPr>
                <w:rFonts w:hint="eastAsia" w:cs="Times New Roman"/>
                <w:color w:val="auto"/>
                <w:sz w:val="21"/>
                <w:szCs w:val="21"/>
                <w:lang w:val="en-US" w:eastAsia="zh-CN"/>
              </w:rPr>
              <w:t>6</w:t>
            </w:r>
          </w:p>
        </w:tc>
        <w:tc>
          <w:tcPr>
            <w:tcW w:w="508" w:type="pct"/>
            <w:noWrap w:val="0"/>
            <w:vAlign w:val="center"/>
          </w:tcPr>
          <w:p w14:paraId="18515623">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≥3</w:t>
            </w:r>
          </w:p>
        </w:tc>
        <w:tc>
          <w:tcPr>
            <w:tcW w:w="508" w:type="pct"/>
            <w:noWrap w:val="0"/>
            <w:vAlign w:val="center"/>
          </w:tcPr>
          <w:p w14:paraId="3A5669E2">
            <w:pPr>
              <w:bidi w:val="0"/>
              <w:jc w:val="center"/>
              <w:rPr>
                <w:rFonts w:hint="default" w:ascii="Times New Roman" w:hAnsi="Times New Roman" w:cs="Times New Roman"/>
                <w:color w:val="auto"/>
                <w:sz w:val="21"/>
                <w:szCs w:val="21"/>
              </w:rPr>
            </w:pPr>
            <w:r>
              <w:rPr>
                <w:rFonts w:hint="eastAsia"/>
                <w:color w:val="auto"/>
                <w:sz w:val="21"/>
                <w:szCs w:val="21"/>
                <w:lang w:val="en-US" w:eastAsia="zh-CN"/>
              </w:rPr>
              <w:t>≤1.5</w:t>
            </w:r>
          </w:p>
        </w:tc>
        <w:tc>
          <w:tcPr>
            <w:tcW w:w="508" w:type="pct"/>
            <w:noWrap w:val="0"/>
            <w:vAlign w:val="center"/>
          </w:tcPr>
          <w:p w14:paraId="25DCD889">
            <w:pPr>
              <w:bidi w:val="0"/>
              <w:jc w:val="center"/>
              <w:rPr>
                <w:rFonts w:hint="eastAsia" w:cs="Times New Roman"/>
                <w:color w:val="auto"/>
                <w:sz w:val="21"/>
                <w:szCs w:val="21"/>
                <w:lang w:val="en-US" w:eastAsia="zh-CN"/>
              </w:rPr>
            </w:pPr>
            <w:r>
              <w:rPr>
                <w:rFonts w:hint="eastAsia"/>
                <w:color w:val="auto"/>
                <w:sz w:val="21"/>
                <w:szCs w:val="21"/>
                <w:lang w:val="en-US" w:eastAsia="zh-CN"/>
              </w:rPr>
              <w:t>≤0.3</w:t>
            </w:r>
          </w:p>
        </w:tc>
      </w:tr>
      <w:tr w14:paraId="1039B2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7" w:hRule="atLeast"/>
          <w:jc w:val="center"/>
        </w:trPr>
        <w:tc>
          <w:tcPr>
            <w:tcW w:w="379" w:type="pct"/>
            <w:vMerge w:val="continue"/>
            <w:noWrap w:val="0"/>
            <w:vAlign w:val="center"/>
          </w:tcPr>
          <w:p w14:paraId="2BE09CC6">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5271118F">
            <w:pPr>
              <w:bidi w:val="0"/>
              <w:jc w:val="center"/>
              <w:rPr>
                <w:rFonts w:hint="default" w:ascii="Times New Roman" w:hAnsi="Times New Roman" w:eastAsia="宋体" w:cs="Times New Roman"/>
                <w:color w:val="auto"/>
                <w:sz w:val="21"/>
                <w:szCs w:val="21"/>
              </w:rPr>
            </w:pPr>
          </w:p>
        </w:tc>
        <w:tc>
          <w:tcPr>
            <w:tcW w:w="866" w:type="pct"/>
            <w:noWrap w:val="0"/>
            <w:vAlign w:val="center"/>
          </w:tcPr>
          <w:p w14:paraId="4DDABF64">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是否达标</w:t>
            </w:r>
          </w:p>
        </w:tc>
        <w:tc>
          <w:tcPr>
            <w:tcW w:w="508" w:type="pct"/>
            <w:noWrap w:val="0"/>
            <w:vAlign w:val="center"/>
          </w:tcPr>
          <w:p w14:paraId="2E4795A9">
            <w:pPr>
              <w:bidi w:val="0"/>
              <w:jc w:val="center"/>
              <w:rPr>
                <w:color w:val="auto"/>
                <w:sz w:val="21"/>
                <w:szCs w:val="21"/>
              </w:rPr>
            </w:pPr>
            <w:r>
              <w:rPr>
                <w:rFonts w:hint="eastAsia" w:cs="Times New Roman"/>
                <w:color w:val="auto"/>
                <w:sz w:val="21"/>
                <w:szCs w:val="21"/>
                <w:lang w:val="en-US" w:eastAsia="zh-CN"/>
              </w:rPr>
              <w:t>是</w:t>
            </w:r>
          </w:p>
        </w:tc>
        <w:tc>
          <w:tcPr>
            <w:tcW w:w="508" w:type="pct"/>
            <w:noWrap w:val="0"/>
            <w:vAlign w:val="center"/>
          </w:tcPr>
          <w:p w14:paraId="6A588BFD">
            <w:pPr>
              <w:jc w:val="center"/>
              <w:rPr>
                <w:rFonts w:hint="eastAsia" w:cs="Times New Roman"/>
                <w:color w:val="auto"/>
                <w:sz w:val="21"/>
                <w:szCs w:val="21"/>
                <w:lang w:val="en-US" w:eastAsia="zh-CN"/>
              </w:rPr>
            </w:pPr>
            <w:r>
              <w:rPr>
                <w:rFonts w:hint="eastAsia"/>
                <w:color w:val="auto"/>
                <w:sz w:val="21"/>
                <w:szCs w:val="21"/>
                <w:lang w:val="en-US" w:eastAsia="zh-CN"/>
              </w:rPr>
              <w:t>是</w:t>
            </w:r>
          </w:p>
        </w:tc>
        <w:tc>
          <w:tcPr>
            <w:tcW w:w="508" w:type="pct"/>
            <w:noWrap w:val="0"/>
            <w:vAlign w:val="center"/>
          </w:tcPr>
          <w:p w14:paraId="6BB5E7E6">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c>
          <w:tcPr>
            <w:tcW w:w="508" w:type="pct"/>
            <w:noWrap w:val="0"/>
            <w:vAlign w:val="center"/>
          </w:tcPr>
          <w:p w14:paraId="16470C79">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c>
          <w:tcPr>
            <w:tcW w:w="508" w:type="pct"/>
            <w:noWrap w:val="0"/>
            <w:vAlign w:val="center"/>
          </w:tcPr>
          <w:p w14:paraId="03CABBA7">
            <w:pPr>
              <w:bidi w:val="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是</w:t>
            </w:r>
          </w:p>
        </w:tc>
        <w:tc>
          <w:tcPr>
            <w:tcW w:w="508" w:type="pct"/>
            <w:noWrap w:val="0"/>
            <w:vAlign w:val="center"/>
          </w:tcPr>
          <w:p w14:paraId="31DF4964">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r>
      <w:tr w14:paraId="5E4093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379" w:type="pct"/>
            <w:vMerge w:val="restart"/>
            <w:noWrap w:val="0"/>
            <w:vAlign w:val="center"/>
          </w:tcPr>
          <w:p w14:paraId="1519E41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W5</w:t>
            </w:r>
          </w:p>
        </w:tc>
        <w:tc>
          <w:tcPr>
            <w:tcW w:w="701" w:type="pct"/>
            <w:vMerge w:val="restart"/>
            <w:noWrap w:val="0"/>
            <w:vAlign w:val="center"/>
          </w:tcPr>
          <w:p w14:paraId="18D70CF3">
            <w:pPr>
              <w:pBdr>
                <w:top w:val="none" w:color="auto" w:sz="0" w:space="0"/>
                <w:left w:val="none" w:color="auto" w:sz="0" w:space="0"/>
                <w:bottom w:val="none" w:color="auto" w:sz="0" w:space="0"/>
                <w:right w:val="none" w:color="auto" w:sz="0" w:space="0"/>
                <w:between w:val="none" w:color="auto" w:sz="0" w:space="0"/>
              </w:pBd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Cs w:val="21"/>
              </w:rPr>
              <w:t>濉溪县第二污水处理厂入王引河排污口下游1500米</w:t>
            </w:r>
          </w:p>
        </w:tc>
        <w:tc>
          <w:tcPr>
            <w:tcW w:w="866" w:type="pct"/>
            <w:noWrap w:val="0"/>
            <w:vAlign w:val="center"/>
          </w:tcPr>
          <w:p w14:paraId="44BE36E1">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2014.7.9</w:t>
            </w:r>
          </w:p>
        </w:tc>
        <w:tc>
          <w:tcPr>
            <w:tcW w:w="508" w:type="pct"/>
            <w:noWrap w:val="0"/>
            <w:vAlign w:val="center"/>
          </w:tcPr>
          <w:p w14:paraId="315C68C2">
            <w:pPr>
              <w:jc w:val="center"/>
              <w:rPr>
                <w:rFonts w:hint="default" w:ascii="Times New Roman" w:hAnsi="Times New Roman" w:eastAsia="宋体" w:cs="Times New Roman"/>
                <w:color w:val="auto"/>
                <w:sz w:val="21"/>
                <w:szCs w:val="21"/>
              </w:rPr>
            </w:pPr>
            <w:r>
              <w:rPr>
                <w:color w:val="auto"/>
                <w:sz w:val="21"/>
                <w:szCs w:val="21"/>
              </w:rPr>
              <w:t>7.28</w:t>
            </w:r>
          </w:p>
        </w:tc>
        <w:tc>
          <w:tcPr>
            <w:tcW w:w="508" w:type="pct"/>
            <w:noWrap w:val="0"/>
            <w:vAlign w:val="center"/>
          </w:tcPr>
          <w:p w14:paraId="2EFC3C77">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19</w:t>
            </w:r>
          </w:p>
        </w:tc>
        <w:tc>
          <w:tcPr>
            <w:tcW w:w="508" w:type="pct"/>
            <w:noWrap w:val="0"/>
            <w:vAlign w:val="center"/>
          </w:tcPr>
          <w:p w14:paraId="3F44DC2C">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3.2</w:t>
            </w:r>
          </w:p>
        </w:tc>
        <w:tc>
          <w:tcPr>
            <w:tcW w:w="508" w:type="pct"/>
            <w:noWrap w:val="0"/>
            <w:vAlign w:val="center"/>
          </w:tcPr>
          <w:p w14:paraId="198E9FB5">
            <w:pPr>
              <w:jc w:val="center"/>
              <w:rPr>
                <w:rFonts w:hint="default" w:ascii="Times New Roman" w:hAnsi="Times New Roman" w:eastAsia="宋体" w:cs="Times New Roman"/>
                <w:color w:val="auto"/>
                <w:sz w:val="21"/>
                <w:szCs w:val="21"/>
              </w:rPr>
            </w:pPr>
            <w:r>
              <w:rPr>
                <w:color w:val="auto"/>
                <w:sz w:val="21"/>
                <w:szCs w:val="21"/>
              </w:rPr>
              <w:t>6.9</w:t>
            </w:r>
          </w:p>
        </w:tc>
        <w:tc>
          <w:tcPr>
            <w:tcW w:w="508" w:type="pct"/>
            <w:noWrap w:val="0"/>
            <w:vAlign w:val="center"/>
          </w:tcPr>
          <w:p w14:paraId="33C5554F">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rPr>
              <w:t>0.461</w:t>
            </w:r>
          </w:p>
        </w:tc>
        <w:tc>
          <w:tcPr>
            <w:tcW w:w="508" w:type="pct"/>
            <w:noWrap w:val="0"/>
            <w:vAlign w:val="center"/>
          </w:tcPr>
          <w:p w14:paraId="30CF0C77">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0.18</w:t>
            </w:r>
          </w:p>
        </w:tc>
      </w:tr>
      <w:tr w14:paraId="78834A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379" w:type="pct"/>
            <w:vMerge w:val="continue"/>
            <w:noWrap w:val="0"/>
            <w:vAlign w:val="center"/>
          </w:tcPr>
          <w:p w14:paraId="6CCBFC12">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666C7150">
            <w:pPr>
              <w:bidi w:val="0"/>
              <w:jc w:val="center"/>
              <w:rPr>
                <w:rFonts w:hint="default" w:ascii="Times New Roman" w:hAnsi="Times New Roman" w:eastAsia="宋体" w:cs="Times New Roman"/>
                <w:color w:val="auto"/>
                <w:sz w:val="21"/>
                <w:szCs w:val="21"/>
              </w:rPr>
            </w:pPr>
          </w:p>
        </w:tc>
        <w:tc>
          <w:tcPr>
            <w:tcW w:w="866" w:type="pct"/>
            <w:noWrap w:val="0"/>
            <w:vAlign w:val="center"/>
          </w:tcPr>
          <w:p w14:paraId="714AD77F">
            <w:pPr>
              <w:bidi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2014.7.10</w:t>
            </w:r>
          </w:p>
        </w:tc>
        <w:tc>
          <w:tcPr>
            <w:tcW w:w="508" w:type="pct"/>
            <w:noWrap w:val="0"/>
            <w:vAlign w:val="center"/>
          </w:tcPr>
          <w:p w14:paraId="4D3962CE">
            <w:pPr>
              <w:jc w:val="center"/>
              <w:rPr>
                <w:rFonts w:hint="default" w:ascii="Times New Roman" w:hAnsi="Times New Roman" w:eastAsia="宋体" w:cs="Times New Roman"/>
                <w:color w:val="auto"/>
                <w:sz w:val="21"/>
                <w:szCs w:val="21"/>
              </w:rPr>
            </w:pPr>
            <w:r>
              <w:rPr>
                <w:color w:val="auto"/>
                <w:sz w:val="21"/>
                <w:szCs w:val="21"/>
              </w:rPr>
              <w:t>7.53</w:t>
            </w:r>
          </w:p>
        </w:tc>
        <w:tc>
          <w:tcPr>
            <w:tcW w:w="508" w:type="pct"/>
            <w:noWrap w:val="0"/>
            <w:vAlign w:val="center"/>
          </w:tcPr>
          <w:p w14:paraId="4E00A695">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17</w:t>
            </w:r>
          </w:p>
        </w:tc>
        <w:tc>
          <w:tcPr>
            <w:tcW w:w="508" w:type="pct"/>
            <w:noWrap w:val="0"/>
            <w:vAlign w:val="center"/>
          </w:tcPr>
          <w:p w14:paraId="55A81418">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2.7</w:t>
            </w:r>
          </w:p>
        </w:tc>
        <w:tc>
          <w:tcPr>
            <w:tcW w:w="508" w:type="pct"/>
            <w:noWrap w:val="0"/>
            <w:vAlign w:val="center"/>
          </w:tcPr>
          <w:p w14:paraId="07BC916D">
            <w:pPr>
              <w:jc w:val="center"/>
              <w:rPr>
                <w:rFonts w:hint="default" w:ascii="Times New Roman" w:hAnsi="Times New Roman" w:eastAsia="宋体" w:cs="Times New Roman"/>
                <w:color w:val="auto"/>
                <w:sz w:val="21"/>
                <w:szCs w:val="21"/>
              </w:rPr>
            </w:pPr>
            <w:r>
              <w:rPr>
                <w:color w:val="auto"/>
                <w:sz w:val="21"/>
                <w:szCs w:val="21"/>
              </w:rPr>
              <w:t>7.9</w:t>
            </w:r>
          </w:p>
        </w:tc>
        <w:tc>
          <w:tcPr>
            <w:tcW w:w="508" w:type="pct"/>
            <w:noWrap w:val="0"/>
            <w:vAlign w:val="center"/>
          </w:tcPr>
          <w:p w14:paraId="3D7C1351">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rPr>
              <w:t>0.375</w:t>
            </w:r>
          </w:p>
        </w:tc>
        <w:tc>
          <w:tcPr>
            <w:tcW w:w="508" w:type="pct"/>
            <w:noWrap w:val="0"/>
            <w:vAlign w:val="center"/>
          </w:tcPr>
          <w:p w14:paraId="027D5960">
            <w:pPr>
              <w:bidi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0.17</w:t>
            </w:r>
          </w:p>
        </w:tc>
      </w:tr>
      <w:tr w14:paraId="76C6DF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379" w:type="pct"/>
            <w:vMerge w:val="continue"/>
            <w:noWrap w:val="0"/>
            <w:vAlign w:val="center"/>
          </w:tcPr>
          <w:p w14:paraId="3D0333A5">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109F5857">
            <w:pPr>
              <w:bidi w:val="0"/>
              <w:jc w:val="center"/>
              <w:rPr>
                <w:rFonts w:hint="default" w:ascii="Times New Roman" w:hAnsi="Times New Roman" w:eastAsia="宋体" w:cs="Times New Roman"/>
                <w:color w:val="auto"/>
                <w:sz w:val="21"/>
                <w:szCs w:val="21"/>
              </w:rPr>
            </w:pPr>
          </w:p>
        </w:tc>
        <w:tc>
          <w:tcPr>
            <w:tcW w:w="1721" w:type="dxa"/>
            <w:noWrap w:val="0"/>
            <w:vAlign w:val="center"/>
          </w:tcPr>
          <w:p w14:paraId="466E5596">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标准限值（</w:t>
            </w:r>
            <w:r>
              <w:rPr>
                <w:rFonts w:hint="eastAsia"/>
                <w:b w:val="0"/>
                <w:bCs w:val="0"/>
                <w:color w:val="auto"/>
                <w:sz w:val="21"/>
                <w:szCs w:val="21"/>
                <w:lang w:val="en-US" w:eastAsia="zh-CN"/>
              </w:rPr>
              <w:t>GB3838中IV类</w:t>
            </w:r>
            <w:r>
              <w:rPr>
                <w:rFonts w:hint="eastAsia" w:cs="Times New Roman"/>
                <w:color w:val="auto"/>
                <w:sz w:val="21"/>
                <w:szCs w:val="21"/>
                <w:lang w:val="en-US" w:eastAsia="zh-CN"/>
              </w:rPr>
              <w:t>）</w:t>
            </w:r>
          </w:p>
        </w:tc>
        <w:tc>
          <w:tcPr>
            <w:tcW w:w="1010" w:type="dxa"/>
            <w:noWrap w:val="0"/>
            <w:vAlign w:val="center"/>
          </w:tcPr>
          <w:p w14:paraId="182F765B">
            <w:pPr>
              <w:bidi w:val="0"/>
              <w:jc w:val="center"/>
              <w:rPr>
                <w:color w:val="auto"/>
                <w:sz w:val="21"/>
                <w:szCs w:val="21"/>
              </w:rPr>
            </w:pPr>
            <w:r>
              <w:rPr>
                <w:rFonts w:hint="eastAsia" w:cs="Times New Roman"/>
                <w:color w:val="auto"/>
                <w:sz w:val="21"/>
                <w:szCs w:val="21"/>
                <w:lang w:val="en-US" w:eastAsia="zh-CN"/>
              </w:rPr>
              <w:t>6~9</w:t>
            </w:r>
          </w:p>
        </w:tc>
        <w:tc>
          <w:tcPr>
            <w:tcW w:w="1010" w:type="dxa"/>
            <w:noWrap w:val="0"/>
            <w:vAlign w:val="center"/>
          </w:tcPr>
          <w:p w14:paraId="22C0B6A6">
            <w:pPr>
              <w:jc w:val="center"/>
              <w:rPr>
                <w:rFonts w:hint="eastAsia" w:cs="Times New Roman"/>
                <w:color w:val="auto"/>
                <w:sz w:val="21"/>
                <w:szCs w:val="21"/>
                <w:lang w:val="en-US" w:eastAsia="zh-CN"/>
              </w:rPr>
            </w:pPr>
            <w:r>
              <w:rPr>
                <w:rFonts w:hint="eastAsia"/>
                <w:color w:val="auto"/>
                <w:sz w:val="21"/>
                <w:szCs w:val="21"/>
                <w:lang w:val="en-US" w:eastAsia="zh-CN"/>
              </w:rPr>
              <w:t>≤30</w:t>
            </w:r>
          </w:p>
        </w:tc>
        <w:tc>
          <w:tcPr>
            <w:tcW w:w="1010" w:type="dxa"/>
            <w:noWrap w:val="0"/>
            <w:vAlign w:val="center"/>
          </w:tcPr>
          <w:p w14:paraId="0BC8BF12">
            <w:pPr>
              <w:bidi w:val="0"/>
              <w:jc w:val="center"/>
              <w:rPr>
                <w:rFonts w:hint="eastAsia" w:cs="Times New Roman"/>
                <w:color w:val="auto"/>
                <w:sz w:val="21"/>
                <w:szCs w:val="21"/>
                <w:lang w:val="en-US" w:eastAsia="zh-CN"/>
              </w:rPr>
            </w:pPr>
            <w:r>
              <w:rPr>
                <w:rFonts w:hint="eastAsia"/>
                <w:color w:val="auto"/>
                <w:sz w:val="21"/>
                <w:szCs w:val="21"/>
                <w:lang w:val="en-US" w:eastAsia="zh-CN"/>
              </w:rPr>
              <w:t>≤</w:t>
            </w:r>
            <w:r>
              <w:rPr>
                <w:rFonts w:hint="eastAsia" w:cs="Times New Roman"/>
                <w:color w:val="auto"/>
                <w:sz w:val="21"/>
                <w:szCs w:val="21"/>
                <w:lang w:val="en-US" w:eastAsia="zh-CN"/>
              </w:rPr>
              <w:t>6</w:t>
            </w:r>
          </w:p>
        </w:tc>
        <w:tc>
          <w:tcPr>
            <w:tcW w:w="1010" w:type="dxa"/>
            <w:noWrap w:val="0"/>
            <w:vAlign w:val="center"/>
          </w:tcPr>
          <w:p w14:paraId="51F25B8D">
            <w:pPr>
              <w:bidi w:val="0"/>
              <w:jc w:val="center"/>
              <w:rPr>
                <w:color w:val="auto"/>
                <w:sz w:val="21"/>
                <w:szCs w:val="21"/>
              </w:rPr>
            </w:pPr>
            <w:r>
              <w:rPr>
                <w:rFonts w:hint="eastAsia" w:cs="Times New Roman"/>
                <w:color w:val="auto"/>
                <w:sz w:val="21"/>
                <w:szCs w:val="21"/>
                <w:lang w:val="en-US" w:eastAsia="zh-CN"/>
              </w:rPr>
              <w:t>≥3</w:t>
            </w:r>
          </w:p>
        </w:tc>
        <w:tc>
          <w:tcPr>
            <w:tcW w:w="1010" w:type="dxa"/>
            <w:noWrap w:val="0"/>
            <w:vAlign w:val="center"/>
          </w:tcPr>
          <w:p w14:paraId="0768AAF8">
            <w:pPr>
              <w:bidi w:val="0"/>
              <w:jc w:val="center"/>
              <w:rPr>
                <w:rFonts w:hint="default" w:ascii="Times New Roman" w:hAnsi="Times New Roman" w:cs="Times New Roman"/>
                <w:color w:val="auto"/>
                <w:sz w:val="21"/>
                <w:szCs w:val="21"/>
              </w:rPr>
            </w:pPr>
            <w:r>
              <w:rPr>
                <w:rFonts w:hint="eastAsia"/>
                <w:color w:val="auto"/>
                <w:sz w:val="21"/>
                <w:szCs w:val="21"/>
                <w:lang w:val="en-US" w:eastAsia="zh-CN"/>
              </w:rPr>
              <w:t>≤1.5</w:t>
            </w:r>
          </w:p>
        </w:tc>
        <w:tc>
          <w:tcPr>
            <w:tcW w:w="1010" w:type="dxa"/>
            <w:noWrap w:val="0"/>
            <w:vAlign w:val="center"/>
          </w:tcPr>
          <w:p w14:paraId="11CF0A40">
            <w:pPr>
              <w:bidi w:val="0"/>
              <w:jc w:val="center"/>
              <w:rPr>
                <w:rFonts w:hint="eastAsia" w:cs="Times New Roman"/>
                <w:color w:val="auto"/>
                <w:sz w:val="21"/>
                <w:szCs w:val="21"/>
                <w:lang w:val="en-US" w:eastAsia="zh-CN"/>
              </w:rPr>
            </w:pPr>
            <w:r>
              <w:rPr>
                <w:rFonts w:hint="eastAsia"/>
                <w:color w:val="auto"/>
                <w:sz w:val="21"/>
                <w:szCs w:val="21"/>
                <w:lang w:val="en-US" w:eastAsia="zh-CN"/>
              </w:rPr>
              <w:t>≤0.3</w:t>
            </w:r>
          </w:p>
        </w:tc>
      </w:tr>
      <w:tr w14:paraId="6A40F8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379" w:type="pct"/>
            <w:vMerge w:val="continue"/>
            <w:noWrap w:val="0"/>
            <w:vAlign w:val="center"/>
          </w:tcPr>
          <w:p w14:paraId="34563601">
            <w:pPr>
              <w:bidi w:val="0"/>
              <w:jc w:val="center"/>
              <w:rPr>
                <w:rFonts w:hint="default" w:ascii="Times New Roman" w:hAnsi="Times New Roman" w:eastAsia="宋体" w:cs="Times New Roman"/>
                <w:color w:val="auto"/>
                <w:sz w:val="21"/>
                <w:szCs w:val="21"/>
              </w:rPr>
            </w:pPr>
          </w:p>
        </w:tc>
        <w:tc>
          <w:tcPr>
            <w:tcW w:w="701" w:type="pct"/>
            <w:vMerge w:val="continue"/>
            <w:noWrap w:val="0"/>
            <w:vAlign w:val="center"/>
          </w:tcPr>
          <w:p w14:paraId="35F8AE75">
            <w:pPr>
              <w:bidi w:val="0"/>
              <w:jc w:val="center"/>
              <w:rPr>
                <w:rFonts w:hint="default" w:ascii="Times New Roman" w:hAnsi="Times New Roman" w:eastAsia="宋体" w:cs="Times New Roman"/>
                <w:color w:val="auto"/>
                <w:sz w:val="21"/>
                <w:szCs w:val="21"/>
              </w:rPr>
            </w:pPr>
          </w:p>
        </w:tc>
        <w:tc>
          <w:tcPr>
            <w:tcW w:w="1721" w:type="dxa"/>
            <w:noWrap w:val="0"/>
            <w:vAlign w:val="center"/>
          </w:tcPr>
          <w:p w14:paraId="12A27E64">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是否达标</w:t>
            </w:r>
          </w:p>
        </w:tc>
        <w:tc>
          <w:tcPr>
            <w:tcW w:w="1010" w:type="dxa"/>
            <w:noWrap w:val="0"/>
            <w:vAlign w:val="center"/>
          </w:tcPr>
          <w:p w14:paraId="6701839B">
            <w:pPr>
              <w:bidi w:val="0"/>
              <w:jc w:val="center"/>
              <w:rPr>
                <w:color w:val="auto"/>
                <w:sz w:val="21"/>
                <w:szCs w:val="21"/>
              </w:rPr>
            </w:pPr>
            <w:r>
              <w:rPr>
                <w:rFonts w:hint="eastAsia" w:cs="Times New Roman"/>
                <w:color w:val="auto"/>
                <w:sz w:val="21"/>
                <w:szCs w:val="21"/>
                <w:lang w:val="en-US" w:eastAsia="zh-CN"/>
              </w:rPr>
              <w:t>是</w:t>
            </w:r>
          </w:p>
        </w:tc>
        <w:tc>
          <w:tcPr>
            <w:tcW w:w="1010" w:type="dxa"/>
            <w:noWrap w:val="0"/>
            <w:vAlign w:val="center"/>
          </w:tcPr>
          <w:p w14:paraId="0C6D9D02">
            <w:pPr>
              <w:jc w:val="center"/>
              <w:rPr>
                <w:rFonts w:hint="eastAsia" w:cs="Times New Roman"/>
                <w:color w:val="auto"/>
                <w:sz w:val="21"/>
                <w:szCs w:val="21"/>
                <w:lang w:val="en-US" w:eastAsia="zh-CN"/>
              </w:rPr>
            </w:pPr>
            <w:r>
              <w:rPr>
                <w:rFonts w:hint="eastAsia"/>
                <w:color w:val="auto"/>
                <w:sz w:val="21"/>
                <w:szCs w:val="21"/>
                <w:lang w:val="en-US" w:eastAsia="zh-CN"/>
              </w:rPr>
              <w:t>是</w:t>
            </w:r>
          </w:p>
        </w:tc>
        <w:tc>
          <w:tcPr>
            <w:tcW w:w="1010" w:type="dxa"/>
            <w:noWrap w:val="0"/>
            <w:vAlign w:val="center"/>
          </w:tcPr>
          <w:p w14:paraId="33F749B0">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c>
          <w:tcPr>
            <w:tcW w:w="1010" w:type="dxa"/>
            <w:noWrap w:val="0"/>
            <w:vAlign w:val="center"/>
          </w:tcPr>
          <w:p w14:paraId="067A7FCC">
            <w:pPr>
              <w:bidi w:val="0"/>
              <w:jc w:val="center"/>
              <w:rPr>
                <w:color w:val="auto"/>
                <w:sz w:val="21"/>
                <w:szCs w:val="21"/>
              </w:rPr>
            </w:pPr>
            <w:r>
              <w:rPr>
                <w:rFonts w:hint="eastAsia" w:cs="Times New Roman"/>
                <w:color w:val="auto"/>
                <w:sz w:val="21"/>
                <w:szCs w:val="21"/>
                <w:lang w:val="en-US" w:eastAsia="zh-CN"/>
              </w:rPr>
              <w:t>是</w:t>
            </w:r>
          </w:p>
        </w:tc>
        <w:tc>
          <w:tcPr>
            <w:tcW w:w="1010" w:type="dxa"/>
            <w:noWrap w:val="0"/>
            <w:vAlign w:val="center"/>
          </w:tcPr>
          <w:p w14:paraId="6D6ABDD2">
            <w:pPr>
              <w:bidi w:val="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是</w:t>
            </w:r>
          </w:p>
        </w:tc>
        <w:tc>
          <w:tcPr>
            <w:tcW w:w="1010" w:type="dxa"/>
            <w:noWrap w:val="0"/>
            <w:vAlign w:val="center"/>
          </w:tcPr>
          <w:p w14:paraId="561D66C5">
            <w:pPr>
              <w:bidi w:val="0"/>
              <w:jc w:val="center"/>
              <w:rPr>
                <w:rFonts w:hint="eastAsia" w:cs="Times New Roman"/>
                <w:color w:val="auto"/>
                <w:sz w:val="21"/>
                <w:szCs w:val="21"/>
                <w:lang w:val="en-US" w:eastAsia="zh-CN"/>
              </w:rPr>
            </w:pPr>
            <w:r>
              <w:rPr>
                <w:rFonts w:hint="eastAsia" w:cs="Times New Roman"/>
                <w:color w:val="auto"/>
                <w:sz w:val="21"/>
                <w:szCs w:val="21"/>
                <w:lang w:val="en-US" w:eastAsia="zh-CN"/>
              </w:rPr>
              <w:t>是</w:t>
            </w:r>
          </w:p>
        </w:tc>
      </w:tr>
    </w:tbl>
    <w:p w14:paraId="4569C475">
      <w:pPr>
        <w:spacing w:line="360" w:lineRule="auto"/>
        <w:rPr>
          <w:color w:val="auto"/>
          <w:sz w:val="24"/>
          <w:szCs w:val="32"/>
        </w:rPr>
      </w:pPr>
    </w:p>
    <w:p w14:paraId="4E952A88">
      <w:pPr>
        <w:spacing w:line="360" w:lineRule="auto"/>
        <w:ind w:firstLine="480" w:firstLineChars="200"/>
        <w:rPr>
          <w:color w:val="auto"/>
          <w:sz w:val="24"/>
          <w:szCs w:val="32"/>
        </w:rPr>
      </w:pPr>
      <w:r>
        <w:rPr>
          <w:color w:val="auto"/>
          <w:sz w:val="24"/>
          <w:szCs w:val="32"/>
        </w:rPr>
        <w:t>由上表可知，环评阶段</w:t>
      </w:r>
      <w:r>
        <w:rPr>
          <w:rFonts w:hint="eastAsia"/>
          <w:color w:val="auto"/>
          <w:sz w:val="24"/>
          <w:szCs w:val="32"/>
          <w:lang w:val="en-US" w:eastAsia="zh-CN"/>
        </w:rPr>
        <w:t>巴河</w:t>
      </w:r>
      <w:r>
        <w:rPr>
          <w:color w:val="auto"/>
          <w:sz w:val="24"/>
          <w:szCs w:val="32"/>
        </w:rPr>
        <w:t>满足《地表水环境质量标准》（GB3838-2002）中Ⅴ类水域标准限值</w:t>
      </w:r>
      <w:r>
        <w:rPr>
          <w:rFonts w:hint="eastAsia"/>
          <w:color w:val="auto"/>
          <w:sz w:val="24"/>
          <w:szCs w:val="32"/>
          <w:lang w:eastAsia="zh-CN"/>
        </w:rPr>
        <w:t>；</w:t>
      </w:r>
      <w:r>
        <w:rPr>
          <w:rFonts w:hint="eastAsia"/>
          <w:color w:val="auto"/>
          <w:sz w:val="24"/>
          <w:szCs w:val="32"/>
          <w:lang w:val="en-US" w:eastAsia="zh-CN"/>
        </w:rPr>
        <w:t>王引河</w:t>
      </w:r>
      <w:r>
        <w:rPr>
          <w:color w:val="auto"/>
          <w:sz w:val="24"/>
          <w:szCs w:val="32"/>
        </w:rPr>
        <w:t>满足《地表水环境质量标准》（GB3838-2002）中</w:t>
      </w:r>
      <w:r>
        <w:rPr>
          <w:rFonts w:hint="eastAsia"/>
          <w:color w:val="auto"/>
          <w:sz w:val="24"/>
          <w:szCs w:val="32"/>
          <w:lang w:val="en-US" w:eastAsia="zh-CN"/>
        </w:rPr>
        <w:t>I</w:t>
      </w:r>
      <w:r>
        <w:rPr>
          <w:color w:val="auto"/>
          <w:sz w:val="24"/>
          <w:szCs w:val="32"/>
        </w:rPr>
        <w:t>Ⅴ类水域标准限值</w:t>
      </w:r>
      <w:r>
        <w:rPr>
          <w:rFonts w:hint="eastAsia"/>
          <w:color w:val="auto"/>
          <w:sz w:val="24"/>
          <w:szCs w:val="32"/>
          <w:lang w:eastAsia="zh-CN"/>
        </w:rPr>
        <w:t>。</w:t>
      </w:r>
    </w:p>
    <w:p w14:paraId="01F17D50">
      <w:pPr>
        <w:keepNext w:val="0"/>
        <w:keepLines w:val="0"/>
        <w:pageBreakBefore w:val="0"/>
        <w:widowControl w:val="0"/>
        <w:kinsoku/>
        <w:wordWrap/>
        <w:overflowPunct/>
        <w:topLinePunct w:val="0"/>
        <w:autoSpaceDE/>
        <w:autoSpaceDN/>
        <w:bidi w:val="0"/>
        <w:adjustRightInd/>
        <w:snapToGrid/>
        <w:spacing w:line="360" w:lineRule="auto"/>
        <w:textAlignment w:val="auto"/>
        <w:outlineLvl w:val="3"/>
        <w:rPr>
          <w:rFonts w:hint="default" w:eastAsia="宋体"/>
          <w:b/>
          <w:bCs/>
          <w:color w:val="auto"/>
          <w:sz w:val="24"/>
          <w:szCs w:val="32"/>
          <w:lang w:val="en-US" w:eastAsia="zh-CN"/>
        </w:rPr>
      </w:pPr>
      <w:bookmarkStart w:id="260" w:name="_Toc15301"/>
      <w:bookmarkStart w:id="261" w:name="_Toc31507"/>
      <w:bookmarkStart w:id="262" w:name="_Toc26733"/>
      <w:r>
        <w:rPr>
          <w:b/>
          <w:bCs/>
          <w:color w:val="auto"/>
          <w:sz w:val="24"/>
          <w:szCs w:val="32"/>
        </w:rPr>
        <w:t>2.</w:t>
      </w:r>
      <w:r>
        <w:rPr>
          <w:rFonts w:hint="eastAsia"/>
          <w:b/>
          <w:bCs/>
          <w:color w:val="auto"/>
          <w:sz w:val="24"/>
          <w:szCs w:val="32"/>
          <w:lang w:val="en-US" w:eastAsia="zh-CN"/>
        </w:rPr>
        <w:t>3</w:t>
      </w:r>
      <w:r>
        <w:rPr>
          <w:b/>
          <w:bCs/>
          <w:color w:val="auto"/>
          <w:sz w:val="24"/>
          <w:szCs w:val="32"/>
        </w:rPr>
        <w:t>.1.2</w:t>
      </w:r>
      <w:r>
        <w:rPr>
          <w:rFonts w:hint="eastAsia"/>
          <w:b/>
          <w:bCs/>
          <w:color w:val="auto"/>
          <w:sz w:val="24"/>
          <w:szCs w:val="32"/>
          <w:lang w:val="en-US" w:eastAsia="zh-CN"/>
        </w:rPr>
        <w:t>环评阶段</w:t>
      </w:r>
      <w:r>
        <w:rPr>
          <w:b/>
          <w:bCs/>
          <w:color w:val="auto"/>
          <w:sz w:val="24"/>
          <w:szCs w:val="32"/>
        </w:rPr>
        <w:t>大气环境</w:t>
      </w:r>
      <w:bookmarkEnd w:id="260"/>
      <w:bookmarkEnd w:id="261"/>
      <w:bookmarkEnd w:id="262"/>
      <w:r>
        <w:rPr>
          <w:rFonts w:hint="eastAsia"/>
          <w:b/>
          <w:bCs/>
          <w:color w:val="auto"/>
          <w:sz w:val="24"/>
          <w:szCs w:val="32"/>
          <w:lang w:val="en-US" w:eastAsia="zh-CN"/>
        </w:rPr>
        <w:t>质量监测情况</w:t>
      </w:r>
    </w:p>
    <w:p w14:paraId="580513B4">
      <w:p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1</w:t>
      </w:r>
      <w:r>
        <w:rPr>
          <w:rFonts w:hint="eastAsia"/>
          <w:color w:val="auto"/>
          <w:sz w:val="24"/>
          <w:szCs w:val="32"/>
          <w:lang w:eastAsia="zh-CN"/>
        </w:rPr>
        <w:t>）</w:t>
      </w:r>
      <w:r>
        <w:rPr>
          <w:rFonts w:hint="eastAsia"/>
          <w:color w:val="auto"/>
          <w:sz w:val="24"/>
          <w:szCs w:val="32"/>
          <w:lang w:val="en-US" w:eastAsia="zh-CN"/>
        </w:rPr>
        <w:t>监测项目及监测点位</w:t>
      </w:r>
    </w:p>
    <w:p w14:paraId="2B859217">
      <w:pPr>
        <w:spacing w:line="336" w:lineRule="auto"/>
        <w:ind w:firstLine="480" w:firstLineChars="200"/>
        <w:rPr>
          <w:color w:val="auto"/>
          <w:sz w:val="24"/>
          <w:szCs w:val="32"/>
        </w:rPr>
      </w:pPr>
      <w:r>
        <w:rPr>
          <w:color w:val="auto"/>
          <w:sz w:val="24"/>
          <w:szCs w:val="32"/>
        </w:rPr>
        <w:t>环评阶段大气环境监测项目：</w:t>
      </w:r>
      <w:r>
        <w:rPr>
          <w:color w:val="auto"/>
          <w:sz w:val="24"/>
          <w:szCs w:val="21"/>
        </w:rPr>
        <w:t>SO</w:t>
      </w:r>
      <w:r>
        <w:rPr>
          <w:color w:val="auto"/>
          <w:sz w:val="24"/>
          <w:szCs w:val="21"/>
          <w:vertAlign w:val="subscript"/>
        </w:rPr>
        <w:t>2</w:t>
      </w:r>
      <w:r>
        <w:rPr>
          <w:color w:val="auto"/>
          <w:sz w:val="24"/>
          <w:szCs w:val="21"/>
        </w:rPr>
        <w:t>、NO</w:t>
      </w:r>
      <w:r>
        <w:rPr>
          <w:color w:val="auto"/>
          <w:sz w:val="24"/>
          <w:szCs w:val="21"/>
          <w:vertAlign w:val="subscript"/>
        </w:rPr>
        <w:t>2</w:t>
      </w:r>
      <w:r>
        <w:rPr>
          <w:color w:val="auto"/>
          <w:sz w:val="24"/>
          <w:szCs w:val="21"/>
        </w:rPr>
        <w:t xml:space="preserve"> 、PM</w:t>
      </w:r>
      <w:r>
        <w:rPr>
          <w:color w:val="auto"/>
          <w:sz w:val="24"/>
          <w:szCs w:val="21"/>
          <w:vertAlign w:val="subscript"/>
        </w:rPr>
        <w:t>10</w:t>
      </w:r>
      <w:r>
        <w:rPr>
          <w:color w:val="auto"/>
          <w:sz w:val="24"/>
          <w:szCs w:val="21"/>
        </w:rPr>
        <w:t>、氟化物、HCl、二噁英类</w:t>
      </w:r>
      <w:r>
        <w:rPr>
          <w:color w:val="auto"/>
          <w:sz w:val="24"/>
          <w:szCs w:val="32"/>
        </w:rPr>
        <w:t>，</w:t>
      </w:r>
      <w:r>
        <w:rPr>
          <w:color w:val="auto"/>
          <w:sz w:val="24"/>
          <w:szCs w:val="21"/>
        </w:rPr>
        <w:t>SO</w:t>
      </w:r>
      <w:r>
        <w:rPr>
          <w:color w:val="auto"/>
          <w:sz w:val="24"/>
          <w:szCs w:val="21"/>
          <w:vertAlign w:val="subscript"/>
        </w:rPr>
        <w:t>2</w:t>
      </w:r>
      <w:r>
        <w:rPr>
          <w:color w:val="auto"/>
          <w:sz w:val="24"/>
          <w:szCs w:val="21"/>
        </w:rPr>
        <w:t>、NO</w:t>
      </w:r>
      <w:r>
        <w:rPr>
          <w:color w:val="auto"/>
          <w:sz w:val="24"/>
          <w:szCs w:val="21"/>
          <w:vertAlign w:val="subscript"/>
        </w:rPr>
        <w:t>2</w:t>
      </w:r>
      <w:r>
        <w:rPr>
          <w:color w:val="auto"/>
          <w:sz w:val="24"/>
          <w:szCs w:val="21"/>
        </w:rPr>
        <w:t xml:space="preserve"> 、PM</w:t>
      </w:r>
      <w:r>
        <w:rPr>
          <w:color w:val="auto"/>
          <w:sz w:val="24"/>
          <w:szCs w:val="21"/>
          <w:vertAlign w:val="subscript"/>
        </w:rPr>
        <w:t>10</w:t>
      </w:r>
      <w:r>
        <w:rPr>
          <w:color w:val="auto"/>
          <w:sz w:val="24"/>
          <w:szCs w:val="21"/>
        </w:rPr>
        <w:t>、氟化物、HCl</w:t>
      </w:r>
      <w:r>
        <w:rPr>
          <w:color w:val="auto"/>
          <w:sz w:val="24"/>
        </w:rPr>
        <w:t>监测时间为2014年7月5日～7月11日，连续采样7天</w:t>
      </w:r>
      <w:r>
        <w:rPr>
          <w:rFonts w:hint="eastAsia"/>
          <w:color w:val="auto"/>
          <w:sz w:val="24"/>
          <w:lang w:eastAsia="zh-CN"/>
        </w:rPr>
        <w:t>；</w:t>
      </w:r>
      <w:r>
        <w:rPr>
          <w:color w:val="auto"/>
          <w:sz w:val="24"/>
        </w:rPr>
        <w:t>二噁英类监测时间为2014年7月22日～7月23日，连续采样1天。</w:t>
      </w:r>
      <w:r>
        <w:rPr>
          <w:color w:val="auto"/>
          <w:sz w:val="24"/>
          <w:szCs w:val="32"/>
        </w:rPr>
        <w:t>监测布点见下表：</w:t>
      </w:r>
    </w:p>
    <w:p w14:paraId="18F9E4EB">
      <w:pPr>
        <w:spacing w:line="360" w:lineRule="auto"/>
        <w:jc w:val="center"/>
        <w:rPr>
          <w:b/>
          <w:bCs/>
          <w:color w:val="auto"/>
          <w:sz w:val="24"/>
          <w:szCs w:val="32"/>
        </w:rPr>
      </w:pPr>
      <w:r>
        <w:rPr>
          <w:b/>
          <w:bCs/>
          <w:color w:val="auto"/>
          <w:sz w:val="24"/>
          <w:szCs w:val="32"/>
        </w:rPr>
        <w:t>表2-</w:t>
      </w:r>
      <w:r>
        <w:rPr>
          <w:rFonts w:hint="eastAsia"/>
          <w:b/>
          <w:bCs/>
          <w:color w:val="auto"/>
          <w:sz w:val="24"/>
          <w:szCs w:val="32"/>
          <w:lang w:val="en-US" w:eastAsia="zh-CN"/>
        </w:rPr>
        <w:t>6</w:t>
      </w:r>
      <w:r>
        <w:rPr>
          <w:b/>
          <w:bCs/>
          <w:color w:val="auto"/>
          <w:sz w:val="24"/>
          <w:szCs w:val="32"/>
        </w:rPr>
        <w:t xml:space="preserve"> </w:t>
      </w:r>
      <w:r>
        <w:rPr>
          <w:rFonts w:hint="eastAsia"/>
          <w:b/>
          <w:bCs/>
          <w:color w:val="auto"/>
          <w:sz w:val="24"/>
          <w:szCs w:val="32"/>
          <w:lang w:val="en-US" w:eastAsia="zh-CN"/>
        </w:rPr>
        <w:t>大气环境监测点位一览表</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1009"/>
        <w:gridCol w:w="877"/>
        <w:gridCol w:w="2048"/>
        <w:gridCol w:w="1541"/>
        <w:gridCol w:w="1521"/>
        <w:gridCol w:w="1278"/>
        <w:gridCol w:w="1688"/>
      </w:tblGrid>
      <w:tr w14:paraId="3EE3F7D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506" w:type="pct"/>
            <w:tcBorders>
              <w:tl2br w:val="nil"/>
              <w:tr2bl w:val="nil"/>
            </w:tcBorders>
            <w:shd w:val="clear" w:color="auto" w:fill="auto"/>
            <w:noWrap w:val="0"/>
            <w:vAlign w:val="center"/>
          </w:tcPr>
          <w:p w14:paraId="45CA8DB8">
            <w:pPr>
              <w:spacing w:before="31" w:beforeLines="10" w:line="264" w:lineRule="auto"/>
              <w:jc w:val="center"/>
              <w:rPr>
                <w:b/>
                <w:color w:val="auto"/>
              </w:rPr>
            </w:pPr>
            <w:bookmarkStart w:id="263" w:name="_Toc408478103"/>
            <w:r>
              <w:rPr>
                <w:b/>
                <w:color w:val="auto"/>
              </w:rPr>
              <w:t>序号</w:t>
            </w:r>
          </w:p>
        </w:tc>
        <w:tc>
          <w:tcPr>
            <w:tcW w:w="440" w:type="pct"/>
            <w:tcBorders>
              <w:tl2br w:val="nil"/>
              <w:tr2bl w:val="nil"/>
            </w:tcBorders>
            <w:shd w:val="clear" w:color="auto" w:fill="auto"/>
            <w:noWrap w:val="0"/>
            <w:vAlign w:val="center"/>
          </w:tcPr>
          <w:p w14:paraId="0EAA51D3">
            <w:pPr>
              <w:spacing w:before="31" w:beforeLines="10" w:line="264" w:lineRule="auto"/>
              <w:jc w:val="center"/>
              <w:rPr>
                <w:b/>
                <w:color w:val="auto"/>
              </w:rPr>
            </w:pPr>
            <w:r>
              <w:rPr>
                <w:b/>
                <w:color w:val="auto"/>
              </w:rPr>
              <w:t>编号</w:t>
            </w:r>
          </w:p>
        </w:tc>
        <w:tc>
          <w:tcPr>
            <w:tcW w:w="1027" w:type="pct"/>
            <w:tcBorders>
              <w:tl2br w:val="nil"/>
              <w:tr2bl w:val="nil"/>
            </w:tcBorders>
            <w:shd w:val="clear" w:color="auto" w:fill="auto"/>
            <w:noWrap w:val="0"/>
            <w:vAlign w:val="center"/>
          </w:tcPr>
          <w:p w14:paraId="038CED54">
            <w:pPr>
              <w:spacing w:before="31" w:beforeLines="10" w:line="264" w:lineRule="auto"/>
              <w:jc w:val="center"/>
              <w:rPr>
                <w:b/>
                <w:color w:val="auto"/>
              </w:rPr>
            </w:pPr>
            <w:r>
              <w:rPr>
                <w:b/>
                <w:color w:val="auto"/>
              </w:rPr>
              <w:t>监测点位名称</w:t>
            </w:r>
          </w:p>
        </w:tc>
        <w:tc>
          <w:tcPr>
            <w:tcW w:w="773" w:type="pct"/>
            <w:tcBorders>
              <w:tl2br w:val="nil"/>
              <w:tr2bl w:val="nil"/>
            </w:tcBorders>
            <w:shd w:val="clear" w:color="auto" w:fill="auto"/>
            <w:noWrap w:val="0"/>
            <w:vAlign w:val="center"/>
          </w:tcPr>
          <w:p w14:paraId="432CF4A2">
            <w:pPr>
              <w:spacing w:before="31" w:beforeLines="10" w:line="264" w:lineRule="auto"/>
              <w:jc w:val="center"/>
              <w:rPr>
                <w:b/>
                <w:color w:val="auto"/>
              </w:rPr>
            </w:pPr>
            <w:r>
              <w:rPr>
                <w:rFonts w:hint="eastAsia"/>
                <w:b/>
                <w:color w:val="auto"/>
                <w:lang w:val="en-US" w:eastAsia="zh-CN"/>
              </w:rPr>
              <w:t>相对厂址</w:t>
            </w:r>
            <w:r>
              <w:rPr>
                <w:b/>
                <w:color w:val="auto"/>
              </w:rPr>
              <w:t>方位</w:t>
            </w:r>
          </w:p>
        </w:tc>
        <w:tc>
          <w:tcPr>
            <w:tcW w:w="763" w:type="pct"/>
            <w:tcBorders>
              <w:tl2br w:val="nil"/>
              <w:tr2bl w:val="nil"/>
            </w:tcBorders>
            <w:shd w:val="clear" w:color="auto" w:fill="auto"/>
            <w:noWrap w:val="0"/>
            <w:vAlign w:val="center"/>
          </w:tcPr>
          <w:p w14:paraId="68C307F9">
            <w:pPr>
              <w:spacing w:before="31" w:beforeLines="10" w:line="264" w:lineRule="auto"/>
              <w:jc w:val="center"/>
              <w:rPr>
                <w:b/>
                <w:color w:val="auto"/>
              </w:rPr>
            </w:pPr>
            <w:r>
              <w:rPr>
                <w:rFonts w:hint="eastAsia"/>
                <w:b/>
                <w:color w:val="auto"/>
                <w:lang w:val="en-US" w:eastAsia="zh-CN"/>
              </w:rPr>
              <w:t>相对厂址</w:t>
            </w:r>
            <w:r>
              <w:rPr>
                <w:b/>
                <w:color w:val="auto"/>
              </w:rPr>
              <w:t>距离</w:t>
            </w:r>
          </w:p>
        </w:tc>
        <w:tc>
          <w:tcPr>
            <w:tcW w:w="641" w:type="pct"/>
            <w:tcBorders>
              <w:tl2br w:val="nil"/>
              <w:tr2bl w:val="nil"/>
            </w:tcBorders>
            <w:shd w:val="clear" w:color="auto" w:fill="auto"/>
            <w:noWrap w:val="0"/>
            <w:vAlign w:val="center"/>
          </w:tcPr>
          <w:p w14:paraId="7B855F46">
            <w:pPr>
              <w:spacing w:before="31" w:beforeLines="10" w:line="264" w:lineRule="auto"/>
              <w:jc w:val="center"/>
              <w:rPr>
                <w:b/>
                <w:color w:val="auto"/>
              </w:rPr>
            </w:pPr>
            <w:r>
              <w:rPr>
                <w:b/>
                <w:color w:val="auto"/>
              </w:rPr>
              <w:t>主要功能区</w:t>
            </w:r>
          </w:p>
        </w:tc>
        <w:tc>
          <w:tcPr>
            <w:tcW w:w="846" w:type="pct"/>
            <w:tcBorders>
              <w:tl2br w:val="nil"/>
              <w:tr2bl w:val="nil"/>
            </w:tcBorders>
            <w:shd w:val="clear" w:color="auto" w:fill="auto"/>
            <w:noWrap w:val="0"/>
            <w:vAlign w:val="center"/>
          </w:tcPr>
          <w:p w14:paraId="1AF629C7">
            <w:pPr>
              <w:spacing w:before="31" w:beforeLines="10" w:line="264" w:lineRule="auto"/>
              <w:jc w:val="center"/>
              <w:rPr>
                <w:b/>
                <w:color w:val="auto"/>
              </w:rPr>
            </w:pPr>
            <w:r>
              <w:rPr>
                <w:b/>
                <w:color w:val="auto"/>
              </w:rPr>
              <w:t>备   注</w:t>
            </w:r>
          </w:p>
        </w:tc>
      </w:tr>
      <w:tr w14:paraId="718209A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506" w:type="pct"/>
            <w:tcBorders>
              <w:tl2br w:val="nil"/>
              <w:tr2bl w:val="nil"/>
            </w:tcBorders>
            <w:shd w:val="clear" w:color="auto" w:fill="auto"/>
            <w:noWrap w:val="0"/>
            <w:vAlign w:val="center"/>
          </w:tcPr>
          <w:p w14:paraId="797F8B81">
            <w:pPr>
              <w:spacing w:before="31" w:beforeLines="10" w:line="264" w:lineRule="auto"/>
              <w:jc w:val="center"/>
              <w:rPr>
                <w:color w:val="auto"/>
              </w:rPr>
            </w:pPr>
            <w:r>
              <w:rPr>
                <w:color w:val="auto"/>
              </w:rPr>
              <w:t>1</w:t>
            </w:r>
          </w:p>
        </w:tc>
        <w:tc>
          <w:tcPr>
            <w:tcW w:w="440" w:type="pct"/>
            <w:tcBorders>
              <w:tl2br w:val="nil"/>
              <w:tr2bl w:val="nil"/>
            </w:tcBorders>
            <w:shd w:val="clear" w:color="auto" w:fill="auto"/>
            <w:noWrap w:val="0"/>
            <w:vAlign w:val="center"/>
          </w:tcPr>
          <w:p w14:paraId="2D73F073">
            <w:pPr>
              <w:spacing w:before="31" w:beforeLines="10" w:line="264" w:lineRule="auto"/>
              <w:jc w:val="center"/>
              <w:rPr>
                <w:color w:val="auto"/>
              </w:rPr>
            </w:pPr>
            <w:r>
              <w:rPr>
                <w:color w:val="auto"/>
              </w:rPr>
              <w:t>G1</w:t>
            </w:r>
          </w:p>
        </w:tc>
        <w:tc>
          <w:tcPr>
            <w:tcW w:w="1027" w:type="pct"/>
            <w:tcBorders>
              <w:tl2br w:val="nil"/>
              <w:tr2bl w:val="nil"/>
            </w:tcBorders>
            <w:shd w:val="clear" w:color="auto" w:fill="auto"/>
            <w:noWrap w:val="0"/>
            <w:vAlign w:val="top"/>
          </w:tcPr>
          <w:p w14:paraId="5FA4CAB4">
            <w:pPr>
              <w:jc w:val="center"/>
              <w:rPr>
                <w:color w:val="auto"/>
              </w:rPr>
            </w:pPr>
            <w:r>
              <w:rPr>
                <w:color w:val="auto"/>
              </w:rPr>
              <w:t>星河花园小区</w:t>
            </w:r>
          </w:p>
        </w:tc>
        <w:tc>
          <w:tcPr>
            <w:tcW w:w="773" w:type="pct"/>
            <w:tcBorders>
              <w:tl2br w:val="nil"/>
              <w:tr2bl w:val="nil"/>
            </w:tcBorders>
            <w:shd w:val="clear" w:color="auto" w:fill="auto"/>
            <w:noWrap w:val="0"/>
            <w:vAlign w:val="center"/>
          </w:tcPr>
          <w:p w14:paraId="46D6F5E2">
            <w:pPr>
              <w:jc w:val="center"/>
              <w:rPr>
                <w:color w:val="auto"/>
                <w:szCs w:val="21"/>
              </w:rPr>
            </w:pPr>
            <w:r>
              <w:rPr>
                <w:color w:val="auto"/>
                <w:szCs w:val="21"/>
              </w:rPr>
              <w:t>NNE</w:t>
            </w:r>
          </w:p>
        </w:tc>
        <w:tc>
          <w:tcPr>
            <w:tcW w:w="763" w:type="pct"/>
            <w:tcBorders>
              <w:tl2br w:val="nil"/>
              <w:tr2bl w:val="nil"/>
            </w:tcBorders>
            <w:shd w:val="clear" w:color="auto" w:fill="auto"/>
            <w:noWrap w:val="0"/>
            <w:vAlign w:val="center"/>
          </w:tcPr>
          <w:p w14:paraId="18AB162F">
            <w:pPr>
              <w:adjustRightInd w:val="0"/>
              <w:snapToGrid w:val="0"/>
              <w:jc w:val="center"/>
              <w:rPr>
                <w:color w:val="auto"/>
                <w:szCs w:val="21"/>
              </w:rPr>
            </w:pPr>
            <w:r>
              <w:rPr>
                <w:color w:val="auto"/>
                <w:szCs w:val="21"/>
              </w:rPr>
              <w:t>1</w:t>
            </w:r>
            <w:r>
              <w:rPr>
                <w:rFonts w:hint="eastAsia"/>
                <w:color w:val="auto"/>
                <w:szCs w:val="21"/>
              </w:rPr>
              <w:t>0</w:t>
            </w:r>
            <w:r>
              <w:rPr>
                <w:color w:val="auto"/>
                <w:szCs w:val="21"/>
              </w:rPr>
              <w:t>00m</w:t>
            </w:r>
          </w:p>
        </w:tc>
        <w:tc>
          <w:tcPr>
            <w:tcW w:w="641" w:type="pct"/>
            <w:tcBorders>
              <w:tl2br w:val="nil"/>
              <w:tr2bl w:val="nil"/>
            </w:tcBorders>
            <w:shd w:val="clear" w:color="auto" w:fill="auto"/>
            <w:noWrap w:val="0"/>
            <w:vAlign w:val="center"/>
          </w:tcPr>
          <w:p w14:paraId="4A795EC8">
            <w:pPr>
              <w:spacing w:before="31" w:beforeLines="10" w:line="264" w:lineRule="auto"/>
              <w:jc w:val="center"/>
              <w:rPr>
                <w:color w:val="auto"/>
              </w:rPr>
            </w:pPr>
            <w:r>
              <w:rPr>
                <w:color w:val="auto"/>
              </w:rPr>
              <w:t>居民区</w:t>
            </w:r>
          </w:p>
        </w:tc>
        <w:tc>
          <w:tcPr>
            <w:tcW w:w="846" w:type="pct"/>
            <w:tcBorders>
              <w:tl2br w:val="nil"/>
              <w:tr2bl w:val="nil"/>
            </w:tcBorders>
            <w:shd w:val="clear" w:color="auto" w:fill="auto"/>
            <w:noWrap w:val="0"/>
            <w:vAlign w:val="center"/>
          </w:tcPr>
          <w:p w14:paraId="5ED6770D">
            <w:pPr>
              <w:jc w:val="center"/>
              <w:rPr>
                <w:color w:val="auto"/>
                <w:szCs w:val="21"/>
              </w:rPr>
            </w:pPr>
            <w:r>
              <w:rPr>
                <w:color w:val="auto"/>
                <w:szCs w:val="21"/>
              </w:rPr>
              <w:t>上风向参照点</w:t>
            </w:r>
          </w:p>
        </w:tc>
      </w:tr>
      <w:tr w14:paraId="10418E0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506" w:type="pct"/>
            <w:tcBorders>
              <w:tl2br w:val="nil"/>
              <w:tr2bl w:val="nil"/>
            </w:tcBorders>
            <w:shd w:val="clear" w:color="auto" w:fill="auto"/>
            <w:noWrap w:val="0"/>
            <w:vAlign w:val="center"/>
          </w:tcPr>
          <w:p w14:paraId="2AE21E4E">
            <w:pPr>
              <w:spacing w:before="31" w:beforeLines="10" w:line="264" w:lineRule="auto"/>
              <w:jc w:val="center"/>
              <w:rPr>
                <w:color w:val="auto"/>
              </w:rPr>
            </w:pPr>
            <w:r>
              <w:rPr>
                <w:color w:val="auto"/>
              </w:rPr>
              <w:t>2</w:t>
            </w:r>
          </w:p>
        </w:tc>
        <w:tc>
          <w:tcPr>
            <w:tcW w:w="440" w:type="pct"/>
            <w:tcBorders>
              <w:tl2br w:val="nil"/>
              <w:tr2bl w:val="nil"/>
            </w:tcBorders>
            <w:shd w:val="clear" w:color="auto" w:fill="auto"/>
            <w:noWrap w:val="0"/>
            <w:vAlign w:val="center"/>
          </w:tcPr>
          <w:p w14:paraId="6F9C738C">
            <w:pPr>
              <w:spacing w:before="31" w:beforeLines="10" w:line="264" w:lineRule="auto"/>
              <w:jc w:val="center"/>
              <w:rPr>
                <w:color w:val="auto"/>
              </w:rPr>
            </w:pPr>
            <w:r>
              <w:rPr>
                <w:color w:val="auto"/>
              </w:rPr>
              <w:t>G2</w:t>
            </w:r>
          </w:p>
        </w:tc>
        <w:tc>
          <w:tcPr>
            <w:tcW w:w="1027" w:type="pct"/>
            <w:tcBorders>
              <w:tl2br w:val="nil"/>
              <w:tr2bl w:val="nil"/>
            </w:tcBorders>
            <w:shd w:val="clear" w:color="auto" w:fill="auto"/>
            <w:noWrap w:val="0"/>
            <w:vAlign w:val="top"/>
          </w:tcPr>
          <w:p w14:paraId="308A4854">
            <w:pPr>
              <w:jc w:val="center"/>
              <w:rPr>
                <w:rFonts w:hint="eastAsia" w:eastAsia="宋体"/>
                <w:color w:val="auto"/>
                <w:lang w:val="en-US" w:eastAsia="zh-CN"/>
              </w:rPr>
            </w:pPr>
            <w:r>
              <w:rPr>
                <w:color w:val="auto"/>
              </w:rPr>
              <w:t>项目</w:t>
            </w:r>
            <w:r>
              <w:rPr>
                <w:rFonts w:hint="eastAsia"/>
                <w:color w:val="auto"/>
                <w:lang w:val="en-US" w:eastAsia="zh-CN"/>
              </w:rPr>
              <w:t>厂址</w:t>
            </w:r>
          </w:p>
        </w:tc>
        <w:tc>
          <w:tcPr>
            <w:tcW w:w="773" w:type="pct"/>
            <w:tcBorders>
              <w:tl2br w:val="nil"/>
              <w:tr2bl w:val="nil"/>
            </w:tcBorders>
            <w:shd w:val="clear" w:color="auto" w:fill="auto"/>
            <w:noWrap w:val="0"/>
            <w:vAlign w:val="center"/>
          </w:tcPr>
          <w:p w14:paraId="521C2A3C">
            <w:pPr>
              <w:jc w:val="center"/>
              <w:rPr>
                <w:color w:val="auto"/>
                <w:szCs w:val="21"/>
              </w:rPr>
            </w:pPr>
            <w:r>
              <w:rPr>
                <w:color w:val="auto"/>
                <w:szCs w:val="21"/>
              </w:rPr>
              <w:t>/</w:t>
            </w:r>
          </w:p>
        </w:tc>
        <w:tc>
          <w:tcPr>
            <w:tcW w:w="763" w:type="pct"/>
            <w:tcBorders>
              <w:tl2br w:val="nil"/>
              <w:tr2bl w:val="nil"/>
            </w:tcBorders>
            <w:shd w:val="clear" w:color="auto" w:fill="auto"/>
            <w:noWrap w:val="0"/>
            <w:vAlign w:val="center"/>
          </w:tcPr>
          <w:p w14:paraId="51C47848">
            <w:pPr>
              <w:adjustRightInd w:val="0"/>
              <w:snapToGrid w:val="0"/>
              <w:jc w:val="center"/>
              <w:rPr>
                <w:color w:val="auto"/>
                <w:szCs w:val="21"/>
              </w:rPr>
            </w:pPr>
            <w:r>
              <w:rPr>
                <w:color w:val="auto"/>
                <w:szCs w:val="21"/>
              </w:rPr>
              <w:t>/</w:t>
            </w:r>
          </w:p>
        </w:tc>
        <w:tc>
          <w:tcPr>
            <w:tcW w:w="641" w:type="pct"/>
            <w:tcBorders>
              <w:tl2br w:val="nil"/>
              <w:tr2bl w:val="nil"/>
            </w:tcBorders>
            <w:shd w:val="clear" w:color="auto" w:fill="auto"/>
            <w:noWrap w:val="0"/>
            <w:vAlign w:val="center"/>
          </w:tcPr>
          <w:p w14:paraId="2184B8E6">
            <w:pPr>
              <w:spacing w:before="31" w:beforeLines="10" w:line="264" w:lineRule="auto"/>
              <w:jc w:val="center"/>
              <w:rPr>
                <w:color w:val="auto"/>
              </w:rPr>
            </w:pPr>
            <w:r>
              <w:rPr>
                <w:color w:val="auto"/>
              </w:rPr>
              <w:t>/</w:t>
            </w:r>
          </w:p>
        </w:tc>
        <w:tc>
          <w:tcPr>
            <w:tcW w:w="846" w:type="pct"/>
            <w:tcBorders>
              <w:tl2br w:val="nil"/>
              <w:tr2bl w:val="nil"/>
            </w:tcBorders>
            <w:shd w:val="clear" w:color="auto" w:fill="auto"/>
            <w:noWrap w:val="0"/>
            <w:vAlign w:val="center"/>
          </w:tcPr>
          <w:p w14:paraId="6D5AA9E4">
            <w:pPr>
              <w:jc w:val="center"/>
              <w:rPr>
                <w:color w:val="auto"/>
                <w:szCs w:val="21"/>
              </w:rPr>
            </w:pPr>
            <w:r>
              <w:rPr>
                <w:color w:val="auto"/>
                <w:szCs w:val="21"/>
              </w:rPr>
              <w:t>项目地</w:t>
            </w:r>
          </w:p>
        </w:tc>
      </w:tr>
      <w:tr w14:paraId="5FCE57D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506" w:type="pct"/>
            <w:tcBorders>
              <w:tl2br w:val="nil"/>
              <w:tr2bl w:val="nil"/>
            </w:tcBorders>
            <w:shd w:val="clear" w:color="auto" w:fill="auto"/>
            <w:noWrap w:val="0"/>
            <w:vAlign w:val="center"/>
          </w:tcPr>
          <w:p w14:paraId="77106AAB">
            <w:pPr>
              <w:spacing w:before="31" w:beforeLines="10" w:line="264" w:lineRule="auto"/>
              <w:jc w:val="center"/>
              <w:rPr>
                <w:color w:val="auto"/>
              </w:rPr>
            </w:pPr>
            <w:r>
              <w:rPr>
                <w:color w:val="auto"/>
              </w:rPr>
              <w:t>3</w:t>
            </w:r>
          </w:p>
        </w:tc>
        <w:tc>
          <w:tcPr>
            <w:tcW w:w="440" w:type="pct"/>
            <w:tcBorders>
              <w:tl2br w:val="nil"/>
              <w:tr2bl w:val="nil"/>
            </w:tcBorders>
            <w:shd w:val="clear" w:color="auto" w:fill="auto"/>
            <w:noWrap w:val="0"/>
            <w:vAlign w:val="center"/>
          </w:tcPr>
          <w:p w14:paraId="7CA8F312">
            <w:pPr>
              <w:spacing w:before="31" w:beforeLines="10" w:line="264" w:lineRule="auto"/>
              <w:jc w:val="center"/>
              <w:rPr>
                <w:color w:val="auto"/>
              </w:rPr>
            </w:pPr>
            <w:r>
              <w:rPr>
                <w:color w:val="auto"/>
              </w:rPr>
              <w:t>G3</w:t>
            </w:r>
          </w:p>
        </w:tc>
        <w:tc>
          <w:tcPr>
            <w:tcW w:w="1027" w:type="pct"/>
            <w:tcBorders>
              <w:tl2br w:val="nil"/>
              <w:tr2bl w:val="nil"/>
            </w:tcBorders>
            <w:shd w:val="clear" w:color="auto" w:fill="auto"/>
            <w:noWrap w:val="0"/>
            <w:vAlign w:val="top"/>
          </w:tcPr>
          <w:p w14:paraId="10440F22">
            <w:pPr>
              <w:jc w:val="center"/>
              <w:rPr>
                <w:color w:val="auto"/>
              </w:rPr>
            </w:pPr>
            <w:r>
              <w:rPr>
                <w:color w:val="auto"/>
              </w:rPr>
              <w:t>刘桥镇</w:t>
            </w:r>
          </w:p>
        </w:tc>
        <w:tc>
          <w:tcPr>
            <w:tcW w:w="773" w:type="pct"/>
            <w:tcBorders>
              <w:tl2br w:val="nil"/>
              <w:tr2bl w:val="nil"/>
            </w:tcBorders>
            <w:shd w:val="clear" w:color="auto" w:fill="auto"/>
            <w:noWrap w:val="0"/>
            <w:vAlign w:val="center"/>
          </w:tcPr>
          <w:p w14:paraId="5EA58CF6">
            <w:pPr>
              <w:jc w:val="center"/>
              <w:rPr>
                <w:color w:val="auto"/>
                <w:szCs w:val="21"/>
              </w:rPr>
            </w:pPr>
            <w:r>
              <w:rPr>
                <w:color w:val="auto"/>
                <w:szCs w:val="21"/>
              </w:rPr>
              <w:t>NW</w:t>
            </w:r>
          </w:p>
        </w:tc>
        <w:tc>
          <w:tcPr>
            <w:tcW w:w="763" w:type="pct"/>
            <w:tcBorders>
              <w:tl2br w:val="nil"/>
              <w:tr2bl w:val="nil"/>
            </w:tcBorders>
            <w:shd w:val="clear" w:color="auto" w:fill="auto"/>
            <w:noWrap w:val="0"/>
            <w:vAlign w:val="center"/>
          </w:tcPr>
          <w:p w14:paraId="15AA32FF">
            <w:pPr>
              <w:adjustRightInd w:val="0"/>
              <w:snapToGrid w:val="0"/>
              <w:jc w:val="center"/>
              <w:rPr>
                <w:color w:val="auto"/>
                <w:szCs w:val="21"/>
              </w:rPr>
            </w:pPr>
            <w:r>
              <w:rPr>
                <w:color w:val="auto"/>
                <w:szCs w:val="21"/>
              </w:rPr>
              <w:t>1</w:t>
            </w:r>
            <w:r>
              <w:rPr>
                <w:rFonts w:hint="eastAsia"/>
                <w:color w:val="auto"/>
                <w:szCs w:val="21"/>
              </w:rPr>
              <w:t>65</w:t>
            </w:r>
            <w:r>
              <w:rPr>
                <w:color w:val="auto"/>
                <w:szCs w:val="21"/>
              </w:rPr>
              <w:t>0m</w:t>
            </w:r>
          </w:p>
        </w:tc>
        <w:tc>
          <w:tcPr>
            <w:tcW w:w="641" w:type="pct"/>
            <w:tcBorders>
              <w:tl2br w:val="nil"/>
              <w:tr2bl w:val="nil"/>
            </w:tcBorders>
            <w:shd w:val="clear" w:color="auto" w:fill="auto"/>
            <w:noWrap w:val="0"/>
            <w:vAlign w:val="center"/>
          </w:tcPr>
          <w:p w14:paraId="4646B9C6">
            <w:pPr>
              <w:spacing w:before="31" w:beforeLines="10" w:line="264" w:lineRule="auto"/>
              <w:jc w:val="center"/>
              <w:rPr>
                <w:color w:val="auto"/>
              </w:rPr>
            </w:pPr>
            <w:r>
              <w:rPr>
                <w:color w:val="auto"/>
              </w:rPr>
              <w:t>居民区</w:t>
            </w:r>
          </w:p>
        </w:tc>
        <w:tc>
          <w:tcPr>
            <w:tcW w:w="846" w:type="pct"/>
            <w:tcBorders>
              <w:tl2br w:val="nil"/>
              <w:tr2bl w:val="nil"/>
            </w:tcBorders>
            <w:shd w:val="clear" w:color="auto" w:fill="auto"/>
            <w:noWrap w:val="0"/>
            <w:vAlign w:val="center"/>
          </w:tcPr>
          <w:p w14:paraId="79C35996">
            <w:pPr>
              <w:jc w:val="center"/>
              <w:rPr>
                <w:color w:val="auto"/>
                <w:szCs w:val="21"/>
              </w:rPr>
            </w:pPr>
            <w:r>
              <w:rPr>
                <w:color w:val="auto"/>
                <w:szCs w:val="21"/>
              </w:rPr>
              <w:t>侧风向敏感点</w:t>
            </w:r>
          </w:p>
        </w:tc>
      </w:tr>
      <w:tr w14:paraId="35EDF0C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506" w:type="pct"/>
            <w:tcBorders>
              <w:tl2br w:val="nil"/>
              <w:tr2bl w:val="nil"/>
            </w:tcBorders>
            <w:shd w:val="clear" w:color="auto" w:fill="auto"/>
            <w:noWrap w:val="0"/>
            <w:vAlign w:val="center"/>
          </w:tcPr>
          <w:p w14:paraId="692E6008">
            <w:pPr>
              <w:spacing w:before="31" w:beforeLines="10" w:line="264" w:lineRule="auto"/>
              <w:jc w:val="center"/>
              <w:rPr>
                <w:color w:val="auto"/>
              </w:rPr>
            </w:pPr>
            <w:r>
              <w:rPr>
                <w:color w:val="auto"/>
              </w:rPr>
              <w:t>4</w:t>
            </w:r>
          </w:p>
        </w:tc>
        <w:tc>
          <w:tcPr>
            <w:tcW w:w="440" w:type="pct"/>
            <w:tcBorders>
              <w:tl2br w:val="nil"/>
              <w:tr2bl w:val="nil"/>
            </w:tcBorders>
            <w:shd w:val="clear" w:color="auto" w:fill="auto"/>
            <w:noWrap w:val="0"/>
            <w:vAlign w:val="center"/>
          </w:tcPr>
          <w:p w14:paraId="01C4F0F7">
            <w:pPr>
              <w:spacing w:before="31" w:beforeLines="10" w:line="264" w:lineRule="auto"/>
              <w:jc w:val="center"/>
              <w:rPr>
                <w:color w:val="auto"/>
              </w:rPr>
            </w:pPr>
            <w:r>
              <w:rPr>
                <w:color w:val="auto"/>
              </w:rPr>
              <w:t>G4</w:t>
            </w:r>
          </w:p>
        </w:tc>
        <w:tc>
          <w:tcPr>
            <w:tcW w:w="1027" w:type="pct"/>
            <w:tcBorders>
              <w:tl2br w:val="nil"/>
              <w:tr2bl w:val="nil"/>
            </w:tcBorders>
            <w:shd w:val="clear" w:color="auto" w:fill="auto"/>
            <w:noWrap w:val="0"/>
            <w:vAlign w:val="top"/>
          </w:tcPr>
          <w:p w14:paraId="3711C2D6">
            <w:pPr>
              <w:jc w:val="center"/>
              <w:rPr>
                <w:color w:val="auto"/>
              </w:rPr>
            </w:pPr>
            <w:r>
              <w:rPr>
                <w:color w:val="auto"/>
              </w:rPr>
              <w:t>公租房区</w:t>
            </w:r>
          </w:p>
          <w:p w14:paraId="5C2652B9">
            <w:pPr>
              <w:jc w:val="center"/>
              <w:rPr>
                <w:rFonts w:hint="eastAsia" w:eastAsia="宋体"/>
                <w:color w:val="auto"/>
                <w:lang w:eastAsia="zh-CN"/>
              </w:rPr>
            </w:pPr>
            <w:r>
              <w:rPr>
                <w:rFonts w:hint="eastAsia"/>
                <w:color w:val="auto"/>
                <w:lang w:eastAsia="zh-CN"/>
              </w:rPr>
              <w:t>（</w:t>
            </w:r>
            <w:r>
              <w:rPr>
                <w:rFonts w:hint="eastAsia"/>
                <w:color w:val="auto"/>
                <w:lang w:val="en-US" w:eastAsia="zh-CN"/>
              </w:rPr>
              <w:t>和谐家园</w:t>
            </w:r>
            <w:r>
              <w:rPr>
                <w:rFonts w:hint="eastAsia"/>
                <w:color w:val="auto"/>
                <w:lang w:eastAsia="zh-CN"/>
              </w:rPr>
              <w:t>）</w:t>
            </w:r>
          </w:p>
        </w:tc>
        <w:tc>
          <w:tcPr>
            <w:tcW w:w="773" w:type="pct"/>
            <w:tcBorders>
              <w:tl2br w:val="nil"/>
              <w:tr2bl w:val="nil"/>
            </w:tcBorders>
            <w:shd w:val="clear" w:color="auto" w:fill="auto"/>
            <w:noWrap w:val="0"/>
            <w:vAlign w:val="center"/>
          </w:tcPr>
          <w:p w14:paraId="4C40BF89">
            <w:pPr>
              <w:adjustRightInd w:val="0"/>
              <w:snapToGrid w:val="0"/>
              <w:jc w:val="center"/>
              <w:rPr>
                <w:color w:val="auto"/>
                <w:szCs w:val="21"/>
              </w:rPr>
            </w:pPr>
            <w:r>
              <w:rPr>
                <w:color w:val="auto"/>
                <w:szCs w:val="21"/>
              </w:rPr>
              <w:t>E</w:t>
            </w:r>
          </w:p>
        </w:tc>
        <w:tc>
          <w:tcPr>
            <w:tcW w:w="763" w:type="pct"/>
            <w:tcBorders>
              <w:tl2br w:val="nil"/>
              <w:tr2bl w:val="nil"/>
            </w:tcBorders>
            <w:shd w:val="clear" w:color="auto" w:fill="auto"/>
            <w:noWrap w:val="0"/>
            <w:vAlign w:val="center"/>
          </w:tcPr>
          <w:p w14:paraId="519F87A5">
            <w:pPr>
              <w:adjustRightInd w:val="0"/>
              <w:snapToGrid w:val="0"/>
              <w:jc w:val="center"/>
              <w:rPr>
                <w:color w:val="auto"/>
                <w:szCs w:val="21"/>
              </w:rPr>
            </w:pPr>
            <w:r>
              <w:rPr>
                <w:color w:val="auto"/>
                <w:szCs w:val="21"/>
              </w:rPr>
              <w:t>13</w:t>
            </w:r>
            <w:r>
              <w:rPr>
                <w:rFonts w:hint="eastAsia"/>
                <w:color w:val="auto"/>
                <w:szCs w:val="21"/>
              </w:rPr>
              <w:t>3</w:t>
            </w:r>
            <w:r>
              <w:rPr>
                <w:color w:val="auto"/>
                <w:szCs w:val="21"/>
              </w:rPr>
              <w:t>0m</w:t>
            </w:r>
          </w:p>
        </w:tc>
        <w:tc>
          <w:tcPr>
            <w:tcW w:w="641" w:type="pct"/>
            <w:tcBorders>
              <w:tl2br w:val="nil"/>
              <w:tr2bl w:val="nil"/>
            </w:tcBorders>
            <w:shd w:val="clear" w:color="auto" w:fill="auto"/>
            <w:noWrap w:val="0"/>
            <w:vAlign w:val="center"/>
          </w:tcPr>
          <w:p w14:paraId="5C6B0DD5">
            <w:pPr>
              <w:spacing w:before="31" w:beforeLines="10" w:line="264" w:lineRule="auto"/>
              <w:jc w:val="center"/>
              <w:rPr>
                <w:color w:val="auto"/>
              </w:rPr>
            </w:pPr>
            <w:r>
              <w:rPr>
                <w:color w:val="auto"/>
              </w:rPr>
              <w:t>居民区</w:t>
            </w:r>
          </w:p>
        </w:tc>
        <w:tc>
          <w:tcPr>
            <w:tcW w:w="846" w:type="pct"/>
            <w:tcBorders>
              <w:tl2br w:val="nil"/>
              <w:tr2bl w:val="nil"/>
            </w:tcBorders>
            <w:shd w:val="clear" w:color="auto" w:fill="auto"/>
            <w:noWrap w:val="0"/>
            <w:vAlign w:val="center"/>
          </w:tcPr>
          <w:p w14:paraId="140F1EFE">
            <w:pPr>
              <w:jc w:val="center"/>
              <w:rPr>
                <w:color w:val="auto"/>
                <w:szCs w:val="21"/>
              </w:rPr>
            </w:pPr>
            <w:r>
              <w:rPr>
                <w:color w:val="auto"/>
                <w:szCs w:val="21"/>
              </w:rPr>
              <w:t>侧风向敏感点</w:t>
            </w:r>
          </w:p>
        </w:tc>
      </w:tr>
      <w:tr w14:paraId="390343F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506" w:type="pct"/>
            <w:tcBorders>
              <w:tl2br w:val="nil"/>
              <w:tr2bl w:val="nil"/>
            </w:tcBorders>
            <w:shd w:val="clear" w:color="auto" w:fill="auto"/>
            <w:noWrap w:val="0"/>
            <w:vAlign w:val="center"/>
          </w:tcPr>
          <w:p w14:paraId="0624EB5C">
            <w:pPr>
              <w:spacing w:before="31" w:beforeLines="10" w:line="264" w:lineRule="auto"/>
              <w:jc w:val="center"/>
              <w:rPr>
                <w:color w:val="auto"/>
              </w:rPr>
            </w:pPr>
            <w:r>
              <w:rPr>
                <w:color w:val="auto"/>
              </w:rPr>
              <w:t>5</w:t>
            </w:r>
          </w:p>
        </w:tc>
        <w:tc>
          <w:tcPr>
            <w:tcW w:w="440" w:type="pct"/>
            <w:tcBorders>
              <w:tl2br w:val="nil"/>
              <w:tr2bl w:val="nil"/>
            </w:tcBorders>
            <w:shd w:val="clear" w:color="auto" w:fill="auto"/>
            <w:noWrap w:val="0"/>
            <w:vAlign w:val="center"/>
          </w:tcPr>
          <w:p w14:paraId="1EB02ECF">
            <w:pPr>
              <w:spacing w:before="31" w:beforeLines="10" w:line="264" w:lineRule="auto"/>
              <w:jc w:val="center"/>
              <w:rPr>
                <w:color w:val="auto"/>
              </w:rPr>
            </w:pPr>
            <w:r>
              <w:rPr>
                <w:color w:val="auto"/>
              </w:rPr>
              <w:t>G5</w:t>
            </w:r>
          </w:p>
        </w:tc>
        <w:tc>
          <w:tcPr>
            <w:tcW w:w="1027" w:type="pct"/>
            <w:tcBorders>
              <w:tl2br w:val="nil"/>
              <w:tr2bl w:val="nil"/>
            </w:tcBorders>
            <w:shd w:val="clear" w:color="auto" w:fill="auto"/>
            <w:noWrap w:val="0"/>
            <w:vAlign w:val="top"/>
          </w:tcPr>
          <w:p w14:paraId="1BEAB009">
            <w:pPr>
              <w:jc w:val="center"/>
              <w:rPr>
                <w:color w:val="auto"/>
              </w:rPr>
            </w:pPr>
            <w:r>
              <w:rPr>
                <w:color w:val="auto"/>
              </w:rPr>
              <w:t>赵楼村</w:t>
            </w:r>
          </w:p>
        </w:tc>
        <w:tc>
          <w:tcPr>
            <w:tcW w:w="773" w:type="pct"/>
            <w:tcBorders>
              <w:tl2br w:val="nil"/>
              <w:tr2bl w:val="nil"/>
            </w:tcBorders>
            <w:shd w:val="clear" w:color="auto" w:fill="auto"/>
            <w:noWrap w:val="0"/>
            <w:vAlign w:val="center"/>
          </w:tcPr>
          <w:p w14:paraId="58C29BEB">
            <w:pPr>
              <w:adjustRightInd w:val="0"/>
              <w:snapToGrid w:val="0"/>
              <w:jc w:val="center"/>
              <w:rPr>
                <w:color w:val="auto"/>
                <w:szCs w:val="21"/>
              </w:rPr>
            </w:pPr>
            <w:r>
              <w:rPr>
                <w:color w:val="auto"/>
                <w:szCs w:val="21"/>
              </w:rPr>
              <w:t>W</w:t>
            </w:r>
          </w:p>
        </w:tc>
        <w:tc>
          <w:tcPr>
            <w:tcW w:w="763" w:type="pct"/>
            <w:tcBorders>
              <w:tl2br w:val="nil"/>
              <w:tr2bl w:val="nil"/>
            </w:tcBorders>
            <w:shd w:val="clear" w:color="auto" w:fill="auto"/>
            <w:noWrap w:val="0"/>
            <w:vAlign w:val="center"/>
          </w:tcPr>
          <w:p w14:paraId="52F86629">
            <w:pPr>
              <w:adjustRightInd w:val="0"/>
              <w:snapToGrid w:val="0"/>
              <w:jc w:val="center"/>
              <w:rPr>
                <w:color w:val="auto"/>
                <w:szCs w:val="21"/>
              </w:rPr>
            </w:pPr>
            <w:r>
              <w:rPr>
                <w:rFonts w:hint="eastAsia"/>
                <w:color w:val="auto"/>
                <w:szCs w:val="21"/>
              </w:rPr>
              <w:t>1000</w:t>
            </w:r>
            <w:r>
              <w:rPr>
                <w:color w:val="auto"/>
                <w:szCs w:val="21"/>
              </w:rPr>
              <w:t>m</w:t>
            </w:r>
          </w:p>
        </w:tc>
        <w:tc>
          <w:tcPr>
            <w:tcW w:w="641" w:type="pct"/>
            <w:tcBorders>
              <w:tl2br w:val="nil"/>
              <w:tr2bl w:val="nil"/>
            </w:tcBorders>
            <w:shd w:val="clear" w:color="auto" w:fill="auto"/>
            <w:noWrap w:val="0"/>
            <w:vAlign w:val="center"/>
          </w:tcPr>
          <w:p w14:paraId="2E47D779">
            <w:pPr>
              <w:spacing w:before="31" w:beforeLines="10" w:line="264" w:lineRule="auto"/>
              <w:jc w:val="center"/>
              <w:rPr>
                <w:color w:val="auto"/>
              </w:rPr>
            </w:pPr>
            <w:r>
              <w:rPr>
                <w:color w:val="auto"/>
              </w:rPr>
              <w:t>村  庄</w:t>
            </w:r>
          </w:p>
        </w:tc>
        <w:tc>
          <w:tcPr>
            <w:tcW w:w="846" w:type="pct"/>
            <w:tcBorders>
              <w:tl2br w:val="nil"/>
              <w:tr2bl w:val="nil"/>
            </w:tcBorders>
            <w:shd w:val="clear" w:color="auto" w:fill="auto"/>
            <w:noWrap w:val="0"/>
            <w:vAlign w:val="center"/>
          </w:tcPr>
          <w:p w14:paraId="3D824790">
            <w:pPr>
              <w:jc w:val="center"/>
              <w:rPr>
                <w:color w:val="auto"/>
                <w:szCs w:val="21"/>
              </w:rPr>
            </w:pPr>
            <w:r>
              <w:rPr>
                <w:color w:val="auto"/>
                <w:szCs w:val="21"/>
              </w:rPr>
              <w:t>下风向参照点</w:t>
            </w:r>
          </w:p>
        </w:tc>
      </w:tr>
      <w:tr w14:paraId="17125F9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506" w:type="pct"/>
            <w:tcBorders>
              <w:tl2br w:val="nil"/>
              <w:tr2bl w:val="nil"/>
            </w:tcBorders>
            <w:shd w:val="clear" w:color="auto" w:fill="auto"/>
            <w:noWrap w:val="0"/>
            <w:vAlign w:val="center"/>
          </w:tcPr>
          <w:p w14:paraId="2AF744DA">
            <w:pPr>
              <w:spacing w:before="31" w:beforeLines="10" w:line="264" w:lineRule="auto"/>
              <w:jc w:val="center"/>
              <w:rPr>
                <w:color w:val="auto"/>
              </w:rPr>
            </w:pPr>
            <w:r>
              <w:rPr>
                <w:color w:val="auto"/>
              </w:rPr>
              <w:t>6</w:t>
            </w:r>
          </w:p>
        </w:tc>
        <w:tc>
          <w:tcPr>
            <w:tcW w:w="440" w:type="pct"/>
            <w:tcBorders>
              <w:tl2br w:val="nil"/>
              <w:tr2bl w:val="nil"/>
            </w:tcBorders>
            <w:shd w:val="clear" w:color="auto" w:fill="auto"/>
            <w:noWrap w:val="0"/>
            <w:vAlign w:val="center"/>
          </w:tcPr>
          <w:p w14:paraId="36D71CEC">
            <w:pPr>
              <w:spacing w:before="31" w:beforeLines="10" w:line="264" w:lineRule="auto"/>
              <w:jc w:val="center"/>
              <w:rPr>
                <w:color w:val="auto"/>
              </w:rPr>
            </w:pPr>
            <w:r>
              <w:rPr>
                <w:color w:val="auto"/>
              </w:rPr>
              <w:t>G6</w:t>
            </w:r>
          </w:p>
        </w:tc>
        <w:tc>
          <w:tcPr>
            <w:tcW w:w="1027" w:type="pct"/>
            <w:tcBorders>
              <w:tl2br w:val="nil"/>
              <w:tr2bl w:val="nil"/>
            </w:tcBorders>
            <w:shd w:val="clear" w:color="auto" w:fill="auto"/>
            <w:noWrap w:val="0"/>
            <w:vAlign w:val="top"/>
          </w:tcPr>
          <w:p w14:paraId="63E5FD57">
            <w:pPr>
              <w:jc w:val="center"/>
              <w:rPr>
                <w:color w:val="auto"/>
              </w:rPr>
            </w:pPr>
            <w:r>
              <w:rPr>
                <w:color w:val="auto"/>
              </w:rPr>
              <w:t>王埝村</w:t>
            </w:r>
          </w:p>
        </w:tc>
        <w:tc>
          <w:tcPr>
            <w:tcW w:w="773" w:type="pct"/>
            <w:tcBorders>
              <w:tl2br w:val="nil"/>
              <w:tr2bl w:val="nil"/>
            </w:tcBorders>
            <w:shd w:val="clear" w:color="auto" w:fill="auto"/>
            <w:noWrap w:val="0"/>
            <w:vAlign w:val="center"/>
          </w:tcPr>
          <w:p w14:paraId="2AFA035F">
            <w:pPr>
              <w:adjustRightInd w:val="0"/>
              <w:snapToGrid w:val="0"/>
              <w:jc w:val="center"/>
              <w:rPr>
                <w:color w:val="auto"/>
                <w:szCs w:val="21"/>
              </w:rPr>
            </w:pPr>
            <w:r>
              <w:rPr>
                <w:color w:val="auto"/>
                <w:szCs w:val="21"/>
              </w:rPr>
              <w:t>SW</w:t>
            </w:r>
          </w:p>
        </w:tc>
        <w:tc>
          <w:tcPr>
            <w:tcW w:w="763" w:type="pct"/>
            <w:tcBorders>
              <w:tl2br w:val="nil"/>
              <w:tr2bl w:val="nil"/>
            </w:tcBorders>
            <w:shd w:val="clear" w:color="auto" w:fill="auto"/>
            <w:noWrap w:val="0"/>
            <w:vAlign w:val="center"/>
          </w:tcPr>
          <w:p w14:paraId="23F14C03">
            <w:pPr>
              <w:adjustRightInd w:val="0"/>
              <w:snapToGrid w:val="0"/>
              <w:jc w:val="center"/>
              <w:rPr>
                <w:color w:val="auto"/>
                <w:szCs w:val="21"/>
              </w:rPr>
            </w:pPr>
            <w:r>
              <w:rPr>
                <w:color w:val="auto"/>
                <w:szCs w:val="21"/>
              </w:rPr>
              <w:t>1</w:t>
            </w:r>
            <w:r>
              <w:rPr>
                <w:rFonts w:hint="eastAsia"/>
                <w:color w:val="auto"/>
                <w:szCs w:val="21"/>
              </w:rPr>
              <w:t>75</w:t>
            </w:r>
            <w:r>
              <w:rPr>
                <w:color w:val="auto"/>
                <w:szCs w:val="21"/>
              </w:rPr>
              <w:t>0m</w:t>
            </w:r>
          </w:p>
        </w:tc>
        <w:tc>
          <w:tcPr>
            <w:tcW w:w="641" w:type="pct"/>
            <w:tcBorders>
              <w:tl2br w:val="nil"/>
              <w:tr2bl w:val="nil"/>
            </w:tcBorders>
            <w:shd w:val="clear" w:color="auto" w:fill="auto"/>
            <w:noWrap w:val="0"/>
            <w:vAlign w:val="center"/>
          </w:tcPr>
          <w:p w14:paraId="7EE8F2AB">
            <w:pPr>
              <w:spacing w:before="31" w:beforeLines="10" w:line="264" w:lineRule="auto"/>
              <w:jc w:val="center"/>
              <w:rPr>
                <w:color w:val="auto"/>
              </w:rPr>
            </w:pPr>
            <w:r>
              <w:rPr>
                <w:color w:val="auto"/>
              </w:rPr>
              <w:t>村  庄</w:t>
            </w:r>
          </w:p>
        </w:tc>
        <w:tc>
          <w:tcPr>
            <w:tcW w:w="846" w:type="pct"/>
            <w:tcBorders>
              <w:tl2br w:val="nil"/>
              <w:tr2bl w:val="nil"/>
            </w:tcBorders>
            <w:shd w:val="clear" w:color="auto" w:fill="auto"/>
            <w:noWrap w:val="0"/>
            <w:vAlign w:val="center"/>
          </w:tcPr>
          <w:p w14:paraId="1A280A04">
            <w:pPr>
              <w:jc w:val="center"/>
              <w:rPr>
                <w:color w:val="auto"/>
                <w:szCs w:val="21"/>
              </w:rPr>
            </w:pPr>
            <w:r>
              <w:rPr>
                <w:color w:val="auto"/>
                <w:szCs w:val="21"/>
              </w:rPr>
              <w:t>下风向参照点</w:t>
            </w:r>
          </w:p>
        </w:tc>
      </w:tr>
    </w:tbl>
    <w:p w14:paraId="3DECBA4C">
      <w:pPr>
        <w:jc w:val="center"/>
        <w:rPr>
          <w:b/>
          <w:bCs/>
          <w:color w:val="auto"/>
          <w:sz w:val="24"/>
          <w:szCs w:val="32"/>
        </w:rPr>
        <w:sectPr>
          <w:pgSz w:w="11906" w:h="16838"/>
          <w:pgMar w:top="1440" w:right="1080" w:bottom="1440" w:left="1080" w:header="708" w:footer="709" w:gutter="0"/>
          <w:pgBorders>
            <w:top w:val="none" w:sz="0" w:space="0"/>
            <w:left w:val="none" w:sz="0" w:space="0"/>
            <w:bottom w:val="none" w:sz="0" w:space="0"/>
            <w:right w:val="none" w:sz="0" w:space="0"/>
          </w:pgBorders>
          <w:pgNumType w:fmt="numberInDash"/>
          <w:cols w:space="0" w:num="1"/>
          <w:docGrid w:linePitch="360" w:charSpace="0"/>
        </w:sectPr>
      </w:pPr>
    </w:p>
    <w:p w14:paraId="79CFEBB8">
      <w:pPr>
        <w:jc w:val="center"/>
        <w:rPr>
          <w:rFonts w:hint="eastAsia" w:eastAsia="宋体"/>
          <w:b/>
          <w:bCs/>
          <w:color w:val="auto"/>
          <w:sz w:val="24"/>
          <w:szCs w:val="32"/>
          <w:lang w:eastAsia="zh-CN"/>
        </w:rPr>
      </w:pPr>
      <w:r>
        <w:rPr>
          <w:color w:val="auto"/>
          <w:sz w:val="24"/>
        </w:rPr>
        <mc:AlternateContent>
          <mc:Choice Requires="wps">
            <w:drawing>
              <wp:anchor distT="0" distB="0" distL="114300" distR="114300" simplePos="0" relativeHeight="251768832" behindDoc="0" locked="0" layoutInCell="1" allowOverlap="1">
                <wp:simplePos x="0" y="0"/>
                <wp:positionH relativeFrom="column">
                  <wp:posOffset>5336540</wp:posOffset>
                </wp:positionH>
                <wp:positionV relativeFrom="paragraph">
                  <wp:posOffset>1104900</wp:posOffset>
                </wp:positionV>
                <wp:extent cx="1256030" cy="298450"/>
                <wp:effectExtent l="0" t="0" r="0" b="0"/>
                <wp:wrapNone/>
                <wp:docPr id="152" name="文本框 152"/>
                <wp:cNvGraphicFramePr/>
                <a:graphic xmlns:a="http://schemas.openxmlformats.org/drawingml/2006/main">
                  <a:graphicData uri="http://schemas.microsoft.com/office/word/2010/wordprocessingShape">
                    <wps:wsp>
                      <wps:cNvSpPr txBox="1"/>
                      <wps:spPr>
                        <a:xfrm>
                          <a:off x="6708140" y="1574800"/>
                          <a:ext cx="1256030" cy="298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0FA6C5">
                            <w:pPr>
                              <w:rPr>
                                <w:rFonts w:hint="default" w:eastAsia="宋体"/>
                                <w:b/>
                                <w:bCs/>
                                <w:color w:val="FFFF00"/>
                                <w:lang w:val="en-US" w:eastAsia="zh-CN"/>
                              </w:rPr>
                            </w:pPr>
                            <w:r>
                              <w:rPr>
                                <w:rFonts w:hint="eastAsia"/>
                                <w:b/>
                                <w:bCs/>
                                <w:color w:val="FFFF00"/>
                                <w:lang w:val="en-US" w:eastAsia="zh-CN"/>
                              </w:rPr>
                              <w:t>G1</w:t>
                            </w:r>
                            <w:r>
                              <w:rPr>
                                <w:b/>
                                <w:bCs/>
                                <w:color w:val="FFFF00"/>
                              </w:rPr>
                              <w:t>星河花园小区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0.2pt;margin-top:87pt;height:23.5pt;width:98.9pt;z-index:251768832;mso-width-relative:page;mso-height-relative:page;" filled="f" stroked="f" coordsize="21600,21600" o:gfxdata="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gMBbGtsAAAAMAQAADwAAAAAAAAAB&#10;ACAAAAAiAAAAZHJzL2Rvd25yZXYueG1sUEsBAhQAFAAAAAgAh07iQKunVeFGAgAAdgQAAA4AAAAA&#10;AAAAAQAgAAAAKgEAAGRycy9lMm9Eb2MueG1sUEsFBgAAAAAGAAYAWQEAAOIFAAAAAA==&#10;">
                <v:fill on="f" focussize="0,0"/>
                <v:stroke on="f" weight="0.5pt"/>
                <v:imagedata o:title=""/>
                <o:lock v:ext="edit" aspectratio="f"/>
                <v:textbox>
                  <w:txbxContent>
                    <w:p w14:paraId="7C0FA6C5">
                      <w:pPr>
                        <w:rPr>
                          <w:rFonts w:hint="default" w:eastAsia="宋体"/>
                          <w:b/>
                          <w:bCs/>
                          <w:color w:val="FFFF00"/>
                          <w:lang w:val="en-US" w:eastAsia="zh-CN"/>
                        </w:rPr>
                      </w:pPr>
                      <w:r>
                        <w:rPr>
                          <w:rFonts w:hint="eastAsia"/>
                          <w:b/>
                          <w:bCs/>
                          <w:color w:val="FFFF00"/>
                          <w:lang w:val="en-US" w:eastAsia="zh-CN"/>
                        </w:rPr>
                        <w:t>G1</w:t>
                      </w:r>
                      <w:r>
                        <w:rPr>
                          <w:b/>
                          <w:bCs/>
                          <w:color w:val="FFFF00"/>
                        </w:rPr>
                        <w:t>星河花园小区</w:t>
                      </w:r>
                    </w:p>
                  </w:txbxContent>
                </v:textbox>
              </v:shape>
            </w:pict>
          </mc:Fallback>
        </mc:AlternateContent>
      </w:r>
      <w:r>
        <w:rPr>
          <w:color w:val="auto"/>
          <w:sz w:val="24"/>
        </w:rPr>
        <mc:AlternateContent>
          <mc:Choice Requires="wps">
            <w:drawing>
              <wp:anchor distT="0" distB="0" distL="114300" distR="114300" simplePos="0" relativeHeight="251770880" behindDoc="0" locked="0" layoutInCell="1" allowOverlap="1">
                <wp:simplePos x="0" y="0"/>
                <wp:positionH relativeFrom="column">
                  <wp:posOffset>4593590</wp:posOffset>
                </wp:positionH>
                <wp:positionV relativeFrom="paragraph">
                  <wp:posOffset>2794000</wp:posOffset>
                </wp:positionV>
                <wp:extent cx="1256030" cy="298450"/>
                <wp:effectExtent l="0" t="0" r="0" b="0"/>
                <wp:wrapNone/>
                <wp:docPr id="154" name="文本框 154"/>
                <wp:cNvGraphicFramePr/>
                <a:graphic xmlns:a="http://schemas.openxmlformats.org/drawingml/2006/main">
                  <a:graphicData uri="http://schemas.microsoft.com/office/word/2010/wordprocessingShape">
                    <wps:wsp>
                      <wps:cNvSpPr txBox="1"/>
                      <wps:spPr>
                        <a:xfrm>
                          <a:off x="0" y="0"/>
                          <a:ext cx="1256030" cy="298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F264DE2">
                            <w:pPr>
                              <w:rPr>
                                <w:rFonts w:hint="default" w:eastAsia="宋体"/>
                                <w:b/>
                                <w:bCs/>
                                <w:color w:val="FFFF00"/>
                                <w:lang w:val="en-US" w:eastAsia="zh-CN"/>
                              </w:rPr>
                            </w:pPr>
                            <w:r>
                              <w:rPr>
                                <w:rFonts w:hint="eastAsia"/>
                                <w:b/>
                                <w:bCs/>
                                <w:color w:val="FFFF00"/>
                                <w:lang w:val="en-US" w:eastAsia="zh-CN"/>
                              </w:rPr>
                              <w:t>G2项目厂址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1.7pt;margin-top:220pt;height:23.5pt;width:98.9pt;z-index:251770880;mso-width-relative:page;mso-height-relative:page;" filled="f" stroked="f" coordsize="21600,21600" o:gfxdata="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QUln9wAAAALAQAADwAAAAAAAAABACAAAAAiAAAA&#10;ZHJzL2Rvd25yZXYueG1sUEsBAhQAFAAAAAgAh07iQKF0sGQ8AgAAagQAAA4AAAAAAAAAAQAgAAAA&#10;KwEAAGRycy9lMm9Eb2MueG1sUEsFBgAAAAAGAAYAWQEAANkFAAAAAA==&#10;">
                <v:fill on="f" focussize="0,0"/>
                <v:stroke on="f" weight="0.5pt"/>
                <v:imagedata o:title=""/>
                <o:lock v:ext="edit" aspectratio="f"/>
                <v:textbox>
                  <w:txbxContent>
                    <w:p w14:paraId="1F264DE2">
                      <w:pPr>
                        <w:rPr>
                          <w:rFonts w:hint="default" w:eastAsia="宋体"/>
                          <w:b/>
                          <w:bCs/>
                          <w:color w:val="FFFF00"/>
                          <w:lang w:val="en-US" w:eastAsia="zh-CN"/>
                        </w:rPr>
                      </w:pPr>
                      <w:r>
                        <w:rPr>
                          <w:rFonts w:hint="eastAsia"/>
                          <w:b/>
                          <w:bCs/>
                          <w:color w:val="FFFF00"/>
                          <w:lang w:val="en-US" w:eastAsia="zh-CN"/>
                        </w:rPr>
                        <w:t>G2项目厂址</w:t>
                      </w:r>
                    </w:p>
                  </w:txbxContent>
                </v:textbox>
              </v:shape>
            </w:pict>
          </mc:Fallback>
        </mc:AlternateContent>
      </w:r>
      <w:r>
        <w:rPr>
          <w:color w:val="auto"/>
          <w:sz w:val="24"/>
        </w:rPr>
        <mc:AlternateContent>
          <mc:Choice Requires="wps">
            <w:drawing>
              <wp:anchor distT="0" distB="0" distL="114300" distR="114300" simplePos="0" relativeHeight="251767808" behindDoc="0" locked="0" layoutInCell="1" allowOverlap="1">
                <wp:simplePos x="0" y="0"/>
                <wp:positionH relativeFrom="column">
                  <wp:posOffset>5330190</wp:posOffset>
                </wp:positionH>
                <wp:positionV relativeFrom="paragraph">
                  <wp:posOffset>1024890</wp:posOffset>
                </wp:positionV>
                <wp:extent cx="165100" cy="165100"/>
                <wp:effectExtent l="4445" t="4445" r="20955" b="20955"/>
                <wp:wrapNone/>
                <wp:docPr id="151" name="椭圆 151"/>
                <wp:cNvGraphicFramePr/>
                <a:graphic xmlns:a="http://schemas.openxmlformats.org/drawingml/2006/main">
                  <a:graphicData uri="http://schemas.microsoft.com/office/word/2010/wordprocessingShape">
                    <wps:wsp>
                      <wps:cNvSpPr/>
                      <wps:spPr>
                        <a:xfrm>
                          <a:off x="6625590" y="1361440"/>
                          <a:ext cx="165100" cy="1651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19.7pt;margin-top:80.7pt;height:13pt;width:13pt;z-index:251767808;v-text-anchor:middle;mso-width-relative:page;mso-height-relative:page;" fillcolor="#FFFF00" filled="t" stroked="t" coordsize="21600,21600" o:gfxdata="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U4wn91gAAAAsBAAAPAAAAAAAAAAEAIAAA&#10;ACIAAABkcnMvZG93bnJldi54bWxQSwECFAAUAAAACACHTuJAp2Jg14ACAAAQBQAADgAAAAAAAAAB&#10;ACAAAAAlAQAAZHJzL2Uyb0RvYy54bWxQSwUGAAAAAAYABgBZAQAAFwYAAAAA&#10;">
                <v:fill on="t" focussize="0,0"/>
                <v:stroke weight="0.25pt" color="#376092 [2404]" joinstyle="round"/>
                <v:imagedata o:title=""/>
                <o:lock v:ext="edit" aspectratio="f"/>
              </v:shape>
            </w:pict>
          </mc:Fallback>
        </mc:AlternateContent>
      </w:r>
      <w:r>
        <w:rPr>
          <w:color w:val="auto"/>
        </w:rPr>
        <w:drawing>
          <wp:anchor distT="0" distB="0" distL="114300" distR="114300" simplePos="0" relativeHeight="251784192" behindDoc="0" locked="0" layoutInCell="1" allowOverlap="1">
            <wp:simplePos x="0" y="0"/>
            <wp:positionH relativeFrom="column">
              <wp:posOffset>7078345</wp:posOffset>
            </wp:positionH>
            <wp:positionV relativeFrom="paragraph">
              <wp:posOffset>9525</wp:posOffset>
            </wp:positionV>
            <wp:extent cx="904875" cy="1220470"/>
            <wp:effectExtent l="0" t="0" r="9525" b="17780"/>
            <wp:wrapNone/>
            <wp:docPr id="171" name="图片 171" descr="风向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风向标"/>
                    <pic:cNvPicPr>
                      <a:picLocks noChangeAspect="1"/>
                    </pic:cNvPicPr>
                  </pic:nvPicPr>
                  <pic:blipFill>
                    <a:blip r:embed="rId18"/>
                    <a:srcRect l="8090" t="1916" r="5231" b="6034"/>
                    <a:stretch>
                      <a:fillRect/>
                    </a:stretch>
                  </pic:blipFill>
                  <pic:spPr>
                    <a:xfrm>
                      <a:off x="0" y="0"/>
                      <a:ext cx="904875" cy="1220470"/>
                    </a:xfrm>
                    <a:prstGeom prst="rect">
                      <a:avLst/>
                    </a:prstGeom>
                  </pic:spPr>
                </pic:pic>
              </a:graphicData>
            </a:graphic>
          </wp:anchor>
        </w:drawing>
      </w:r>
      <w:r>
        <w:rPr>
          <w:color w:val="auto"/>
          <w:sz w:val="24"/>
        </w:rPr>
        <mc:AlternateContent>
          <mc:Choice Requires="wps">
            <w:drawing>
              <wp:anchor distT="0" distB="0" distL="114300" distR="114300" simplePos="0" relativeHeight="251783168" behindDoc="0" locked="0" layoutInCell="1" allowOverlap="1">
                <wp:simplePos x="0" y="0"/>
                <wp:positionH relativeFrom="column">
                  <wp:posOffset>1139190</wp:posOffset>
                </wp:positionH>
                <wp:positionV relativeFrom="paragraph">
                  <wp:posOffset>5323840</wp:posOffset>
                </wp:positionV>
                <wp:extent cx="165100" cy="165100"/>
                <wp:effectExtent l="4445" t="4445" r="20955" b="20955"/>
                <wp:wrapNone/>
                <wp:docPr id="170" name="椭圆 170"/>
                <wp:cNvGraphicFramePr/>
                <a:graphic xmlns:a="http://schemas.openxmlformats.org/drawingml/2006/main">
                  <a:graphicData uri="http://schemas.microsoft.com/office/word/2010/wordprocessingShape">
                    <wps:wsp>
                      <wps:cNvSpPr/>
                      <wps:spPr>
                        <a:xfrm>
                          <a:off x="0" y="0"/>
                          <a:ext cx="165100" cy="1651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89.7pt;margin-top:419.2pt;height:13pt;width:13pt;z-index:251783168;v-text-anchor:middle;mso-width-relative:page;mso-height-relative:page;" fillcolor="#FFFF00" filled="t" stroked="t" coordsize="21600,21600" o:gfxdata="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En7zFTXAAAACwEAAA8AAAAAAAAAAQAgAAAAIgAAAGRycy9k&#10;b3ducmV2LnhtbFBLAQIUABQAAAAIAIdO4kDACeyvdQIAAAQFAAAOAAAAAAAAAAEAIAAAACYBAABk&#10;cnMvZTJvRG9jLnhtbFBLBQYAAAAABgAGAFkBAAANBgAAAAA=&#1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782144" behindDoc="0" locked="0" layoutInCell="1" allowOverlap="1">
                <wp:simplePos x="0" y="0"/>
                <wp:positionH relativeFrom="column">
                  <wp:posOffset>1101090</wp:posOffset>
                </wp:positionH>
                <wp:positionV relativeFrom="paragraph">
                  <wp:posOffset>5161280</wp:posOffset>
                </wp:positionV>
                <wp:extent cx="228600" cy="139700"/>
                <wp:effectExtent l="6350" t="6350" r="12700" b="6350"/>
                <wp:wrapNone/>
                <wp:docPr id="169" name="矩形 169"/>
                <wp:cNvGraphicFramePr/>
                <a:graphic xmlns:a="http://schemas.openxmlformats.org/drawingml/2006/main">
                  <a:graphicData uri="http://schemas.microsoft.com/office/word/2010/wordprocessingShape">
                    <wps:wsp>
                      <wps:cNvSpPr/>
                      <wps:spPr>
                        <a:xfrm>
                          <a:off x="2015490" y="5885180"/>
                          <a:ext cx="228600" cy="1397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6.7pt;margin-top:406.4pt;height:11pt;width:18pt;z-index:251782144;v-text-anchor:middle;mso-width-relative:page;mso-height-relative:page;" filled="f" stroked="t" coordsize="21600,21600" o:gfxdata="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McnyOPVAAAACwEAAA8AAAAAAAAAAQAgAAAAIgAAAGRycy9kb3ducmV2LnhtbFBLAQIU&#10;ABQAAAAIAIdO4kDtva8FaAIAAMMEAAAOAAAAAAAAAAEAIAAAACQBAABkcnMvZTJvRG9jLnhtbFBL&#10;BQYAAAAABgAGAFkBAAD+BQAAAAA=&#10;">
                <v:fill on="f" focussize="0,0"/>
                <v:stroke weight="1pt" color="#FF0000 [2404]" joinstyle="round"/>
                <v:imagedata o:title=""/>
                <o:lock v:ext="edit" aspectratio="f"/>
              </v:rect>
            </w:pict>
          </mc:Fallback>
        </mc:AlternateContent>
      </w:r>
      <w:r>
        <w:rPr>
          <w:color w:val="auto"/>
          <w:sz w:val="24"/>
        </w:rPr>
        <mc:AlternateContent>
          <mc:Choice Requires="wps">
            <w:drawing>
              <wp:anchor distT="0" distB="0" distL="114300" distR="114300" simplePos="0" relativeHeight="251781120" behindDoc="0" locked="0" layoutInCell="1" allowOverlap="1">
                <wp:simplePos x="0" y="0"/>
                <wp:positionH relativeFrom="column">
                  <wp:posOffset>961390</wp:posOffset>
                </wp:positionH>
                <wp:positionV relativeFrom="paragraph">
                  <wp:posOffset>4919980</wp:posOffset>
                </wp:positionV>
                <wp:extent cx="1257300" cy="641350"/>
                <wp:effectExtent l="4445" t="4445" r="14605" b="20955"/>
                <wp:wrapNone/>
                <wp:docPr id="168" name="文本框 168"/>
                <wp:cNvGraphicFramePr/>
                <a:graphic xmlns:a="http://schemas.openxmlformats.org/drawingml/2006/main">
                  <a:graphicData uri="http://schemas.microsoft.com/office/word/2010/wordprocessingShape">
                    <wps:wsp>
                      <wps:cNvSpPr txBox="1"/>
                      <wps:spPr>
                        <a:xfrm>
                          <a:off x="1875790" y="5605780"/>
                          <a:ext cx="1257300" cy="6413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E5F06EB">
                            <w:pPr>
                              <w:jc w:val="center"/>
                              <w:rPr>
                                <w:rFonts w:hint="eastAsia"/>
                                <w:lang w:val="en-US" w:eastAsia="zh-CN"/>
                              </w:rPr>
                            </w:pPr>
                            <w:r>
                              <w:rPr>
                                <w:rFonts w:hint="eastAsia"/>
                                <w:lang w:val="en-US" w:eastAsia="zh-CN"/>
                              </w:rPr>
                              <w:t>图例</w:t>
                            </w:r>
                          </w:p>
                          <w:p w14:paraId="51EAB782">
                            <w:pPr>
                              <w:jc w:val="right"/>
                              <w:rPr>
                                <w:rFonts w:hint="eastAsia"/>
                                <w:lang w:val="en-US" w:eastAsia="zh-CN"/>
                              </w:rPr>
                            </w:pPr>
                            <w:r>
                              <w:rPr>
                                <w:rFonts w:hint="eastAsia"/>
                                <w:lang w:val="en-US" w:eastAsia="zh-CN"/>
                              </w:rPr>
                              <w:t>项目厂址</w:t>
                            </w:r>
                          </w:p>
                          <w:p w14:paraId="21197851">
                            <w:pPr>
                              <w:jc w:val="right"/>
                              <w:rPr>
                                <w:rFonts w:hint="default"/>
                                <w:lang w:val="en-US" w:eastAsia="zh-CN"/>
                              </w:rPr>
                            </w:pPr>
                            <w:r>
                              <w:rPr>
                                <w:rFonts w:hint="eastAsia"/>
                                <w:lang w:val="en-US" w:eastAsia="zh-CN"/>
                              </w:rPr>
                              <w:t>检测点位</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5.7pt;margin-top:387.4pt;height:50.5pt;width:99pt;z-index:251781120;mso-width-relative:page;mso-height-relative:page;" fillcolor="#FFFFFF [3201]" filled="t" stroked="t" coordsize="21600,21600" o:gfxdata="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7A7Xt2AAAAAsBAAAPAAAAAAAAAAEAIAAAACIAAABkcnMvZG93bnJldi54bWxQSwECFAAU&#10;AAAACACHTuJADkl4sGMCAADHBAAADgAAAAAAAAABACAAAAAnAQAAZHJzL2Uyb0RvYy54bWxQSwUG&#10;AAAAAAYABgBZAQAA/AUAAAAA&#10;">
                <v:fill on="t" focussize="0,0"/>
                <v:stroke weight="0.5pt" color="#000000 [3204]" joinstyle="round"/>
                <v:imagedata o:title=""/>
                <o:lock v:ext="edit" aspectratio="f"/>
                <v:textbox>
                  <w:txbxContent>
                    <w:p w14:paraId="5E5F06EB">
                      <w:pPr>
                        <w:jc w:val="center"/>
                        <w:rPr>
                          <w:rFonts w:hint="eastAsia"/>
                          <w:lang w:val="en-US" w:eastAsia="zh-CN"/>
                        </w:rPr>
                      </w:pPr>
                      <w:r>
                        <w:rPr>
                          <w:rFonts w:hint="eastAsia"/>
                          <w:lang w:val="en-US" w:eastAsia="zh-CN"/>
                        </w:rPr>
                        <w:t>图例</w:t>
                      </w:r>
                    </w:p>
                    <w:p w14:paraId="51EAB782">
                      <w:pPr>
                        <w:jc w:val="right"/>
                        <w:rPr>
                          <w:rFonts w:hint="eastAsia"/>
                          <w:lang w:val="en-US" w:eastAsia="zh-CN"/>
                        </w:rPr>
                      </w:pPr>
                      <w:r>
                        <w:rPr>
                          <w:rFonts w:hint="eastAsia"/>
                          <w:lang w:val="en-US" w:eastAsia="zh-CN"/>
                        </w:rPr>
                        <w:t>项目厂址</w:t>
                      </w:r>
                    </w:p>
                    <w:p w14:paraId="21197851">
                      <w:pPr>
                        <w:jc w:val="right"/>
                        <w:rPr>
                          <w:rFonts w:hint="default"/>
                          <w:lang w:val="en-US" w:eastAsia="zh-CN"/>
                        </w:rPr>
                      </w:pPr>
                      <w:r>
                        <w:rPr>
                          <w:rFonts w:hint="eastAsia"/>
                          <w:lang w:val="en-US" w:eastAsia="zh-CN"/>
                        </w:rPr>
                        <w:t>检测点位</w:t>
                      </w:r>
                    </w:p>
                  </w:txbxContent>
                </v:textbox>
              </v:shape>
            </w:pict>
          </mc:Fallback>
        </mc:AlternateContent>
      </w:r>
      <w:r>
        <w:rPr>
          <w:color w:val="auto"/>
          <w:sz w:val="24"/>
        </w:rPr>
        <mc:AlternateContent>
          <mc:Choice Requires="wps">
            <w:drawing>
              <wp:anchor distT="0" distB="0" distL="114300" distR="114300" simplePos="0" relativeHeight="251780096" behindDoc="0" locked="0" layoutInCell="1" allowOverlap="1">
                <wp:simplePos x="0" y="0"/>
                <wp:positionH relativeFrom="column">
                  <wp:posOffset>2205990</wp:posOffset>
                </wp:positionH>
                <wp:positionV relativeFrom="paragraph">
                  <wp:posOffset>4635500</wp:posOffset>
                </wp:positionV>
                <wp:extent cx="1256030" cy="298450"/>
                <wp:effectExtent l="0" t="0" r="0" b="0"/>
                <wp:wrapNone/>
                <wp:docPr id="167" name="文本框 167"/>
                <wp:cNvGraphicFramePr/>
                <a:graphic xmlns:a="http://schemas.openxmlformats.org/drawingml/2006/main">
                  <a:graphicData uri="http://schemas.microsoft.com/office/word/2010/wordprocessingShape">
                    <wps:wsp>
                      <wps:cNvSpPr txBox="1"/>
                      <wps:spPr>
                        <a:xfrm>
                          <a:off x="0" y="0"/>
                          <a:ext cx="1256030" cy="298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1FF4A1">
                            <w:pPr>
                              <w:rPr>
                                <w:rFonts w:hint="default" w:eastAsia="宋体"/>
                                <w:b/>
                                <w:bCs/>
                                <w:color w:val="FFFF00"/>
                                <w:lang w:val="en-US" w:eastAsia="zh-CN"/>
                              </w:rPr>
                            </w:pPr>
                            <w:r>
                              <w:rPr>
                                <w:rFonts w:hint="eastAsia"/>
                                <w:b/>
                                <w:bCs/>
                                <w:color w:val="FFFF00"/>
                                <w:lang w:val="en-US" w:eastAsia="zh-CN"/>
                              </w:rPr>
                              <w:t>G6王埝村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3.7pt;margin-top:365pt;height:23.5pt;width:98.9pt;z-index:251780096;mso-width-relative:page;mso-height-relative:page;" filled="f" stroked="f" coordsize="21600,21600" o:gfxdata="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upl0w9wAAAALAQAADwAAAAAAAAABACAAAAAiAAAA&#10;ZHJzL2Rvd25yZXYueG1sUEsBAhQAFAAAAAgAh07iQMcMNik8AgAAagQAAA4AAAAAAAAAAQAgAAAA&#10;KwEAAGRycy9lMm9Eb2MueG1sUEsFBgAAAAAGAAYAWQEAANkFAAAAAA==&#10;">
                <v:fill on="f" focussize="0,0"/>
                <v:stroke on="f" weight="0.5pt"/>
                <v:imagedata o:title=""/>
                <o:lock v:ext="edit" aspectratio="f"/>
                <v:textbox>
                  <w:txbxContent>
                    <w:p w14:paraId="351FF4A1">
                      <w:pPr>
                        <w:rPr>
                          <w:rFonts w:hint="default" w:eastAsia="宋体"/>
                          <w:b/>
                          <w:bCs/>
                          <w:color w:val="FFFF00"/>
                          <w:lang w:val="en-US" w:eastAsia="zh-CN"/>
                        </w:rPr>
                      </w:pPr>
                      <w:r>
                        <w:rPr>
                          <w:rFonts w:hint="eastAsia"/>
                          <w:b/>
                          <w:bCs/>
                          <w:color w:val="FFFF00"/>
                          <w:lang w:val="en-US" w:eastAsia="zh-CN"/>
                        </w:rPr>
                        <w:t>G6王埝村</w:t>
                      </w:r>
                    </w:p>
                  </w:txbxContent>
                </v:textbox>
              </v:shape>
            </w:pict>
          </mc:Fallback>
        </mc:AlternateContent>
      </w:r>
      <w:r>
        <w:rPr>
          <w:color w:val="auto"/>
          <w:sz w:val="24"/>
        </w:rPr>
        <mc:AlternateContent>
          <mc:Choice Requires="wps">
            <w:drawing>
              <wp:anchor distT="0" distB="0" distL="114300" distR="114300" simplePos="0" relativeHeight="251779072" behindDoc="0" locked="0" layoutInCell="1" allowOverlap="1">
                <wp:simplePos x="0" y="0"/>
                <wp:positionH relativeFrom="column">
                  <wp:posOffset>2123440</wp:posOffset>
                </wp:positionH>
                <wp:positionV relativeFrom="paragraph">
                  <wp:posOffset>4568190</wp:posOffset>
                </wp:positionV>
                <wp:extent cx="165100" cy="165100"/>
                <wp:effectExtent l="4445" t="4445" r="20955" b="20955"/>
                <wp:wrapNone/>
                <wp:docPr id="166" name="椭圆 166"/>
                <wp:cNvGraphicFramePr/>
                <a:graphic xmlns:a="http://schemas.openxmlformats.org/drawingml/2006/main">
                  <a:graphicData uri="http://schemas.microsoft.com/office/word/2010/wordprocessingShape">
                    <wps:wsp>
                      <wps:cNvSpPr/>
                      <wps:spPr>
                        <a:xfrm>
                          <a:off x="0" y="0"/>
                          <a:ext cx="165100" cy="1651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67.2pt;margin-top:359.7pt;height:13pt;width:13pt;z-index:251779072;v-text-anchor:middle;mso-width-relative:page;mso-height-relative:page;" fillcolor="#FFFF00" filled="t" stroked="t" coordsize="21600,21600" o:gfxdata="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M8Qt89gAAAALAQAADwAAAAAAAAABACAAAAAiAAAAZHJz&#10;L2Rvd25yZXYueG1sUEsBAhQAFAAAAAgAh07iQM60he52AgAABAUAAA4AAAAAAAAAAQAgAAAAJwEA&#10;AGRycy9lMm9Eb2MueG1sUEsFBgAAAAAGAAYAWQEAAA8GAAAAAA==&#1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778048" behindDoc="0" locked="0" layoutInCell="1" allowOverlap="1">
                <wp:simplePos x="0" y="0"/>
                <wp:positionH relativeFrom="column">
                  <wp:posOffset>2923540</wp:posOffset>
                </wp:positionH>
                <wp:positionV relativeFrom="paragraph">
                  <wp:posOffset>3162300</wp:posOffset>
                </wp:positionV>
                <wp:extent cx="1256030" cy="298450"/>
                <wp:effectExtent l="0" t="0" r="0" b="0"/>
                <wp:wrapNone/>
                <wp:docPr id="165" name="文本框 165"/>
                <wp:cNvGraphicFramePr/>
                <a:graphic xmlns:a="http://schemas.openxmlformats.org/drawingml/2006/main">
                  <a:graphicData uri="http://schemas.microsoft.com/office/word/2010/wordprocessingShape">
                    <wps:wsp>
                      <wps:cNvSpPr txBox="1"/>
                      <wps:spPr>
                        <a:xfrm>
                          <a:off x="0" y="0"/>
                          <a:ext cx="1256030" cy="298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5F55BA5">
                            <w:pPr>
                              <w:rPr>
                                <w:rFonts w:hint="default" w:eastAsia="宋体"/>
                                <w:b/>
                                <w:bCs/>
                                <w:color w:val="FFFF00"/>
                                <w:lang w:val="en-US" w:eastAsia="zh-CN"/>
                              </w:rPr>
                            </w:pPr>
                            <w:r>
                              <w:rPr>
                                <w:rFonts w:hint="eastAsia"/>
                                <w:b/>
                                <w:bCs/>
                                <w:color w:val="FFFF00"/>
                                <w:lang w:val="en-US" w:eastAsia="zh-CN"/>
                              </w:rPr>
                              <w:t>G5赵楼村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0.2pt;margin-top:249pt;height:23.5pt;width:98.9pt;z-index:251778048;mso-width-relative:page;mso-height-relative:page;" filled="f" stroked="f" coordsize="21600,21600" o:gfxdata="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HJApU2wAAAAsBAAAPAAAAAAAAAAEAIAAAACIAAABk&#10;cnMvZG93bnJldi54bWxQSwECFAAUAAAACACHTuJAosU41DwCAABqBAAADgAAAAAAAAABACAAAAAq&#10;AQAAZHJzL2Uyb0RvYy54bWxQSwUGAAAAAAYABgBZAQAA2AUAAAAA&#10;">
                <v:fill on="f" focussize="0,0"/>
                <v:stroke on="f" weight="0.5pt"/>
                <v:imagedata o:title=""/>
                <o:lock v:ext="edit" aspectratio="f"/>
                <v:textbox>
                  <w:txbxContent>
                    <w:p w14:paraId="75F55BA5">
                      <w:pPr>
                        <w:rPr>
                          <w:rFonts w:hint="default" w:eastAsia="宋体"/>
                          <w:b/>
                          <w:bCs/>
                          <w:color w:val="FFFF00"/>
                          <w:lang w:val="en-US" w:eastAsia="zh-CN"/>
                        </w:rPr>
                      </w:pPr>
                      <w:r>
                        <w:rPr>
                          <w:rFonts w:hint="eastAsia"/>
                          <w:b/>
                          <w:bCs/>
                          <w:color w:val="FFFF00"/>
                          <w:lang w:val="en-US" w:eastAsia="zh-CN"/>
                        </w:rPr>
                        <w:t>G5赵楼村</w:t>
                      </w:r>
                    </w:p>
                  </w:txbxContent>
                </v:textbox>
              </v:shape>
            </w:pict>
          </mc:Fallback>
        </mc:AlternateContent>
      </w:r>
      <w:r>
        <w:rPr>
          <w:color w:val="auto"/>
          <w:sz w:val="24"/>
        </w:rPr>
        <mc:AlternateContent>
          <mc:Choice Requires="wps">
            <w:drawing>
              <wp:anchor distT="0" distB="0" distL="114300" distR="114300" simplePos="0" relativeHeight="251773952" behindDoc="0" locked="0" layoutInCell="1" allowOverlap="1">
                <wp:simplePos x="0" y="0"/>
                <wp:positionH relativeFrom="column">
                  <wp:posOffset>2923540</wp:posOffset>
                </wp:positionH>
                <wp:positionV relativeFrom="paragraph">
                  <wp:posOffset>3088640</wp:posOffset>
                </wp:positionV>
                <wp:extent cx="165100" cy="165100"/>
                <wp:effectExtent l="4445" t="4445" r="20955" b="20955"/>
                <wp:wrapNone/>
                <wp:docPr id="159" name="椭圆 159"/>
                <wp:cNvGraphicFramePr/>
                <a:graphic xmlns:a="http://schemas.openxmlformats.org/drawingml/2006/main">
                  <a:graphicData uri="http://schemas.microsoft.com/office/word/2010/wordprocessingShape">
                    <wps:wsp>
                      <wps:cNvSpPr/>
                      <wps:spPr>
                        <a:xfrm>
                          <a:off x="0" y="0"/>
                          <a:ext cx="165100" cy="1651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30.2pt;margin-top:243.2pt;height:13pt;width:13pt;z-index:251773952;v-text-anchor:middle;mso-width-relative:page;mso-height-relative:page;" fillcolor="#FFFF00" filled="t" stroked="t" coordsize="21600,21600" o:gfxdata="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CGymytUAAAALAQAADwAAAAAAAAABACAAAAAiAAAAZHJzL2Rv&#10;d25yZXYueG1sUEsBAhQAFAAAAAgAh07iQNt28cB2AgAABAUAAA4AAAAAAAAAAQAgAAAAJAEAAGRy&#10;cy9lMm9Eb2MueG1sUEsFBgAAAAAGAAYAWQEAAAwGAAAAAA==&#1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777024" behindDoc="0" locked="0" layoutInCell="1" allowOverlap="1">
                <wp:simplePos x="0" y="0"/>
                <wp:positionH relativeFrom="column">
                  <wp:posOffset>6797675</wp:posOffset>
                </wp:positionH>
                <wp:positionV relativeFrom="paragraph">
                  <wp:posOffset>2717800</wp:posOffset>
                </wp:positionV>
                <wp:extent cx="1027430" cy="501015"/>
                <wp:effectExtent l="0" t="0" r="0" b="0"/>
                <wp:wrapNone/>
                <wp:docPr id="164" name="文本框 164"/>
                <wp:cNvGraphicFramePr/>
                <a:graphic xmlns:a="http://schemas.openxmlformats.org/drawingml/2006/main">
                  <a:graphicData uri="http://schemas.microsoft.com/office/word/2010/wordprocessingShape">
                    <wps:wsp>
                      <wps:cNvSpPr txBox="1"/>
                      <wps:spPr>
                        <a:xfrm>
                          <a:off x="0" y="0"/>
                          <a:ext cx="1027430" cy="5010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74238D">
                            <w:pPr>
                              <w:jc w:val="both"/>
                              <w:rPr>
                                <w:b/>
                                <w:bCs/>
                                <w:color w:val="FFFF00"/>
                              </w:rPr>
                            </w:pPr>
                            <w:r>
                              <w:rPr>
                                <w:rFonts w:hint="eastAsia"/>
                                <w:b/>
                                <w:bCs/>
                                <w:color w:val="FFFF00"/>
                                <w:lang w:val="en-US" w:eastAsia="zh-CN"/>
                              </w:rPr>
                              <w:t>G4</w:t>
                            </w:r>
                            <w:r>
                              <w:rPr>
                                <w:b/>
                                <w:bCs/>
                                <w:color w:val="FFFF00"/>
                              </w:rPr>
                              <w:t>公租房区</w:t>
                            </w:r>
                          </w:p>
                          <w:p w14:paraId="625C478A">
                            <w:pPr>
                              <w:rPr>
                                <w:rFonts w:hint="default" w:eastAsia="宋体"/>
                                <w:b/>
                                <w:bCs/>
                                <w:color w:val="FFFF00"/>
                                <w:lang w:val="en-US" w:eastAsia="zh-CN"/>
                              </w:rPr>
                            </w:pPr>
                            <w:r>
                              <w:rPr>
                                <w:rFonts w:hint="eastAsia"/>
                                <w:b/>
                                <w:bCs/>
                                <w:color w:val="FFFF00"/>
                                <w:lang w:eastAsia="zh-CN"/>
                              </w:rPr>
                              <w:t>（</w:t>
                            </w:r>
                            <w:r>
                              <w:rPr>
                                <w:rFonts w:hint="eastAsia"/>
                                <w:b/>
                                <w:bCs/>
                                <w:color w:val="FFFF00"/>
                                <w:lang w:val="en-US" w:eastAsia="zh-CN"/>
                              </w:rPr>
                              <w:t>和谐家园</w:t>
                            </w:r>
                            <w:r>
                              <w:rPr>
                                <w:rFonts w:hint="eastAsia"/>
                                <w:b/>
                                <w:bCs/>
                                <w:color w:val="FFFF00"/>
                                <w:lang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35.25pt;margin-top:214pt;height:39.45pt;width:80.9pt;z-index:251777024;mso-width-relative:page;mso-height-relative:page;" filled="f" stroked="f" coordsize="21600,21600" o:gfxdata="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mSRp/dAAAADQEAAA8AAAAAAAAAAQAgAAAAIgAA&#10;AGRycy9kb3ducmV2LnhtbFBLAQIUABQAAAAIAIdO4kDGAbK9PAIAAGoEAAAOAAAAAAAAAAEAIAAA&#10;ACwBAABkcnMvZTJvRG9jLnhtbFBLBQYAAAAABgAGAFkBAADaBQAAAAA=&#10;">
                <v:fill on="f" focussize="0,0"/>
                <v:stroke on="f" weight="0.5pt"/>
                <v:imagedata o:title=""/>
                <o:lock v:ext="edit" aspectratio="f"/>
                <v:textbox>
                  <w:txbxContent>
                    <w:p w14:paraId="4B74238D">
                      <w:pPr>
                        <w:jc w:val="both"/>
                        <w:rPr>
                          <w:b/>
                          <w:bCs/>
                          <w:color w:val="FFFF00"/>
                        </w:rPr>
                      </w:pPr>
                      <w:r>
                        <w:rPr>
                          <w:rFonts w:hint="eastAsia"/>
                          <w:b/>
                          <w:bCs/>
                          <w:color w:val="FFFF00"/>
                          <w:lang w:val="en-US" w:eastAsia="zh-CN"/>
                        </w:rPr>
                        <w:t>G4</w:t>
                      </w:r>
                      <w:r>
                        <w:rPr>
                          <w:b/>
                          <w:bCs/>
                          <w:color w:val="FFFF00"/>
                        </w:rPr>
                        <w:t>公租房区</w:t>
                      </w:r>
                    </w:p>
                    <w:p w14:paraId="625C478A">
                      <w:pPr>
                        <w:rPr>
                          <w:rFonts w:hint="default" w:eastAsia="宋体"/>
                          <w:b/>
                          <w:bCs/>
                          <w:color w:val="FFFF00"/>
                          <w:lang w:val="en-US" w:eastAsia="zh-CN"/>
                        </w:rPr>
                      </w:pPr>
                      <w:r>
                        <w:rPr>
                          <w:rFonts w:hint="eastAsia"/>
                          <w:b/>
                          <w:bCs/>
                          <w:color w:val="FFFF00"/>
                          <w:lang w:eastAsia="zh-CN"/>
                        </w:rPr>
                        <w:t>（</w:t>
                      </w:r>
                      <w:r>
                        <w:rPr>
                          <w:rFonts w:hint="eastAsia"/>
                          <w:b/>
                          <w:bCs/>
                          <w:color w:val="FFFF00"/>
                          <w:lang w:val="en-US" w:eastAsia="zh-CN"/>
                        </w:rPr>
                        <w:t>和谐家园</w:t>
                      </w:r>
                      <w:r>
                        <w:rPr>
                          <w:rFonts w:hint="eastAsia"/>
                          <w:b/>
                          <w:bCs/>
                          <w:color w:val="FFFF00"/>
                          <w:lang w:eastAsia="zh-CN"/>
                        </w:rPr>
                        <w:t>）</w:t>
                      </w:r>
                    </w:p>
                  </w:txbxContent>
                </v:textbox>
              </v:shape>
            </w:pict>
          </mc:Fallback>
        </mc:AlternateContent>
      </w:r>
      <w:r>
        <w:rPr>
          <w:color w:val="auto"/>
          <w:sz w:val="24"/>
        </w:rPr>
        <mc:AlternateContent>
          <mc:Choice Requires="wps">
            <w:drawing>
              <wp:anchor distT="0" distB="0" distL="114300" distR="114300" simplePos="0" relativeHeight="251772928" behindDoc="0" locked="0" layoutInCell="1" allowOverlap="1">
                <wp:simplePos x="0" y="0"/>
                <wp:positionH relativeFrom="column">
                  <wp:posOffset>6733540</wp:posOffset>
                </wp:positionH>
                <wp:positionV relativeFrom="paragraph">
                  <wp:posOffset>2637790</wp:posOffset>
                </wp:positionV>
                <wp:extent cx="165100" cy="165100"/>
                <wp:effectExtent l="4445" t="4445" r="20955" b="20955"/>
                <wp:wrapNone/>
                <wp:docPr id="158" name="椭圆 158"/>
                <wp:cNvGraphicFramePr/>
                <a:graphic xmlns:a="http://schemas.openxmlformats.org/drawingml/2006/main">
                  <a:graphicData uri="http://schemas.microsoft.com/office/word/2010/wordprocessingShape">
                    <wps:wsp>
                      <wps:cNvSpPr/>
                      <wps:spPr>
                        <a:xfrm>
                          <a:off x="0" y="0"/>
                          <a:ext cx="165100" cy="1651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530.2pt;margin-top:207.7pt;height:13pt;width:13pt;z-index:251772928;v-text-anchor:middle;mso-width-relative:page;mso-height-relative:page;" fillcolor="#FFFF00" filled="t" stroked="t" coordsize="21600,21600" o:gfxdata="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OQseofWAAAADQEAAA8AAAAAAAAAAQAgAAAAIgAAAGRycy9k&#10;b3ducmV2LnhtbFBLAQIUABQAAAAIAIdO4kBP3+JAdgIAAAQFAAAOAAAAAAAAAAEAIAAAACUBAABk&#10;cnMvZTJvRG9jLnhtbFBLBQYAAAAABgAGAFkBAAANBgAAAAA=&#1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776000" behindDoc="0" locked="0" layoutInCell="1" allowOverlap="1">
                <wp:simplePos x="0" y="0"/>
                <wp:positionH relativeFrom="column">
                  <wp:posOffset>2948940</wp:posOffset>
                </wp:positionH>
                <wp:positionV relativeFrom="paragraph">
                  <wp:posOffset>457200</wp:posOffset>
                </wp:positionV>
                <wp:extent cx="1256030" cy="298450"/>
                <wp:effectExtent l="0" t="0" r="0" b="0"/>
                <wp:wrapNone/>
                <wp:docPr id="163" name="文本框 163"/>
                <wp:cNvGraphicFramePr/>
                <a:graphic xmlns:a="http://schemas.openxmlformats.org/drawingml/2006/main">
                  <a:graphicData uri="http://schemas.microsoft.com/office/word/2010/wordprocessingShape">
                    <wps:wsp>
                      <wps:cNvSpPr txBox="1"/>
                      <wps:spPr>
                        <a:xfrm>
                          <a:off x="0" y="0"/>
                          <a:ext cx="1256030" cy="298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8ADA42">
                            <w:pPr>
                              <w:rPr>
                                <w:rFonts w:hint="default" w:eastAsia="宋体"/>
                                <w:b/>
                                <w:bCs/>
                                <w:color w:val="FFFF00"/>
                                <w:lang w:val="en-US" w:eastAsia="zh-CN"/>
                              </w:rPr>
                            </w:pPr>
                            <w:r>
                              <w:rPr>
                                <w:rFonts w:hint="eastAsia"/>
                                <w:b/>
                                <w:bCs/>
                                <w:color w:val="FFFF00"/>
                                <w:lang w:val="en-US" w:eastAsia="zh-CN"/>
                              </w:rPr>
                              <w:t>G3刘桥镇</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2.2pt;margin-top:36pt;height:23.5pt;width:98.9pt;z-index:251776000;mso-width-relative:page;mso-height-relative:page;" filled="f" stroked="f" coordsize="21600,21600" o:gfxdata="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&#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BKrtrbaAAAACgEAAA8AAAAAAAAAAQAgAAAAIgAAAGRy&#10;cy9kb3ducmV2LnhtbFBLAQIUABQAAAAIAIdO4kBMmFoIPAIAAGoEAAAOAAAAAAAAAAEAIAAAACkB&#10;AABkcnMvZTJvRG9jLnhtbFBLBQYAAAAABgAGAFkBAADXBQAAAAA=&#10;">
                <v:fill on="f" focussize="0,0"/>
                <v:stroke on="f" weight="0.5pt"/>
                <v:imagedata o:title=""/>
                <o:lock v:ext="edit" aspectratio="f"/>
                <v:textbox>
                  <w:txbxContent>
                    <w:p w14:paraId="0C8ADA42">
                      <w:pPr>
                        <w:rPr>
                          <w:rFonts w:hint="default" w:eastAsia="宋体"/>
                          <w:b/>
                          <w:bCs/>
                          <w:color w:val="FFFF00"/>
                          <w:lang w:val="en-US" w:eastAsia="zh-CN"/>
                        </w:rPr>
                      </w:pPr>
                      <w:r>
                        <w:rPr>
                          <w:rFonts w:hint="eastAsia"/>
                          <w:b/>
                          <w:bCs/>
                          <w:color w:val="FFFF00"/>
                          <w:lang w:val="en-US" w:eastAsia="zh-CN"/>
                        </w:rPr>
                        <w:t>G3刘桥镇</w:t>
                      </w:r>
                    </w:p>
                  </w:txbxContent>
                </v:textbox>
              </v:shape>
            </w:pict>
          </mc:Fallback>
        </mc:AlternateContent>
      </w:r>
      <w:r>
        <w:rPr>
          <w:color w:val="auto"/>
          <w:sz w:val="24"/>
        </w:rPr>
        <mc:AlternateContent>
          <mc:Choice Requires="wps">
            <w:drawing>
              <wp:anchor distT="0" distB="0" distL="114300" distR="114300" simplePos="0" relativeHeight="251771904" behindDoc="0" locked="0" layoutInCell="1" allowOverlap="1">
                <wp:simplePos x="0" y="0"/>
                <wp:positionH relativeFrom="column">
                  <wp:posOffset>2879090</wp:posOffset>
                </wp:positionH>
                <wp:positionV relativeFrom="paragraph">
                  <wp:posOffset>389890</wp:posOffset>
                </wp:positionV>
                <wp:extent cx="165100" cy="165100"/>
                <wp:effectExtent l="4445" t="4445" r="20955" b="20955"/>
                <wp:wrapNone/>
                <wp:docPr id="155" name="椭圆 155"/>
                <wp:cNvGraphicFramePr/>
                <a:graphic xmlns:a="http://schemas.openxmlformats.org/drawingml/2006/main">
                  <a:graphicData uri="http://schemas.microsoft.com/office/word/2010/wordprocessingShape">
                    <wps:wsp>
                      <wps:cNvSpPr/>
                      <wps:spPr>
                        <a:xfrm>
                          <a:off x="0" y="0"/>
                          <a:ext cx="165100" cy="1651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26.7pt;margin-top:30.7pt;height:13pt;width:13pt;z-index:251771904;v-text-anchor:middle;mso-width-relative:page;mso-height-relative:page;" fillcolor="#FFFF00" filled="t" stroked="t" coordsize="21600,21600" o:gfxdata="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aTMCsNgAAAAJAQAADwAAAAAAAAABACAAAAAiAAAAZHJz&#10;L2Rvd25yZXYueG1sUEsBAhQAFAAAAAgAh07iQG6Dl3Z2AgAABAUAAA4AAAAAAAAAAQAgAAAAJwEA&#10;AGRycy9lMm9Eb2MueG1sUEsFBgAAAAAGAAYAWQEAAA8GAAAAAA==&#1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769856" behindDoc="0" locked="0" layoutInCell="1" allowOverlap="1">
                <wp:simplePos x="0" y="0"/>
                <wp:positionH relativeFrom="column">
                  <wp:posOffset>4555490</wp:posOffset>
                </wp:positionH>
                <wp:positionV relativeFrom="paragraph">
                  <wp:posOffset>2663190</wp:posOffset>
                </wp:positionV>
                <wp:extent cx="165100" cy="165100"/>
                <wp:effectExtent l="4445" t="4445" r="20955" b="20955"/>
                <wp:wrapNone/>
                <wp:docPr id="153" name="椭圆 153"/>
                <wp:cNvGraphicFramePr/>
                <a:graphic xmlns:a="http://schemas.openxmlformats.org/drawingml/2006/main">
                  <a:graphicData uri="http://schemas.microsoft.com/office/word/2010/wordprocessingShape">
                    <wps:wsp>
                      <wps:cNvSpPr/>
                      <wps:spPr>
                        <a:xfrm>
                          <a:off x="0" y="0"/>
                          <a:ext cx="165100" cy="1651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58.7pt;margin-top:209.7pt;height:13pt;width:13pt;z-index:251769856;v-text-anchor:middle;mso-width-relative:page;mso-height-relative:page;" fillcolor="#FFFF00" filled="t" stroked="t" coordsize="21600,21600" o:gfxdata="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&#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W6WkltgAAAALAQAADwAAAAAAAAABACAAAAAiAAAAZHJz&#10;L2Rvd25yZXYueG1sUEsBAhQAFAAAAAgAh07iQJR6HMB2AgAABAUAAA4AAAAAAAAAAQAgAAAAJwEA&#10;AGRycy9lMm9Eb2MueG1sUEsFBgAAAAAGAAYAWQEAAA8GAAAAAA==&#10;">
                <v:fill on="t" focussize="0,0"/>
                <v:stroke weight="0.25pt" color="#376092 [2404]" joinstyle="round"/>
                <v:imagedata o:title=""/>
                <o:lock v:ext="edit" aspectratio="f"/>
              </v:shape>
            </w:pict>
          </mc:Fallback>
        </mc:AlternateContent>
      </w:r>
      <w:r>
        <w:rPr>
          <w:rFonts w:hint="eastAsia" w:eastAsia="宋体"/>
          <w:b/>
          <w:bCs/>
          <w:color w:val="auto"/>
          <w:sz w:val="24"/>
          <w:szCs w:val="32"/>
          <w:lang w:eastAsia="zh-CN"/>
        </w:rPr>
        <w:drawing>
          <wp:inline distT="0" distB="0" distL="114300" distR="114300">
            <wp:extent cx="7117715" cy="5796280"/>
            <wp:effectExtent l="0" t="0" r="6985" b="13970"/>
            <wp:docPr id="143" name="图片 143" descr="C:/Users/Administrator/Desktop/1.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C:/Users/Administrator/Desktop/1.png1"/>
                    <pic:cNvPicPr>
                      <a:picLocks noChangeAspect="1"/>
                    </pic:cNvPicPr>
                  </pic:nvPicPr>
                  <pic:blipFill>
                    <a:blip r:embed="rId20"/>
                    <a:srcRect/>
                    <a:stretch>
                      <a:fillRect/>
                    </a:stretch>
                  </pic:blipFill>
                  <pic:spPr>
                    <a:xfrm>
                      <a:off x="0" y="0"/>
                      <a:ext cx="7117715" cy="5796280"/>
                    </a:xfrm>
                    <a:prstGeom prst="rect">
                      <a:avLst/>
                    </a:prstGeom>
                  </pic:spPr>
                </pic:pic>
              </a:graphicData>
            </a:graphic>
          </wp:inline>
        </w:drawing>
      </w:r>
    </w:p>
    <w:p w14:paraId="357A19C2">
      <w:pPr>
        <w:jc w:val="center"/>
        <w:rPr>
          <w:rFonts w:hint="default" w:eastAsia="宋体"/>
          <w:b/>
          <w:bCs/>
          <w:color w:val="auto"/>
          <w:sz w:val="24"/>
          <w:szCs w:val="32"/>
          <w:lang w:val="en-US" w:eastAsia="zh-CN"/>
        </w:rPr>
        <w:sectPr>
          <w:pgSz w:w="16838" w:h="11906" w:orient="landscape"/>
          <w:pgMar w:top="1080" w:right="1440" w:bottom="1080" w:left="1440" w:header="708" w:footer="709" w:gutter="0"/>
          <w:pgBorders>
            <w:top w:val="none" w:sz="0" w:space="0"/>
            <w:left w:val="none" w:sz="0" w:space="0"/>
            <w:bottom w:val="none" w:sz="0" w:space="0"/>
            <w:right w:val="none" w:sz="0" w:space="0"/>
          </w:pgBorders>
          <w:pgNumType w:fmt="numberInDash"/>
          <w:cols w:space="0" w:num="1"/>
          <w:docGrid w:linePitch="360" w:charSpace="0"/>
        </w:sectPr>
      </w:pPr>
      <w:r>
        <w:rPr>
          <w:color w:val="auto"/>
          <w:sz w:val="24"/>
        </w:rPr>
        <mc:AlternateContent>
          <mc:Choice Requires="wps">
            <w:drawing>
              <wp:anchor distT="0" distB="0" distL="114300" distR="114300" simplePos="0" relativeHeight="251774976" behindDoc="0" locked="0" layoutInCell="1" allowOverlap="1">
                <wp:simplePos x="0" y="0"/>
                <wp:positionH relativeFrom="column">
                  <wp:posOffset>6320790</wp:posOffset>
                </wp:positionH>
                <wp:positionV relativeFrom="paragraph">
                  <wp:posOffset>1285240</wp:posOffset>
                </wp:positionV>
                <wp:extent cx="165100" cy="165100"/>
                <wp:effectExtent l="4445" t="4445" r="20955" b="20955"/>
                <wp:wrapNone/>
                <wp:docPr id="162" name="椭圆 162"/>
                <wp:cNvGraphicFramePr/>
                <a:graphic xmlns:a="http://schemas.openxmlformats.org/drawingml/2006/main">
                  <a:graphicData uri="http://schemas.microsoft.com/office/word/2010/wordprocessingShape">
                    <wps:wsp>
                      <wps:cNvSpPr/>
                      <wps:spPr>
                        <a:xfrm>
                          <a:off x="0" y="0"/>
                          <a:ext cx="165100" cy="1651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97.7pt;margin-top:101.2pt;height:13pt;width:13pt;z-index:251774976;v-text-anchor:middle;mso-width-relative:page;mso-height-relative:page;" fillcolor="#FFFF00" filled="t" stroked="t" coordsize="21600,21600" o:gfxdata="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&#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CjOpSrZAAAADAEAAA8AAAAAAAAAAQAgAAAAIgAAAGRy&#10;cy9kb3ducmV2LnhtbFBLAQIUABQAAAAIAIdO4kBdGFiDdgIAAAQFAAAOAAAAAAAAAAEAIAAAACgB&#10;AABkcnMvZTJvRG9jLnhtbFBLBQYAAAAABgAGAFkBAAAQBgAAAAA=&#10;">
                <v:fill on="t" focussize="0,0"/>
                <v:stroke weight="0.25pt" color="#376092 [2404]" joinstyle="round"/>
                <v:imagedata o:title=""/>
                <o:lock v:ext="edit" aspectratio="f"/>
              </v:shape>
            </w:pict>
          </mc:Fallback>
        </mc:AlternateContent>
      </w:r>
      <w:r>
        <w:rPr>
          <w:rFonts w:hint="eastAsia"/>
          <w:b/>
          <w:bCs/>
          <w:color w:val="auto"/>
          <w:sz w:val="24"/>
          <w:szCs w:val="32"/>
          <w:lang w:val="en-US" w:eastAsia="zh-CN"/>
        </w:rPr>
        <w:t>图2-2 大气环境监测点位示意图</w:t>
      </w:r>
    </w:p>
    <w:p w14:paraId="4550DEEF">
      <w:pPr>
        <w:spacing w:line="360" w:lineRule="auto"/>
        <w:ind w:firstLine="480" w:firstLineChars="200"/>
        <w:jc w:val="left"/>
        <w:rPr>
          <w:rFonts w:hint="default"/>
          <w:b w:val="0"/>
          <w:bCs w:val="0"/>
          <w:color w:val="auto"/>
          <w:sz w:val="24"/>
          <w:szCs w:val="32"/>
          <w:lang w:val="en-US" w:eastAsia="zh-CN"/>
        </w:rPr>
      </w:pPr>
      <w:r>
        <w:rPr>
          <w:rFonts w:hint="eastAsia"/>
          <w:b w:val="0"/>
          <w:bCs w:val="0"/>
          <w:color w:val="auto"/>
          <w:sz w:val="24"/>
          <w:szCs w:val="32"/>
          <w:lang w:eastAsia="zh-CN"/>
        </w:rPr>
        <w:t>（</w:t>
      </w:r>
      <w:r>
        <w:rPr>
          <w:rFonts w:hint="eastAsia"/>
          <w:b w:val="0"/>
          <w:bCs w:val="0"/>
          <w:color w:val="auto"/>
          <w:sz w:val="24"/>
          <w:szCs w:val="32"/>
          <w:lang w:val="en-US" w:eastAsia="zh-CN"/>
        </w:rPr>
        <w:t>2</w:t>
      </w:r>
      <w:r>
        <w:rPr>
          <w:rFonts w:hint="eastAsia"/>
          <w:b w:val="0"/>
          <w:bCs w:val="0"/>
          <w:color w:val="auto"/>
          <w:sz w:val="24"/>
          <w:szCs w:val="32"/>
          <w:lang w:eastAsia="zh-CN"/>
        </w:rPr>
        <w:t>）</w:t>
      </w:r>
      <w:r>
        <w:rPr>
          <w:rFonts w:hint="eastAsia"/>
          <w:b w:val="0"/>
          <w:bCs w:val="0"/>
          <w:color w:val="auto"/>
          <w:sz w:val="24"/>
          <w:szCs w:val="32"/>
          <w:lang w:val="en-US" w:eastAsia="zh-CN"/>
        </w:rPr>
        <w:t>评价标准</w:t>
      </w:r>
    </w:p>
    <w:p w14:paraId="66D84618">
      <w:pPr>
        <w:spacing w:line="360" w:lineRule="auto"/>
        <w:ind w:firstLine="480" w:firstLineChars="200"/>
        <w:jc w:val="left"/>
        <w:rPr>
          <w:rFonts w:hint="eastAsia"/>
          <w:color w:val="auto"/>
          <w:sz w:val="24"/>
          <w:szCs w:val="32"/>
          <w:lang w:eastAsia="zh-CN"/>
        </w:rPr>
      </w:pPr>
      <w:r>
        <w:rPr>
          <w:color w:val="auto"/>
          <w:sz w:val="24"/>
          <w:szCs w:val="32"/>
        </w:rPr>
        <w:t>项目区域环境空气质量SO</w:t>
      </w:r>
      <w:r>
        <w:rPr>
          <w:color w:val="auto"/>
          <w:sz w:val="24"/>
          <w:szCs w:val="32"/>
          <w:vertAlign w:val="subscript"/>
        </w:rPr>
        <w:t>2</w:t>
      </w:r>
      <w:r>
        <w:rPr>
          <w:color w:val="auto"/>
          <w:sz w:val="24"/>
          <w:szCs w:val="32"/>
        </w:rPr>
        <w:t>、NO</w:t>
      </w:r>
      <w:r>
        <w:rPr>
          <w:color w:val="auto"/>
          <w:sz w:val="24"/>
          <w:szCs w:val="32"/>
          <w:vertAlign w:val="subscript"/>
        </w:rPr>
        <w:t>2</w:t>
      </w:r>
      <w:r>
        <w:rPr>
          <w:color w:val="auto"/>
          <w:sz w:val="24"/>
          <w:szCs w:val="32"/>
        </w:rPr>
        <w:t>、PM</w:t>
      </w:r>
      <w:r>
        <w:rPr>
          <w:color w:val="auto"/>
          <w:sz w:val="24"/>
          <w:szCs w:val="32"/>
          <w:vertAlign w:val="subscript"/>
        </w:rPr>
        <w:t>10</w:t>
      </w:r>
      <w:r>
        <w:rPr>
          <w:color w:val="auto"/>
          <w:sz w:val="24"/>
          <w:szCs w:val="32"/>
        </w:rPr>
        <w:t>、</w:t>
      </w:r>
      <w:r>
        <w:rPr>
          <w:rFonts w:hint="eastAsia"/>
          <w:color w:val="auto"/>
          <w:sz w:val="24"/>
          <w:szCs w:val="32"/>
          <w:lang w:val="en-US" w:eastAsia="zh-CN"/>
        </w:rPr>
        <w:t>氟化物</w:t>
      </w:r>
      <w:r>
        <w:rPr>
          <w:color w:val="auto"/>
          <w:sz w:val="24"/>
          <w:szCs w:val="32"/>
        </w:rPr>
        <w:t>执行《环境空气质量标准》（GB3095－2012）中二级标准；</w:t>
      </w:r>
      <w:r>
        <w:rPr>
          <w:rFonts w:hint="eastAsia"/>
          <w:color w:val="auto"/>
          <w:sz w:val="24"/>
          <w:szCs w:val="32"/>
          <w:lang w:val="en-US" w:eastAsia="zh-CN"/>
        </w:rPr>
        <w:t>氯化氢执行《工业企业设计卫生标准》（TJ36-79）；二噁英参照执行《日本环境厅中央环境审议会制定的环境标准》。</w:t>
      </w:r>
      <w:r>
        <w:rPr>
          <w:color w:val="auto"/>
          <w:sz w:val="24"/>
          <w:szCs w:val="32"/>
        </w:rPr>
        <w:t>具体限值详见下表</w:t>
      </w:r>
      <w:r>
        <w:rPr>
          <w:rFonts w:hint="eastAsia"/>
          <w:color w:val="auto"/>
          <w:sz w:val="24"/>
          <w:szCs w:val="32"/>
          <w:lang w:eastAsia="zh-CN"/>
        </w:rPr>
        <w:t>：</w:t>
      </w:r>
    </w:p>
    <w:p w14:paraId="545B474F">
      <w:pPr>
        <w:spacing w:line="360" w:lineRule="auto"/>
        <w:jc w:val="center"/>
        <w:rPr>
          <w:rFonts w:hint="default"/>
          <w:color w:val="auto"/>
          <w:sz w:val="24"/>
          <w:szCs w:val="32"/>
          <w:lang w:val="en-US" w:eastAsia="zh-CN"/>
        </w:rPr>
      </w:pPr>
      <w:r>
        <w:rPr>
          <w:rFonts w:hint="eastAsia"/>
          <w:b/>
          <w:bCs/>
          <w:color w:val="auto"/>
          <w:sz w:val="24"/>
          <w:szCs w:val="32"/>
          <w:lang w:val="en-US" w:eastAsia="zh-CN"/>
        </w:rPr>
        <w:t>表2-7 环评阶段环境空气质量标准一览表</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autofit"/>
        <w:tblCellMar>
          <w:top w:w="0" w:type="dxa"/>
          <w:left w:w="108" w:type="dxa"/>
          <w:bottom w:w="0" w:type="dxa"/>
          <w:right w:w="108" w:type="dxa"/>
        </w:tblCellMar>
      </w:tblPr>
      <w:tblGrid>
        <w:gridCol w:w="1219"/>
        <w:gridCol w:w="1896"/>
        <w:gridCol w:w="3359"/>
        <w:gridCol w:w="3488"/>
      </w:tblGrid>
      <w:tr w14:paraId="508031C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rHeight w:val="349" w:hRule="atLeast"/>
          <w:tblHeader/>
        </w:trPr>
        <w:tc>
          <w:tcPr>
            <w:tcW w:w="612" w:type="pct"/>
            <w:vMerge w:val="restart"/>
            <w:tcBorders>
              <w:tl2br w:val="nil"/>
              <w:tr2bl w:val="nil"/>
            </w:tcBorders>
            <w:shd w:val="clear" w:color="auto" w:fill="auto"/>
            <w:noWrap w:val="0"/>
            <w:vAlign w:val="center"/>
          </w:tcPr>
          <w:p w14:paraId="022A2B59">
            <w:pPr>
              <w:spacing w:before="31" w:beforeLines="10" w:line="264" w:lineRule="auto"/>
              <w:jc w:val="center"/>
              <w:rPr>
                <w:b/>
                <w:color w:val="auto"/>
              </w:rPr>
            </w:pPr>
            <w:r>
              <w:rPr>
                <w:b/>
                <w:color w:val="auto"/>
              </w:rPr>
              <w:t>污染物</w:t>
            </w:r>
          </w:p>
        </w:tc>
        <w:tc>
          <w:tcPr>
            <w:tcW w:w="951" w:type="pct"/>
            <w:tcBorders>
              <w:tl2br w:val="nil"/>
              <w:tr2bl w:val="nil"/>
            </w:tcBorders>
            <w:shd w:val="clear" w:color="auto" w:fill="auto"/>
            <w:noWrap w:val="0"/>
            <w:vAlign w:val="center"/>
          </w:tcPr>
          <w:p w14:paraId="29299B2A">
            <w:pPr>
              <w:spacing w:before="31" w:beforeLines="10" w:line="264" w:lineRule="auto"/>
              <w:jc w:val="center"/>
              <w:rPr>
                <w:b/>
                <w:color w:val="auto"/>
              </w:rPr>
            </w:pPr>
            <w:r>
              <w:rPr>
                <w:b/>
                <w:color w:val="auto"/>
              </w:rPr>
              <w:t>取值时间</w:t>
            </w:r>
          </w:p>
        </w:tc>
        <w:tc>
          <w:tcPr>
            <w:tcW w:w="1685" w:type="pct"/>
            <w:tcBorders>
              <w:tl2br w:val="nil"/>
              <w:tr2bl w:val="nil"/>
            </w:tcBorders>
            <w:shd w:val="clear" w:color="auto" w:fill="auto"/>
            <w:noWrap w:val="0"/>
            <w:vAlign w:val="center"/>
          </w:tcPr>
          <w:p w14:paraId="34FFB930">
            <w:pPr>
              <w:spacing w:before="31" w:beforeLines="10" w:line="264" w:lineRule="auto"/>
              <w:jc w:val="center"/>
              <w:rPr>
                <w:rFonts w:hint="eastAsia" w:eastAsia="宋体"/>
                <w:b/>
                <w:color w:val="auto"/>
                <w:lang w:eastAsia="zh-CN"/>
              </w:rPr>
            </w:pPr>
            <w:r>
              <w:rPr>
                <w:b/>
                <w:color w:val="auto"/>
              </w:rPr>
              <w:t>浓度限值</w:t>
            </w:r>
          </w:p>
        </w:tc>
        <w:tc>
          <w:tcPr>
            <w:tcW w:w="1750" w:type="pct"/>
            <w:vMerge w:val="restart"/>
            <w:tcBorders>
              <w:tl2br w:val="nil"/>
              <w:tr2bl w:val="nil"/>
            </w:tcBorders>
            <w:shd w:val="clear" w:color="auto" w:fill="auto"/>
            <w:noWrap w:val="0"/>
            <w:vAlign w:val="center"/>
          </w:tcPr>
          <w:p w14:paraId="5A88B729">
            <w:pPr>
              <w:spacing w:before="31" w:beforeLines="10" w:line="264" w:lineRule="auto"/>
              <w:jc w:val="center"/>
              <w:rPr>
                <w:b/>
                <w:color w:val="auto"/>
              </w:rPr>
            </w:pPr>
            <w:r>
              <w:rPr>
                <w:b/>
                <w:color w:val="auto"/>
              </w:rPr>
              <w:t>标准来源</w:t>
            </w:r>
          </w:p>
        </w:tc>
      </w:tr>
      <w:tr w14:paraId="2D8B6DF4">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5902EC05">
            <w:pPr>
              <w:spacing w:before="15" w:beforeLines="5" w:line="252" w:lineRule="auto"/>
              <w:jc w:val="center"/>
              <w:rPr>
                <w:color w:val="auto"/>
              </w:rPr>
            </w:pPr>
            <w:r>
              <w:rPr>
                <w:color w:val="auto"/>
              </w:rPr>
              <w:t>PM</w:t>
            </w:r>
            <w:r>
              <w:rPr>
                <w:color w:val="auto"/>
                <w:vertAlign w:val="subscript"/>
              </w:rPr>
              <w:t>10</w:t>
            </w:r>
          </w:p>
        </w:tc>
        <w:tc>
          <w:tcPr>
            <w:tcW w:w="951" w:type="pct"/>
            <w:tcBorders>
              <w:tl2br w:val="nil"/>
              <w:tr2bl w:val="nil"/>
            </w:tcBorders>
            <w:shd w:val="clear" w:color="auto" w:fill="auto"/>
            <w:noWrap w:val="0"/>
            <w:vAlign w:val="center"/>
          </w:tcPr>
          <w:p w14:paraId="11779B4C">
            <w:pPr>
              <w:spacing w:before="15" w:beforeLines="5" w:line="252" w:lineRule="auto"/>
              <w:jc w:val="center"/>
              <w:rPr>
                <w:color w:val="auto"/>
              </w:rPr>
            </w:pPr>
            <w:r>
              <w:rPr>
                <w:color w:val="auto"/>
              </w:rPr>
              <w:t>年平均</w:t>
            </w:r>
          </w:p>
        </w:tc>
        <w:tc>
          <w:tcPr>
            <w:tcW w:w="1685" w:type="pct"/>
            <w:tcBorders>
              <w:tl2br w:val="nil"/>
              <w:tr2bl w:val="nil"/>
            </w:tcBorders>
            <w:shd w:val="clear" w:color="auto" w:fill="auto"/>
            <w:noWrap w:val="0"/>
            <w:vAlign w:val="center"/>
          </w:tcPr>
          <w:p w14:paraId="36241FFD">
            <w:pPr>
              <w:spacing w:before="15" w:beforeLines="5" w:line="252" w:lineRule="auto"/>
              <w:jc w:val="center"/>
              <w:rPr>
                <w:color w:val="auto"/>
              </w:rPr>
            </w:pPr>
            <w:r>
              <w:rPr>
                <w:rFonts w:hint="eastAsia"/>
                <w:color w:val="auto"/>
              </w:rPr>
              <w:t>70</w:t>
            </w:r>
          </w:p>
        </w:tc>
        <w:tc>
          <w:tcPr>
            <w:tcW w:w="1750" w:type="pct"/>
            <w:vMerge w:val="restart"/>
            <w:tcBorders>
              <w:tl2br w:val="nil"/>
              <w:tr2bl w:val="nil"/>
            </w:tcBorders>
            <w:shd w:val="clear" w:color="auto" w:fill="auto"/>
            <w:noWrap w:val="0"/>
            <w:vAlign w:val="center"/>
          </w:tcPr>
          <w:p w14:paraId="7BEACD6F">
            <w:pPr>
              <w:spacing w:before="15" w:beforeLines="5" w:line="252" w:lineRule="auto"/>
              <w:jc w:val="center"/>
              <w:rPr>
                <w:color w:val="auto"/>
              </w:rPr>
            </w:pPr>
            <w:r>
              <w:rPr>
                <w:color w:val="auto"/>
              </w:rPr>
              <w:t>《环境空气质量标准》（GB3095-2012）</w:t>
            </w:r>
          </w:p>
          <w:p w14:paraId="63DEC2E9">
            <w:pPr>
              <w:spacing w:before="15" w:beforeLines="5" w:line="252" w:lineRule="auto"/>
              <w:jc w:val="center"/>
              <w:rPr>
                <w:color w:val="auto"/>
              </w:rPr>
            </w:pPr>
            <w:r>
              <w:rPr>
                <w:color w:val="auto"/>
              </w:rPr>
              <w:t>中的二级标准</w:t>
            </w:r>
          </w:p>
        </w:tc>
      </w:tr>
      <w:tr w14:paraId="5A3381A6">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26FCE7E6">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5A6017E3">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334D1B92">
            <w:pPr>
              <w:spacing w:before="15" w:beforeLines="5" w:line="252" w:lineRule="auto"/>
              <w:jc w:val="center"/>
              <w:rPr>
                <w:color w:val="auto"/>
              </w:rPr>
            </w:pPr>
            <w:r>
              <w:rPr>
                <w:rFonts w:hint="eastAsia"/>
                <w:color w:val="auto"/>
              </w:rPr>
              <w:t>150</w:t>
            </w:r>
          </w:p>
        </w:tc>
        <w:tc>
          <w:tcPr>
            <w:tcW w:w="1750" w:type="pct"/>
            <w:vMerge w:val="continue"/>
            <w:tcBorders>
              <w:tl2br w:val="nil"/>
              <w:tr2bl w:val="nil"/>
            </w:tcBorders>
            <w:shd w:val="clear" w:color="auto" w:fill="auto"/>
            <w:noWrap w:val="0"/>
            <w:vAlign w:val="center"/>
          </w:tcPr>
          <w:p w14:paraId="533A2DD9">
            <w:pPr>
              <w:spacing w:before="15" w:beforeLines="5" w:line="252" w:lineRule="auto"/>
              <w:jc w:val="center"/>
              <w:rPr>
                <w:color w:val="auto"/>
              </w:rPr>
            </w:pPr>
          </w:p>
        </w:tc>
      </w:tr>
      <w:tr w14:paraId="7E0B8A16">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3635672F">
            <w:pPr>
              <w:spacing w:before="15" w:beforeLines="5" w:line="252" w:lineRule="auto"/>
              <w:jc w:val="center"/>
              <w:rPr>
                <w:color w:val="auto"/>
              </w:rPr>
            </w:pPr>
            <w:r>
              <w:rPr>
                <w:color w:val="auto"/>
              </w:rPr>
              <w:t>SO</w:t>
            </w:r>
            <w:r>
              <w:rPr>
                <w:color w:val="auto"/>
                <w:vertAlign w:val="subscript"/>
              </w:rPr>
              <w:t>2</w:t>
            </w:r>
          </w:p>
        </w:tc>
        <w:tc>
          <w:tcPr>
            <w:tcW w:w="951" w:type="pct"/>
            <w:tcBorders>
              <w:tl2br w:val="nil"/>
              <w:tr2bl w:val="nil"/>
            </w:tcBorders>
            <w:shd w:val="clear" w:color="auto" w:fill="auto"/>
            <w:noWrap w:val="0"/>
            <w:vAlign w:val="center"/>
          </w:tcPr>
          <w:p w14:paraId="5443BC79">
            <w:pPr>
              <w:spacing w:before="15" w:beforeLines="5" w:line="252" w:lineRule="auto"/>
              <w:jc w:val="center"/>
              <w:rPr>
                <w:color w:val="auto"/>
              </w:rPr>
            </w:pPr>
            <w:r>
              <w:rPr>
                <w:color w:val="auto"/>
              </w:rPr>
              <w:t>年平均</w:t>
            </w:r>
          </w:p>
        </w:tc>
        <w:tc>
          <w:tcPr>
            <w:tcW w:w="1685" w:type="pct"/>
            <w:tcBorders>
              <w:tl2br w:val="nil"/>
              <w:tr2bl w:val="nil"/>
            </w:tcBorders>
            <w:shd w:val="clear" w:color="auto" w:fill="auto"/>
            <w:noWrap w:val="0"/>
            <w:vAlign w:val="center"/>
          </w:tcPr>
          <w:p w14:paraId="4134259E">
            <w:pPr>
              <w:spacing w:before="15" w:beforeLines="5" w:line="252" w:lineRule="auto"/>
              <w:jc w:val="center"/>
              <w:rPr>
                <w:color w:val="auto"/>
              </w:rPr>
            </w:pPr>
            <w:r>
              <w:rPr>
                <w:rFonts w:hint="eastAsia"/>
                <w:color w:val="auto"/>
              </w:rPr>
              <w:t>60</w:t>
            </w:r>
          </w:p>
        </w:tc>
        <w:tc>
          <w:tcPr>
            <w:tcW w:w="1750" w:type="pct"/>
            <w:vMerge w:val="continue"/>
            <w:tcBorders>
              <w:tl2br w:val="nil"/>
              <w:tr2bl w:val="nil"/>
            </w:tcBorders>
            <w:shd w:val="clear" w:color="auto" w:fill="auto"/>
            <w:noWrap w:val="0"/>
            <w:vAlign w:val="center"/>
          </w:tcPr>
          <w:p w14:paraId="7808BF87">
            <w:pPr>
              <w:spacing w:before="15" w:beforeLines="5" w:line="252" w:lineRule="auto"/>
              <w:jc w:val="center"/>
              <w:rPr>
                <w:color w:val="auto"/>
              </w:rPr>
            </w:pPr>
          </w:p>
        </w:tc>
      </w:tr>
      <w:tr w14:paraId="189FEC3C">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28820027">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2E1BC075">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2B0E0856">
            <w:pPr>
              <w:spacing w:before="15" w:beforeLines="5" w:line="252" w:lineRule="auto"/>
              <w:jc w:val="center"/>
              <w:rPr>
                <w:color w:val="auto"/>
              </w:rPr>
            </w:pPr>
            <w:r>
              <w:rPr>
                <w:rFonts w:hint="eastAsia"/>
                <w:color w:val="auto"/>
              </w:rPr>
              <w:t>150</w:t>
            </w:r>
          </w:p>
        </w:tc>
        <w:tc>
          <w:tcPr>
            <w:tcW w:w="1750" w:type="pct"/>
            <w:vMerge w:val="continue"/>
            <w:tcBorders>
              <w:tl2br w:val="nil"/>
              <w:tr2bl w:val="nil"/>
            </w:tcBorders>
            <w:shd w:val="clear" w:color="auto" w:fill="auto"/>
            <w:noWrap w:val="0"/>
            <w:vAlign w:val="center"/>
          </w:tcPr>
          <w:p w14:paraId="4C540C27">
            <w:pPr>
              <w:spacing w:before="15" w:beforeLines="5" w:line="252" w:lineRule="auto"/>
              <w:jc w:val="center"/>
              <w:rPr>
                <w:color w:val="auto"/>
              </w:rPr>
            </w:pPr>
          </w:p>
        </w:tc>
      </w:tr>
      <w:tr w14:paraId="0C5F183E">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73C3B527">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347D6097">
            <w:pPr>
              <w:spacing w:before="15" w:beforeLines="5" w:line="252" w:lineRule="auto"/>
              <w:jc w:val="center"/>
              <w:rPr>
                <w:color w:val="auto"/>
              </w:rPr>
            </w:pPr>
            <w:r>
              <w:rPr>
                <w:color w:val="auto"/>
              </w:rPr>
              <w:t>1小时平均</w:t>
            </w:r>
          </w:p>
        </w:tc>
        <w:tc>
          <w:tcPr>
            <w:tcW w:w="1685" w:type="pct"/>
            <w:tcBorders>
              <w:tl2br w:val="nil"/>
              <w:tr2bl w:val="nil"/>
            </w:tcBorders>
            <w:shd w:val="clear" w:color="auto" w:fill="auto"/>
            <w:noWrap w:val="0"/>
            <w:vAlign w:val="center"/>
          </w:tcPr>
          <w:p w14:paraId="1684395E">
            <w:pPr>
              <w:spacing w:before="15" w:beforeLines="5" w:line="252" w:lineRule="auto"/>
              <w:jc w:val="center"/>
              <w:rPr>
                <w:color w:val="auto"/>
              </w:rPr>
            </w:pPr>
            <w:r>
              <w:rPr>
                <w:rFonts w:hint="eastAsia"/>
                <w:color w:val="auto"/>
              </w:rPr>
              <w:t>500</w:t>
            </w:r>
          </w:p>
        </w:tc>
        <w:tc>
          <w:tcPr>
            <w:tcW w:w="1750" w:type="pct"/>
            <w:vMerge w:val="continue"/>
            <w:tcBorders>
              <w:tl2br w:val="nil"/>
              <w:tr2bl w:val="nil"/>
            </w:tcBorders>
            <w:shd w:val="clear" w:color="auto" w:fill="auto"/>
            <w:noWrap w:val="0"/>
            <w:vAlign w:val="center"/>
          </w:tcPr>
          <w:p w14:paraId="2FED6D0D">
            <w:pPr>
              <w:spacing w:before="15" w:beforeLines="5" w:line="252" w:lineRule="auto"/>
              <w:jc w:val="center"/>
              <w:rPr>
                <w:color w:val="auto"/>
              </w:rPr>
            </w:pPr>
          </w:p>
        </w:tc>
      </w:tr>
      <w:tr w14:paraId="35869745">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2CD3F776">
            <w:pPr>
              <w:spacing w:before="15" w:beforeLines="5" w:line="252" w:lineRule="auto"/>
              <w:jc w:val="center"/>
              <w:rPr>
                <w:color w:val="auto"/>
              </w:rPr>
            </w:pPr>
            <w:r>
              <w:rPr>
                <w:color w:val="auto"/>
              </w:rPr>
              <w:t>NO</w:t>
            </w:r>
            <w:r>
              <w:rPr>
                <w:color w:val="auto"/>
                <w:vertAlign w:val="subscript"/>
              </w:rPr>
              <w:t>2</w:t>
            </w:r>
          </w:p>
        </w:tc>
        <w:tc>
          <w:tcPr>
            <w:tcW w:w="951" w:type="pct"/>
            <w:tcBorders>
              <w:tl2br w:val="nil"/>
              <w:tr2bl w:val="nil"/>
            </w:tcBorders>
            <w:shd w:val="clear" w:color="auto" w:fill="auto"/>
            <w:noWrap w:val="0"/>
            <w:vAlign w:val="center"/>
          </w:tcPr>
          <w:p w14:paraId="28C5AAC0">
            <w:pPr>
              <w:spacing w:before="15" w:beforeLines="5" w:line="252" w:lineRule="auto"/>
              <w:jc w:val="center"/>
              <w:rPr>
                <w:color w:val="auto"/>
              </w:rPr>
            </w:pPr>
            <w:r>
              <w:rPr>
                <w:color w:val="auto"/>
              </w:rPr>
              <w:t>年平均</w:t>
            </w:r>
          </w:p>
        </w:tc>
        <w:tc>
          <w:tcPr>
            <w:tcW w:w="1685" w:type="pct"/>
            <w:tcBorders>
              <w:tl2br w:val="nil"/>
              <w:tr2bl w:val="nil"/>
            </w:tcBorders>
            <w:shd w:val="clear" w:color="auto" w:fill="auto"/>
            <w:noWrap w:val="0"/>
            <w:vAlign w:val="center"/>
          </w:tcPr>
          <w:p w14:paraId="52E04801">
            <w:pPr>
              <w:spacing w:before="15" w:beforeLines="5" w:line="252" w:lineRule="auto"/>
              <w:jc w:val="center"/>
              <w:rPr>
                <w:color w:val="auto"/>
              </w:rPr>
            </w:pPr>
            <w:r>
              <w:rPr>
                <w:rFonts w:hint="eastAsia"/>
                <w:color w:val="auto"/>
              </w:rPr>
              <w:t>40</w:t>
            </w:r>
          </w:p>
        </w:tc>
        <w:tc>
          <w:tcPr>
            <w:tcW w:w="1750" w:type="pct"/>
            <w:vMerge w:val="continue"/>
            <w:tcBorders>
              <w:tl2br w:val="nil"/>
              <w:tr2bl w:val="nil"/>
            </w:tcBorders>
            <w:shd w:val="clear" w:color="auto" w:fill="auto"/>
            <w:noWrap w:val="0"/>
            <w:vAlign w:val="center"/>
          </w:tcPr>
          <w:p w14:paraId="22FC51DA">
            <w:pPr>
              <w:spacing w:before="15" w:beforeLines="5" w:line="252" w:lineRule="auto"/>
              <w:jc w:val="center"/>
              <w:rPr>
                <w:color w:val="auto"/>
              </w:rPr>
            </w:pPr>
          </w:p>
        </w:tc>
      </w:tr>
      <w:tr w14:paraId="2C84DA27">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0AEE1424">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41E4692B">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4C0585C4">
            <w:pPr>
              <w:spacing w:before="15" w:beforeLines="5" w:line="252" w:lineRule="auto"/>
              <w:jc w:val="center"/>
              <w:rPr>
                <w:color w:val="auto"/>
              </w:rPr>
            </w:pPr>
            <w:r>
              <w:rPr>
                <w:rFonts w:hint="eastAsia"/>
                <w:color w:val="auto"/>
              </w:rPr>
              <w:t>80</w:t>
            </w:r>
          </w:p>
        </w:tc>
        <w:tc>
          <w:tcPr>
            <w:tcW w:w="1750" w:type="pct"/>
            <w:vMerge w:val="continue"/>
            <w:tcBorders>
              <w:tl2br w:val="nil"/>
              <w:tr2bl w:val="nil"/>
            </w:tcBorders>
            <w:shd w:val="clear" w:color="auto" w:fill="auto"/>
            <w:noWrap w:val="0"/>
            <w:vAlign w:val="center"/>
          </w:tcPr>
          <w:p w14:paraId="15A0225D">
            <w:pPr>
              <w:spacing w:before="15" w:beforeLines="5" w:line="252" w:lineRule="auto"/>
              <w:jc w:val="center"/>
              <w:rPr>
                <w:color w:val="auto"/>
              </w:rPr>
            </w:pPr>
          </w:p>
        </w:tc>
      </w:tr>
      <w:tr w14:paraId="3AB0532B">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6961CC9D">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5A868C03">
            <w:pPr>
              <w:spacing w:before="15" w:beforeLines="5" w:line="252" w:lineRule="auto"/>
              <w:jc w:val="center"/>
              <w:rPr>
                <w:color w:val="auto"/>
              </w:rPr>
            </w:pPr>
            <w:r>
              <w:rPr>
                <w:color w:val="auto"/>
              </w:rPr>
              <w:t>1小时平均</w:t>
            </w:r>
          </w:p>
        </w:tc>
        <w:tc>
          <w:tcPr>
            <w:tcW w:w="1685" w:type="pct"/>
            <w:tcBorders>
              <w:tl2br w:val="nil"/>
              <w:tr2bl w:val="nil"/>
            </w:tcBorders>
            <w:shd w:val="clear" w:color="auto" w:fill="auto"/>
            <w:noWrap w:val="0"/>
            <w:vAlign w:val="center"/>
          </w:tcPr>
          <w:p w14:paraId="1988BF2E">
            <w:pPr>
              <w:spacing w:before="15" w:beforeLines="5" w:line="252" w:lineRule="auto"/>
              <w:jc w:val="center"/>
              <w:rPr>
                <w:color w:val="auto"/>
              </w:rPr>
            </w:pPr>
            <w:r>
              <w:rPr>
                <w:rFonts w:hint="eastAsia"/>
                <w:color w:val="auto"/>
              </w:rPr>
              <w:t>200</w:t>
            </w:r>
          </w:p>
        </w:tc>
        <w:tc>
          <w:tcPr>
            <w:tcW w:w="1750" w:type="pct"/>
            <w:vMerge w:val="continue"/>
            <w:tcBorders>
              <w:tl2br w:val="nil"/>
              <w:tr2bl w:val="nil"/>
            </w:tcBorders>
            <w:shd w:val="clear" w:color="auto" w:fill="auto"/>
            <w:noWrap w:val="0"/>
            <w:vAlign w:val="center"/>
          </w:tcPr>
          <w:p w14:paraId="74C7242D">
            <w:pPr>
              <w:spacing w:before="15" w:beforeLines="5" w:line="252" w:lineRule="auto"/>
              <w:jc w:val="center"/>
              <w:rPr>
                <w:color w:val="auto"/>
              </w:rPr>
            </w:pPr>
          </w:p>
        </w:tc>
      </w:tr>
      <w:tr w14:paraId="0F3E5C66">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3CBEB89C">
            <w:pPr>
              <w:spacing w:before="15" w:beforeLines="5" w:line="252" w:lineRule="auto"/>
              <w:jc w:val="center"/>
              <w:rPr>
                <w:color w:val="auto"/>
              </w:rPr>
            </w:pPr>
            <w:r>
              <w:rPr>
                <w:color w:val="auto"/>
              </w:rPr>
              <w:t>氟化物</w:t>
            </w:r>
          </w:p>
        </w:tc>
        <w:tc>
          <w:tcPr>
            <w:tcW w:w="951" w:type="pct"/>
            <w:tcBorders>
              <w:tl2br w:val="nil"/>
              <w:tr2bl w:val="nil"/>
            </w:tcBorders>
            <w:shd w:val="clear" w:color="auto" w:fill="auto"/>
            <w:noWrap w:val="0"/>
            <w:vAlign w:val="center"/>
          </w:tcPr>
          <w:p w14:paraId="4601F753">
            <w:pPr>
              <w:spacing w:before="15" w:beforeLines="5" w:line="252" w:lineRule="auto"/>
              <w:jc w:val="center"/>
              <w:rPr>
                <w:color w:val="auto"/>
              </w:rPr>
            </w:pPr>
            <w:r>
              <w:rPr>
                <w:color w:val="auto"/>
              </w:rPr>
              <w:t>1小时平均</w:t>
            </w:r>
          </w:p>
        </w:tc>
        <w:tc>
          <w:tcPr>
            <w:tcW w:w="1685" w:type="pct"/>
            <w:tcBorders>
              <w:tl2br w:val="nil"/>
              <w:tr2bl w:val="nil"/>
            </w:tcBorders>
            <w:shd w:val="clear" w:color="auto" w:fill="auto"/>
            <w:noWrap w:val="0"/>
            <w:vAlign w:val="center"/>
          </w:tcPr>
          <w:p w14:paraId="569B5EBD">
            <w:pPr>
              <w:spacing w:before="15" w:beforeLines="5" w:line="252" w:lineRule="auto"/>
              <w:jc w:val="center"/>
              <w:rPr>
                <w:color w:val="auto"/>
              </w:rPr>
            </w:pPr>
            <w:r>
              <w:rPr>
                <w:color w:val="auto"/>
              </w:rPr>
              <w:t>20</w:t>
            </w:r>
          </w:p>
        </w:tc>
        <w:tc>
          <w:tcPr>
            <w:tcW w:w="1750" w:type="pct"/>
            <w:vMerge w:val="continue"/>
            <w:tcBorders>
              <w:tl2br w:val="nil"/>
              <w:tr2bl w:val="nil"/>
            </w:tcBorders>
            <w:shd w:val="clear" w:color="auto" w:fill="auto"/>
            <w:noWrap w:val="0"/>
            <w:vAlign w:val="center"/>
          </w:tcPr>
          <w:p w14:paraId="67C18BB2">
            <w:pPr>
              <w:spacing w:before="15" w:beforeLines="5" w:line="252" w:lineRule="auto"/>
              <w:jc w:val="center"/>
              <w:rPr>
                <w:color w:val="auto"/>
              </w:rPr>
            </w:pPr>
          </w:p>
        </w:tc>
      </w:tr>
      <w:tr w14:paraId="0A022DDF">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rHeight w:val="90" w:hRule="atLeast"/>
        </w:trPr>
        <w:tc>
          <w:tcPr>
            <w:tcW w:w="612" w:type="pct"/>
            <w:vMerge w:val="continue"/>
            <w:tcBorders>
              <w:tl2br w:val="nil"/>
              <w:tr2bl w:val="nil"/>
            </w:tcBorders>
            <w:shd w:val="clear" w:color="auto" w:fill="auto"/>
            <w:noWrap w:val="0"/>
            <w:vAlign w:val="center"/>
          </w:tcPr>
          <w:p w14:paraId="12BBDD59">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187E5F3A">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31E7F0C8">
            <w:pPr>
              <w:spacing w:before="15" w:beforeLines="5" w:line="252" w:lineRule="auto"/>
              <w:jc w:val="center"/>
              <w:rPr>
                <w:color w:val="auto"/>
              </w:rPr>
            </w:pPr>
            <w:r>
              <w:rPr>
                <w:color w:val="auto"/>
              </w:rPr>
              <w:t>7</w:t>
            </w:r>
          </w:p>
        </w:tc>
        <w:tc>
          <w:tcPr>
            <w:tcW w:w="1750" w:type="pct"/>
            <w:vMerge w:val="continue"/>
            <w:tcBorders>
              <w:tl2br w:val="nil"/>
              <w:tr2bl w:val="nil"/>
            </w:tcBorders>
            <w:shd w:val="clear" w:color="auto" w:fill="auto"/>
            <w:noWrap w:val="0"/>
            <w:vAlign w:val="center"/>
          </w:tcPr>
          <w:p w14:paraId="2CB087F9">
            <w:pPr>
              <w:spacing w:before="15" w:beforeLines="5" w:line="252" w:lineRule="auto"/>
              <w:jc w:val="center"/>
              <w:rPr>
                <w:color w:val="auto"/>
              </w:rPr>
            </w:pPr>
          </w:p>
        </w:tc>
      </w:tr>
      <w:tr w14:paraId="12C7C73B">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restart"/>
            <w:tcBorders>
              <w:tl2br w:val="nil"/>
              <w:tr2bl w:val="nil"/>
            </w:tcBorders>
            <w:shd w:val="clear" w:color="auto" w:fill="auto"/>
            <w:noWrap w:val="0"/>
            <w:vAlign w:val="center"/>
          </w:tcPr>
          <w:p w14:paraId="34401B2B">
            <w:pPr>
              <w:spacing w:before="15" w:beforeLines="5" w:line="252" w:lineRule="auto"/>
              <w:jc w:val="center"/>
              <w:rPr>
                <w:color w:val="auto"/>
              </w:rPr>
            </w:pPr>
            <w:r>
              <w:rPr>
                <w:color w:val="auto"/>
              </w:rPr>
              <w:t>HCl</w:t>
            </w:r>
          </w:p>
        </w:tc>
        <w:tc>
          <w:tcPr>
            <w:tcW w:w="951" w:type="pct"/>
            <w:tcBorders>
              <w:tl2br w:val="nil"/>
              <w:tr2bl w:val="nil"/>
            </w:tcBorders>
            <w:shd w:val="clear" w:color="auto" w:fill="auto"/>
            <w:noWrap w:val="0"/>
            <w:vAlign w:val="center"/>
          </w:tcPr>
          <w:p w14:paraId="75517B55">
            <w:pPr>
              <w:spacing w:before="15" w:beforeLines="5" w:line="252" w:lineRule="auto"/>
              <w:jc w:val="center"/>
              <w:rPr>
                <w:color w:val="auto"/>
              </w:rPr>
            </w:pPr>
            <w:r>
              <w:rPr>
                <w:color w:val="auto"/>
              </w:rPr>
              <w:t>一次值</w:t>
            </w:r>
          </w:p>
        </w:tc>
        <w:tc>
          <w:tcPr>
            <w:tcW w:w="1685" w:type="pct"/>
            <w:tcBorders>
              <w:tl2br w:val="nil"/>
              <w:tr2bl w:val="nil"/>
            </w:tcBorders>
            <w:shd w:val="clear" w:color="auto" w:fill="auto"/>
            <w:noWrap w:val="0"/>
            <w:vAlign w:val="center"/>
          </w:tcPr>
          <w:p w14:paraId="5F793914">
            <w:pPr>
              <w:spacing w:before="15" w:beforeLines="5" w:line="252" w:lineRule="auto"/>
              <w:jc w:val="center"/>
              <w:rPr>
                <w:color w:val="auto"/>
              </w:rPr>
            </w:pPr>
            <w:r>
              <w:rPr>
                <w:rFonts w:hint="eastAsia"/>
                <w:color w:val="auto"/>
              </w:rPr>
              <w:t>50</w:t>
            </w:r>
          </w:p>
        </w:tc>
        <w:tc>
          <w:tcPr>
            <w:tcW w:w="1750" w:type="pct"/>
            <w:vMerge w:val="restart"/>
            <w:tcBorders>
              <w:tl2br w:val="nil"/>
              <w:tr2bl w:val="nil"/>
            </w:tcBorders>
            <w:shd w:val="clear" w:color="auto" w:fill="auto"/>
            <w:noWrap w:val="0"/>
            <w:vAlign w:val="center"/>
          </w:tcPr>
          <w:p w14:paraId="1766236C">
            <w:pPr>
              <w:spacing w:before="15" w:beforeLines="5" w:line="252" w:lineRule="auto"/>
              <w:jc w:val="center"/>
              <w:rPr>
                <w:color w:val="auto"/>
              </w:rPr>
            </w:pPr>
            <w:r>
              <w:rPr>
                <w:color w:val="auto"/>
              </w:rPr>
              <w:t>《工业企业设计卫生标准》（TJ36-79）</w:t>
            </w:r>
          </w:p>
        </w:tc>
      </w:tr>
      <w:tr w14:paraId="5CA9266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12" w:type="pct"/>
            <w:vMerge w:val="continue"/>
            <w:tcBorders>
              <w:tl2br w:val="nil"/>
              <w:tr2bl w:val="nil"/>
            </w:tcBorders>
            <w:shd w:val="clear" w:color="auto" w:fill="auto"/>
            <w:noWrap w:val="0"/>
            <w:vAlign w:val="center"/>
          </w:tcPr>
          <w:p w14:paraId="1FB49E26">
            <w:pPr>
              <w:spacing w:before="15" w:beforeLines="5" w:line="252" w:lineRule="auto"/>
              <w:jc w:val="center"/>
              <w:rPr>
                <w:color w:val="auto"/>
              </w:rPr>
            </w:pPr>
          </w:p>
        </w:tc>
        <w:tc>
          <w:tcPr>
            <w:tcW w:w="951" w:type="pct"/>
            <w:tcBorders>
              <w:tl2br w:val="nil"/>
              <w:tr2bl w:val="nil"/>
            </w:tcBorders>
            <w:shd w:val="clear" w:color="auto" w:fill="auto"/>
            <w:noWrap w:val="0"/>
            <w:vAlign w:val="center"/>
          </w:tcPr>
          <w:p w14:paraId="34731697">
            <w:pPr>
              <w:spacing w:before="15" w:beforeLines="5" w:line="252" w:lineRule="auto"/>
              <w:jc w:val="center"/>
              <w:rPr>
                <w:color w:val="auto"/>
              </w:rPr>
            </w:pPr>
            <w:r>
              <w:rPr>
                <w:color w:val="auto"/>
              </w:rPr>
              <w:t>24小时平均</w:t>
            </w:r>
          </w:p>
        </w:tc>
        <w:tc>
          <w:tcPr>
            <w:tcW w:w="1685" w:type="pct"/>
            <w:tcBorders>
              <w:tl2br w:val="nil"/>
              <w:tr2bl w:val="nil"/>
            </w:tcBorders>
            <w:shd w:val="clear" w:color="auto" w:fill="auto"/>
            <w:noWrap w:val="0"/>
            <w:vAlign w:val="center"/>
          </w:tcPr>
          <w:p w14:paraId="5A546028">
            <w:pPr>
              <w:spacing w:before="15" w:beforeLines="5" w:line="252" w:lineRule="auto"/>
              <w:jc w:val="center"/>
              <w:rPr>
                <w:color w:val="auto"/>
              </w:rPr>
            </w:pPr>
            <w:r>
              <w:rPr>
                <w:rFonts w:hint="eastAsia"/>
                <w:color w:val="auto"/>
              </w:rPr>
              <w:t>15</w:t>
            </w:r>
          </w:p>
        </w:tc>
        <w:tc>
          <w:tcPr>
            <w:tcW w:w="1750" w:type="pct"/>
            <w:vMerge w:val="continue"/>
            <w:tcBorders>
              <w:tl2br w:val="nil"/>
              <w:tr2bl w:val="nil"/>
            </w:tcBorders>
            <w:shd w:val="clear" w:color="auto" w:fill="auto"/>
            <w:noWrap w:val="0"/>
            <w:vAlign w:val="center"/>
          </w:tcPr>
          <w:p w14:paraId="219DA7C6">
            <w:pPr>
              <w:spacing w:before="15" w:beforeLines="5" w:line="252" w:lineRule="auto"/>
              <w:jc w:val="center"/>
              <w:rPr>
                <w:color w:val="auto"/>
              </w:rPr>
            </w:pPr>
          </w:p>
        </w:tc>
      </w:tr>
      <w:tr w14:paraId="0BB1D80A">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PrEx>
        <w:tc>
          <w:tcPr>
            <w:tcW w:w="612" w:type="pct"/>
            <w:tcBorders>
              <w:tl2br w:val="nil"/>
              <w:tr2bl w:val="nil"/>
            </w:tcBorders>
            <w:shd w:val="clear" w:color="auto" w:fill="auto"/>
            <w:noWrap w:val="0"/>
            <w:vAlign w:val="center"/>
          </w:tcPr>
          <w:p w14:paraId="4CD9CB33">
            <w:pPr>
              <w:spacing w:before="31" w:beforeLines="10" w:line="264" w:lineRule="auto"/>
              <w:jc w:val="center"/>
              <w:rPr>
                <w:rFonts w:hint="eastAsia" w:eastAsia="宋体"/>
                <w:color w:val="auto"/>
                <w:lang w:val="en-US" w:eastAsia="zh-CN"/>
              </w:rPr>
            </w:pPr>
            <w:r>
              <w:rPr>
                <w:color w:val="auto"/>
              </w:rPr>
              <w:t>二噁英类</w:t>
            </w:r>
          </w:p>
        </w:tc>
        <w:tc>
          <w:tcPr>
            <w:tcW w:w="951" w:type="pct"/>
            <w:tcBorders>
              <w:tl2br w:val="nil"/>
              <w:tr2bl w:val="nil"/>
            </w:tcBorders>
            <w:shd w:val="clear" w:color="auto" w:fill="auto"/>
            <w:noWrap w:val="0"/>
            <w:vAlign w:val="center"/>
          </w:tcPr>
          <w:p w14:paraId="198D4545">
            <w:pPr>
              <w:spacing w:before="31" w:beforeLines="10" w:line="264" w:lineRule="auto"/>
              <w:jc w:val="center"/>
              <w:rPr>
                <w:color w:val="auto"/>
              </w:rPr>
            </w:pPr>
            <w:r>
              <w:rPr>
                <w:color w:val="auto"/>
              </w:rPr>
              <w:t>年平均</w:t>
            </w:r>
          </w:p>
        </w:tc>
        <w:tc>
          <w:tcPr>
            <w:tcW w:w="1685" w:type="pct"/>
            <w:tcBorders>
              <w:tl2br w:val="nil"/>
              <w:tr2bl w:val="nil"/>
            </w:tcBorders>
            <w:shd w:val="clear" w:color="auto" w:fill="auto"/>
            <w:noWrap w:val="0"/>
            <w:vAlign w:val="center"/>
          </w:tcPr>
          <w:p w14:paraId="5F8DB6F6">
            <w:pPr>
              <w:spacing w:before="31" w:beforeLines="10" w:line="264" w:lineRule="auto"/>
              <w:jc w:val="center"/>
              <w:rPr>
                <w:color w:val="auto"/>
              </w:rPr>
            </w:pPr>
            <w:r>
              <w:rPr>
                <w:color w:val="auto"/>
              </w:rPr>
              <w:t>0.6（pg-</w:t>
            </w:r>
            <w:r>
              <w:rPr>
                <w:color w:val="auto"/>
                <w:sz w:val="24"/>
              </w:rPr>
              <w:t>TEQ</w:t>
            </w:r>
            <w:r>
              <w:rPr>
                <w:color w:val="auto"/>
              </w:rPr>
              <w:t>/m</w:t>
            </w:r>
            <w:r>
              <w:rPr>
                <w:color w:val="auto"/>
                <w:vertAlign w:val="superscript"/>
              </w:rPr>
              <w:t>3</w:t>
            </w:r>
            <w:r>
              <w:rPr>
                <w:color w:val="auto"/>
              </w:rPr>
              <w:t>）</w:t>
            </w:r>
          </w:p>
        </w:tc>
        <w:tc>
          <w:tcPr>
            <w:tcW w:w="1750" w:type="pct"/>
            <w:tcBorders>
              <w:tl2br w:val="nil"/>
              <w:tr2bl w:val="nil"/>
            </w:tcBorders>
            <w:shd w:val="clear" w:color="auto" w:fill="auto"/>
            <w:noWrap w:val="0"/>
            <w:vAlign w:val="center"/>
          </w:tcPr>
          <w:p w14:paraId="36EA12F5">
            <w:pPr>
              <w:spacing w:before="31" w:beforeLines="10" w:line="264" w:lineRule="auto"/>
              <w:jc w:val="center"/>
              <w:rPr>
                <w:color w:val="auto"/>
              </w:rPr>
            </w:pPr>
            <w:r>
              <w:rPr>
                <w:color w:val="auto"/>
              </w:rPr>
              <w:t>日本环境厅中央环境审议会制定</w:t>
            </w:r>
          </w:p>
          <w:p w14:paraId="5EB49211">
            <w:pPr>
              <w:spacing w:before="31" w:beforeLines="10" w:line="264" w:lineRule="auto"/>
              <w:jc w:val="center"/>
              <w:rPr>
                <w:color w:val="auto"/>
              </w:rPr>
            </w:pPr>
            <w:r>
              <w:rPr>
                <w:color w:val="auto"/>
              </w:rPr>
              <w:t>的环境标准</w:t>
            </w:r>
          </w:p>
        </w:tc>
      </w:tr>
    </w:tbl>
    <w:p w14:paraId="0755687A">
      <w:pPr>
        <w:spacing w:line="360" w:lineRule="auto"/>
        <w:ind w:firstLine="480" w:firstLineChars="200"/>
        <w:jc w:val="left"/>
        <w:rPr>
          <w:rFonts w:hint="eastAsia"/>
          <w:b w:val="0"/>
          <w:bCs w:val="0"/>
          <w:color w:val="auto"/>
          <w:sz w:val="24"/>
          <w:szCs w:val="32"/>
          <w:lang w:val="en-US" w:eastAsia="zh-CN"/>
        </w:rPr>
      </w:pPr>
    </w:p>
    <w:p w14:paraId="4521B4DF">
      <w:pPr>
        <w:spacing w:line="360" w:lineRule="auto"/>
        <w:ind w:firstLine="480" w:firstLineChars="200"/>
        <w:jc w:val="left"/>
        <w:rPr>
          <w:rFonts w:hint="eastAsia"/>
          <w:b w:val="0"/>
          <w:bCs w:val="0"/>
          <w:color w:val="auto"/>
          <w:sz w:val="24"/>
          <w:szCs w:val="32"/>
          <w:lang w:val="en-US" w:eastAsia="zh-CN"/>
        </w:rPr>
      </w:pPr>
      <w:r>
        <w:rPr>
          <w:rFonts w:hint="eastAsia"/>
          <w:b w:val="0"/>
          <w:bCs w:val="0"/>
          <w:color w:val="auto"/>
          <w:sz w:val="24"/>
          <w:szCs w:val="32"/>
          <w:lang w:val="en-US" w:eastAsia="zh-CN"/>
        </w:rPr>
        <w:t>（3）监测结果</w:t>
      </w:r>
    </w:p>
    <w:p w14:paraId="2802DF2D">
      <w:pPr>
        <w:spacing w:line="360" w:lineRule="auto"/>
        <w:ind w:firstLine="480" w:firstLineChars="200"/>
        <w:jc w:val="left"/>
        <w:rPr>
          <w:rFonts w:hint="default"/>
          <w:b w:val="0"/>
          <w:bCs w:val="0"/>
          <w:color w:val="auto"/>
          <w:sz w:val="24"/>
          <w:szCs w:val="32"/>
          <w:lang w:val="en-US" w:eastAsia="zh-CN"/>
        </w:rPr>
      </w:pPr>
      <w:r>
        <w:rPr>
          <w:rFonts w:hint="eastAsia"/>
          <w:b w:val="0"/>
          <w:bCs w:val="0"/>
          <w:color w:val="auto"/>
          <w:sz w:val="24"/>
          <w:szCs w:val="32"/>
          <w:lang w:val="en-US" w:eastAsia="zh-CN"/>
        </w:rPr>
        <w:t>环评阶段大气环境质量现状监测结果如下：</w:t>
      </w:r>
    </w:p>
    <w:p w14:paraId="0F93848D">
      <w:pPr>
        <w:spacing w:line="360" w:lineRule="auto"/>
        <w:jc w:val="center"/>
        <w:rPr>
          <w:rFonts w:hint="default"/>
          <w:b/>
          <w:bCs/>
          <w:color w:val="auto"/>
          <w:sz w:val="24"/>
          <w:szCs w:val="32"/>
          <w:lang w:val="en-US" w:eastAsia="zh-CN"/>
        </w:rPr>
      </w:pPr>
      <w:r>
        <w:rPr>
          <w:rFonts w:hint="eastAsia"/>
          <w:b/>
          <w:bCs/>
          <w:color w:val="auto"/>
          <w:sz w:val="24"/>
          <w:szCs w:val="32"/>
          <w:lang w:val="en-US" w:eastAsia="zh-CN"/>
        </w:rPr>
        <w:t>表2-8 各监测点PM</w:t>
      </w:r>
      <w:r>
        <w:rPr>
          <w:rFonts w:hint="eastAsia"/>
          <w:b/>
          <w:bCs/>
          <w:color w:val="auto"/>
          <w:sz w:val="24"/>
          <w:szCs w:val="32"/>
          <w:vertAlign w:val="subscript"/>
          <w:lang w:val="en-US" w:eastAsia="zh-CN"/>
        </w:rPr>
        <w:t>10</w:t>
      </w:r>
      <w:r>
        <w:rPr>
          <w:rFonts w:hint="eastAsia"/>
          <w:b/>
          <w:bCs/>
          <w:color w:val="auto"/>
          <w:sz w:val="24"/>
          <w:szCs w:val="32"/>
          <w:lang w:val="en-US" w:eastAsia="zh-CN"/>
        </w:rPr>
        <w:t>日均浓度统计表   标准值：150ug/Nm</w:t>
      </w:r>
      <w:r>
        <w:rPr>
          <w:rFonts w:hint="eastAsia"/>
          <w:b/>
          <w:bCs/>
          <w:color w:val="auto"/>
          <w:sz w:val="24"/>
          <w:szCs w:val="32"/>
          <w:vertAlign w:val="superscript"/>
          <w:lang w:val="en-US" w:eastAsia="zh-CN"/>
        </w:rPr>
        <w:t>3</w:t>
      </w:r>
    </w:p>
    <w:tbl>
      <w:tblPr>
        <w:tblStyle w:val="31"/>
        <w:tblW w:w="4998"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747"/>
        <w:gridCol w:w="2592"/>
        <w:gridCol w:w="1873"/>
        <w:gridCol w:w="1391"/>
        <w:gridCol w:w="924"/>
        <w:gridCol w:w="1026"/>
        <w:gridCol w:w="1405"/>
      </w:tblGrid>
      <w:tr w14:paraId="4F05C0D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1676" w:type="pct"/>
            <w:gridSpan w:val="2"/>
            <w:tcBorders>
              <w:tl2br w:val="nil"/>
              <w:tr2bl w:val="nil"/>
            </w:tcBorders>
            <w:shd w:val="clear" w:color="auto" w:fill="auto"/>
            <w:noWrap w:val="0"/>
            <w:vAlign w:val="center"/>
          </w:tcPr>
          <w:p w14:paraId="224DD92B">
            <w:pPr>
              <w:spacing w:before="31" w:beforeLines="10" w:line="264" w:lineRule="auto"/>
              <w:jc w:val="center"/>
              <w:rPr>
                <w:b/>
                <w:color w:val="auto"/>
              </w:rPr>
            </w:pPr>
            <w:r>
              <w:rPr>
                <w:b/>
                <w:color w:val="auto"/>
              </w:rPr>
              <w:t>监测点位</w:t>
            </w:r>
          </w:p>
        </w:tc>
        <w:tc>
          <w:tcPr>
            <w:tcW w:w="940" w:type="pct"/>
            <w:tcBorders>
              <w:tl2br w:val="nil"/>
              <w:tr2bl w:val="nil"/>
            </w:tcBorders>
            <w:shd w:val="clear" w:color="auto" w:fill="auto"/>
            <w:noWrap w:val="0"/>
            <w:vAlign w:val="center"/>
          </w:tcPr>
          <w:p w14:paraId="6466B26D">
            <w:pPr>
              <w:spacing w:before="31" w:beforeLines="10" w:line="264" w:lineRule="auto"/>
              <w:jc w:val="center"/>
              <w:rPr>
                <w:b/>
                <w:color w:val="auto"/>
              </w:rPr>
            </w:pPr>
            <w:r>
              <w:rPr>
                <w:b/>
                <w:color w:val="auto"/>
              </w:rPr>
              <w:t>浓度范围</w:t>
            </w:r>
          </w:p>
          <w:p w14:paraId="5B33374A">
            <w:pPr>
              <w:spacing w:before="31" w:beforeLines="10" w:line="264" w:lineRule="auto"/>
              <w:jc w:val="center"/>
              <w:rPr>
                <w:b/>
                <w:color w:val="auto"/>
              </w:rPr>
            </w:pPr>
            <w:r>
              <w:rPr>
                <w:b/>
                <w:color w:val="auto"/>
              </w:rPr>
              <w:t>（</w:t>
            </w:r>
            <w:r>
              <w:rPr>
                <w:rFonts w:hint="eastAsia"/>
                <w:b/>
                <w:color w:val="auto"/>
              </w:rPr>
              <w:t>u</w:t>
            </w:r>
            <w:r>
              <w:rPr>
                <w:b/>
                <w:color w:val="auto"/>
              </w:rPr>
              <w:t>g/Nm</w:t>
            </w:r>
            <w:r>
              <w:rPr>
                <w:b/>
                <w:color w:val="auto"/>
                <w:vertAlign w:val="superscript"/>
              </w:rPr>
              <w:t>3</w:t>
            </w:r>
            <w:r>
              <w:rPr>
                <w:b/>
                <w:color w:val="auto"/>
              </w:rPr>
              <w:t>）</w:t>
            </w:r>
          </w:p>
        </w:tc>
        <w:tc>
          <w:tcPr>
            <w:tcW w:w="698" w:type="pct"/>
            <w:tcBorders>
              <w:tl2br w:val="nil"/>
              <w:tr2bl w:val="nil"/>
            </w:tcBorders>
            <w:shd w:val="clear" w:color="auto" w:fill="auto"/>
            <w:noWrap w:val="0"/>
            <w:vAlign w:val="center"/>
          </w:tcPr>
          <w:p w14:paraId="67C8E416">
            <w:pPr>
              <w:spacing w:before="31" w:beforeLines="10" w:line="264" w:lineRule="auto"/>
              <w:jc w:val="center"/>
              <w:rPr>
                <w:b/>
                <w:color w:val="auto"/>
              </w:rPr>
            </w:pPr>
            <w:r>
              <w:rPr>
                <w:b/>
                <w:color w:val="auto"/>
              </w:rPr>
              <w:t>最大占</w:t>
            </w:r>
          </w:p>
          <w:p w14:paraId="01CC6FAE">
            <w:pPr>
              <w:spacing w:before="31" w:beforeLines="10" w:line="264" w:lineRule="auto"/>
              <w:jc w:val="center"/>
              <w:rPr>
                <w:b/>
                <w:color w:val="auto"/>
              </w:rPr>
            </w:pPr>
            <w:r>
              <w:rPr>
                <w:b/>
                <w:color w:val="auto"/>
              </w:rPr>
              <w:t>标率（%）</w:t>
            </w:r>
          </w:p>
        </w:tc>
        <w:tc>
          <w:tcPr>
            <w:tcW w:w="464" w:type="pct"/>
            <w:tcBorders>
              <w:tl2br w:val="nil"/>
              <w:tr2bl w:val="nil"/>
            </w:tcBorders>
            <w:shd w:val="clear" w:color="auto" w:fill="auto"/>
            <w:noWrap w:val="0"/>
            <w:vAlign w:val="center"/>
          </w:tcPr>
          <w:p w14:paraId="507708B5">
            <w:pPr>
              <w:spacing w:before="31" w:beforeLines="10" w:line="264" w:lineRule="auto"/>
              <w:jc w:val="center"/>
              <w:rPr>
                <w:b/>
                <w:color w:val="auto"/>
              </w:rPr>
            </w:pPr>
            <w:r>
              <w:rPr>
                <w:b/>
                <w:color w:val="auto"/>
              </w:rPr>
              <w:t>超标</w:t>
            </w:r>
          </w:p>
          <w:p w14:paraId="657188CC">
            <w:pPr>
              <w:spacing w:before="31" w:beforeLines="10" w:line="264" w:lineRule="auto"/>
              <w:jc w:val="center"/>
              <w:rPr>
                <w:b/>
                <w:color w:val="auto"/>
              </w:rPr>
            </w:pPr>
            <w:r>
              <w:rPr>
                <w:b/>
                <w:color w:val="auto"/>
              </w:rPr>
              <w:t>个数</w:t>
            </w:r>
          </w:p>
        </w:tc>
        <w:tc>
          <w:tcPr>
            <w:tcW w:w="515" w:type="pct"/>
            <w:tcBorders>
              <w:tl2br w:val="nil"/>
              <w:tr2bl w:val="nil"/>
            </w:tcBorders>
            <w:shd w:val="clear" w:color="auto" w:fill="auto"/>
            <w:noWrap w:val="0"/>
            <w:vAlign w:val="center"/>
          </w:tcPr>
          <w:p w14:paraId="75659261">
            <w:pPr>
              <w:spacing w:before="31" w:beforeLines="10" w:line="264" w:lineRule="auto"/>
              <w:jc w:val="center"/>
              <w:rPr>
                <w:b/>
                <w:color w:val="auto"/>
              </w:rPr>
            </w:pPr>
            <w:r>
              <w:rPr>
                <w:b/>
                <w:color w:val="auto"/>
              </w:rPr>
              <w:t>超标率</w:t>
            </w:r>
          </w:p>
          <w:p w14:paraId="62EEE1F5">
            <w:pPr>
              <w:spacing w:before="31" w:beforeLines="10" w:line="264" w:lineRule="auto"/>
              <w:jc w:val="center"/>
              <w:rPr>
                <w:b/>
                <w:color w:val="auto"/>
              </w:rPr>
            </w:pPr>
            <w:r>
              <w:rPr>
                <w:b/>
                <w:color w:val="auto"/>
              </w:rPr>
              <w:t>（%）</w:t>
            </w:r>
          </w:p>
        </w:tc>
        <w:tc>
          <w:tcPr>
            <w:tcW w:w="705" w:type="pct"/>
            <w:tcBorders>
              <w:tl2br w:val="nil"/>
              <w:tr2bl w:val="nil"/>
            </w:tcBorders>
            <w:shd w:val="clear" w:color="auto" w:fill="auto"/>
            <w:noWrap w:val="0"/>
            <w:vAlign w:val="center"/>
          </w:tcPr>
          <w:p w14:paraId="457CA576">
            <w:pPr>
              <w:spacing w:before="31" w:beforeLines="10" w:line="264" w:lineRule="auto"/>
              <w:jc w:val="center"/>
              <w:rPr>
                <w:b/>
                <w:color w:val="auto"/>
              </w:rPr>
            </w:pPr>
            <w:r>
              <w:rPr>
                <w:b/>
                <w:color w:val="auto"/>
              </w:rPr>
              <w:t>达标</w:t>
            </w:r>
          </w:p>
          <w:p w14:paraId="44335A69">
            <w:pPr>
              <w:spacing w:before="31" w:beforeLines="10" w:line="264" w:lineRule="auto"/>
              <w:jc w:val="center"/>
              <w:rPr>
                <w:b/>
                <w:color w:val="auto"/>
              </w:rPr>
            </w:pPr>
            <w:r>
              <w:rPr>
                <w:b/>
                <w:color w:val="auto"/>
              </w:rPr>
              <w:t>情况</w:t>
            </w:r>
          </w:p>
        </w:tc>
      </w:tr>
      <w:tr w14:paraId="764CC1B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75" w:type="pct"/>
            <w:tcBorders>
              <w:tl2br w:val="nil"/>
              <w:tr2bl w:val="nil"/>
            </w:tcBorders>
            <w:shd w:val="clear" w:color="auto" w:fill="auto"/>
            <w:noWrap w:val="0"/>
            <w:vAlign w:val="center"/>
          </w:tcPr>
          <w:p w14:paraId="63807371">
            <w:pPr>
              <w:spacing w:before="31" w:beforeLines="10" w:line="264" w:lineRule="auto"/>
              <w:jc w:val="center"/>
              <w:rPr>
                <w:color w:val="auto"/>
              </w:rPr>
            </w:pPr>
            <w:r>
              <w:rPr>
                <w:color w:val="auto"/>
              </w:rPr>
              <w:t>G1</w:t>
            </w:r>
          </w:p>
        </w:tc>
        <w:tc>
          <w:tcPr>
            <w:tcW w:w="1300" w:type="pct"/>
            <w:tcBorders>
              <w:tl2br w:val="nil"/>
              <w:tr2bl w:val="nil"/>
            </w:tcBorders>
            <w:shd w:val="clear" w:color="auto" w:fill="auto"/>
            <w:noWrap w:val="0"/>
            <w:vAlign w:val="top"/>
          </w:tcPr>
          <w:p w14:paraId="562C3B8F">
            <w:pPr>
              <w:jc w:val="center"/>
              <w:rPr>
                <w:color w:val="auto"/>
              </w:rPr>
            </w:pPr>
            <w:r>
              <w:rPr>
                <w:color w:val="auto"/>
              </w:rPr>
              <w:t>星河花园小区</w:t>
            </w:r>
          </w:p>
        </w:tc>
        <w:tc>
          <w:tcPr>
            <w:tcW w:w="940" w:type="pct"/>
            <w:tcBorders>
              <w:tl2br w:val="nil"/>
              <w:tr2bl w:val="nil"/>
            </w:tcBorders>
            <w:shd w:val="clear" w:color="auto" w:fill="auto"/>
            <w:noWrap w:val="0"/>
            <w:vAlign w:val="center"/>
          </w:tcPr>
          <w:p w14:paraId="70C7888C">
            <w:pPr>
              <w:spacing w:before="31" w:beforeLines="10" w:line="264" w:lineRule="auto"/>
              <w:jc w:val="center"/>
              <w:rPr>
                <w:color w:val="auto"/>
              </w:rPr>
            </w:pPr>
            <w:r>
              <w:rPr>
                <w:color w:val="auto"/>
              </w:rPr>
              <w:t>61</w:t>
            </w:r>
            <w:r>
              <w:rPr>
                <w:color w:val="auto"/>
                <w:szCs w:val="21"/>
              </w:rPr>
              <w:t>～95</w:t>
            </w:r>
          </w:p>
        </w:tc>
        <w:tc>
          <w:tcPr>
            <w:tcW w:w="698" w:type="pct"/>
            <w:tcBorders>
              <w:tl2br w:val="nil"/>
              <w:tr2bl w:val="nil"/>
            </w:tcBorders>
            <w:shd w:val="clear" w:color="auto" w:fill="auto"/>
            <w:noWrap w:val="0"/>
            <w:vAlign w:val="center"/>
          </w:tcPr>
          <w:p w14:paraId="28400237">
            <w:pPr>
              <w:jc w:val="center"/>
              <w:rPr>
                <w:color w:val="auto"/>
                <w:sz w:val="24"/>
              </w:rPr>
            </w:pPr>
            <w:r>
              <w:rPr>
                <w:color w:val="auto"/>
              </w:rPr>
              <w:t>63.33</w:t>
            </w:r>
          </w:p>
        </w:tc>
        <w:tc>
          <w:tcPr>
            <w:tcW w:w="464" w:type="pct"/>
            <w:tcBorders>
              <w:tl2br w:val="nil"/>
              <w:tr2bl w:val="nil"/>
            </w:tcBorders>
            <w:shd w:val="clear" w:color="auto" w:fill="auto"/>
            <w:noWrap w:val="0"/>
            <w:vAlign w:val="center"/>
          </w:tcPr>
          <w:p w14:paraId="292A4617">
            <w:pPr>
              <w:spacing w:before="31" w:beforeLines="10" w:line="264" w:lineRule="auto"/>
              <w:jc w:val="center"/>
              <w:rPr>
                <w:color w:val="auto"/>
              </w:rPr>
            </w:pPr>
            <w:r>
              <w:rPr>
                <w:color w:val="auto"/>
              </w:rPr>
              <w:t>0</w:t>
            </w:r>
          </w:p>
        </w:tc>
        <w:tc>
          <w:tcPr>
            <w:tcW w:w="515" w:type="pct"/>
            <w:tcBorders>
              <w:tl2br w:val="nil"/>
              <w:tr2bl w:val="nil"/>
            </w:tcBorders>
            <w:shd w:val="clear" w:color="auto" w:fill="auto"/>
            <w:noWrap w:val="0"/>
            <w:vAlign w:val="center"/>
          </w:tcPr>
          <w:p w14:paraId="5FCEECD9">
            <w:pPr>
              <w:spacing w:before="31" w:beforeLines="10" w:line="264" w:lineRule="auto"/>
              <w:jc w:val="center"/>
              <w:rPr>
                <w:color w:val="auto"/>
              </w:rPr>
            </w:pPr>
            <w:r>
              <w:rPr>
                <w:color w:val="auto"/>
              </w:rPr>
              <w:t>0</w:t>
            </w:r>
          </w:p>
        </w:tc>
        <w:tc>
          <w:tcPr>
            <w:tcW w:w="705" w:type="pct"/>
            <w:tcBorders>
              <w:tl2br w:val="nil"/>
              <w:tr2bl w:val="nil"/>
            </w:tcBorders>
            <w:shd w:val="clear" w:color="auto" w:fill="auto"/>
            <w:noWrap w:val="0"/>
            <w:vAlign w:val="center"/>
          </w:tcPr>
          <w:p w14:paraId="504A0385">
            <w:pPr>
              <w:spacing w:before="31" w:beforeLines="10" w:line="264" w:lineRule="auto"/>
              <w:jc w:val="center"/>
              <w:rPr>
                <w:color w:val="auto"/>
              </w:rPr>
            </w:pPr>
            <w:r>
              <w:rPr>
                <w:color w:val="auto"/>
              </w:rPr>
              <w:t>达标</w:t>
            </w:r>
          </w:p>
        </w:tc>
      </w:tr>
      <w:tr w14:paraId="0615B94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75" w:type="pct"/>
            <w:tcBorders>
              <w:tl2br w:val="nil"/>
              <w:tr2bl w:val="nil"/>
            </w:tcBorders>
            <w:shd w:val="clear" w:color="auto" w:fill="auto"/>
            <w:noWrap w:val="0"/>
            <w:vAlign w:val="center"/>
          </w:tcPr>
          <w:p w14:paraId="5EEFB7E8">
            <w:pPr>
              <w:spacing w:before="31" w:beforeLines="10" w:line="264" w:lineRule="auto"/>
              <w:jc w:val="center"/>
              <w:rPr>
                <w:color w:val="auto"/>
              </w:rPr>
            </w:pPr>
            <w:r>
              <w:rPr>
                <w:color w:val="auto"/>
              </w:rPr>
              <w:t>G2</w:t>
            </w:r>
          </w:p>
        </w:tc>
        <w:tc>
          <w:tcPr>
            <w:tcW w:w="1300" w:type="pct"/>
            <w:tcBorders>
              <w:tl2br w:val="nil"/>
              <w:tr2bl w:val="nil"/>
            </w:tcBorders>
            <w:shd w:val="clear" w:color="auto" w:fill="auto"/>
            <w:noWrap w:val="0"/>
            <w:vAlign w:val="top"/>
          </w:tcPr>
          <w:p w14:paraId="6E0AB4DC">
            <w:pPr>
              <w:jc w:val="center"/>
              <w:rPr>
                <w:rFonts w:hint="eastAsia" w:eastAsia="宋体"/>
                <w:color w:val="auto"/>
                <w:lang w:eastAsia="zh-CN"/>
              </w:rPr>
            </w:pPr>
            <w:r>
              <w:rPr>
                <w:color w:val="auto"/>
              </w:rPr>
              <w:t>项目</w:t>
            </w:r>
            <w:r>
              <w:rPr>
                <w:rFonts w:hint="eastAsia"/>
                <w:color w:val="auto"/>
                <w:lang w:val="en-US" w:eastAsia="zh-CN"/>
              </w:rPr>
              <w:t>地</w:t>
            </w:r>
          </w:p>
        </w:tc>
        <w:tc>
          <w:tcPr>
            <w:tcW w:w="940" w:type="pct"/>
            <w:tcBorders>
              <w:tl2br w:val="nil"/>
              <w:tr2bl w:val="nil"/>
            </w:tcBorders>
            <w:shd w:val="clear" w:color="auto" w:fill="auto"/>
            <w:noWrap w:val="0"/>
            <w:vAlign w:val="center"/>
          </w:tcPr>
          <w:p w14:paraId="0B947475">
            <w:pPr>
              <w:spacing w:before="31" w:beforeLines="10" w:line="264" w:lineRule="auto"/>
              <w:jc w:val="center"/>
              <w:rPr>
                <w:color w:val="auto"/>
              </w:rPr>
            </w:pPr>
            <w:r>
              <w:rPr>
                <w:color w:val="auto"/>
              </w:rPr>
              <w:t>62</w:t>
            </w:r>
            <w:r>
              <w:rPr>
                <w:color w:val="auto"/>
                <w:szCs w:val="21"/>
              </w:rPr>
              <w:t>～83</w:t>
            </w:r>
          </w:p>
        </w:tc>
        <w:tc>
          <w:tcPr>
            <w:tcW w:w="698" w:type="pct"/>
            <w:tcBorders>
              <w:tl2br w:val="nil"/>
              <w:tr2bl w:val="nil"/>
            </w:tcBorders>
            <w:shd w:val="clear" w:color="auto" w:fill="auto"/>
            <w:noWrap w:val="0"/>
            <w:vAlign w:val="center"/>
          </w:tcPr>
          <w:p w14:paraId="347E7A69">
            <w:pPr>
              <w:jc w:val="center"/>
              <w:rPr>
                <w:color w:val="auto"/>
                <w:sz w:val="24"/>
              </w:rPr>
            </w:pPr>
            <w:r>
              <w:rPr>
                <w:color w:val="auto"/>
              </w:rPr>
              <w:t>55.33</w:t>
            </w:r>
          </w:p>
        </w:tc>
        <w:tc>
          <w:tcPr>
            <w:tcW w:w="464" w:type="pct"/>
            <w:tcBorders>
              <w:tl2br w:val="nil"/>
              <w:tr2bl w:val="nil"/>
            </w:tcBorders>
            <w:shd w:val="clear" w:color="auto" w:fill="auto"/>
            <w:noWrap w:val="0"/>
            <w:vAlign w:val="center"/>
          </w:tcPr>
          <w:p w14:paraId="37ED769C">
            <w:pPr>
              <w:spacing w:before="31" w:beforeLines="10" w:line="264" w:lineRule="auto"/>
              <w:jc w:val="center"/>
              <w:rPr>
                <w:color w:val="auto"/>
              </w:rPr>
            </w:pPr>
            <w:r>
              <w:rPr>
                <w:color w:val="auto"/>
              </w:rPr>
              <w:t>0</w:t>
            </w:r>
          </w:p>
        </w:tc>
        <w:tc>
          <w:tcPr>
            <w:tcW w:w="515" w:type="pct"/>
            <w:tcBorders>
              <w:tl2br w:val="nil"/>
              <w:tr2bl w:val="nil"/>
            </w:tcBorders>
            <w:shd w:val="clear" w:color="auto" w:fill="auto"/>
            <w:noWrap w:val="0"/>
            <w:vAlign w:val="center"/>
          </w:tcPr>
          <w:p w14:paraId="1BCA4ACB">
            <w:pPr>
              <w:spacing w:before="31" w:beforeLines="10" w:line="264" w:lineRule="auto"/>
              <w:jc w:val="center"/>
              <w:rPr>
                <w:color w:val="auto"/>
              </w:rPr>
            </w:pPr>
            <w:r>
              <w:rPr>
                <w:color w:val="auto"/>
              </w:rPr>
              <w:t>0</w:t>
            </w:r>
          </w:p>
        </w:tc>
        <w:tc>
          <w:tcPr>
            <w:tcW w:w="705" w:type="pct"/>
            <w:tcBorders>
              <w:tl2br w:val="nil"/>
              <w:tr2bl w:val="nil"/>
            </w:tcBorders>
            <w:shd w:val="clear" w:color="auto" w:fill="auto"/>
            <w:noWrap w:val="0"/>
            <w:vAlign w:val="center"/>
          </w:tcPr>
          <w:p w14:paraId="6D6262F0">
            <w:pPr>
              <w:spacing w:before="31" w:beforeLines="10" w:line="264" w:lineRule="auto"/>
              <w:jc w:val="center"/>
              <w:rPr>
                <w:color w:val="auto"/>
              </w:rPr>
            </w:pPr>
            <w:r>
              <w:rPr>
                <w:color w:val="auto"/>
              </w:rPr>
              <w:t>达标</w:t>
            </w:r>
          </w:p>
        </w:tc>
      </w:tr>
      <w:tr w14:paraId="0505A50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75" w:type="pct"/>
            <w:tcBorders>
              <w:tl2br w:val="nil"/>
              <w:tr2bl w:val="nil"/>
            </w:tcBorders>
            <w:shd w:val="clear" w:color="auto" w:fill="auto"/>
            <w:noWrap w:val="0"/>
            <w:vAlign w:val="center"/>
          </w:tcPr>
          <w:p w14:paraId="0B47AF02">
            <w:pPr>
              <w:spacing w:before="31" w:beforeLines="10" w:line="264" w:lineRule="auto"/>
              <w:jc w:val="center"/>
              <w:rPr>
                <w:color w:val="auto"/>
              </w:rPr>
            </w:pPr>
            <w:r>
              <w:rPr>
                <w:color w:val="auto"/>
              </w:rPr>
              <w:t>G3</w:t>
            </w:r>
          </w:p>
        </w:tc>
        <w:tc>
          <w:tcPr>
            <w:tcW w:w="1300" w:type="pct"/>
            <w:tcBorders>
              <w:tl2br w:val="nil"/>
              <w:tr2bl w:val="nil"/>
            </w:tcBorders>
            <w:shd w:val="clear" w:color="auto" w:fill="auto"/>
            <w:noWrap w:val="0"/>
            <w:vAlign w:val="top"/>
          </w:tcPr>
          <w:p w14:paraId="560031E6">
            <w:pPr>
              <w:jc w:val="center"/>
              <w:rPr>
                <w:color w:val="auto"/>
              </w:rPr>
            </w:pPr>
            <w:r>
              <w:rPr>
                <w:color w:val="auto"/>
              </w:rPr>
              <w:t>刘桥镇</w:t>
            </w:r>
          </w:p>
        </w:tc>
        <w:tc>
          <w:tcPr>
            <w:tcW w:w="940" w:type="pct"/>
            <w:tcBorders>
              <w:tl2br w:val="nil"/>
              <w:tr2bl w:val="nil"/>
            </w:tcBorders>
            <w:shd w:val="clear" w:color="auto" w:fill="auto"/>
            <w:noWrap w:val="0"/>
            <w:vAlign w:val="center"/>
          </w:tcPr>
          <w:p w14:paraId="22B6B3ED">
            <w:pPr>
              <w:spacing w:before="31" w:beforeLines="10" w:line="264" w:lineRule="auto"/>
              <w:jc w:val="center"/>
              <w:rPr>
                <w:color w:val="auto"/>
              </w:rPr>
            </w:pPr>
            <w:r>
              <w:rPr>
                <w:color w:val="auto"/>
              </w:rPr>
              <w:t>63</w:t>
            </w:r>
            <w:r>
              <w:rPr>
                <w:color w:val="auto"/>
                <w:szCs w:val="21"/>
              </w:rPr>
              <w:t>～82</w:t>
            </w:r>
          </w:p>
        </w:tc>
        <w:tc>
          <w:tcPr>
            <w:tcW w:w="698" w:type="pct"/>
            <w:tcBorders>
              <w:tl2br w:val="nil"/>
              <w:tr2bl w:val="nil"/>
            </w:tcBorders>
            <w:shd w:val="clear" w:color="auto" w:fill="auto"/>
            <w:noWrap w:val="0"/>
            <w:vAlign w:val="center"/>
          </w:tcPr>
          <w:p w14:paraId="61F0FDDD">
            <w:pPr>
              <w:jc w:val="center"/>
              <w:rPr>
                <w:color w:val="auto"/>
                <w:sz w:val="24"/>
              </w:rPr>
            </w:pPr>
            <w:r>
              <w:rPr>
                <w:color w:val="auto"/>
              </w:rPr>
              <w:t>54.67</w:t>
            </w:r>
          </w:p>
        </w:tc>
        <w:tc>
          <w:tcPr>
            <w:tcW w:w="464" w:type="pct"/>
            <w:tcBorders>
              <w:tl2br w:val="nil"/>
              <w:tr2bl w:val="nil"/>
            </w:tcBorders>
            <w:shd w:val="clear" w:color="auto" w:fill="auto"/>
            <w:noWrap w:val="0"/>
            <w:vAlign w:val="center"/>
          </w:tcPr>
          <w:p w14:paraId="00DB67C1">
            <w:pPr>
              <w:spacing w:before="31" w:beforeLines="10" w:line="264" w:lineRule="auto"/>
              <w:jc w:val="center"/>
              <w:rPr>
                <w:color w:val="auto"/>
              </w:rPr>
            </w:pPr>
            <w:r>
              <w:rPr>
                <w:color w:val="auto"/>
              </w:rPr>
              <w:t>0</w:t>
            </w:r>
          </w:p>
        </w:tc>
        <w:tc>
          <w:tcPr>
            <w:tcW w:w="515" w:type="pct"/>
            <w:tcBorders>
              <w:tl2br w:val="nil"/>
              <w:tr2bl w:val="nil"/>
            </w:tcBorders>
            <w:shd w:val="clear" w:color="auto" w:fill="auto"/>
            <w:noWrap w:val="0"/>
            <w:vAlign w:val="center"/>
          </w:tcPr>
          <w:p w14:paraId="43DFB61A">
            <w:pPr>
              <w:jc w:val="center"/>
              <w:rPr>
                <w:color w:val="auto"/>
                <w:sz w:val="24"/>
              </w:rPr>
            </w:pPr>
            <w:r>
              <w:rPr>
                <w:color w:val="auto"/>
              </w:rPr>
              <w:t>0</w:t>
            </w:r>
          </w:p>
        </w:tc>
        <w:tc>
          <w:tcPr>
            <w:tcW w:w="705" w:type="pct"/>
            <w:tcBorders>
              <w:tl2br w:val="nil"/>
              <w:tr2bl w:val="nil"/>
            </w:tcBorders>
            <w:shd w:val="clear" w:color="auto" w:fill="auto"/>
            <w:noWrap w:val="0"/>
            <w:vAlign w:val="center"/>
          </w:tcPr>
          <w:p w14:paraId="4989DC80">
            <w:pPr>
              <w:spacing w:before="31" w:beforeLines="10" w:line="264" w:lineRule="auto"/>
              <w:jc w:val="center"/>
              <w:rPr>
                <w:color w:val="auto"/>
              </w:rPr>
            </w:pPr>
            <w:r>
              <w:rPr>
                <w:color w:val="auto"/>
              </w:rPr>
              <w:t>达标</w:t>
            </w:r>
          </w:p>
        </w:tc>
      </w:tr>
      <w:tr w14:paraId="0609765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75" w:type="pct"/>
            <w:tcBorders>
              <w:tl2br w:val="nil"/>
              <w:tr2bl w:val="nil"/>
            </w:tcBorders>
            <w:shd w:val="clear" w:color="auto" w:fill="auto"/>
            <w:noWrap w:val="0"/>
            <w:vAlign w:val="center"/>
          </w:tcPr>
          <w:p w14:paraId="090AFE93">
            <w:pPr>
              <w:spacing w:before="31" w:beforeLines="10" w:line="264" w:lineRule="auto"/>
              <w:jc w:val="center"/>
              <w:rPr>
                <w:color w:val="auto"/>
              </w:rPr>
            </w:pPr>
            <w:r>
              <w:rPr>
                <w:color w:val="auto"/>
              </w:rPr>
              <w:t>G4</w:t>
            </w:r>
          </w:p>
        </w:tc>
        <w:tc>
          <w:tcPr>
            <w:tcW w:w="1300" w:type="pct"/>
            <w:tcBorders>
              <w:tl2br w:val="nil"/>
              <w:tr2bl w:val="nil"/>
            </w:tcBorders>
            <w:shd w:val="clear" w:color="auto" w:fill="auto"/>
            <w:noWrap w:val="0"/>
            <w:vAlign w:val="top"/>
          </w:tcPr>
          <w:p w14:paraId="618CCABC">
            <w:pPr>
              <w:jc w:val="center"/>
              <w:rPr>
                <w:color w:val="auto"/>
              </w:rPr>
            </w:pPr>
            <w:r>
              <w:rPr>
                <w:color w:val="auto"/>
              </w:rPr>
              <w:t>公租房区</w:t>
            </w:r>
            <w:r>
              <w:rPr>
                <w:rFonts w:hint="eastAsia"/>
                <w:color w:val="auto"/>
                <w:lang w:eastAsia="zh-CN"/>
              </w:rPr>
              <w:t>（</w:t>
            </w:r>
            <w:r>
              <w:rPr>
                <w:rFonts w:hint="eastAsia"/>
                <w:color w:val="auto"/>
                <w:lang w:val="en-US" w:eastAsia="zh-CN"/>
              </w:rPr>
              <w:t>和谐家园</w:t>
            </w:r>
            <w:r>
              <w:rPr>
                <w:rFonts w:hint="eastAsia"/>
                <w:color w:val="auto"/>
                <w:lang w:eastAsia="zh-CN"/>
              </w:rPr>
              <w:t>）</w:t>
            </w:r>
          </w:p>
        </w:tc>
        <w:tc>
          <w:tcPr>
            <w:tcW w:w="940" w:type="pct"/>
            <w:tcBorders>
              <w:tl2br w:val="nil"/>
              <w:tr2bl w:val="nil"/>
            </w:tcBorders>
            <w:shd w:val="clear" w:color="auto" w:fill="auto"/>
            <w:noWrap w:val="0"/>
            <w:vAlign w:val="center"/>
          </w:tcPr>
          <w:p w14:paraId="0DD3913C">
            <w:pPr>
              <w:spacing w:before="31" w:beforeLines="10" w:line="264" w:lineRule="auto"/>
              <w:jc w:val="center"/>
              <w:rPr>
                <w:color w:val="auto"/>
                <w:szCs w:val="21"/>
              </w:rPr>
            </w:pPr>
            <w:r>
              <w:rPr>
                <w:color w:val="auto"/>
                <w:szCs w:val="21"/>
              </w:rPr>
              <w:t>64～93</w:t>
            </w:r>
          </w:p>
        </w:tc>
        <w:tc>
          <w:tcPr>
            <w:tcW w:w="698" w:type="pct"/>
            <w:tcBorders>
              <w:tl2br w:val="nil"/>
              <w:tr2bl w:val="nil"/>
            </w:tcBorders>
            <w:shd w:val="clear" w:color="auto" w:fill="auto"/>
            <w:noWrap w:val="0"/>
            <w:vAlign w:val="center"/>
          </w:tcPr>
          <w:p w14:paraId="6AF57FD9">
            <w:pPr>
              <w:jc w:val="center"/>
              <w:rPr>
                <w:color w:val="auto"/>
                <w:sz w:val="24"/>
              </w:rPr>
            </w:pPr>
            <w:r>
              <w:rPr>
                <w:color w:val="auto"/>
              </w:rPr>
              <w:t>62.00</w:t>
            </w:r>
          </w:p>
        </w:tc>
        <w:tc>
          <w:tcPr>
            <w:tcW w:w="464" w:type="pct"/>
            <w:tcBorders>
              <w:tl2br w:val="nil"/>
              <w:tr2bl w:val="nil"/>
            </w:tcBorders>
            <w:shd w:val="clear" w:color="auto" w:fill="auto"/>
            <w:noWrap w:val="0"/>
            <w:vAlign w:val="center"/>
          </w:tcPr>
          <w:p w14:paraId="1FDE59C2">
            <w:pPr>
              <w:spacing w:before="31" w:beforeLines="10" w:line="264" w:lineRule="auto"/>
              <w:jc w:val="center"/>
              <w:rPr>
                <w:color w:val="auto"/>
              </w:rPr>
            </w:pPr>
            <w:r>
              <w:rPr>
                <w:color w:val="auto"/>
              </w:rPr>
              <w:t>0</w:t>
            </w:r>
          </w:p>
        </w:tc>
        <w:tc>
          <w:tcPr>
            <w:tcW w:w="515" w:type="pct"/>
            <w:tcBorders>
              <w:tl2br w:val="nil"/>
              <w:tr2bl w:val="nil"/>
            </w:tcBorders>
            <w:shd w:val="clear" w:color="auto" w:fill="auto"/>
            <w:noWrap w:val="0"/>
            <w:vAlign w:val="center"/>
          </w:tcPr>
          <w:p w14:paraId="7E63FA85">
            <w:pPr>
              <w:jc w:val="center"/>
              <w:rPr>
                <w:color w:val="auto"/>
                <w:sz w:val="24"/>
              </w:rPr>
            </w:pPr>
            <w:r>
              <w:rPr>
                <w:color w:val="auto"/>
              </w:rPr>
              <w:t>0</w:t>
            </w:r>
          </w:p>
        </w:tc>
        <w:tc>
          <w:tcPr>
            <w:tcW w:w="705" w:type="pct"/>
            <w:tcBorders>
              <w:tl2br w:val="nil"/>
              <w:tr2bl w:val="nil"/>
            </w:tcBorders>
            <w:shd w:val="clear" w:color="auto" w:fill="auto"/>
            <w:noWrap w:val="0"/>
            <w:vAlign w:val="center"/>
          </w:tcPr>
          <w:p w14:paraId="672E9440">
            <w:pPr>
              <w:spacing w:before="31" w:beforeLines="10" w:line="264" w:lineRule="auto"/>
              <w:jc w:val="center"/>
              <w:rPr>
                <w:color w:val="auto"/>
              </w:rPr>
            </w:pPr>
            <w:r>
              <w:rPr>
                <w:color w:val="auto"/>
              </w:rPr>
              <w:t>达标</w:t>
            </w:r>
          </w:p>
        </w:tc>
      </w:tr>
      <w:tr w14:paraId="6D915539">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PrEx>
        <w:tc>
          <w:tcPr>
            <w:tcW w:w="375" w:type="pct"/>
            <w:tcBorders>
              <w:tl2br w:val="nil"/>
              <w:tr2bl w:val="nil"/>
            </w:tcBorders>
            <w:shd w:val="clear" w:color="auto" w:fill="auto"/>
            <w:noWrap w:val="0"/>
            <w:vAlign w:val="center"/>
          </w:tcPr>
          <w:p w14:paraId="0D04A95F">
            <w:pPr>
              <w:spacing w:before="31" w:beforeLines="10" w:line="264" w:lineRule="auto"/>
              <w:jc w:val="center"/>
              <w:rPr>
                <w:color w:val="auto"/>
              </w:rPr>
            </w:pPr>
            <w:r>
              <w:rPr>
                <w:color w:val="auto"/>
              </w:rPr>
              <w:t>G5</w:t>
            </w:r>
          </w:p>
        </w:tc>
        <w:tc>
          <w:tcPr>
            <w:tcW w:w="1300" w:type="pct"/>
            <w:tcBorders>
              <w:tl2br w:val="nil"/>
              <w:tr2bl w:val="nil"/>
            </w:tcBorders>
            <w:shd w:val="clear" w:color="auto" w:fill="auto"/>
            <w:noWrap w:val="0"/>
            <w:vAlign w:val="top"/>
          </w:tcPr>
          <w:p w14:paraId="78136F10">
            <w:pPr>
              <w:jc w:val="center"/>
              <w:rPr>
                <w:color w:val="auto"/>
              </w:rPr>
            </w:pPr>
            <w:r>
              <w:rPr>
                <w:color w:val="auto"/>
              </w:rPr>
              <w:t>赵楼村</w:t>
            </w:r>
          </w:p>
        </w:tc>
        <w:tc>
          <w:tcPr>
            <w:tcW w:w="940" w:type="pct"/>
            <w:tcBorders>
              <w:tl2br w:val="nil"/>
              <w:tr2bl w:val="nil"/>
            </w:tcBorders>
            <w:shd w:val="clear" w:color="auto" w:fill="auto"/>
            <w:noWrap w:val="0"/>
            <w:vAlign w:val="center"/>
          </w:tcPr>
          <w:p w14:paraId="6CA0B4AA">
            <w:pPr>
              <w:spacing w:before="31" w:beforeLines="10" w:line="264" w:lineRule="auto"/>
              <w:jc w:val="center"/>
              <w:rPr>
                <w:color w:val="auto"/>
                <w:szCs w:val="21"/>
              </w:rPr>
            </w:pPr>
            <w:r>
              <w:rPr>
                <w:color w:val="auto"/>
                <w:szCs w:val="21"/>
              </w:rPr>
              <w:t>67～89</w:t>
            </w:r>
          </w:p>
        </w:tc>
        <w:tc>
          <w:tcPr>
            <w:tcW w:w="698" w:type="pct"/>
            <w:tcBorders>
              <w:tl2br w:val="nil"/>
              <w:tr2bl w:val="nil"/>
            </w:tcBorders>
            <w:shd w:val="clear" w:color="auto" w:fill="auto"/>
            <w:noWrap w:val="0"/>
            <w:vAlign w:val="center"/>
          </w:tcPr>
          <w:p w14:paraId="470B500E">
            <w:pPr>
              <w:jc w:val="center"/>
              <w:rPr>
                <w:color w:val="auto"/>
                <w:sz w:val="24"/>
              </w:rPr>
            </w:pPr>
            <w:r>
              <w:rPr>
                <w:color w:val="auto"/>
              </w:rPr>
              <w:t>59.33</w:t>
            </w:r>
          </w:p>
        </w:tc>
        <w:tc>
          <w:tcPr>
            <w:tcW w:w="464" w:type="pct"/>
            <w:tcBorders>
              <w:tl2br w:val="nil"/>
              <w:tr2bl w:val="nil"/>
            </w:tcBorders>
            <w:shd w:val="clear" w:color="auto" w:fill="auto"/>
            <w:noWrap w:val="0"/>
            <w:vAlign w:val="center"/>
          </w:tcPr>
          <w:p w14:paraId="7571DC06">
            <w:pPr>
              <w:spacing w:before="31" w:beforeLines="10" w:line="264" w:lineRule="auto"/>
              <w:jc w:val="center"/>
              <w:rPr>
                <w:color w:val="auto"/>
              </w:rPr>
            </w:pPr>
            <w:r>
              <w:rPr>
                <w:color w:val="auto"/>
              </w:rPr>
              <w:t>0</w:t>
            </w:r>
          </w:p>
        </w:tc>
        <w:tc>
          <w:tcPr>
            <w:tcW w:w="515" w:type="pct"/>
            <w:tcBorders>
              <w:tl2br w:val="nil"/>
              <w:tr2bl w:val="nil"/>
            </w:tcBorders>
            <w:shd w:val="clear" w:color="auto" w:fill="auto"/>
            <w:noWrap w:val="0"/>
            <w:vAlign w:val="center"/>
          </w:tcPr>
          <w:p w14:paraId="2CF728BD">
            <w:pPr>
              <w:jc w:val="center"/>
              <w:rPr>
                <w:color w:val="auto"/>
                <w:sz w:val="24"/>
              </w:rPr>
            </w:pPr>
            <w:r>
              <w:rPr>
                <w:color w:val="auto"/>
              </w:rPr>
              <w:t>0</w:t>
            </w:r>
          </w:p>
        </w:tc>
        <w:tc>
          <w:tcPr>
            <w:tcW w:w="705" w:type="pct"/>
            <w:tcBorders>
              <w:tl2br w:val="nil"/>
              <w:tr2bl w:val="nil"/>
            </w:tcBorders>
            <w:shd w:val="clear" w:color="auto" w:fill="auto"/>
            <w:noWrap w:val="0"/>
            <w:vAlign w:val="center"/>
          </w:tcPr>
          <w:p w14:paraId="73D5C3C3">
            <w:pPr>
              <w:spacing w:before="31" w:beforeLines="10" w:line="264" w:lineRule="auto"/>
              <w:jc w:val="center"/>
              <w:rPr>
                <w:color w:val="auto"/>
              </w:rPr>
            </w:pPr>
            <w:r>
              <w:rPr>
                <w:color w:val="auto"/>
              </w:rPr>
              <w:t>达标</w:t>
            </w:r>
          </w:p>
        </w:tc>
      </w:tr>
      <w:tr w14:paraId="5AD30979">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75" w:type="pct"/>
            <w:tcBorders>
              <w:tl2br w:val="nil"/>
              <w:tr2bl w:val="nil"/>
            </w:tcBorders>
            <w:shd w:val="clear" w:color="auto" w:fill="auto"/>
            <w:noWrap w:val="0"/>
            <w:vAlign w:val="center"/>
          </w:tcPr>
          <w:p w14:paraId="374AAA02">
            <w:pPr>
              <w:spacing w:before="31" w:beforeLines="10" w:line="264" w:lineRule="auto"/>
              <w:jc w:val="center"/>
              <w:rPr>
                <w:color w:val="auto"/>
              </w:rPr>
            </w:pPr>
            <w:r>
              <w:rPr>
                <w:color w:val="auto"/>
              </w:rPr>
              <w:t>G6</w:t>
            </w:r>
          </w:p>
        </w:tc>
        <w:tc>
          <w:tcPr>
            <w:tcW w:w="1300" w:type="pct"/>
            <w:tcBorders>
              <w:tl2br w:val="nil"/>
              <w:tr2bl w:val="nil"/>
            </w:tcBorders>
            <w:shd w:val="clear" w:color="auto" w:fill="auto"/>
            <w:noWrap w:val="0"/>
            <w:vAlign w:val="top"/>
          </w:tcPr>
          <w:p w14:paraId="2223FDDC">
            <w:pPr>
              <w:jc w:val="center"/>
              <w:rPr>
                <w:color w:val="auto"/>
              </w:rPr>
            </w:pPr>
            <w:r>
              <w:rPr>
                <w:color w:val="auto"/>
              </w:rPr>
              <w:t>王埝村</w:t>
            </w:r>
          </w:p>
        </w:tc>
        <w:tc>
          <w:tcPr>
            <w:tcW w:w="940" w:type="pct"/>
            <w:tcBorders>
              <w:tl2br w:val="nil"/>
              <w:tr2bl w:val="nil"/>
            </w:tcBorders>
            <w:shd w:val="clear" w:color="auto" w:fill="auto"/>
            <w:noWrap w:val="0"/>
            <w:vAlign w:val="center"/>
          </w:tcPr>
          <w:p w14:paraId="49006B80">
            <w:pPr>
              <w:spacing w:before="31" w:beforeLines="10" w:line="264" w:lineRule="auto"/>
              <w:jc w:val="center"/>
              <w:rPr>
                <w:color w:val="auto"/>
                <w:szCs w:val="21"/>
              </w:rPr>
            </w:pPr>
            <w:r>
              <w:rPr>
                <w:color w:val="auto"/>
                <w:szCs w:val="21"/>
              </w:rPr>
              <w:t>67～96</w:t>
            </w:r>
          </w:p>
        </w:tc>
        <w:tc>
          <w:tcPr>
            <w:tcW w:w="698" w:type="pct"/>
            <w:tcBorders>
              <w:tl2br w:val="nil"/>
              <w:tr2bl w:val="nil"/>
            </w:tcBorders>
            <w:shd w:val="clear" w:color="auto" w:fill="auto"/>
            <w:noWrap w:val="0"/>
            <w:vAlign w:val="center"/>
          </w:tcPr>
          <w:p w14:paraId="4A109CD7">
            <w:pPr>
              <w:jc w:val="center"/>
              <w:rPr>
                <w:color w:val="auto"/>
                <w:sz w:val="24"/>
              </w:rPr>
            </w:pPr>
            <w:r>
              <w:rPr>
                <w:color w:val="auto"/>
              </w:rPr>
              <w:t>64.00</w:t>
            </w:r>
          </w:p>
        </w:tc>
        <w:tc>
          <w:tcPr>
            <w:tcW w:w="464" w:type="pct"/>
            <w:tcBorders>
              <w:tl2br w:val="nil"/>
              <w:tr2bl w:val="nil"/>
            </w:tcBorders>
            <w:shd w:val="clear" w:color="auto" w:fill="auto"/>
            <w:noWrap w:val="0"/>
            <w:vAlign w:val="center"/>
          </w:tcPr>
          <w:p w14:paraId="0432CF4B">
            <w:pPr>
              <w:spacing w:before="31" w:beforeLines="10" w:line="264" w:lineRule="auto"/>
              <w:jc w:val="center"/>
              <w:rPr>
                <w:color w:val="auto"/>
              </w:rPr>
            </w:pPr>
            <w:r>
              <w:rPr>
                <w:color w:val="auto"/>
              </w:rPr>
              <w:t>0</w:t>
            </w:r>
          </w:p>
        </w:tc>
        <w:tc>
          <w:tcPr>
            <w:tcW w:w="515" w:type="pct"/>
            <w:tcBorders>
              <w:tl2br w:val="nil"/>
              <w:tr2bl w:val="nil"/>
            </w:tcBorders>
            <w:shd w:val="clear" w:color="auto" w:fill="auto"/>
            <w:noWrap w:val="0"/>
            <w:vAlign w:val="center"/>
          </w:tcPr>
          <w:p w14:paraId="447CDAAE">
            <w:pPr>
              <w:jc w:val="center"/>
              <w:rPr>
                <w:color w:val="auto"/>
                <w:sz w:val="24"/>
              </w:rPr>
            </w:pPr>
            <w:r>
              <w:rPr>
                <w:color w:val="auto"/>
              </w:rPr>
              <w:t>0</w:t>
            </w:r>
          </w:p>
        </w:tc>
        <w:tc>
          <w:tcPr>
            <w:tcW w:w="705" w:type="pct"/>
            <w:tcBorders>
              <w:tl2br w:val="nil"/>
              <w:tr2bl w:val="nil"/>
            </w:tcBorders>
            <w:shd w:val="clear" w:color="auto" w:fill="auto"/>
            <w:noWrap w:val="0"/>
            <w:vAlign w:val="center"/>
          </w:tcPr>
          <w:p w14:paraId="1CC33FAE">
            <w:pPr>
              <w:spacing w:before="31" w:beforeLines="10" w:line="264" w:lineRule="auto"/>
              <w:jc w:val="center"/>
              <w:rPr>
                <w:color w:val="auto"/>
              </w:rPr>
            </w:pPr>
            <w:r>
              <w:rPr>
                <w:color w:val="auto"/>
              </w:rPr>
              <w:t>达标</w:t>
            </w:r>
          </w:p>
        </w:tc>
      </w:tr>
    </w:tbl>
    <w:p w14:paraId="3F15C1EB">
      <w:pPr>
        <w:spacing w:line="360" w:lineRule="auto"/>
        <w:jc w:val="center"/>
        <w:rPr>
          <w:rFonts w:hint="default"/>
          <w:b/>
          <w:bCs/>
          <w:color w:val="auto"/>
          <w:sz w:val="24"/>
          <w:szCs w:val="32"/>
          <w:lang w:val="en-US" w:eastAsia="zh-CN"/>
        </w:rPr>
      </w:pPr>
      <w:r>
        <w:rPr>
          <w:rFonts w:hint="eastAsia"/>
          <w:b/>
          <w:bCs/>
          <w:color w:val="auto"/>
          <w:sz w:val="24"/>
          <w:szCs w:val="32"/>
          <w:lang w:val="en-US" w:eastAsia="zh-CN"/>
        </w:rPr>
        <w:t>表2-9 各监测点SO</w:t>
      </w:r>
      <w:r>
        <w:rPr>
          <w:rFonts w:hint="eastAsia"/>
          <w:b/>
          <w:bCs/>
          <w:color w:val="auto"/>
          <w:sz w:val="24"/>
          <w:szCs w:val="32"/>
          <w:vertAlign w:val="subscript"/>
          <w:lang w:val="en-US" w:eastAsia="zh-CN"/>
        </w:rPr>
        <w:t>2</w:t>
      </w:r>
      <w:r>
        <w:rPr>
          <w:rFonts w:hint="eastAsia"/>
          <w:b/>
          <w:bCs/>
          <w:color w:val="auto"/>
          <w:sz w:val="24"/>
          <w:szCs w:val="32"/>
          <w:lang w:val="en-US" w:eastAsia="zh-CN"/>
        </w:rPr>
        <w:t>日均浓度统计表   标准值：150ug/Nm</w:t>
      </w:r>
      <w:r>
        <w:rPr>
          <w:rFonts w:hint="eastAsia"/>
          <w:b/>
          <w:bCs/>
          <w:color w:val="auto"/>
          <w:sz w:val="24"/>
          <w:szCs w:val="32"/>
          <w:vertAlign w:val="superscript"/>
          <w:lang w:val="en-US" w:eastAsia="zh-CN"/>
        </w:rPr>
        <w:t>3</w:t>
      </w:r>
    </w:p>
    <w:tbl>
      <w:tblPr>
        <w:tblStyle w:val="31"/>
        <w:tblW w:w="4998"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775"/>
        <w:gridCol w:w="2517"/>
        <w:gridCol w:w="1764"/>
        <w:gridCol w:w="1435"/>
        <w:gridCol w:w="957"/>
        <w:gridCol w:w="1062"/>
        <w:gridCol w:w="1448"/>
      </w:tblGrid>
      <w:tr w14:paraId="0101D559">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blHeader/>
        </w:trPr>
        <w:tc>
          <w:tcPr>
            <w:tcW w:w="1652" w:type="pct"/>
            <w:gridSpan w:val="2"/>
            <w:tcBorders>
              <w:tl2br w:val="nil"/>
              <w:tr2bl w:val="nil"/>
            </w:tcBorders>
            <w:shd w:val="clear" w:color="auto" w:fill="auto"/>
            <w:noWrap w:val="0"/>
            <w:vAlign w:val="center"/>
          </w:tcPr>
          <w:p w14:paraId="711877FD">
            <w:pPr>
              <w:spacing w:before="31" w:beforeLines="10" w:line="264" w:lineRule="auto"/>
              <w:jc w:val="center"/>
              <w:rPr>
                <w:b/>
                <w:color w:val="auto"/>
              </w:rPr>
            </w:pPr>
            <w:r>
              <w:rPr>
                <w:b/>
                <w:color w:val="auto"/>
              </w:rPr>
              <w:t>监测点位</w:t>
            </w:r>
          </w:p>
        </w:tc>
        <w:tc>
          <w:tcPr>
            <w:tcW w:w="885" w:type="pct"/>
            <w:tcBorders>
              <w:tl2br w:val="nil"/>
              <w:tr2bl w:val="nil"/>
            </w:tcBorders>
            <w:shd w:val="clear" w:color="auto" w:fill="auto"/>
            <w:noWrap w:val="0"/>
            <w:vAlign w:val="center"/>
          </w:tcPr>
          <w:p w14:paraId="43BAA65C">
            <w:pPr>
              <w:spacing w:before="31" w:beforeLines="10" w:line="264" w:lineRule="auto"/>
              <w:jc w:val="center"/>
              <w:rPr>
                <w:b/>
                <w:color w:val="auto"/>
              </w:rPr>
            </w:pPr>
            <w:r>
              <w:rPr>
                <w:b/>
                <w:color w:val="auto"/>
              </w:rPr>
              <w:t>浓度范围</w:t>
            </w:r>
          </w:p>
          <w:p w14:paraId="2B001B0C">
            <w:pPr>
              <w:spacing w:before="31" w:beforeLines="10" w:line="264" w:lineRule="auto"/>
              <w:jc w:val="center"/>
              <w:rPr>
                <w:b/>
                <w:color w:val="auto"/>
              </w:rPr>
            </w:pPr>
            <w:r>
              <w:rPr>
                <w:b/>
                <w:color w:val="auto"/>
              </w:rPr>
              <w:t>（</w:t>
            </w:r>
            <w:r>
              <w:rPr>
                <w:rFonts w:hint="eastAsia"/>
                <w:b/>
                <w:color w:val="auto"/>
              </w:rPr>
              <w:t>u</w:t>
            </w:r>
            <w:r>
              <w:rPr>
                <w:b/>
                <w:color w:val="auto"/>
              </w:rPr>
              <w:t>g/Nm</w:t>
            </w:r>
            <w:r>
              <w:rPr>
                <w:b/>
                <w:color w:val="auto"/>
                <w:vertAlign w:val="superscript"/>
              </w:rPr>
              <w:t>3</w:t>
            </w:r>
            <w:r>
              <w:rPr>
                <w:b/>
                <w:color w:val="auto"/>
              </w:rPr>
              <w:t>）</w:t>
            </w:r>
          </w:p>
        </w:tc>
        <w:tc>
          <w:tcPr>
            <w:tcW w:w="720" w:type="pct"/>
            <w:tcBorders>
              <w:tl2br w:val="nil"/>
              <w:tr2bl w:val="nil"/>
            </w:tcBorders>
            <w:shd w:val="clear" w:color="auto" w:fill="auto"/>
            <w:noWrap w:val="0"/>
            <w:vAlign w:val="center"/>
          </w:tcPr>
          <w:p w14:paraId="1DE3DEA8">
            <w:pPr>
              <w:spacing w:before="31" w:beforeLines="10" w:line="264" w:lineRule="auto"/>
              <w:jc w:val="center"/>
              <w:rPr>
                <w:b/>
                <w:color w:val="auto"/>
              </w:rPr>
            </w:pPr>
            <w:r>
              <w:rPr>
                <w:b/>
                <w:color w:val="auto"/>
              </w:rPr>
              <w:t>最大占</w:t>
            </w:r>
          </w:p>
          <w:p w14:paraId="4C5C6F48">
            <w:pPr>
              <w:spacing w:before="31" w:beforeLines="10" w:line="264" w:lineRule="auto"/>
              <w:jc w:val="center"/>
              <w:rPr>
                <w:b/>
                <w:color w:val="auto"/>
              </w:rPr>
            </w:pPr>
            <w:r>
              <w:rPr>
                <w:b/>
                <w:color w:val="auto"/>
              </w:rPr>
              <w:t>标率（%）</w:t>
            </w:r>
          </w:p>
        </w:tc>
        <w:tc>
          <w:tcPr>
            <w:tcW w:w="480" w:type="pct"/>
            <w:tcBorders>
              <w:tl2br w:val="nil"/>
              <w:tr2bl w:val="nil"/>
            </w:tcBorders>
            <w:shd w:val="clear" w:color="auto" w:fill="auto"/>
            <w:noWrap w:val="0"/>
            <w:vAlign w:val="center"/>
          </w:tcPr>
          <w:p w14:paraId="2DB5B17A">
            <w:pPr>
              <w:spacing w:before="31" w:beforeLines="10" w:line="264" w:lineRule="auto"/>
              <w:jc w:val="center"/>
              <w:rPr>
                <w:b/>
                <w:color w:val="auto"/>
              </w:rPr>
            </w:pPr>
            <w:r>
              <w:rPr>
                <w:b/>
                <w:color w:val="auto"/>
              </w:rPr>
              <w:t>超标</w:t>
            </w:r>
          </w:p>
          <w:p w14:paraId="6019EA50">
            <w:pPr>
              <w:spacing w:before="31" w:beforeLines="10" w:line="264" w:lineRule="auto"/>
              <w:jc w:val="center"/>
              <w:rPr>
                <w:b/>
                <w:color w:val="auto"/>
              </w:rPr>
            </w:pPr>
            <w:r>
              <w:rPr>
                <w:b/>
                <w:color w:val="auto"/>
              </w:rPr>
              <w:t>个数</w:t>
            </w:r>
          </w:p>
        </w:tc>
        <w:tc>
          <w:tcPr>
            <w:tcW w:w="533" w:type="pct"/>
            <w:tcBorders>
              <w:tl2br w:val="nil"/>
              <w:tr2bl w:val="nil"/>
            </w:tcBorders>
            <w:shd w:val="clear" w:color="auto" w:fill="auto"/>
            <w:noWrap w:val="0"/>
            <w:vAlign w:val="center"/>
          </w:tcPr>
          <w:p w14:paraId="36C4426A">
            <w:pPr>
              <w:spacing w:before="31" w:beforeLines="10" w:line="264" w:lineRule="auto"/>
              <w:jc w:val="center"/>
              <w:rPr>
                <w:b/>
                <w:color w:val="auto"/>
              </w:rPr>
            </w:pPr>
            <w:r>
              <w:rPr>
                <w:b/>
                <w:color w:val="auto"/>
              </w:rPr>
              <w:t>超标率</w:t>
            </w:r>
          </w:p>
          <w:p w14:paraId="3F083A4C">
            <w:pPr>
              <w:spacing w:before="31" w:beforeLines="10" w:line="264" w:lineRule="auto"/>
              <w:jc w:val="center"/>
              <w:rPr>
                <w:b/>
                <w:color w:val="auto"/>
              </w:rPr>
            </w:pPr>
            <w:r>
              <w:rPr>
                <w:b/>
                <w:color w:val="auto"/>
              </w:rPr>
              <w:t>（%）</w:t>
            </w:r>
          </w:p>
        </w:tc>
        <w:tc>
          <w:tcPr>
            <w:tcW w:w="726" w:type="pct"/>
            <w:tcBorders>
              <w:tl2br w:val="nil"/>
              <w:tr2bl w:val="nil"/>
            </w:tcBorders>
            <w:shd w:val="clear" w:color="auto" w:fill="auto"/>
            <w:noWrap w:val="0"/>
            <w:vAlign w:val="center"/>
          </w:tcPr>
          <w:p w14:paraId="691C24FF">
            <w:pPr>
              <w:spacing w:before="31" w:beforeLines="10" w:line="264" w:lineRule="auto"/>
              <w:jc w:val="center"/>
              <w:rPr>
                <w:b/>
                <w:color w:val="auto"/>
              </w:rPr>
            </w:pPr>
            <w:r>
              <w:rPr>
                <w:b/>
                <w:color w:val="auto"/>
              </w:rPr>
              <w:t>达标</w:t>
            </w:r>
          </w:p>
          <w:p w14:paraId="57793A46">
            <w:pPr>
              <w:spacing w:before="31" w:beforeLines="10" w:line="264" w:lineRule="auto"/>
              <w:jc w:val="center"/>
              <w:rPr>
                <w:b/>
                <w:color w:val="auto"/>
              </w:rPr>
            </w:pPr>
            <w:r>
              <w:rPr>
                <w:b/>
                <w:color w:val="auto"/>
              </w:rPr>
              <w:t>情况</w:t>
            </w:r>
          </w:p>
        </w:tc>
      </w:tr>
      <w:tr w14:paraId="0E0CD73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5D110B3E">
            <w:pPr>
              <w:spacing w:before="31" w:beforeLines="10" w:line="264" w:lineRule="auto"/>
              <w:jc w:val="center"/>
              <w:rPr>
                <w:color w:val="auto"/>
              </w:rPr>
            </w:pPr>
            <w:r>
              <w:rPr>
                <w:color w:val="auto"/>
              </w:rPr>
              <w:t>G1</w:t>
            </w:r>
          </w:p>
        </w:tc>
        <w:tc>
          <w:tcPr>
            <w:tcW w:w="1263" w:type="pct"/>
            <w:tcBorders>
              <w:tl2br w:val="nil"/>
              <w:tr2bl w:val="nil"/>
            </w:tcBorders>
            <w:shd w:val="clear" w:color="auto" w:fill="auto"/>
            <w:noWrap w:val="0"/>
            <w:vAlign w:val="top"/>
          </w:tcPr>
          <w:p w14:paraId="3E0BE508">
            <w:pPr>
              <w:jc w:val="center"/>
              <w:rPr>
                <w:color w:val="auto"/>
              </w:rPr>
            </w:pPr>
            <w:r>
              <w:rPr>
                <w:color w:val="auto"/>
              </w:rPr>
              <w:t>星河花园小区</w:t>
            </w:r>
          </w:p>
        </w:tc>
        <w:tc>
          <w:tcPr>
            <w:tcW w:w="885" w:type="pct"/>
            <w:tcBorders>
              <w:tl2br w:val="nil"/>
              <w:tr2bl w:val="nil"/>
            </w:tcBorders>
            <w:shd w:val="clear" w:color="auto" w:fill="auto"/>
            <w:noWrap w:val="0"/>
            <w:vAlign w:val="center"/>
          </w:tcPr>
          <w:p w14:paraId="22C88801">
            <w:pPr>
              <w:spacing w:before="31" w:beforeLines="10" w:line="264" w:lineRule="auto"/>
              <w:jc w:val="center"/>
              <w:rPr>
                <w:color w:val="auto"/>
              </w:rPr>
            </w:pPr>
            <w:r>
              <w:rPr>
                <w:color w:val="auto"/>
              </w:rPr>
              <w:t>24</w:t>
            </w:r>
            <w:r>
              <w:rPr>
                <w:color w:val="auto"/>
                <w:szCs w:val="21"/>
              </w:rPr>
              <w:t>～29</w:t>
            </w:r>
          </w:p>
        </w:tc>
        <w:tc>
          <w:tcPr>
            <w:tcW w:w="720" w:type="pct"/>
            <w:tcBorders>
              <w:tl2br w:val="nil"/>
              <w:tr2bl w:val="nil"/>
            </w:tcBorders>
            <w:shd w:val="clear" w:color="auto" w:fill="auto"/>
            <w:noWrap w:val="0"/>
            <w:vAlign w:val="center"/>
          </w:tcPr>
          <w:p w14:paraId="2E8BB138">
            <w:pPr>
              <w:jc w:val="center"/>
              <w:rPr>
                <w:color w:val="auto"/>
                <w:sz w:val="24"/>
              </w:rPr>
            </w:pPr>
            <w:r>
              <w:rPr>
                <w:color w:val="auto"/>
              </w:rPr>
              <w:t>19.33</w:t>
            </w:r>
          </w:p>
        </w:tc>
        <w:tc>
          <w:tcPr>
            <w:tcW w:w="480" w:type="pct"/>
            <w:tcBorders>
              <w:tl2br w:val="nil"/>
              <w:tr2bl w:val="nil"/>
            </w:tcBorders>
            <w:shd w:val="clear" w:color="auto" w:fill="auto"/>
            <w:noWrap w:val="0"/>
            <w:vAlign w:val="center"/>
          </w:tcPr>
          <w:p w14:paraId="44C8FA77">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5E9D309A">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095EA06B">
            <w:pPr>
              <w:spacing w:before="31" w:beforeLines="10" w:line="264" w:lineRule="auto"/>
              <w:jc w:val="center"/>
              <w:rPr>
                <w:color w:val="auto"/>
              </w:rPr>
            </w:pPr>
            <w:r>
              <w:rPr>
                <w:color w:val="auto"/>
              </w:rPr>
              <w:t>达标</w:t>
            </w:r>
          </w:p>
        </w:tc>
      </w:tr>
      <w:tr w14:paraId="183B9A2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7DE29B28">
            <w:pPr>
              <w:spacing w:before="31" w:beforeLines="10" w:line="264" w:lineRule="auto"/>
              <w:jc w:val="center"/>
              <w:rPr>
                <w:color w:val="auto"/>
              </w:rPr>
            </w:pPr>
            <w:r>
              <w:rPr>
                <w:color w:val="auto"/>
              </w:rPr>
              <w:t>G2</w:t>
            </w:r>
          </w:p>
        </w:tc>
        <w:tc>
          <w:tcPr>
            <w:tcW w:w="1263" w:type="pct"/>
            <w:tcBorders>
              <w:tl2br w:val="nil"/>
              <w:tr2bl w:val="nil"/>
            </w:tcBorders>
            <w:shd w:val="clear" w:color="auto" w:fill="auto"/>
            <w:noWrap w:val="0"/>
            <w:vAlign w:val="top"/>
          </w:tcPr>
          <w:p w14:paraId="5D64B59D">
            <w:pPr>
              <w:jc w:val="center"/>
              <w:rPr>
                <w:color w:val="auto"/>
              </w:rPr>
            </w:pPr>
            <w:r>
              <w:rPr>
                <w:color w:val="auto"/>
              </w:rPr>
              <w:t>项目地</w:t>
            </w:r>
          </w:p>
        </w:tc>
        <w:tc>
          <w:tcPr>
            <w:tcW w:w="885" w:type="pct"/>
            <w:tcBorders>
              <w:tl2br w:val="nil"/>
              <w:tr2bl w:val="nil"/>
            </w:tcBorders>
            <w:shd w:val="clear" w:color="auto" w:fill="auto"/>
            <w:noWrap w:val="0"/>
            <w:vAlign w:val="center"/>
          </w:tcPr>
          <w:p w14:paraId="7AAAAEF7">
            <w:pPr>
              <w:spacing w:before="31" w:beforeLines="10" w:line="264" w:lineRule="auto"/>
              <w:jc w:val="center"/>
              <w:rPr>
                <w:color w:val="auto"/>
              </w:rPr>
            </w:pPr>
            <w:r>
              <w:rPr>
                <w:color w:val="auto"/>
              </w:rPr>
              <w:t>25</w:t>
            </w:r>
            <w:r>
              <w:rPr>
                <w:color w:val="auto"/>
                <w:szCs w:val="21"/>
              </w:rPr>
              <w:t>～30</w:t>
            </w:r>
          </w:p>
        </w:tc>
        <w:tc>
          <w:tcPr>
            <w:tcW w:w="720" w:type="pct"/>
            <w:tcBorders>
              <w:tl2br w:val="nil"/>
              <w:tr2bl w:val="nil"/>
            </w:tcBorders>
            <w:shd w:val="clear" w:color="auto" w:fill="auto"/>
            <w:noWrap w:val="0"/>
            <w:vAlign w:val="center"/>
          </w:tcPr>
          <w:p w14:paraId="14325A1C">
            <w:pPr>
              <w:jc w:val="center"/>
              <w:rPr>
                <w:color w:val="auto"/>
                <w:sz w:val="24"/>
              </w:rPr>
            </w:pPr>
            <w:r>
              <w:rPr>
                <w:color w:val="auto"/>
              </w:rPr>
              <w:t>20.00</w:t>
            </w:r>
          </w:p>
        </w:tc>
        <w:tc>
          <w:tcPr>
            <w:tcW w:w="480" w:type="pct"/>
            <w:tcBorders>
              <w:tl2br w:val="nil"/>
              <w:tr2bl w:val="nil"/>
            </w:tcBorders>
            <w:shd w:val="clear" w:color="auto" w:fill="auto"/>
            <w:noWrap w:val="0"/>
            <w:vAlign w:val="center"/>
          </w:tcPr>
          <w:p w14:paraId="0E616BAA">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60157507">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33304936">
            <w:pPr>
              <w:spacing w:before="31" w:beforeLines="10" w:line="264" w:lineRule="auto"/>
              <w:jc w:val="center"/>
              <w:rPr>
                <w:color w:val="auto"/>
              </w:rPr>
            </w:pPr>
            <w:r>
              <w:rPr>
                <w:color w:val="auto"/>
              </w:rPr>
              <w:t>达标</w:t>
            </w:r>
          </w:p>
        </w:tc>
      </w:tr>
      <w:tr w14:paraId="12513F7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5B18B609">
            <w:pPr>
              <w:spacing w:before="31" w:beforeLines="10" w:line="264" w:lineRule="auto"/>
              <w:jc w:val="center"/>
              <w:rPr>
                <w:color w:val="auto"/>
              </w:rPr>
            </w:pPr>
            <w:r>
              <w:rPr>
                <w:color w:val="auto"/>
              </w:rPr>
              <w:t>G3</w:t>
            </w:r>
          </w:p>
        </w:tc>
        <w:tc>
          <w:tcPr>
            <w:tcW w:w="1263" w:type="pct"/>
            <w:tcBorders>
              <w:tl2br w:val="nil"/>
              <w:tr2bl w:val="nil"/>
            </w:tcBorders>
            <w:shd w:val="clear" w:color="auto" w:fill="auto"/>
            <w:noWrap w:val="0"/>
            <w:vAlign w:val="top"/>
          </w:tcPr>
          <w:p w14:paraId="6B4A906B">
            <w:pPr>
              <w:jc w:val="center"/>
              <w:rPr>
                <w:color w:val="auto"/>
              </w:rPr>
            </w:pPr>
            <w:r>
              <w:rPr>
                <w:color w:val="auto"/>
              </w:rPr>
              <w:t>刘桥镇</w:t>
            </w:r>
          </w:p>
        </w:tc>
        <w:tc>
          <w:tcPr>
            <w:tcW w:w="885" w:type="pct"/>
            <w:tcBorders>
              <w:tl2br w:val="nil"/>
              <w:tr2bl w:val="nil"/>
            </w:tcBorders>
            <w:shd w:val="clear" w:color="auto" w:fill="auto"/>
            <w:noWrap w:val="0"/>
            <w:vAlign w:val="center"/>
          </w:tcPr>
          <w:p w14:paraId="77E07C51">
            <w:pPr>
              <w:spacing w:before="31" w:beforeLines="10" w:line="264" w:lineRule="auto"/>
              <w:jc w:val="center"/>
              <w:rPr>
                <w:color w:val="auto"/>
              </w:rPr>
            </w:pPr>
            <w:r>
              <w:rPr>
                <w:color w:val="auto"/>
                <w:szCs w:val="21"/>
              </w:rPr>
              <w:t>25～30</w:t>
            </w:r>
          </w:p>
        </w:tc>
        <w:tc>
          <w:tcPr>
            <w:tcW w:w="720" w:type="pct"/>
            <w:tcBorders>
              <w:tl2br w:val="nil"/>
              <w:tr2bl w:val="nil"/>
            </w:tcBorders>
            <w:shd w:val="clear" w:color="auto" w:fill="auto"/>
            <w:noWrap w:val="0"/>
            <w:vAlign w:val="center"/>
          </w:tcPr>
          <w:p w14:paraId="1DE45EF8">
            <w:pPr>
              <w:jc w:val="center"/>
              <w:rPr>
                <w:color w:val="auto"/>
                <w:sz w:val="24"/>
              </w:rPr>
            </w:pPr>
            <w:r>
              <w:rPr>
                <w:color w:val="auto"/>
              </w:rPr>
              <w:t>20.00</w:t>
            </w:r>
          </w:p>
        </w:tc>
        <w:tc>
          <w:tcPr>
            <w:tcW w:w="480" w:type="pct"/>
            <w:tcBorders>
              <w:tl2br w:val="nil"/>
              <w:tr2bl w:val="nil"/>
            </w:tcBorders>
            <w:shd w:val="clear" w:color="auto" w:fill="auto"/>
            <w:noWrap w:val="0"/>
            <w:vAlign w:val="center"/>
          </w:tcPr>
          <w:p w14:paraId="2E0A0928">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16D25815">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238CC0D1">
            <w:pPr>
              <w:spacing w:before="31" w:beforeLines="10" w:line="264" w:lineRule="auto"/>
              <w:jc w:val="center"/>
              <w:rPr>
                <w:color w:val="auto"/>
              </w:rPr>
            </w:pPr>
            <w:r>
              <w:rPr>
                <w:color w:val="auto"/>
              </w:rPr>
              <w:t>达标</w:t>
            </w:r>
          </w:p>
        </w:tc>
      </w:tr>
      <w:tr w14:paraId="4152FE2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0B86062B">
            <w:pPr>
              <w:spacing w:before="31" w:beforeLines="10" w:line="264" w:lineRule="auto"/>
              <w:jc w:val="center"/>
              <w:rPr>
                <w:color w:val="auto"/>
              </w:rPr>
            </w:pPr>
            <w:r>
              <w:rPr>
                <w:color w:val="auto"/>
              </w:rPr>
              <w:t>G4</w:t>
            </w:r>
          </w:p>
        </w:tc>
        <w:tc>
          <w:tcPr>
            <w:tcW w:w="1263" w:type="pct"/>
            <w:tcBorders>
              <w:tl2br w:val="nil"/>
              <w:tr2bl w:val="nil"/>
            </w:tcBorders>
            <w:shd w:val="clear" w:color="auto" w:fill="auto"/>
            <w:noWrap w:val="0"/>
            <w:vAlign w:val="top"/>
          </w:tcPr>
          <w:p w14:paraId="0991A4C5">
            <w:pPr>
              <w:jc w:val="center"/>
              <w:rPr>
                <w:color w:val="auto"/>
              </w:rPr>
            </w:pPr>
            <w:r>
              <w:rPr>
                <w:color w:val="auto"/>
              </w:rPr>
              <w:t>公租房区</w:t>
            </w:r>
            <w:r>
              <w:rPr>
                <w:rFonts w:hint="eastAsia"/>
                <w:color w:val="auto"/>
                <w:lang w:eastAsia="zh-CN"/>
              </w:rPr>
              <w:t>（</w:t>
            </w:r>
            <w:r>
              <w:rPr>
                <w:rFonts w:hint="eastAsia"/>
                <w:color w:val="auto"/>
                <w:lang w:val="en-US" w:eastAsia="zh-CN"/>
              </w:rPr>
              <w:t>和谐家园</w:t>
            </w:r>
            <w:r>
              <w:rPr>
                <w:rFonts w:hint="eastAsia"/>
                <w:color w:val="auto"/>
                <w:lang w:eastAsia="zh-CN"/>
              </w:rPr>
              <w:t>）</w:t>
            </w:r>
          </w:p>
        </w:tc>
        <w:tc>
          <w:tcPr>
            <w:tcW w:w="885" w:type="pct"/>
            <w:tcBorders>
              <w:tl2br w:val="nil"/>
              <w:tr2bl w:val="nil"/>
            </w:tcBorders>
            <w:shd w:val="clear" w:color="auto" w:fill="auto"/>
            <w:noWrap w:val="0"/>
            <w:vAlign w:val="center"/>
          </w:tcPr>
          <w:p w14:paraId="03B9DA9B">
            <w:pPr>
              <w:spacing w:before="31" w:beforeLines="10" w:line="264" w:lineRule="auto"/>
              <w:jc w:val="center"/>
              <w:rPr>
                <w:color w:val="auto"/>
              </w:rPr>
            </w:pPr>
            <w:r>
              <w:rPr>
                <w:color w:val="auto"/>
                <w:szCs w:val="21"/>
              </w:rPr>
              <w:t>23～29</w:t>
            </w:r>
          </w:p>
        </w:tc>
        <w:tc>
          <w:tcPr>
            <w:tcW w:w="720" w:type="pct"/>
            <w:tcBorders>
              <w:tl2br w:val="nil"/>
              <w:tr2bl w:val="nil"/>
            </w:tcBorders>
            <w:shd w:val="clear" w:color="auto" w:fill="auto"/>
            <w:noWrap w:val="0"/>
            <w:vAlign w:val="center"/>
          </w:tcPr>
          <w:p w14:paraId="71A1ECC1">
            <w:pPr>
              <w:jc w:val="center"/>
              <w:rPr>
                <w:color w:val="auto"/>
                <w:sz w:val="24"/>
              </w:rPr>
            </w:pPr>
            <w:r>
              <w:rPr>
                <w:color w:val="auto"/>
              </w:rPr>
              <w:t>19.33</w:t>
            </w:r>
          </w:p>
        </w:tc>
        <w:tc>
          <w:tcPr>
            <w:tcW w:w="480" w:type="pct"/>
            <w:tcBorders>
              <w:tl2br w:val="nil"/>
              <w:tr2bl w:val="nil"/>
            </w:tcBorders>
            <w:shd w:val="clear" w:color="auto" w:fill="auto"/>
            <w:noWrap w:val="0"/>
            <w:vAlign w:val="center"/>
          </w:tcPr>
          <w:p w14:paraId="76B24FA7">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59D72212">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00E65F7E">
            <w:pPr>
              <w:spacing w:before="31" w:beforeLines="10" w:line="264" w:lineRule="auto"/>
              <w:jc w:val="center"/>
              <w:rPr>
                <w:color w:val="auto"/>
              </w:rPr>
            </w:pPr>
            <w:r>
              <w:rPr>
                <w:color w:val="auto"/>
              </w:rPr>
              <w:t>达标</w:t>
            </w:r>
          </w:p>
        </w:tc>
      </w:tr>
      <w:tr w14:paraId="3721C1F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46926C39">
            <w:pPr>
              <w:spacing w:before="31" w:beforeLines="10" w:line="264" w:lineRule="auto"/>
              <w:jc w:val="center"/>
              <w:rPr>
                <w:color w:val="auto"/>
              </w:rPr>
            </w:pPr>
            <w:r>
              <w:rPr>
                <w:color w:val="auto"/>
              </w:rPr>
              <w:t>G5</w:t>
            </w:r>
          </w:p>
        </w:tc>
        <w:tc>
          <w:tcPr>
            <w:tcW w:w="1263" w:type="pct"/>
            <w:tcBorders>
              <w:tl2br w:val="nil"/>
              <w:tr2bl w:val="nil"/>
            </w:tcBorders>
            <w:shd w:val="clear" w:color="auto" w:fill="auto"/>
            <w:noWrap w:val="0"/>
            <w:vAlign w:val="top"/>
          </w:tcPr>
          <w:p w14:paraId="1D8755EB">
            <w:pPr>
              <w:jc w:val="center"/>
              <w:rPr>
                <w:color w:val="auto"/>
              </w:rPr>
            </w:pPr>
            <w:r>
              <w:rPr>
                <w:color w:val="auto"/>
              </w:rPr>
              <w:t>赵楼村</w:t>
            </w:r>
          </w:p>
        </w:tc>
        <w:tc>
          <w:tcPr>
            <w:tcW w:w="885" w:type="pct"/>
            <w:tcBorders>
              <w:tl2br w:val="nil"/>
              <w:tr2bl w:val="nil"/>
            </w:tcBorders>
            <w:shd w:val="clear" w:color="auto" w:fill="auto"/>
            <w:noWrap w:val="0"/>
            <w:vAlign w:val="center"/>
          </w:tcPr>
          <w:p w14:paraId="38AB2295">
            <w:pPr>
              <w:spacing w:before="31" w:beforeLines="10" w:line="264" w:lineRule="auto"/>
              <w:jc w:val="center"/>
              <w:rPr>
                <w:color w:val="auto"/>
                <w:szCs w:val="21"/>
              </w:rPr>
            </w:pPr>
            <w:r>
              <w:rPr>
                <w:color w:val="auto"/>
                <w:szCs w:val="21"/>
              </w:rPr>
              <w:t>25～32</w:t>
            </w:r>
          </w:p>
        </w:tc>
        <w:tc>
          <w:tcPr>
            <w:tcW w:w="720" w:type="pct"/>
            <w:tcBorders>
              <w:tl2br w:val="nil"/>
              <w:tr2bl w:val="nil"/>
            </w:tcBorders>
            <w:shd w:val="clear" w:color="auto" w:fill="auto"/>
            <w:noWrap w:val="0"/>
            <w:vAlign w:val="center"/>
          </w:tcPr>
          <w:p w14:paraId="7D611639">
            <w:pPr>
              <w:jc w:val="center"/>
              <w:rPr>
                <w:color w:val="auto"/>
                <w:sz w:val="24"/>
              </w:rPr>
            </w:pPr>
            <w:r>
              <w:rPr>
                <w:color w:val="auto"/>
              </w:rPr>
              <w:t>21.33</w:t>
            </w:r>
          </w:p>
        </w:tc>
        <w:tc>
          <w:tcPr>
            <w:tcW w:w="480" w:type="pct"/>
            <w:tcBorders>
              <w:tl2br w:val="nil"/>
              <w:tr2bl w:val="nil"/>
            </w:tcBorders>
            <w:shd w:val="clear" w:color="auto" w:fill="auto"/>
            <w:noWrap w:val="0"/>
            <w:vAlign w:val="center"/>
          </w:tcPr>
          <w:p w14:paraId="5049D9FA">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76938075">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4C552A04">
            <w:pPr>
              <w:spacing w:before="31" w:beforeLines="10" w:line="264" w:lineRule="auto"/>
              <w:jc w:val="center"/>
              <w:rPr>
                <w:color w:val="auto"/>
              </w:rPr>
            </w:pPr>
            <w:r>
              <w:rPr>
                <w:color w:val="auto"/>
              </w:rPr>
              <w:t>达标</w:t>
            </w:r>
          </w:p>
        </w:tc>
      </w:tr>
      <w:tr w14:paraId="41BB6A0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4C7D7EE1">
            <w:pPr>
              <w:spacing w:before="31" w:beforeLines="10" w:line="264" w:lineRule="auto"/>
              <w:jc w:val="center"/>
              <w:rPr>
                <w:color w:val="auto"/>
              </w:rPr>
            </w:pPr>
            <w:r>
              <w:rPr>
                <w:color w:val="auto"/>
              </w:rPr>
              <w:t>G6</w:t>
            </w:r>
          </w:p>
        </w:tc>
        <w:tc>
          <w:tcPr>
            <w:tcW w:w="1263" w:type="pct"/>
            <w:tcBorders>
              <w:tl2br w:val="nil"/>
              <w:tr2bl w:val="nil"/>
            </w:tcBorders>
            <w:shd w:val="clear" w:color="auto" w:fill="auto"/>
            <w:noWrap w:val="0"/>
            <w:vAlign w:val="top"/>
          </w:tcPr>
          <w:p w14:paraId="011286E9">
            <w:pPr>
              <w:jc w:val="center"/>
              <w:rPr>
                <w:color w:val="auto"/>
              </w:rPr>
            </w:pPr>
            <w:r>
              <w:rPr>
                <w:color w:val="auto"/>
              </w:rPr>
              <w:t>王埝村</w:t>
            </w:r>
          </w:p>
        </w:tc>
        <w:tc>
          <w:tcPr>
            <w:tcW w:w="885" w:type="pct"/>
            <w:tcBorders>
              <w:tl2br w:val="nil"/>
              <w:tr2bl w:val="nil"/>
            </w:tcBorders>
            <w:shd w:val="clear" w:color="auto" w:fill="auto"/>
            <w:noWrap w:val="0"/>
            <w:vAlign w:val="center"/>
          </w:tcPr>
          <w:p w14:paraId="28E3F370">
            <w:pPr>
              <w:spacing w:before="31" w:beforeLines="10" w:line="264" w:lineRule="auto"/>
              <w:jc w:val="center"/>
              <w:rPr>
                <w:color w:val="auto"/>
                <w:szCs w:val="21"/>
              </w:rPr>
            </w:pPr>
            <w:r>
              <w:rPr>
                <w:color w:val="auto"/>
                <w:szCs w:val="21"/>
              </w:rPr>
              <w:t>25～30</w:t>
            </w:r>
          </w:p>
        </w:tc>
        <w:tc>
          <w:tcPr>
            <w:tcW w:w="720" w:type="pct"/>
            <w:tcBorders>
              <w:tl2br w:val="nil"/>
              <w:tr2bl w:val="nil"/>
            </w:tcBorders>
            <w:shd w:val="clear" w:color="auto" w:fill="auto"/>
            <w:noWrap w:val="0"/>
            <w:vAlign w:val="center"/>
          </w:tcPr>
          <w:p w14:paraId="114B36C5">
            <w:pPr>
              <w:jc w:val="center"/>
              <w:rPr>
                <w:color w:val="auto"/>
                <w:sz w:val="24"/>
              </w:rPr>
            </w:pPr>
            <w:r>
              <w:rPr>
                <w:color w:val="auto"/>
              </w:rPr>
              <w:t>20.00</w:t>
            </w:r>
          </w:p>
        </w:tc>
        <w:tc>
          <w:tcPr>
            <w:tcW w:w="480" w:type="pct"/>
            <w:tcBorders>
              <w:tl2br w:val="nil"/>
              <w:tr2bl w:val="nil"/>
            </w:tcBorders>
            <w:shd w:val="clear" w:color="auto" w:fill="auto"/>
            <w:noWrap w:val="0"/>
            <w:vAlign w:val="center"/>
          </w:tcPr>
          <w:p w14:paraId="28A5E343">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78862C79">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41DF6475">
            <w:pPr>
              <w:spacing w:before="31" w:beforeLines="10" w:line="264" w:lineRule="auto"/>
              <w:jc w:val="center"/>
              <w:rPr>
                <w:color w:val="auto"/>
              </w:rPr>
            </w:pPr>
            <w:r>
              <w:rPr>
                <w:color w:val="auto"/>
              </w:rPr>
              <w:t>达标</w:t>
            </w:r>
          </w:p>
        </w:tc>
      </w:tr>
    </w:tbl>
    <w:p w14:paraId="44DA6CA9">
      <w:pPr>
        <w:spacing w:line="360" w:lineRule="auto"/>
        <w:jc w:val="center"/>
        <w:rPr>
          <w:rFonts w:hint="default"/>
          <w:b/>
          <w:bCs/>
          <w:color w:val="auto"/>
          <w:sz w:val="24"/>
          <w:szCs w:val="32"/>
          <w:vertAlign w:val="superscript"/>
          <w:lang w:val="en-US" w:eastAsia="zh-CN"/>
        </w:rPr>
      </w:pPr>
      <w:r>
        <w:rPr>
          <w:rFonts w:hint="eastAsia"/>
          <w:b/>
          <w:bCs/>
          <w:color w:val="auto"/>
          <w:sz w:val="24"/>
          <w:szCs w:val="32"/>
          <w:lang w:val="en-US" w:eastAsia="zh-CN"/>
        </w:rPr>
        <w:t>表2-10 各监测点NO</w:t>
      </w:r>
      <w:r>
        <w:rPr>
          <w:rFonts w:hint="eastAsia"/>
          <w:b/>
          <w:bCs/>
          <w:color w:val="auto"/>
          <w:sz w:val="24"/>
          <w:szCs w:val="32"/>
          <w:vertAlign w:val="subscript"/>
          <w:lang w:val="en-US" w:eastAsia="zh-CN"/>
        </w:rPr>
        <w:t>2</w:t>
      </w:r>
      <w:r>
        <w:rPr>
          <w:rFonts w:hint="eastAsia"/>
          <w:b/>
          <w:bCs/>
          <w:color w:val="auto"/>
          <w:sz w:val="24"/>
          <w:szCs w:val="32"/>
          <w:lang w:val="en-US" w:eastAsia="zh-CN"/>
        </w:rPr>
        <w:t>日均浓度统计表   标准值：80ug/Nm</w:t>
      </w:r>
      <w:r>
        <w:rPr>
          <w:rFonts w:hint="eastAsia"/>
          <w:b/>
          <w:bCs/>
          <w:color w:val="auto"/>
          <w:sz w:val="24"/>
          <w:szCs w:val="32"/>
          <w:vertAlign w:val="superscript"/>
          <w:lang w:val="en-US" w:eastAsia="zh-CN"/>
        </w:rPr>
        <w:t>3</w:t>
      </w:r>
    </w:p>
    <w:tbl>
      <w:tblPr>
        <w:tblStyle w:val="31"/>
        <w:tblW w:w="4998"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775"/>
        <w:gridCol w:w="2517"/>
        <w:gridCol w:w="1764"/>
        <w:gridCol w:w="1435"/>
        <w:gridCol w:w="957"/>
        <w:gridCol w:w="1062"/>
        <w:gridCol w:w="1448"/>
      </w:tblGrid>
      <w:tr w14:paraId="4C0A017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1652" w:type="pct"/>
            <w:gridSpan w:val="2"/>
            <w:tcBorders>
              <w:tl2br w:val="nil"/>
              <w:tr2bl w:val="nil"/>
            </w:tcBorders>
            <w:shd w:val="clear" w:color="auto" w:fill="auto"/>
            <w:noWrap w:val="0"/>
            <w:vAlign w:val="center"/>
          </w:tcPr>
          <w:p w14:paraId="6C7A6A21">
            <w:pPr>
              <w:spacing w:before="31" w:beforeLines="10" w:line="264" w:lineRule="auto"/>
              <w:jc w:val="center"/>
              <w:rPr>
                <w:b/>
                <w:color w:val="auto"/>
              </w:rPr>
            </w:pPr>
            <w:r>
              <w:rPr>
                <w:b/>
                <w:color w:val="auto"/>
              </w:rPr>
              <w:t>监测点位</w:t>
            </w:r>
          </w:p>
        </w:tc>
        <w:tc>
          <w:tcPr>
            <w:tcW w:w="885" w:type="pct"/>
            <w:tcBorders>
              <w:tl2br w:val="nil"/>
              <w:tr2bl w:val="nil"/>
            </w:tcBorders>
            <w:shd w:val="clear" w:color="auto" w:fill="auto"/>
            <w:noWrap w:val="0"/>
            <w:vAlign w:val="center"/>
          </w:tcPr>
          <w:p w14:paraId="1FC597A7">
            <w:pPr>
              <w:spacing w:before="31" w:beforeLines="10" w:line="264" w:lineRule="auto"/>
              <w:jc w:val="center"/>
              <w:rPr>
                <w:b/>
                <w:color w:val="auto"/>
              </w:rPr>
            </w:pPr>
            <w:r>
              <w:rPr>
                <w:b/>
                <w:color w:val="auto"/>
              </w:rPr>
              <w:t>浓度范围</w:t>
            </w:r>
          </w:p>
          <w:p w14:paraId="78BA85FC">
            <w:pPr>
              <w:spacing w:before="31" w:beforeLines="10" w:line="264" w:lineRule="auto"/>
              <w:jc w:val="center"/>
              <w:rPr>
                <w:b/>
                <w:color w:val="auto"/>
              </w:rPr>
            </w:pPr>
            <w:r>
              <w:rPr>
                <w:b/>
                <w:color w:val="auto"/>
              </w:rPr>
              <w:t>（</w:t>
            </w:r>
            <w:r>
              <w:rPr>
                <w:rFonts w:hint="eastAsia"/>
                <w:b/>
                <w:color w:val="auto"/>
              </w:rPr>
              <w:t>u</w:t>
            </w:r>
            <w:r>
              <w:rPr>
                <w:b/>
                <w:color w:val="auto"/>
              </w:rPr>
              <w:t>g/Nm</w:t>
            </w:r>
            <w:r>
              <w:rPr>
                <w:b/>
                <w:color w:val="auto"/>
                <w:vertAlign w:val="superscript"/>
              </w:rPr>
              <w:t>3</w:t>
            </w:r>
            <w:r>
              <w:rPr>
                <w:b/>
                <w:color w:val="auto"/>
              </w:rPr>
              <w:t>）</w:t>
            </w:r>
          </w:p>
        </w:tc>
        <w:tc>
          <w:tcPr>
            <w:tcW w:w="720" w:type="pct"/>
            <w:tcBorders>
              <w:tl2br w:val="nil"/>
              <w:tr2bl w:val="nil"/>
            </w:tcBorders>
            <w:shd w:val="clear" w:color="auto" w:fill="auto"/>
            <w:noWrap w:val="0"/>
            <w:vAlign w:val="center"/>
          </w:tcPr>
          <w:p w14:paraId="742A13A3">
            <w:pPr>
              <w:spacing w:before="31" w:beforeLines="10" w:line="264" w:lineRule="auto"/>
              <w:jc w:val="center"/>
              <w:rPr>
                <w:b/>
                <w:color w:val="auto"/>
              </w:rPr>
            </w:pPr>
            <w:r>
              <w:rPr>
                <w:b/>
                <w:color w:val="auto"/>
              </w:rPr>
              <w:t>最大占</w:t>
            </w:r>
          </w:p>
          <w:p w14:paraId="0F847D51">
            <w:pPr>
              <w:spacing w:before="31" w:beforeLines="10" w:line="264" w:lineRule="auto"/>
              <w:jc w:val="center"/>
              <w:rPr>
                <w:b/>
                <w:color w:val="auto"/>
              </w:rPr>
            </w:pPr>
            <w:r>
              <w:rPr>
                <w:b/>
                <w:color w:val="auto"/>
              </w:rPr>
              <w:t>标率（%）</w:t>
            </w:r>
          </w:p>
        </w:tc>
        <w:tc>
          <w:tcPr>
            <w:tcW w:w="480" w:type="pct"/>
            <w:tcBorders>
              <w:tl2br w:val="nil"/>
              <w:tr2bl w:val="nil"/>
            </w:tcBorders>
            <w:shd w:val="clear" w:color="auto" w:fill="auto"/>
            <w:noWrap w:val="0"/>
            <w:vAlign w:val="center"/>
          </w:tcPr>
          <w:p w14:paraId="75C24D9D">
            <w:pPr>
              <w:spacing w:before="31" w:beforeLines="10" w:line="264" w:lineRule="auto"/>
              <w:jc w:val="center"/>
              <w:rPr>
                <w:b/>
                <w:color w:val="auto"/>
              </w:rPr>
            </w:pPr>
            <w:r>
              <w:rPr>
                <w:b/>
                <w:color w:val="auto"/>
              </w:rPr>
              <w:t>超标</w:t>
            </w:r>
          </w:p>
          <w:p w14:paraId="55DCE118">
            <w:pPr>
              <w:spacing w:before="31" w:beforeLines="10" w:line="264" w:lineRule="auto"/>
              <w:jc w:val="center"/>
              <w:rPr>
                <w:b/>
                <w:color w:val="auto"/>
              </w:rPr>
            </w:pPr>
            <w:r>
              <w:rPr>
                <w:b/>
                <w:color w:val="auto"/>
              </w:rPr>
              <w:t>个数</w:t>
            </w:r>
          </w:p>
        </w:tc>
        <w:tc>
          <w:tcPr>
            <w:tcW w:w="533" w:type="pct"/>
            <w:tcBorders>
              <w:tl2br w:val="nil"/>
              <w:tr2bl w:val="nil"/>
            </w:tcBorders>
            <w:shd w:val="clear" w:color="auto" w:fill="auto"/>
            <w:noWrap w:val="0"/>
            <w:vAlign w:val="center"/>
          </w:tcPr>
          <w:p w14:paraId="5510F45C">
            <w:pPr>
              <w:spacing w:before="31" w:beforeLines="10" w:line="264" w:lineRule="auto"/>
              <w:jc w:val="center"/>
              <w:rPr>
                <w:b/>
                <w:color w:val="auto"/>
              </w:rPr>
            </w:pPr>
            <w:r>
              <w:rPr>
                <w:b/>
                <w:color w:val="auto"/>
              </w:rPr>
              <w:t>超标率</w:t>
            </w:r>
          </w:p>
          <w:p w14:paraId="605F4EBB">
            <w:pPr>
              <w:spacing w:before="31" w:beforeLines="10" w:line="264" w:lineRule="auto"/>
              <w:jc w:val="center"/>
              <w:rPr>
                <w:b/>
                <w:color w:val="auto"/>
              </w:rPr>
            </w:pPr>
            <w:r>
              <w:rPr>
                <w:b/>
                <w:color w:val="auto"/>
              </w:rPr>
              <w:t>（%）</w:t>
            </w:r>
          </w:p>
        </w:tc>
        <w:tc>
          <w:tcPr>
            <w:tcW w:w="726" w:type="pct"/>
            <w:tcBorders>
              <w:tl2br w:val="nil"/>
              <w:tr2bl w:val="nil"/>
            </w:tcBorders>
            <w:shd w:val="clear" w:color="auto" w:fill="auto"/>
            <w:noWrap w:val="0"/>
            <w:vAlign w:val="center"/>
          </w:tcPr>
          <w:p w14:paraId="37B50C3A">
            <w:pPr>
              <w:spacing w:before="31" w:beforeLines="10" w:line="264" w:lineRule="auto"/>
              <w:jc w:val="center"/>
              <w:rPr>
                <w:b/>
                <w:color w:val="auto"/>
              </w:rPr>
            </w:pPr>
            <w:r>
              <w:rPr>
                <w:b/>
                <w:color w:val="auto"/>
              </w:rPr>
              <w:t>达标</w:t>
            </w:r>
          </w:p>
          <w:p w14:paraId="57105072">
            <w:pPr>
              <w:spacing w:before="31" w:beforeLines="10" w:line="264" w:lineRule="auto"/>
              <w:jc w:val="center"/>
              <w:rPr>
                <w:b/>
                <w:color w:val="auto"/>
              </w:rPr>
            </w:pPr>
            <w:r>
              <w:rPr>
                <w:b/>
                <w:color w:val="auto"/>
              </w:rPr>
              <w:t>情况</w:t>
            </w:r>
          </w:p>
        </w:tc>
      </w:tr>
      <w:tr w14:paraId="113B895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64131722">
            <w:pPr>
              <w:spacing w:before="31" w:beforeLines="10" w:line="264" w:lineRule="auto"/>
              <w:jc w:val="center"/>
              <w:rPr>
                <w:color w:val="auto"/>
              </w:rPr>
            </w:pPr>
            <w:r>
              <w:rPr>
                <w:color w:val="auto"/>
              </w:rPr>
              <w:t>G1</w:t>
            </w:r>
          </w:p>
        </w:tc>
        <w:tc>
          <w:tcPr>
            <w:tcW w:w="1263" w:type="pct"/>
            <w:tcBorders>
              <w:tl2br w:val="nil"/>
              <w:tr2bl w:val="nil"/>
            </w:tcBorders>
            <w:shd w:val="clear" w:color="auto" w:fill="auto"/>
            <w:noWrap w:val="0"/>
            <w:vAlign w:val="top"/>
          </w:tcPr>
          <w:p w14:paraId="2280DEEA">
            <w:pPr>
              <w:jc w:val="center"/>
              <w:rPr>
                <w:color w:val="auto"/>
              </w:rPr>
            </w:pPr>
            <w:r>
              <w:rPr>
                <w:color w:val="auto"/>
              </w:rPr>
              <w:t>星河花园小区</w:t>
            </w:r>
          </w:p>
        </w:tc>
        <w:tc>
          <w:tcPr>
            <w:tcW w:w="885" w:type="pct"/>
            <w:tcBorders>
              <w:tl2br w:val="nil"/>
              <w:tr2bl w:val="nil"/>
            </w:tcBorders>
            <w:shd w:val="clear" w:color="auto" w:fill="auto"/>
            <w:noWrap w:val="0"/>
            <w:vAlign w:val="center"/>
          </w:tcPr>
          <w:p w14:paraId="23506926">
            <w:pPr>
              <w:spacing w:before="31" w:beforeLines="10" w:line="264" w:lineRule="auto"/>
              <w:jc w:val="center"/>
              <w:rPr>
                <w:color w:val="auto"/>
              </w:rPr>
            </w:pPr>
            <w:r>
              <w:rPr>
                <w:color w:val="auto"/>
                <w:szCs w:val="21"/>
              </w:rPr>
              <w:t>17～24</w:t>
            </w:r>
          </w:p>
        </w:tc>
        <w:tc>
          <w:tcPr>
            <w:tcW w:w="720" w:type="pct"/>
            <w:tcBorders>
              <w:tl2br w:val="nil"/>
              <w:tr2bl w:val="nil"/>
            </w:tcBorders>
            <w:shd w:val="clear" w:color="auto" w:fill="auto"/>
            <w:noWrap w:val="0"/>
            <w:vAlign w:val="center"/>
          </w:tcPr>
          <w:p w14:paraId="605C56FF">
            <w:pPr>
              <w:jc w:val="center"/>
              <w:rPr>
                <w:color w:val="auto"/>
                <w:sz w:val="24"/>
              </w:rPr>
            </w:pPr>
            <w:r>
              <w:rPr>
                <w:color w:val="auto"/>
              </w:rPr>
              <w:t>30.00</w:t>
            </w:r>
          </w:p>
        </w:tc>
        <w:tc>
          <w:tcPr>
            <w:tcW w:w="480" w:type="pct"/>
            <w:tcBorders>
              <w:tl2br w:val="nil"/>
              <w:tr2bl w:val="nil"/>
            </w:tcBorders>
            <w:shd w:val="clear" w:color="auto" w:fill="auto"/>
            <w:noWrap w:val="0"/>
            <w:vAlign w:val="center"/>
          </w:tcPr>
          <w:p w14:paraId="40CAD717">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38302211">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7E60BFF4">
            <w:pPr>
              <w:spacing w:before="31" w:beforeLines="10" w:line="264" w:lineRule="auto"/>
              <w:jc w:val="center"/>
              <w:rPr>
                <w:color w:val="auto"/>
              </w:rPr>
            </w:pPr>
            <w:r>
              <w:rPr>
                <w:color w:val="auto"/>
              </w:rPr>
              <w:t>达标</w:t>
            </w:r>
          </w:p>
        </w:tc>
      </w:tr>
      <w:tr w14:paraId="5996845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70A3B2F3">
            <w:pPr>
              <w:spacing w:before="31" w:beforeLines="10" w:line="264" w:lineRule="auto"/>
              <w:jc w:val="center"/>
              <w:rPr>
                <w:color w:val="auto"/>
              </w:rPr>
            </w:pPr>
            <w:r>
              <w:rPr>
                <w:color w:val="auto"/>
              </w:rPr>
              <w:t>G2</w:t>
            </w:r>
          </w:p>
        </w:tc>
        <w:tc>
          <w:tcPr>
            <w:tcW w:w="1263" w:type="pct"/>
            <w:tcBorders>
              <w:tl2br w:val="nil"/>
              <w:tr2bl w:val="nil"/>
            </w:tcBorders>
            <w:shd w:val="clear" w:color="auto" w:fill="auto"/>
            <w:noWrap w:val="0"/>
            <w:vAlign w:val="top"/>
          </w:tcPr>
          <w:p w14:paraId="6E923F38">
            <w:pPr>
              <w:jc w:val="center"/>
              <w:rPr>
                <w:color w:val="auto"/>
              </w:rPr>
            </w:pPr>
            <w:r>
              <w:rPr>
                <w:color w:val="auto"/>
              </w:rPr>
              <w:t>项目地</w:t>
            </w:r>
          </w:p>
        </w:tc>
        <w:tc>
          <w:tcPr>
            <w:tcW w:w="885" w:type="pct"/>
            <w:tcBorders>
              <w:tl2br w:val="nil"/>
              <w:tr2bl w:val="nil"/>
            </w:tcBorders>
            <w:shd w:val="clear" w:color="auto" w:fill="auto"/>
            <w:noWrap w:val="0"/>
            <w:vAlign w:val="center"/>
          </w:tcPr>
          <w:p w14:paraId="01345514">
            <w:pPr>
              <w:spacing w:before="31" w:beforeLines="10" w:line="264" w:lineRule="auto"/>
              <w:jc w:val="center"/>
              <w:rPr>
                <w:color w:val="auto"/>
                <w:szCs w:val="21"/>
              </w:rPr>
            </w:pPr>
            <w:r>
              <w:rPr>
                <w:color w:val="auto"/>
                <w:szCs w:val="21"/>
              </w:rPr>
              <w:t>14～25</w:t>
            </w:r>
          </w:p>
        </w:tc>
        <w:tc>
          <w:tcPr>
            <w:tcW w:w="720" w:type="pct"/>
            <w:tcBorders>
              <w:tl2br w:val="nil"/>
              <w:tr2bl w:val="nil"/>
            </w:tcBorders>
            <w:shd w:val="clear" w:color="auto" w:fill="auto"/>
            <w:noWrap w:val="0"/>
            <w:vAlign w:val="center"/>
          </w:tcPr>
          <w:p w14:paraId="0CBDEB8E">
            <w:pPr>
              <w:jc w:val="center"/>
              <w:rPr>
                <w:color w:val="auto"/>
              </w:rPr>
            </w:pPr>
            <w:r>
              <w:rPr>
                <w:color w:val="auto"/>
              </w:rPr>
              <w:t>31.25</w:t>
            </w:r>
          </w:p>
        </w:tc>
        <w:tc>
          <w:tcPr>
            <w:tcW w:w="480" w:type="pct"/>
            <w:tcBorders>
              <w:tl2br w:val="nil"/>
              <w:tr2bl w:val="nil"/>
            </w:tcBorders>
            <w:shd w:val="clear" w:color="auto" w:fill="auto"/>
            <w:noWrap w:val="0"/>
            <w:vAlign w:val="center"/>
          </w:tcPr>
          <w:p w14:paraId="3FE9C89A">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6C664904">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7F484FD5">
            <w:pPr>
              <w:spacing w:before="31" w:beforeLines="10" w:line="264" w:lineRule="auto"/>
              <w:jc w:val="center"/>
              <w:rPr>
                <w:color w:val="auto"/>
              </w:rPr>
            </w:pPr>
            <w:r>
              <w:rPr>
                <w:color w:val="auto"/>
              </w:rPr>
              <w:t>达标</w:t>
            </w:r>
          </w:p>
        </w:tc>
      </w:tr>
      <w:tr w14:paraId="5058402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15E24FCC">
            <w:pPr>
              <w:spacing w:before="31" w:beforeLines="10" w:line="264" w:lineRule="auto"/>
              <w:jc w:val="center"/>
              <w:rPr>
                <w:color w:val="auto"/>
              </w:rPr>
            </w:pPr>
            <w:r>
              <w:rPr>
                <w:color w:val="auto"/>
              </w:rPr>
              <w:t>G3</w:t>
            </w:r>
          </w:p>
        </w:tc>
        <w:tc>
          <w:tcPr>
            <w:tcW w:w="1263" w:type="pct"/>
            <w:tcBorders>
              <w:tl2br w:val="nil"/>
              <w:tr2bl w:val="nil"/>
            </w:tcBorders>
            <w:shd w:val="clear" w:color="auto" w:fill="auto"/>
            <w:noWrap w:val="0"/>
            <w:vAlign w:val="top"/>
          </w:tcPr>
          <w:p w14:paraId="7215A17F">
            <w:pPr>
              <w:jc w:val="center"/>
              <w:rPr>
                <w:color w:val="auto"/>
              </w:rPr>
            </w:pPr>
            <w:r>
              <w:rPr>
                <w:color w:val="auto"/>
              </w:rPr>
              <w:t>刘桥镇</w:t>
            </w:r>
          </w:p>
        </w:tc>
        <w:tc>
          <w:tcPr>
            <w:tcW w:w="885" w:type="pct"/>
            <w:tcBorders>
              <w:tl2br w:val="nil"/>
              <w:tr2bl w:val="nil"/>
            </w:tcBorders>
            <w:shd w:val="clear" w:color="auto" w:fill="auto"/>
            <w:noWrap w:val="0"/>
            <w:vAlign w:val="center"/>
          </w:tcPr>
          <w:p w14:paraId="452A51F6">
            <w:pPr>
              <w:spacing w:before="31" w:beforeLines="10" w:line="264" w:lineRule="auto"/>
              <w:jc w:val="center"/>
              <w:rPr>
                <w:color w:val="auto"/>
                <w:szCs w:val="21"/>
              </w:rPr>
            </w:pPr>
            <w:r>
              <w:rPr>
                <w:color w:val="auto"/>
                <w:szCs w:val="21"/>
              </w:rPr>
              <w:t>18～24</w:t>
            </w:r>
          </w:p>
        </w:tc>
        <w:tc>
          <w:tcPr>
            <w:tcW w:w="720" w:type="pct"/>
            <w:tcBorders>
              <w:tl2br w:val="nil"/>
              <w:tr2bl w:val="nil"/>
            </w:tcBorders>
            <w:shd w:val="clear" w:color="auto" w:fill="auto"/>
            <w:noWrap w:val="0"/>
            <w:vAlign w:val="center"/>
          </w:tcPr>
          <w:p w14:paraId="6817AE62">
            <w:pPr>
              <w:jc w:val="center"/>
              <w:rPr>
                <w:color w:val="auto"/>
                <w:sz w:val="24"/>
              </w:rPr>
            </w:pPr>
            <w:r>
              <w:rPr>
                <w:color w:val="auto"/>
              </w:rPr>
              <w:t>30.00</w:t>
            </w:r>
          </w:p>
        </w:tc>
        <w:tc>
          <w:tcPr>
            <w:tcW w:w="480" w:type="pct"/>
            <w:tcBorders>
              <w:tl2br w:val="nil"/>
              <w:tr2bl w:val="nil"/>
            </w:tcBorders>
            <w:shd w:val="clear" w:color="auto" w:fill="auto"/>
            <w:noWrap w:val="0"/>
            <w:vAlign w:val="center"/>
          </w:tcPr>
          <w:p w14:paraId="01EE8810">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19089EB7">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4B829EB1">
            <w:pPr>
              <w:spacing w:before="31" w:beforeLines="10" w:line="264" w:lineRule="auto"/>
              <w:jc w:val="center"/>
              <w:rPr>
                <w:color w:val="auto"/>
              </w:rPr>
            </w:pPr>
            <w:r>
              <w:rPr>
                <w:color w:val="auto"/>
              </w:rPr>
              <w:t>达标</w:t>
            </w:r>
          </w:p>
        </w:tc>
      </w:tr>
      <w:tr w14:paraId="4D24FC07">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1403C874">
            <w:pPr>
              <w:spacing w:before="31" w:beforeLines="10" w:line="264" w:lineRule="auto"/>
              <w:jc w:val="center"/>
              <w:rPr>
                <w:color w:val="auto"/>
              </w:rPr>
            </w:pPr>
            <w:r>
              <w:rPr>
                <w:color w:val="auto"/>
              </w:rPr>
              <w:t>G4</w:t>
            </w:r>
          </w:p>
        </w:tc>
        <w:tc>
          <w:tcPr>
            <w:tcW w:w="1263" w:type="pct"/>
            <w:tcBorders>
              <w:tl2br w:val="nil"/>
              <w:tr2bl w:val="nil"/>
            </w:tcBorders>
            <w:shd w:val="clear" w:color="auto" w:fill="auto"/>
            <w:noWrap w:val="0"/>
            <w:vAlign w:val="top"/>
          </w:tcPr>
          <w:p w14:paraId="7376CEFC">
            <w:pPr>
              <w:jc w:val="center"/>
              <w:rPr>
                <w:color w:val="auto"/>
              </w:rPr>
            </w:pPr>
            <w:r>
              <w:rPr>
                <w:color w:val="auto"/>
              </w:rPr>
              <w:t>公租房区</w:t>
            </w:r>
            <w:r>
              <w:rPr>
                <w:rFonts w:hint="eastAsia"/>
                <w:color w:val="auto"/>
                <w:lang w:eastAsia="zh-CN"/>
              </w:rPr>
              <w:t>（</w:t>
            </w:r>
            <w:r>
              <w:rPr>
                <w:rFonts w:hint="eastAsia"/>
                <w:color w:val="auto"/>
                <w:lang w:val="en-US" w:eastAsia="zh-CN"/>
              </w:rPr>
              <w:t>和谐家园</w:t>
            </w:r>
            <w:r>
              <w:rPr>
                <w:rFonts w:hint="eastAsia"/>
                <w:color w:val="auto"/>
                <w:lang w:eastAsia="zh-CN"/>
              </w:rPr>
              <w:t>）</w:t>
            </w:r>
          </w:p>
        </w:tc>
        <w:tc>
          <w:tcPr>
            <w:tcW w:w="885" w:type="pct"/>
            <w:tcBorders>
              <w:tl2br w:val="nil"/>
              <w:tr2bl w:val="nil"/>
            </w:tcBorders>
            <w:shd w:val="clear" w:color="auto" w:fill="auto"/>
            <w:noWrap w:val="0"/>
            <w:vAlign w:val="center"/>
          </w:tcPr>
          <w:p w14:paraId="4CAEF3F8">
            <w:pPr>
              <w:spacing w:before="31" w:beforeLines="10" w:line="264" w:lineRule="auto"/>
              <w:jc w:val="center"/>
              <w:rPr>
                <w:color w:val="auto"/>
              </w:rPr>
            </w:pPr>
            <w:r>
              <w:rPr>
                <w:color w:val="auto"/>
                <w:szCs w:val="21"/>
              </w:rPr>
              <w:t>18～23</w:t>
            </w:r>
          </w:p>
        </w:tc>
        <w:tc>
          <w:tcPr>
            <w:tcW w:w="720" w:type="pct"/>
            <w:tcBorders>
              <w:tl2br w:val="nil"/>
              <w:tr2bl w:val="nil"/>
            </w:tcBorders>
            <w:shd w:val="clear" w:color="auto" w:fill="auto"/>
            <w:noWrap w:val="0"/>
            <w:vAlign w:val="center"/>
          </w:tcPr>
          <w:p w14:paraId="06ED9D32">
            <w:pPr>
              <w:jc w:val="center"/>
              <w:rPr>
                <w:color w:val="auto"/>
                <w:sz w:val="24"/>
              </w:rPr>
            </w:pPr>
            <w:r>
              <w:rPr>
                <w:color w:val="auto"/>
              </w:rPr>
              <w:t>28.75</w:t>
            </w:r>
          </w:p>
        </w:tc>
        <w:tc>
          <w:tcPr>
            <w:tcW w:w="480" w:type="pct"/>
            <w:tcBorders>
              <w:tl2br w:val="nil"/>
              <w:tr2bl w:val="nil"/>
            </w:tcBorders>
            <w:shd w:val="clear" w:color="auto" w:fill="auto"/>
            <w:noWrap w:val="0"/>
            <w:vAlign w:val="center"/>
          </w:tcPr>
          <w:p w14:paraId="3BDC7FD4">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1005C385">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09E3328E">
            <w:pPr>
              <w:spacing w:before="31" w:beforeLines="10" w:line="264" w:lineRule="auto"/>
              <w:jc w:val="center"/>
              <w:rPr>
                <w:color w:val="auto"/>
              </w:rPr>
            </w:pPr>
            <w:r>
              <w:rPr>
                <w:color w:val="auto"/>
              </w:rPr>
              <w:t>达标</w:t>
            </w:r>
          </w:p>
        </w:tc>
      </w:tr>
      <w:tr w14:paraId="156903A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33FBB6F2">
            <w:pPr>
              <w:spacing w:before="31" w:beforeLines="10" w:line="264" w:lineRule="auto"/>
              <w:jc w:val="center"/>
              <w:rPr>
                <w:color w:val="auto"/>
              </w:rPr>
            </w:pPr>
            <w:r>
              <w:rPr>
                <w:color w:val="auto"/>
              </w:rPr>
              <w:t>G5</w:t>
            </w:r>
          </w:p>
        </w:tc>
        <w:tc>
          <w:tcPr>
            <w:tcW w:w="1263" w:type="pct"/>
            <w:tcBorders>
              <w:tl2br w:val="nil"/>
              <w:tr2bl w:val="nil"/>
            </w:tcBorders>
            <w:shd w:val="clear" w:color="auto" w:fill="auto"/>
            <w:noWrap w:val="0"/>
            <w:vAlign w:val="top"/>
          </w:tcPr>
          <w:p w14:paraId="5F05D884">
            <w:pPr>
              <w:jc w:val="center"/>
              <w:rPr>
                <w:color w:val="auto"/>
              </w:rPr>
            </w:pPr>
            <w:r>
              <w:rPr>
                <w:color w:val="auto"/>
              </w:rPr>
              <w:t>赵楼村</w:t>
            </w:r>
          </w:p>
        </w:tc>
        <w:tc>
          <w:tcPr>
            <w:tcW w:w="885" w:type="pct"/>
            <w:tcBorders>
              <w:tl2br w:val="nil"/>
              <w:tr2bl w:val="nil"/>
            </w:tcBorders>
            <w:shd w:val="clear" w:color="auto" w:fill="auto"/>
            <w:noWrap w:val="0"/>
            <w:vAlign w:val="center"/>
          </w:tcPr>
          <w:p w14:paraId="7DC4999A">
            <w:pPr>
              <w:spacing w:before="31" w:beforeLines="10" w:line="264" w:lineRule="auto"/>
              <w:jc w:val="center"/>
              <w:rPr>
                <w:color w:val="auto"/>
                <w:szCs w:val="21"/>
              </w:rPr>
            </w:pPr>
            <w:r>
              <w:rPr>
                <w:color w:val="auto"/>
                <w:szCs w:val="21"/>
              </w:rPr>
              <w:t>20～25</w:t>
            </w:r>
          </w:p>
        </w:tc>
        <w:tc>
          <w:tcPr>
            <w:tcW w:w="720" w:type="pct"/>
            <w:tcBorders>
              <w:tl2br w:val="nil"/>
              <w:tr2bl w:val="nil"/>
            </w:tcBorders>
            <w:shd w:val="clear" w:color="auto" w:fill="auto"/>
            <w:noWrap w:val="0"/>
            <w:vAlign w:val="center"/>
          </w:tcPr>
          <w:p w14:paraId="5A66E26F">
            <w:pPr>
              <w:jc w:val="center"/>
              <w:rPr>
                <w:color w:val="auto"/>
                <w:sz w:val="24"/>
              </w:rPr>
            </w:pPr>
            <w:r>
              <w:rPr>
                <w:color w:val="auto"/>
              </w:rPr>
              <w:t>31.25</w:t>
            </w:r>
          </w:p>
        </w:tc>
        <w:tc>
          <w:tcPr>
            <w:tcW w:w="480" w:type="pct"/>
            <w:tcBorders>
              <w:tl2br w:val="nil"/>
              <w:tr2bl w:val="nil"/>
            </w:tcBorders>
            <w:shd w:val="clear" w:color="auto" w:fill="auto"/>
            <w:noWrap w:val="0"/>
            <w:vAlign w:val="center"/>
          </w:tcPr>
          <w:p w14:paraId="60E73127">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1F4426D6">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4C92FD37">
            <w:pPr>
              <w:spacing w:before="31" w:beforeLines="10" w:line="264" w:lineRule="auto"/>
              <w:jc w:val="center"/>
              <w:rPr>
                <w:color w:val="auto"/>
              </w:rPr>
            </w:pPr>
            <w:r>
              <w:rPr>
                <w:color w:val="auto"/>
              </w:rPr>
              <w:t>达标</w:t>
            </w:r>
          </w:p>
        </w:tc>
      </w:tr>
      <w:tr w14:paraId="718A6C0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89" w:type="pct"/>
            <w:tcBorders>
              <w:tl2br w:val="nil"/>
              <w:tr2bl w:val="nil"/>
            </w:tcBorders>
            <w:shd w:val="clear" w:color="auto" w:fill="auto"/>
            <w:noWrap w:val="0"/>
            <w:vAlign w:val="center"/>
          </w:tcPr>
          <w:p w14:paraId="3D41D3A6">
            <w:pPr>
              <w:spacing w:before="31" w:beforeLines="10" w:line="264" w:lineRule="auto"/>
              <w:jc w:val="center"/>
              <w:rPr>
                <w:color w:val="auto"/>
              </w:rPr>
            </w:pPr>
            <w:r>
              <w:rPr>
                <w:color w:val="auto"/>
              </w:rPr>
              <w:t>G6</w:t>
            </w:r>
          </w:p>
        </w:tc>
        <w:tc>
          <w:tcPr>
            <w:tcW w:w="1263" w:type="pct"/>
            <w:tcBorders>
              <w:tl2br w:val="nil"/>
              <w:tr2bl w:val="nil"/>
            </w:tcBorders>
            <w:shd w:val="clear" w:color="auto" w:fill="auto"/>
            <w:noWrap w:val="0"/>
            <w:vAlign w:val="top"/>
          </w:tcPr>
          <w:p w14:paraId="2EF79C31">
            <w:pPr>
              <w:jc w:val="center"/>
              <w:rPr>
                <w:color w:val="auto"/>
              </w:rPr>
            </w:pPr>
            <w:r>
              <w:rPr>
                <w:color w:val="auto"/>
              </w:rPr>
              <w:t>王埝村</w:t>
            </w:r>
          </w:p>
        </w:tc>
        <w:tc>
          <w:tcPr>
            <w:tcW w:w="885" w:type="pct"/>
            <w:tcBorders>
              <w:tl2br w:val="nil"/>
              <w:tr2bl w:val="nil"/>
            </w:tcBorders>
            <w:shd w:val="clear" w:color="auto" w:fill="auto"/>
            <w:noWrap w:val="0"/>
            <w:vAlign w:val="center"/>
          </w:tcPr>
          <w:p w14:paraId="6135B669">
            <w:pPr>
              <w:spacing w:before="31" w:beforeLines="10" w:line="264" w:lineRule="auto"/>
              <w:jc w:val="center"/>
              <w:rPr>
                <w:color w:val="auto"/>
                <w:szCs w:val="21"/>
              </w:rPr>
            </w:pPr>
            <w:r>
              <w:rPr>
                <w:color w:val="auto"/>
                <w:szCs w:val="21"/>
              </w:rPr>
              <w:t>17～25</w:t>
            </w:r>
          </w:p>
        </w:tc>
        <w:tc>
          <w:tcPr>
            <w:tcW w:w="720" w:type="pct"/>
            <w:tcBorders>
              <w:tl2br w:val="nil"/>
              <w:tr2bl w:val="nil"/>
            </w:tcBorders>
            <w:shd w:val="clear" w:color="auto" w:fill="auto"/>
            <w:noWrap w:val="0"/>
            <w:vAlign w:val="center"/>
          </w:tcPr>
          <w:p w14:paraId="133C30B2">
            <w:pPr>
              <w:jc w:val="center"/>
              <w:rPr>
                <w:color w:val="auto"/>
                <w:sz w:val="24"/>
              </w:rPr>
            </w:pPr>
            <w:r>
              <w:rPr>
                <w:color w:val="auto"/>
              </w:rPr>
              <w:t>31.25</w:t>
            </w:r>
          </w:p>
        </w:tc>
        <w:tc>
          <w:tcPr>
            <w:tcW w:w="480" w:type="pct"/>
            <w:tcBorders>
              <w:tl2br w:val="nil"/>
              <w:tr2bl w:val="nil"/>
            </w:tcBorders>
            <w:shd w:val="clear" w:color="auto" w:fill="auto"/>
            <w:noWrap w:val="0"/>
            <w:vAlign w:val="center"/>
          </w:tcPr>
          <w:p w14:paraId="0DDBBC00">
            <w:pPr>
              <w:spacing w:before="31" w:beforeLines="10" w:line="264" w:lineRule="auto"/>
              <w:jc w:val="center"/>
              <w:rPr>
                <w:color w:val="auto"/>
              </w:rPr>
            </w:pPr>
            <w:r>
              <w:rPr>
                <w:color w:val="auto"/>
              </w:rPr>
              <w:t>0</w:t>
            </w:r>
          </w:p>
        </w:tc>
        <w:tc>
          <w:tcPr>
            <w:tcW w:w="533" w:type="pct"/>
            <w:tcBorders>
              <w:tl2br w:val="nil"/>
              <w:tr2bl w:val="nil"/>
            </w:tcBorders>
            <w:shd w:val="clear" w:color="auto" w:fill="auto"/>
            <w:noWrap w:val="0"/>
            <w:vAlign w:val="center"/>
          </w:tcPr>
          <w:p w14:paraId="1C64ECA4">
            <w:pPr>
              <w:spacing w:before="31" w:beforeLines="10" w:line="264" w:lineRule="auto"/>
              <w:jc w:val="center"/>
              <w:rPr>
                <w:color w:val="auto"/>
              </w:rPr>
            </w:pPr>
            <w:r>
              <w:rPr>
                <w:color w:val="auto"/>
              </w:rPr>
              <w:t>0</w:t>
            </w:r>
          </w:p>
        </w:tc>
        <w:tc>
          <w:tcPr>
            <w:tcW w:w="726" w:type="pct"/>
            <w:tcBorders>
              <w:tl2br w:val="nil"/>
              <w:tr2bl w:val="nil"/>
            </w:tcBorders>
            <w:shd w:val="clear" w:color="auto" w:fill="auto"/>
            <w:noWrap w:val="0"/>
            <w:vAlign w:val="center"/>
          </w:tcPr>
          <w:p w14:paraId="1A8BACA1">
            <w:pPr>
              <w:spacing w:before="31" w:beforeLines="10" w:line="264" w:lineRule="auto"/>
              <w:jc w:val="center"/>
              <w:rPr>
                <w:color w:val="auto"/>
              </w:rPr>
            </w:pPr>
            <w:r>
              <w:rPr>
                <w:color w:val="auto"/>
              </w:rPr>
              <w:t>达标</w:t>
            </w:r>
          </w:p>
        </w:tc>
      </w:tr>
    </w:tbl>
    <w:p w14:paraId="78C89DA3">
      <w:pPr>
        <w:spacing w:line="360" w:lineRule="auto"/>
        <w:jc w:val="center"/>
        <w:rPr>
          <w:rFonts w:hint="default"/>
          <w:b/>
          <w:bCs/>
          <w:color w:val="auto"/>
          <w:sz w:val="24"/>
          <w:szCs w:val="32"/>
          <w:lang w:val="en-US" w:eastAsia="zh-CN"/>
        </w:rPr>
      </w:pPr>
      <w:r>
        <w:rPr>
          <w:rFonts w:hint="eastAsia"/>
          <w:b/>
          <w:bCs/>
          <w:color w:val="auto"/>
          <w:sz w:val="24"/>
          <w:szCs w:val="32"/>
          <w:lang w:val="en-US" w:eastAsia="zh-CN"/>
        </w:rPr>
        <w:t>表2-11 各监测点二噁英类日均浓度统计表   标准值：1.65pg-TEQ /Nm</w:t>
      </w:r>
      <w:r>
        <w:rPr>
          <w:rFonts w:hint="eastAsia"/>
          <w:b/>
          <w:bCs/>
          <w:color w:val="auto"/>
          <w:sz w:val="24"/>
          <w:szCs w:val="32"/>
          <w:vertAlign w:val="superscript"/>
          <w:lang w:val="en-US" w:eastAsia="zh-CN"/>
        </w:rPr>
        <w:t>3</w:t>
      </w:r>
    </w:p>
    <w:tbl>
      <w:tblPr>
        <w:tblStyle w:val="31"/>
        <w:tblW w:w="4998"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712"/>
        <w:gridCol w:w="2459"/>
        <w:gridCol w:w="2120"/>
        <w:gridCol w:w="1379"/>
        <w:gridCol w:w="897"/>
        <w:gridCol w:w="1004"/>
        <w:gridCol w:w="1387"/>
      </w:tblGrid>
      <w:tr w14:paraId="6B2C3CB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blHeader/>
        </w:trPr>
        <w:tc>
          <w:tcPr>
            <w:tcW w:w="1592" w:type="pct"/>
            <w:gridSpan w:val="2"/>
            <w:tcBorders>
              <w:tl2br w:val="nil"/>
              <w:tr2bl w:val="nil"/>
            </w:tcBorders>
            <w:shd w:val="clear" w:color="auto" w:fill="auto"/>
            <w:noWrap w:val="0"/>
            <w:vAlign w:val="center"/>
          </w:tcPr>
          <w:p w14:paraId="0ADA4A6A">
            <w:pPr>
              <w:spacing w:before="31" w:beforeLines="10" w:line="264" w:lineRule="auto"/>
              <w:jc w:val="center"/>
              <w:rPr>
                <w:b/>
                <w:color w:val="auto"/>
              </w:rPr>
            </w:pPr>
            <w:r>
              <w:rPr>
                <w:b/>
                <w:color w:val="auto"/>
              </w:rPr>
              <w:t>监测点位</w:t>
            </w:r>
          </w:p>
        </w:tc>
        <w:tc>
          <w:tcPr>
            <w:tcW w:w="1064" w:type="pct"/>
            <w:tcBorders>
              <w:tl2br w:val="nil"/>
              <w:tr2bl w:val="nil"/>
            </w:tcBorders>
            <w:shd w:val="clear" w:color="auto" w:fill="auto"/>
            <w:noWrap w:val="0"/>
            <w:vAlign w:val="center"/>
          </w:tcPr>
          <w:p w14:paraId="41A5774A">
            <w:pPr>
              <w:spacing w:before="31" w:beforeLines="10" w:line="264" w:lineRule="auto"/>
              <w:jc w:val="center"/>
              <w:rPr>
                <w:b/>
                <w:color w:val="auto"/>
              </w:rPr>
            </w:pPr>
            <w:r>
              <w:rPr>
                <w:b/>
                <w:color w:val="auto"/>
              </w:rPr>
              <w:t>浓度范围</w:t>
            </w:r>
          </w:p>
          <w:p w14:paraId="5D4C01C4">
            <w:pPr>
              <w:spacing w:before="31" w:beforeLines="10" w:line="264" w:lineRule="auto"/>
              <w:jc w:val="center"/>
              <w:rPr>
                <w:b/>
                <w:color w:val="auto"/>
              </w:rPr>
            </w:pPr>
            <w:r>
              <w:rPr>
                <w:b/>
                <w:color w:val="auto"/>
              </w:rPr>
              <w:t>（pg-TEQ/Nm</w:t>
            </w:r>
            <w:r>
              <w:rPr>
                <w:b/>
                <w:color w:val="auto"/>
                <w:vertAlign w:val="superscript"/>
              </w:rPr>
              <w:t>3</w:t>
            </w:r>
            <w:r>
              <w:rPr>
                <w:b/>
                <w:color w:val="auto"/>
              </w:rPr>
              <w:t>）</w:t>
            </w:r>
          </w:p>
        </w:tc>
        <w:tc>
          <w:tcPr>
            <w:tcW w:w="692" w:type="pct"/>
            <w:tcBorders>
              <w:tl2br w:val="nil"/>
              <w:tr2bl w:val="nil"/>
            </w:tcBorders>
            <w:shd w:val="clear" w:color="auto" w:fill="auto"/>
            <w:noWrap w:val="0"/>
            <w:vAlign w:val="center"/>
          </w:tcPr>
          <w:p w14:paraId="595BED5B">
            <w:pPr>
              <w:spacing w:before="31" w:beforeLines="10" w:line="264" w:lineRule="auto"/>
              <w:jc w:val="center"/>
              <w:rPr>
                <w:b/>
                <w:color w:val="auto"/>
              </w:rPr>
            </w:pPr>
            <w:r>
              <w:rPr>
                <w:b/>
                <w:color w:val="auto"/>
              </w:rPr>
              <w:t>最大占</w:t>
            </w:r>
          </w:p>
          <w:p w14:paraId="7FF8F6F4">
            <w:pPr>
              <w:spacing w:before="31" w:beforeLines="10" w:line="264" w:lineRule="auto"/>
              <w:jc w:val="center"/>
              <w:rPr>
                <w:b/>
                <w:color w:val="auto"/>
              </w:rPr>
            </w:pPr>
            <w:r>
              <w:rPr>
                <w:b/>
                <w:color w:val="auto"/>
              </w:rPr>
              <w:t>标率（%）</w:t>
            </w:r>
          </w:p>
        </w:tc>
        <w:tc>
          <w:tcPr>
            <w:tcW w:w="450" w:type="pct"/>
            <w:tcBorders>
              <w:tl2br w:val="nil"/>
              <w:tr2bl w:val="nil"/>
            </w:tcBorders>
            <w:shd w:val="clear" w:color="auto" w:fill="auto"/>
            <w:noWrap w:val="0"/>
            <w:vAlign w:val="center"/>
          </w:tcPr>
          <w:p w14:paraId="49500533">
            <w:pPr>
              <w:spacing w:before="31" w:beforeLines="10" w:line="264" w:lineRule="auto"/>
              <w:jc w:val="center"/>
              <w:rPr>
                <w:b/>
                <w:color w:val="auto"/>
              </w:rPr>
            </w:pPr>
            <w:r>
              <w:rPr>
                <w:b/>
                <w:color w:val="auto"/>
              </w:rPr>
              <w:t>超标</w:t>
            </w:r>
          </w:p>
          <w:p w14:paraId="352BD44A">
            <w:pPr>
              <w:spacing w:before="31" w:beforeLines="10" w:line="264" w:lineRule="auto"/>
              <w:jc w:val="center"/>
              <w:rPr>
                <w:b/>
                <w:color w:val="auto"/>
              </w:rPr>
            </w:pPr>
            <w:r>
              <w:rPr>
                <w:b/>
                <w:color w:val="auto"/>
              </w:rPr>
              <w:t>个数</w:t>
            </w:r>
          </w:p>
        </w:tc>
        <w:tc>
          <w:tcPr>
            <w:tcW w:w="504" w:type="pct"/>
            <w:tcBorders>
              <w:tl2br w:val="nil"/>
              <w:tr2bl w:val="nil"/>
            </w:tcBorders>
            <w:shd w:val="clear" w:color="auto" w:fill="auto"/>
            <w:noWrap w:val="0"/>
            <w:vAlign w:val="center"/>
          </w:tcPr>
          <w:p w14:paraId="6AA5D677">
            <w:pPr>
              <w:spacing w:before="31" w:beforeLines="10" w:line="264" w:lineRule="auto"/>
              <w:jc w:val="center"/>
              <w:rPr>
                <w:b/>
                <w:color w:val="auto"/>
              </w:rPr>
            </w:pPr>
            <w:r>
              <w:rPr>
                <w:b/>
                <w:color w:val="auto"/>
              </w:rPr>
              <w:t>超标率</w:t>
            </w:r>
          </w:p>
          <w:p w14:paraId="5867A9CC">
            <w:pPr>
              <w:spacing w:before="31" w:beforeLines="10" w:line="264" w:lineRule="auto"/>
              <w:jc w:val="center"/>
              <w:rPr>
                <w:b/>
                <w:color w:val="auto"/>
              </w:rPr>
            </w:pPr>
            <w:r>
              <w:rPr>
                <w:b/>
                <w:color w:val="auto"/>
              </w:rPr>
              <w:t>（%）</w:t>
            </w:r>
          </w:p>
        </w:tc>
        <w:tc>
          <w:tcPr>
            <w:tcW w:w="696" w:type="pct"/>
            <w:tcBorders>
              <w:tl2br w:val="nil"/>
              <w:tr2bl w:val="nil"/>
            </w:tcBorders>
            <w:shd w:val="clear" w:color="auto" w:fill="auto"/>
            <w:noWrap w:val="0"/>
            <w:vAlign w:val="center"/>
          </w:tcPr>
          <w:p w14:paraId="173456CE">
            <w:pPr>
              <w:spacing w:before="31" w:beforeLines="10" w:line="264" w:lineRule="auto"/>
              <w:jc w:val="center"/>
              <w:rPr>
                <w:b/>
                <w:color w:val="auto"/>
              </w:rPr>
            </w:pPr>
            <w:r>
              <w:rPr>
                <w:b/>
                <w:color w:val="auto"/>
              </w:rPr>
              <w:t>达标</w:t>
            </w:r>
          </w:p>
          <w:p w14:paraId="5FBD9BA5">
            <w:pPr>
              <w:spacing w:before="31" w:beforeLines="10" w:line="264" w:lineRule="auto"/>
              <w:jc w:val="center"/>
              <w:rPr>
                <w:b/>
                <w:color w:val="auto"/>
              </w:rPr>
            </w:pPr>
            <w:r>
              <w:rPr>
                <w:b/>
                <w:color w:val="auto"/>
              </w:rPr>
              <w:t>情况</w:t>
            </w:r>
          </w:p>
        </w:tc>
      </w:tr>
      <w:tr w14:paraId="6141A90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58" w:type="pct"/>
            <w:tcBorders>
              <w:tl2br w:val="nil"/>
              <w:tr2bl w:val="nil"/>
            </w:tcBorders>
            <w:shd w:val="clear" w:color="auto" w:fill="auto"/>
            <w:noWrap w:val="0"/>
            <w:vAlign w:val="center"/>
          </w:tcPr>
          <w:p w14:paraId="1C62B3B1">
            <w:pPr>
              <w:spacing w:before="31" w:beforeLines="10" w:line="264" w:lineRule="auto"/>
              <w:jc w:val="center"/>
              <w:rPr>
                <w:color w:val="auto"/>
              </w:rPr>
            </w:pPr>
            <w:r>
              <w:rPr>
                <w:color w:val="auto"/>
              </w:rPr>
              <w:t>G1</w:t>
            </w:r>
          </w:p>
        </w:tc>
        <w:tc>
          <w:tcPr>
            <w:tcW w:w="1233" w:type="pct"/>
            <w:tcBorders>
              <w:tl2br w:val="nil"/>
              <w:tr2bl w:val="nil"/>
            </w:tcBorders>
            <w:shd w:val="clear" w:color="auto" w:fill="auto"/>
            <w:noWrap w:val="0"/>
            <w:vAlign w:val="top"/>
          </w:tcPr>
          <w:p w14:paraId="2628AC55">
            <w:pPr>
              <w:jc w:val="center"/>
              <w:rPr>
                <w:color w:val="auto"/>
              </w:rPr>
            </w:pPr>
            <w:r>
              <w:rPr>
                <w:color w:val="auto"/>
              </w:rPr>
              <w:t>星河花园小区</w:t>
            </w:r>
          </w:p>
        </w:tc>
        <w:tc>
          <w:tcPr>
            <w:tcW w:w="1064" w:type="pct"/>
            <w:tcBorders>
              <w:tl2br w:val="nil"/>
              <w:tr2bl w:val="nil"/>
            </w:tcBorders>
            <w:shd w:val="clear" w:color="auto" w:fill="auto"/>
            <w:noWrap w:val="0"/>
            <w:vAlign w:val="center"/>
          </w:tcPr>
          <w:p w14:paraId="5461EEEF">
            <w:pPr>
              <w:spacing w:before="31" w:beforeLines="10" w:line="264" w:lineRule="auto"/>
              <w:jc w:val="center"/>
              <w:rPr>
                <w:color w:val="auto"/>
              </w:rPr>
            </w:pPr>
            <w:r>
              <w:rPr>
                <w:color w:val="auto"/>
                <w:szCs w:val="21"/>
              </w:rPr>
              <w:t>0.086</w:t>
            </w:r>
          </w:p>
        </w:tc>
        <w:tc>
          <w:tcPr>
            <w:tcW w:w="692" w:type="pct"/>
            <w:tcBorders>
              <w:tl2br w:val="nil"/>
              <w:tr2bl w:val="nil"/>
            </w:tcBorders>
            <w:shd w:val="clear" w:color="auto" w:fill="auto"/>
            <w:noWrap w:val="0"/>
            <w:vAlign w:val="center"/>
          </w:tcPr>
          <w:p w14:paraId="7664E26B">
            <w:pPr>
              <w:spacing w:before="31" w:beforeLines="10" w:line="264" w:lineRule="auto"/>
              <w:jc w:val="center"/>
              <w:rPr>
                <w:color w:val="auto"/>
              </w:rPr>
            </w:pPr>
            <w:r>
              <w:rPr>
                <w:color w:val="auto"/>
              </w:rPr>
              <w:t>5.21</w:t>
            </w:r>
          </w:p>
        </w:tc>
        <w:tc>
          <w:tcPr>
            <w:tcW w:w="450" w:type="pct"/>
            <w:tcBorders>
              <w:tl2br w:val="nil"/>
              <w:tr2bl w:val="nil"/>
            </w:tcBorders>
            <w:shd w:val="clear" w:color="auto" w:fill="auto"/>
            <w:noWrap w:val="0"/>
            <w:vAlign w:val="center"/>
          </w:tcPr>
          <w:p w14:paraId="0DBFB7FF">
            <w:pPr>
              <w:spacing w:before="31" w:beforeLines="10" w:line="264" w:lineRule="auto"/>
              <w:jc w:val="center"/>
              <w:rPr>
                <w:color w:val="auto"/>
              </w:rPr>
            </w:pPr>
            <w:r>
              <w:rPr>
                <w:color w:val="auto"/>
              </w:rPr>
              <w:t>0</w:t>
            </w:r>
          </w:p>
        </w:tc>
        <w:tc>
          <w:tcPr>
            <w:tcW w:w="504" w:type="pct"/>
            <w:tcBorders>
              <w:tl2br w:val="nil"/>
              <w:tr2bl w:val="nil"/>
            </w:tcBorders>
            <w:shd w:val="clear" w:color="auto" w:fill="auto"/>
            <w:noWrap w:val="0"/>
            <w:vAlign w:val="center"/>
          </w:tcPr>
          <w:p w14:paraId="674407CE">
            <w:pPr>
              <w:spacing w:before="31" w:beforeLines="10" w:line="264" w:lineRule="auto"/>
              <w:jc w:val="center"/>
              <w:rPr>
                <w:color w:val="auto"/>
              </w:rPr>
            </w:pPr>
            <w:r>
              <w:rPr>
                <w:color w:val="auto"/>
              </w:rPr>
              <w:t>0</w:t>
            </w:r>
          </w:p>
        </w:tc>
        <w:tc>
          <w:tcPr>
            <w:tcW w:w="696" w:type="pct"/>
            <w:tcBorders>
              <w:tl2br w:val="nil"/>
              <w:tr2bl w:val="nil"/>
            </w:tcBorders>
            <w:shd w:val="clear" w:color="auto" w:fill="auto"/>
            <w:noWrap w:val="0"/>
            <w:vAlign w:val="center"/>
          </w:tcPr>
          <w:p w14:paraId="5286A17D">
            <w:pPr>
              <w:spacing w:before="31" w:beforeLines="10" w:line="264" w:lineRule="auto"/>
              <w:jc w:val="center"/>
              <w:rPr>
                <w:color w:val="auto"/>
              </w:rPr>
            </w:pPr>
            <w:r>
              <w:rPr>
                <w:color w:val="auto"/>
              </w:rPr>
              <w:t>达标</w:t>
            </w:r>
          </w:p>
        </w:tc>
      </w:tr>
      <w:tr w14:paraId="5B50C7C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58" w:type="pct"/>
            <w:tcBorders>
              <w:tl2br w:val="nil"/>
              <w:tr2bl w:val="nil"/>
            </w:tcBorders>
            <w:shd w:val="clear" w:color="auto" w:fill="auto"/>
            <w:noWrap w:val="0"/>
            <w:vAlign w:val="center"/>
          </w:tcPr>
          <w:p w14:paraId="62419191">
            <w:pPr>
              <w:spacing w:before="31" w:beforeLines="10" w:line="264" w:lineRule="auto"/>
              <w:jc w:val="center"/>
              <w:rPr>
                <w:color w:val="auto"/>
              </w:rPr>
            </w:pPr>
            <w:r>
              <w:rPr>
                <w:color w:val="auto"/>
              </w:rPr>
              <w:t>G2</w:t>
            </w:r>
          </w:p>
        </w:tc>
        <w:tc>
          <w:tcPr>
            <w:tcW w:w="1233" w:type="pct"/>
            <w:tcBorders>
              <w:tl2br w:val="nil"/>
              <w:tr2bl w:val="nil"/>
            </w:tcBorders>
            <w:shd w:val="clear" w:color="auto" w:fill="auto"/>
            <w:noWrap w:val="0"/>
            <w:vAlign w:val="top"/>
          </w:tcPr>
          <w:p w14:paraId="69C5CC36">
            <w:pPr>
              <w:jc w:val="center"/>
              <w:rPr>
                <w:color w:val="auto"/>
              </w:rPr>
            </w:pPr>
            <w:r>
              <w:rPr>
                <w:color w:val="auto"/>
              </w:rPr>
              <w:t>项目地</w:t>
            </w:r>
          </w:p>
        </w:tc>
        <w:tc>
          <w:tcPr>
            <w:tcW w:w="1064" w:type="pct"/>
            <w:tcBorders>
              <w:tl2br w:val="nil"/>
              <w:tr2bl w:val="nil"/>
            </w:tcBorders>
            <w:shd w:val="clear" w:color="auto" w:fill="auto"/>
            <w:noWrap w:val="0"/>
            <w:vAlign w:val="center"/>
          </w:tcPr>
          <w:p w14:paraId="6B18C473">
            <w:pPr>
              <w:spacing w:before="31" w:beforeLines="10" w:line="264" w:lineRule="auto"/>
              <w:jc w:val="center"/>
              <w:rPr>
                <w:color w:val="auto"/>
              </w:rPr>
            </w:pPr>
            <w:r>
              <w:rPr>
                <w:color w:val="auto"/>
              </w:rPr>
              <w:t>0.035</w:t>
            </w:r>
          </w:p>
        </w:tc>
        <w:tc>
          <w:tcPr>
            <w:tcW w:w="692" w:type="pct"/>
            <w:tcBorders>
              <w:tl2br w:val="nil"/>
              <w:tr2bl w:val="nil"/>
            </w:tcBorders>
            <w:shd w:val="clear" w:color="auto" w:fill="auto"/>
            <w:noWrap w:val="0"/>
            <w:vAlign w:val="center"/>
          </w:tcPr>
          <w:p w14:paraId="46CC70BC">
            <w:pPr>
              <w:spacing w:before="31" w:beforeLines="10" w:line="264" w:lineRule="auto"/>
              <w:jc w:val="center"/>
              <w:rPr>
                <w:color w:val="auto"/>
              </w:rPr>
            </w:pPr>
            <w:r>
              <w:rPr>
                <w:color w:val="auto"/>
              </w:rPr>
              <w:t>2.12</w:t>
            </w:r>
          </w:p>
        </w:tc>
        <w:tc>
          <w:tcPr>
            <w:tcW w:w="450" w:type="pct"/>
            <w:tcBorders>
              <w:tl2br w:val="nil"/>
              <w:tr2bl w:val="nil"/>
            </w:tcBorders>
            <w:shd w:val="clear" w:color="auto" w:fill="auto"/>
            <w:noWrap w:val="0"/>
            <w:vAlign w:val="center"/>
          </w:tcPr>
          <w:p w14:paraId="214AA39C">
            <w:pPr>
              <w:spacing w:before="31" w:beforeLines="10" w:line="264" w:lineRule="auto"/>
              <w:jc w:val="center"/>
              <w:rPr>
                <w:color w:val="auto"/>
              </w:rPr>
            </w:pPr>
            <w:r>
              <w:rPr>
                <w:color w:val="auto"/>
              </w:rPr>
              <w:t>0</w:t>
            </w:r>
          </w:p>
        </w:tc>
        <w:tc>
          <w:tcPr>
            <w:tcW w:w="504" w:type="pct"/>
            <w:tcBorders>
              <w:tl2br w:val="nil"/>
              <w:tr2bl w:val="nil"/>
            </w:tcBorders>
            <w:shd w:val="clear" w:color="auto" w:fill="auto"/>
            <w:noWrap w:val="0"/>
            <w:vAlign w:val="center"/>
          </w:tcPr>
          <w:p w14:paraId="7C08A759">
            <w:pPr>
              <w:spacing w:before="31" w:beforeLines="10" w:line="264" w:lineRule="auto"/>
              <w:jc w:val="center"/>
              <w:rPr>
                <w:color w:val="auto"/>
              </w:rPr>
            </w:pPr>
            <w:r>
              <w:rPr>
                <w:color w:val="auto"/>
              </w:rPr>
              <w:t>0</w:t>
            </w:r>
          </w:p>
        </w:tc>
        <w:tc>
          <w:tcPr>
            <w:tcW w:w="696" w:type="pct"/>
            <w:tcBorders>
              <w:tl2br w:val="nil"/>
              <w:tr2bl w:val="nil"/>
            </w:tcBorders>
            <w:shd w:val="clear" w:color="auto" w:fill="auto"/>
            <w:noWrap w:val="0"/>
            <w:vAlign w:val="center"/>
          </w:tcPr>
          <w:p w14:paraId="3F749392">
            <w:pPr>
              <w:spacing w:before="31" w:beforeLines="10" w:line="264" w:lineRule="auto"/>
              <w:jc w:val="center"/>
              <w:rPr>
                <w:color w:val="auto"/>
              </w:rPr>
            </w:pPr>
            <w:r>
              <w:rPr>
                <w:color w:val="auto"/>
              </w:rPr>
              <w:t>达标</w:t>
            </w:r>
          </w:p>
        </w:tc>
      </w:tr>
      <w:tr w14:paraId="41CEF17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58" w:type="pct"/>
            <w:tcBorders>
              <w:tl2br w:val="nil"/>
              <w:tr2bl w:val="nil"/>
            </w:tcBorders>
            <w:shd w:val="clear" w:color="auto" w:fill="auto"/>
            <w:noWrap w:val="0"/>
            <w:vAlign w:val="center"/>
          </w:tcPr>
          <w:p w14:paraId="70A1B7B3">
            <w:pPr>
              <w:spacing w:before="31" w:beforeLines="10" w:line="264" w:lineRule="auto"/>
              <w:jc w:val="center"/>
              <w:rPr>
                <w:color w:val="auto"/>
              </w:rPr>
            </w:pPr>
            <w:r>
              <w:rPr>
                <w:color w:val="auto"/>
              </w:rPr>
              <w:t>G5</w:t>
            </w:r>
          </w:p>
        </w:tc>
        <w:tc>
          <w:tcPr>
            <w:tcW w:w="1233" w:type="pct"/>
            <w:tcBorders>
              <w:tl2br w:val="nil"/>
              <w:tr2bl w:val="nil"/>
            </w:tcBorders>
            <w:shd w:val="clear" w:color="auto" w:fill="auto"/>
            <w:noWrap w:val="0"/>
            <w:vAlign w:val="center"/>
          </w:tcPr>
          <w:p w14:paraId="5661C109">
            <w:pPr>
              <w:spacing w:before="31" w:beforeLines="10" w:line="264" w:lineRule="auto"/>
              <w:jc w:val="center"/>
              <w:rPr>
                <w:color w:val="auto"/>
              </w:rPr>
            </w:pPr>
            <w:r>
              <w:rPr>
                <w:color w:val="auto"/>
              </w:rPr>
              <w:t>赵楼村</w:t>
            </w:r>
          </w:p>
        </w:tc>
        <w:tc>
          <w:tcPr>
            <w:tcW w:w="1064" w:type="pct"/>
            <w:tcBorders>
              <w:tl2br w:val="nil"/>
              <w:tr2bl w:val="nil"/>
            </w:tcBorders>
            <w:shd w:val="clear" w:color="auto" w:fill="auto"/>
            <w:noWrap w:val="0"/>
            <w:vAlign w:val="center"/>
          </w:tcPr>
          <w:p w14:paraId="7B07F8C6">
            <w:pPr>
              <w:spacing w:before="31" w:beforeLines="10" w:line="264" w:lineRule="auto"/>
              <w:jc w:val="center"/>
              <w:rPr>
                <w:color w:val="auto"/>
              </w:rPr>
            </w:pPr>
            <w:r>
              <w:rPr>
                <w:color w:val="auto"/>
              </w:rPr>
              <w:t>0.040</w:t>
            </w:r>
          </w:p>
        </w:tc>
        <w:tc>
          <w:tcPr>
            <w:tcW w:w="692" w:type="pct"/>
            <w:tcBorders>
              <w:tl2br w:val="nil"/>
              <w:tr2bl w:val="nil"/>
            </w:tcBorders>
            <w:shd w:val="clear" w:color="auto" w:fill="auto"/>
            <w:noWrap w:val="0"/>
            <w:vAlign w:val="center"/>
          </w:tcPr>
          <w:p w14:paraId="166EF6A4">
            <w:pPr>
              <w:spacing w:before="31" w:beforeLines="10" w:line="264" w:lineRule="auto"/>
              <w:jc w:val="center"/>
              <w:rPr>
                <w:color w:val="auto"/>
              </w:rPr>
            </w:pPr>
            <w:r>
              <w:rPr>
                <w:color w:val="auto"/>
              </w:rPr>
              <w:t>2.42</w:t>
            </w:r>
          </w:p>
        </w:tc>
        <w:tc>
          <w:tcPr>
            <w:tcW w:w="450" w:type="pct"/>
            <w:tcBorders>
              <w:tl2br w:val="nil"/>
              <w:tr2bl w:val="nil"/>
            </w:tcBorders>
            <w:shd w:val="clear" w:color="auto" w:fill="auto"/>
            <w:noWrap w:val="0"/>
            <w:vAlign w:val="center"/>
          </w:tcPr>
          <w:p w14:paraId="40B8CFC5">
            <w:pPr>
              <w:spacing w:before="31" w:beforeLines="10" w:line="264" w:lineRule="auto"/>
              <w:jc w:val="center"/>
              <w:rPr>
                <w:color w:val="auto"/>
              </w:rPr>
            </w:pPr>
            <w:r>
              <w:rPr>
                <w:color w:val="auto"/>
              </w:rPr>
              <w:t>0</w:t>
            </w:r>
          </w:p>
        </w:tc>
        <w:tc>
          <w:tcPr>
            <w:tcW w:w="504" w:type="pct"/>
            <w:tcBorders>
              <w:tl2br w:val="nil"/>
              <w:tr2bl w:val="nil"/>
            </w:tcBorders>
            <w:shd w:val="clear" w:color="auto" w:fill="auto"/>
            <w:noWrap w:val="0"/>
            <w:vAlign w:val="center"/>
          </w:tcPr>
          <w:p w14:paraId="7E485B36">
            <w:pPr>
              <w:spacing w:before="31" w:beforeLines="10" w:line="264" w:lineRule="auto"/>
              <w:jc w:val="center"/>
              <w:rPr>
                <w:color w:val="auto"/>
              </w:rPr>
            </w:pPr>
            <w:r>
              <w:rPr>
                <w:color w:val="auto"/>
              </w:rPr>
              <w:t>0</w:t>
            </w:r>
          </w:p>
        </w:tc>
        <w:tc>
          <w:tcPr>
            <w:tcW w:w="696" w:type="pct"/>
            <w:tcBorders>
              <w:tl2br w:val="nil"/>
              <w:tr2bl w:val="nil"/>
            </w:tcBorders>
            <w:shd w:val="clear" w:color="auto" w:fill="auto"/>
            <w:noWrap w:val="0"/>
            <w:vAlign w:val="center"/>
          </w:tcPr>
          <w:p w14:paraId="3AAE5306">
            <w:pPr>
              <w:spacing w:before="31" w:beforeLines="10" w:line="264" w:lineRule="auto"/>
              <w:jc w:val="center"/>
              <w:rPr>
                <w:color w:val="auto"/>
              </w:rPr>
            </w:pPr>
            <w:r>
              <w:rPr>
                <w:color w:val="auto"/>
              </w:rPr>
              <w:t>达标</w:t>
            </w:r>
          </w:p>
        </w:tc>
      </w:tr>
    </w:tbl>
    <w:p w14:paraId="061FE370">
      <w:pPr>
        <w:spacing w:line="360" w:lineRule="auto"/>
        <w:jc w:val="center"/>
        <w:rPr>
          <w:rFonts w:hint="default"/>
          <w:b/>
          <w:bCs/>
          <w:color w:val="auto"/>
          <w:sz w:val="24"/>
          <w:szCs w:val="32"/>
          <w:lang w:val="en-US" w:eastAsia="zh-CN"/>
        </w:rPr>
      </w:pPr>
      <w:r>
        <w:rPr>
          <w:rFonts w:hint="eastAsia"/>
          <w:b/>
          <w:bCs/>
          <w:color w:val="auto"/>
          <w:sz w:val="24"/>
          <w:szCs w:val="32"/>
          <w:lang w:val="en-US" w:eastAsia="zh-CN"/>
        </w:rPr>
        <w:t>表2-12 各监测点HCl小时浓度统计表    标准值：50ug/Nm</w:t>
      </w:r>
      <w:r>
        <w:rPr>
          <w:rFonts w:hint="eastAsia"/>
          <w:b/>
          <w:bCs/>
          <w:color w:val="auto"/>
          <w:sz w:val="24"/>
          <w:szCs w:val="32"/>
          <w:vertAlign w:val="superscript"/>
          <w:lang w:val="en-US" w:eastAsia="zh-CN"/>
        </w:rPr>
        <w:t>3</w:t>
      </w:r>
    </w:p>
    <w:tbl>
      <w:tblPr>
        <w:tblStyle w:val="31"/>
        <w:tblW w:w="4997"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794"/>
        <w:gridCol w:w="2301"/>
        <w:gridCol w:w="1588"/>
        <w:gridCol w:w="1472"/>
        <w:gridCol w:w="978"/>
        <w:gridCol w:w="1337"/>
        <w:gridCol w:w="1486"/>
      </w:tblGrid>
      <w:tr w14:paraId="74CFF55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blHeader/>
        </w:trPr>
        <w:tc>
          <w:tcPr>
            <w:tcW w:w="1554" w:type="pct"/>
            <w:gridSpan w:val="2"/>
            <w:tcBorders>
              <w:tl2br w:val="nil"/>
              <w:tr2bl w:val="nil"/>
            </w:tcBorders>
            <w:shd w:val="clear" w:color="auto" w:fill="auto"/>
            <w:noWrap w:val="0"/>
            <w:vAlign w:val="center"/>
          </w:tcPr>
          <w:p w14:paraId="61CF92A1">
            <w:pPr>
              <w:spacing w:before="31" w:beforeLines="10" w:line="264" w:lineRule="auto"/>
              <w:jc w:val="center"/>
              <w:rPr>
                <w:b/>
                <w:color w:val="auto"/>
              </w:rPr>
            </w:pPr>
            <w:r>
              <w:rPr>
                <w:b/>
                <w:color w:val="auto"/>
              </w:rPr>
              <w:t>监测点位</w:t>
            </w:r>
          </w:p>
        </w:tc>
        <w:tc>
          <w:tcPr>
            <w:tcW w:w="797" w:type="pct"/>
            <w:tcBorders>
              <w:tl2br w:val="nil"/>
              <w:tr2bl w:val="nil"/>
            </w:tcBorders>
            <w:shd w:val="clear" w:color="auto" w:fill="auto"/>
            <w:noWrap w:val="0"/>
            <w:vAlign w:val="center"/>
          </w:tcPr>
          <w:p w14:paraId="65F1656F">
            <w:pPr>
              <w:spacing w:before="31" w:beforeLines="10" w:line="264" w:lineRule="auto"/>
              <w:jc w:val="center"/>
              <w:rPr>
                <w:b/>
                <w:color w:val="auto"/>
              </w:rPr>
            </w:pPr>
            <w:r>
              <w:rPr>
                <w:b/>
                <w:color w:val="auto"/>
              </w:rPr>
              <w:t>浓度范围</w:t>
            </w:r>
          </w:p>
          <w:p w14:paraId="1D292DD8">
            <w:pPr>
              <w:spacing w:before="31" w:beforeLines="10" w:line="264" w:lineRule="auto"/>
              <w:jc w:val="center"/>
              <w:rPr>
                <w:b/>
                <w:color w:val="auto"/>
              </w:rPr>
            </w:pPr>
            <w:r>
              <w:rPr>
                <w:b/>
                <w:color w:val="auto"/>
              </w:rPr>
              <w:t>（</w:t>
            </w:r>
            <w:r>
              <w:rPr>
                <w:rFonts w:hint="eastAsia"/>
                <w:b/>
                <w:color w:val="auto"/>
              </w:rPr>
              <w:t>u</w:t>
            </w:r>
            <w:r>
              <w:rPr>
                <w:b/>
                <w:color w:val="auto"/>
              </w:rPr>
              <w:t>g/Nm</w:t>
            </w:r>
            <w:r>
              <w:rPr>
                <w:b/>
                <w:color w:val="auto"/>
                <w:vertAlign w:val="superscript"/>
              </w:rPr>
              <w:t>3</w:t>
            </w:r>
            <w:r>
              <w:rPr>
                <w:b/>
                <w:color w:val="auto"/>
              </w:rPr>
              <w:t>）</w:t>
            </w:r>
          </w:p>
        </w:tc>
        <w:tc>
          <w:tcPr>
            <w:tcW w:w="739" w:type="pct"/>
            <w:tcBorders>
              <w:tl2br w:val="nil"/>
              <w:tr2bl w:val="nil"/>
            </w:tcBorders>
            <w:shd w:val="clear" w:color="auto" w:fill="auto"/>
            <w:noWrap w:val="0"/>
            <w:vAlign w:val="center"/>
          </w:tcPr>
          <w:p w14:paraId="3E9F5EC9">
            <w:pPr>
              <w:spacing w:before="31" w:beforeLines="10" w:line="264" w:lineRule="auto"/>
              <w:jc w:val="center"/>
              <w:rPr>
                <w:b/>
                <w:color w:val="auto"/>
              </w:rPr>
            </w:pPr>
            <w:r>
              <w:rPr>
                <w:b/>
                <w:color w:val="auto"/>
              </w:rPr>
              <w:t>最大占</w:t>
            </w:r>
          </w:p>
          <w:p w14:paraId="665A11EB">
            <w:pPr>
              <w:spacing w:before="31" w:beforeLines="10" w:line="264" w:lineRule="auto"/>
              <w:jc w:val="center"/>
              <w:rPr>
                <w:b/>
                <w:color w:val="auto"/>
              </w:rPr>
            </w:pPr>
            <w:r>
              <w:rPr>
                <w:b/>
                <w:color w:val="auto"/>
              </w:rPr>
              <w:t>标率（%）</w:t>
            </w:r>
          </w:p>
        </w:tc>
        <w:tc>
          <w:tcPr>
            <w:tcW w:w="491" w:type="pct"/>
            <w:tcBorders>
              <w:tl2br w:val="nil"/>
              <w:tr2bl w:val="nil"/>
            </w:tcBorders>
            <w:shd w:val="clear" w:color="auto" w:fill="auto"/>
            <w:noWrap w:val="0"/>
            <w:vAlign w:val="center"/>
          </w:tcPr>
          <w:p w14:paraId="28FF04AD">
            <w:pPr>
              <w:spacing w:before="31" w:beforeLines="10" w:line="264" w:lineRule="auto"/>
              <w:jc w:val="center"/>
              <w:rPr>
                <w:b/>
                <w:color w:val="auto"/>
              </w:rPr>
            </w:pPr>
            <w:r>
              <w:rPr>
                <w:b/>
                <w:color w:val="auto"/>
              </w:rPr>
              <w:t>超标</w:t>
            </w:r>
          </w:p>
          <w:p w14:paraId="0A54DAFE">
            <w:pPr>
              <w:spacing w:before="31" w:beforeLines="10" w:line="264" w:lineRule="auto"/>
              <w:jc w:val="center"/>
              <w:rPr>
                <w:b/>
                <w:color w:val="auto"/>
              </w:rPr>
            </w:pPr>
            <w:r>
              <w:rPr>
                <w:b/>
                <w:color w:val="auto"/>
              </w:rPr>
              <w:t>个数</w:t>
            </w:r>
          </w:p>
        </w:tc>
        <w:tc>
          <w:tcPr>
            <w:tcW w:w="671" w:type="pct"/>
            <w:tcBorders>
              <w:tl2br w:val="nil"/>
              <w:tr2bl w:val="nil"/>
            </w:tcBorders>
            <w:shd w:val="clear" w:color="auto" w:fill="auto"/>
            <w:noWrap w:val="0"/>
            <w:vAlign w:val="center"/>
          </w:tcPr>
          <w:p w14:paraId="1B73DFBE">
            <w:pPr>
              <w:spacing w:before="31" w:beforeLines="10" w:line="264" w:lineRule="auto"/>
              <w:jc w:val="center"/>
              <w:rPr>
                <w:b/>
                <w:color w:val="auto"/>
              </w:rPr>
            </w:pPr>
            <w:r>
              <w:rPr>
                <w:b/>
                <w:color w:val="auto"/>
              </w:rPr>
              <w:t>超标率</w:t>
            </w:r>
          </w:p>
          <w:p w14:paraId="152EC980">
            <w:pPr>
              <w:spacing w:before="31" w:beforeLines="10" w:line="264" w:lineRule="auto"/>
              <w:jc w:val="center"/>
              <w:rPr>
                <w:b/>
                <w:color w:val="auto"/>
              </w:rPr>
            </w:pPr>
            <w:r>
              <w:rPr>
                <w:b/>
                <w:color w:val="auto"/>
              </w:rPr>
              <w:t>（%）</w:t>
            </w:r>
          </w:p>
        </w:tc>
        <w:tc>
          <w:tcPr>
            <w:tcW w:w="746" w:type="pct"/>
            <w:tcBorders>
              <w:tl2br w:val="nil"/>
              <w:tr2bl w:val="nil"/>
            </w:tcBorders>
            <w:shd w:val="clear" w:color="auto" w:fill="auto"/>
            <w:noWrap w:val="0"/>
            <w:vAlign w:val="center"/>
          </w:tcPr>
          <w:p w14:paraId="6A32A1DF">
            <w:pPr>
              <w:spacing w:before="31" w:beforeLines="10" w:line="264" w:lineRule="auto"/>
              <w:jc w:val="center"/>
              <w:rPr>
                <w:b/>
                <w:color w:val="auto"/>
              </w:rPr>
            </w:pPr>
            <w:r>
              <w:rPr>
                <w:b/>
                <w:color w:val="auto"/>
              </w:rPr>
              <w:t>达标</w:t>
            </w:r>
          </w:p>
          <w:p w14:paraId="2919A465">
            <w:pPr>
              <w:spacing w:before="31" w:beforeLines="10" w:line="264" w:lineRule="auto"/>
              <w:jc w:val="center"/>
              <w:rPr>
                <w:b/>
                <w:color w:val="auto"/>
              </w:rPr>
            </w:pPr>
            <w:r>
              <w:rPr>
                <w:b/>
                <w:color w:val="auto"/>
              </w:rPr>
              <w:t>情况</w:t>
            </w:r>
          </w:p>
        </w:tc>
      </w:tr>
      <w:tr w14:paraId="1EBEB04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0F04650D">
            <w:pPr>
              <w:spacing w:before="31" w:beforeLines="10" w:line="264" w:lineRule="auto"/>
              <w:jc w:val="center"/>
              <w:rPr>
                <w:color w:val="auto"/>
              </w:rPr>
            </w:pPr>
            <w:r>
              <w:rPr>
                <w:color w:val="auto"/>
              </w:rPr>
              <w:t>G1</w:t>
            </w:r>
          </w:p>
        </w:tc>
        <w:tc>
          <w:tcPr>
            <w:tcW w:w="1155" w:type="pct"/>
            <w:tcBorders>
              <w:tl2br w:val="nil"/>
              <w:tr2bl w:val="nil"/>
            </w:tcBorders>
            <w:shd w:val="clear" w:color="auto" w:fill="auto"/>
            <w:noWrap w:val="0"/>
            <w:vAlign w:val="top"/>
          </w:tcPr>
          <w:p w14:paraId="1F3CDBD2">
            <w:pPr>
              <w:jc w:val="center"/>
              <w:rPr>
                <w:color w:val="auto"/>
              </w:rPr>
            </w:pPr>
            <w:r>
              <w:rPr>
                <w:color w:val="auto"/>
              </w:rPr>
              <w:t>星河花园小区</w:t>
            </w:r>
          </w:p>
        </w:tc>
        <w:tc>
          <w:tcPr>
            <w:tcW w:w="797" w:type="pct"/>
            <w:tcBorders>
              <w:tl2br w:val="nil"/>
              <w:tr2bl w:val="nil"/>
            </w:tcBorders>
            <w:shd w:val="clear" w:color="auto" w:fill="auto"/>
            <w:noWrap w:val="0"/>
            <w:vAlign w:val="center"/>
          </w:tcPr>
          <w:p w14:paraId="218551FA">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7271B7F2">
            <w:pPr>
              <w:spacing w:before="31" w:beforeLines="10" w:line="264" w:lineRule="auto"/>
              <w:jc w:val="center"/>
              <w:rPr>
                <w:color w:val="auto"/>
              </w:rPr>
            </w:pPr>
            <w:r>
              <w:rPr>
                <w:color w:val="auto"/>
              </w:rPr>
              <w:t>ND</w:t>
            </w:r>
          </w:p>
        </w:tc>
        <w:tc>
          <w:tcPr>
            <w:tcW w:w="491" w:type="pct"/>
            <w:tcBorders>
              <w:tl2br w:val="nil"/>
              <w:tr2bl w:val="nil"/>
            </w:tcBorders>
            <w:shd w:val="clear" w:color="auto" w:fill="auto"/>
            <w:noWrap w:val="0"/>
            <w:vAlign w:val="center"/>
          </w:tcPr>
          <w:p w14:paraId="2DA88A32">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527BFA16">
            <w:pPr>
              <w:spacing w:before="31" w:beforeLines="10" w:line="264" w:lineRule="auto"/>
              <w:jc w:val="center"/>
              <w:rPr>
                <w:color w:val="auto"/>
              </w:rPr>
            </w:pPr>
            <w:r>
              <w:rPr>
                <w:color w:val="auto"/>
              </w:rPr>
              <w:t>0</w:t>
            </w:r>
          </w:p>
        </w:tc>
        <w:tc>
          <w:tcPr>
            <w:tcW w:w="746" w:type="pct"/>
            <w:tcBorders>
              <w:tl2br w:val="nil"/>
              <w:tr2bl w:val="nil"/>
            </w:tcBorders>
            <w:shd w:val="clear" w:color="auto" w:fill="auto"/>
            <w:noWrap w:val="0"/>
            <w:vAlign w:val="center"/>
          </w:tcPr>
          <w:p w14:paraId="234F26AB">
            <w:pPr>
              <w:spacing w:before="31" w:beforeLines="10" w:line="264" w:lineRule="auto"/>
              <w:jc w:val="center"/>
              <w:rPr>
                <w:color w:val="auto"/>
              </w:rPr>
            </w:pPr>
            <w:r>
              <w:rPr>
                <w:color w:val="auto"/>
              </w:rPr>
              <w:t>达标</w:t>
            </w:r>
          </w:p>
        </w:tc>
      </w:tr>
      <w:tr w14:paraId="6D8EE7E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675E995F">
            <w:pPr>
              <w:spacing w:before="31" w:beforeLines="10" w:line="264" w:lineRule="auto"/>
              <w:jc w:val="center"/>
              <w:rPr>
                <w:color w:val="auto"/>
              </w:rPr>
            </w:pPr>
            <w:r>
              <w:rPr>
                <w:color w:val="auto"/>
              </w:rPr>
              <w:t>G2</w:t>
            </w:r>
          </w:p>
        </w:tc>
        <w:tc>
          <w:tcPr>
            <w:tcW w:w="1155" w:type="pct"/>
            <w:tcBorders>
              <w:tl2br w:val="nil"/>
              <w:tr2bl w:val="nil"/>
            </w:tcBorders>
            <w:shd w:val="clear" w:color="auto" w:fill="auto"/>
            <w:noWrap w:val="0"/>
            <w:vAlign w:val="top"/>
          </w:tcPr>
          <w:p w14:paraId="6C6065A0">
            <w:pPr>
              <w:jc w:val="center"/>
              <w:rPr>
                <w:color w:val="auto"/>
              </w:rPr>
            </w:pPr>
            <w:r>
              <w:rPr>
                <w:color w:val="auto"/>
              </w:rPr>
              <w:t>项目地</w:t>
            </w:r>
          </w:p>
        </w:tc>
        <w:tc>
          <w:tcPr>
            <w:tcW w:w="797" w:type="pct"/>
            <w:tcBorders>
              <w:tl2br w:val="nil"/>
              <w:tr2bl w:val="nil"/>
            </w:tcBorders>
            <w:shd w:val="clear" w:color="auto" w:fill="auto"/>
            <w:noWrap w:val="0"/>
            <w:vAlign w:val="center"/>
          </w:tcPr>
          <w:p w14:paraId="07D846A8">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60C36F99">
            <w:pPr>
              <w:spacing w:before="31" w:beforeLines="10" w:line="264" w:lineRule="auto"/>
              <w:jc w:val="center"/>
              <w:rPr>
                <w:color w:val="auto"/>
              </w:rPr>
            </w:pPr>
            <w:r>
              <w:rPr>
                <w:color w:val="auto"/>
              </w:rPr>
              <w:t>ND</w:t>
            </w:r>
          </w:p>
        </w:tc>
        <w:tc>
          <w:tcPr>
            <w:tcW w:w="491" w:type="pct"/>
            <w:tcBorders>
              <w:tl2br w:val="nil"/>
              <w:tr2bl w:val="nil"/>
            </w:tcBorders>
            <w:shd w:val="clear" w:color="auto" w:fill="auto"/>
            <w:noWrap w:val="0"/>
            <w:vAlign w:val="center"/>
          </w:tcPr>
          <w:p w14:paraId="46BA12BD">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06FAF495">
            <w:pPr>
              <w:spacing w:before="31" w:beforeLines="10" w:line="264" w:lineRule="auto"/>
              <w:jc w:val="center"/>
              <w:rPr>
                <w:color w:val="auto"/>
              </w:rPr>
            </w:pPr>
            <w:r>
              <w:rPr>
                <w:color w:val="auto"/>
              </w:rPr>
              <w:t>0</w:t>
            </w:r>
          </w:p>
        </w:tc>
        <w:tc>
          <w:tcPr>
            <w:tcW w:w="746" w:type="pct"/>
            <w:tcBorders>
              <w:tl2br w:val="nil"/>
              <w:tr2bl w:val="nil"/>
            </w:tcBorders>
            <w:shd w:val="clear" w:color="auto" w:fill="auto"/>
            <w:noWrap w:val="0"/>
            <w:vAlign w:val="center"/>
          </w:tcPr>
          <w:p w14:paraId="5A5550E8">
            <w:pPr>
              <w:spacing w:before="31" w:beforeLines="10" w:line="264" w:lineRule="auto"/>
              <w:jc w:val="center"/>
              <w:rPr>
                <w:color w:val="auto"/>
              </w:rPr>
            </w:pPr>
            <w:r>
              <w:rPr>
                <w:color w:val="auto"/>
              </w:rPr>
              <w:t>达标</w:t>
            </w:r>
          </w:p>
        </w:tc>
      </w:tr>
      <w:tr w14:paraId="06B73E8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3693FF34">
            <w:pPr>
              <w:spacing w:before="31" w:beforeLines="10" w:line="264" w:lineRule="auto"/>
              <w:jc w:val="center"/>
              <w:rPr>
                <w:color w:val="auto"/>
              </w:rPr>
            </w:pPr>
            <w:r>
              <w:rPr>
                <w:color w:val="auto"/>
              </w:rPr>
              <w:t>G3</w:t>
            </w:r>
          </w:p>
        </w:tc>
        <w:tc>
          <w:tcPr>
            <w:tcW w:w="1155" w:type="pct"/>
            <w:tcBorders>
              <w:tl2br w:val="nil"/>
              <w:tr2bl w:val="nil"/>
            </w:tcBorders>
            <w:shd w:val="clear" w:color="auto" w:fill="auto"/>
            <w:noWrap w:val="0"/>
            <w:vAlign w:val="top"/>
          </w:tcPr>
          <w:p w14:paraId="3AE5E61C">
            <w:pPr>
              <w:jc w:val="center"/>
              <w:rPr>
                <w:color w:val="auto"/>
              </w:rPr>
            </w:pPr>
            <w:r>
              <w:rPr>
                <w:color w:val="auto"/>
              </w:rPr>
              <w:t>刘桥镇</w:t>
            </w:r>
          </w:p>
        </w:tc>
        <w:tc>
          <w:tcPr>
            <w:tcW w:w="797" w:type="pct"/>
            <w:tcBorders>
              <w:tl2br w:val="nil"/>
              <w:tr2bl w:val="nil"/>
            </w:tcBorders>
            <w:shd w:val="clear" w:color="auto" w:fill="auto"/>
            <w:noWrap w:val="0"/>
            <w:vAlign w:val="center"/>
          </w:tcPr>
          <w:p w14:paraId="257762D6">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5ECBD754">
            <w:pPr>
              <w:spacing w:before="31" w:beforeLines="10" w:line="264" w:lineRule="auto"/>
              <w:jc w:val="center"/>
              <w:rPr>
                <w:color w:val="auto"/>
              </w:rPr>
            </w:pPr>
            <w:r>
              <w:rPr>
                <w:color w:val="auto"/>
              </w:rPr>
              <w:t>ND</w:t>
            </w:r>
          </w:p>
        </w:tc>
        <w:tc>
          <w:tcPr>
            <w:tcW w:w="491" w:type="pct"/>
            <w:tcBorders>
              <w:tl2br w:val="nil"/>
              <w:tr2bl w:val="nil"/>
            </w:tcBorders>
            <w:shd w:val="clear" w:color="auto" w:fill="auto"/>
            <w:noWrap w:val="0"/>
            <w:vAlign w:val="center"/>
          </w:tcPr>
          <w:p w14:paraId="7D1EEC17">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789B9036">
            <w:pPr>
              <w:spacing w:before="31" w:beforeLines="10" w:line="264" w:lineRule="auto"/>
              <w:jc w:val="center"/>
              <w:rPr>
                <w:color w:val="auto"/>
              </w:rPr>
            </w:pPr>
            <w:r>
              <w:rPr>
                <w:color w:val="auto"/>
              </w:rPr>
              <w:t>0</w:t>
            </w:r>
          </w:p>
        </w:tc>
        <w:tc>
          <w:tcPr>
            <w:tcW w:w="746" w:type="pct"/>
            <w:tcBorders>
              <w:tl2br w:val="nil"/>
              <w:tr2bl w:val="nil"/>
            </w:tcBorders>
            <w:shd w:val="clear" w:color="auto" w:fill="auto"/>
            <w:noWrap w:val="0"/>
            <w:vAlign w:val="center"/>
          </w:tcPr>
          <w:p w14:paraId="466C92FE">
            <w:pPr>
              <w:spacing w:before="31" w:beforeLines="10" w:line="264" w:lineRule="auto"/>
              <w:jc w:val="center"/>
              <w:rPr>
                <w:color w:val="auto"/>
              </w:rPr>
            </w:pPr>
            <w:r>
              <w:rPr>
                <w:color w:val="auto"/>
              </w:rPr>
              <w:t>达标</w:t>
            </w:r>
          </w:p>
        </w:tc>
      </w:tr>
      <w:tr w14:paraId="007E44A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253DC505">
            <w:pPr>
              <w:spacing w:before="31" w:beforeLines="10" w:line="264" w:lineRule="auto"/>
              <w:jc w:val="center"/>
              <w:rPr>
                <w:color w:val="auto"/>
              </w:rPr>
            </w:pPr>
            <w:r>
              <w:rPr>
                <w:color w:val="auto"/>
              </w:rPr>
              <w:t>G4</w:t>
            </w:r>
          </w:p>
        </w:tc>
        <w:tc>
          <w:tcPr>
            <w:tcW w:w="1155" w:type="pct"/>
            <w:tcBorders>
              <w:tl2br w:val="nil"/>
              <w:tr2bl w:val="nil"/>
            </w:tcBorders>
            <w:shd w:val="clear" w:color="auto" w:fill="auto"/>
            <w:noWrap w:val="0"/>
            <w:vAlign w:val="top"/>
          </w:tcPr>
          <w:p w14:paraId="742668F1">
            <w:pPr>
              <w:jc w:val="center"/>
              <w:rPr>
                <w:color w:val="auto"/>
              </w:rPr>
            </w:pPr>
            <w:r>
              <w:rPr>
                <w:color w:val="auto"/>
              </w:rPr>
              <w:t>公租房区</w:t>
            </w:r>
            <w:r>
              <w:rPr>
                <w:rFonts w:hint="eastAsia"/>
                <w:color w:val="auto"/>
                <w:lang w:eastAsia="zh-CN"/>
              </w:rPr>
              <w:t>（</w:t>
            </w:r>
            <w:r>
              <w:rPr>
                <w:rFonts w:hint="eastAsia"/>
                <w:color w:val="auto"/>
                <w:lang w:val="en-US" w:eastAsia="zh-CN"/>
              </w:rPr>
              <w:t>和谐家园</w:t>
            </w:r>
            <w:r>
              <w:rPr>
                <w:rFonts w:hint="eastAsia"/>
                <w:color w:val="auto"/>
                <w:lang w:eastAsia="zh-CN"/>
              </w:rPr>
              <w:t>）</w:t>
            </w:r>
          </w:p>
        </w:tc>
        <w:tc>
          <w:tcPr>
            <w:tcW w:w="797" w:type="pct"/>
            <w:tcBorders>
              <w:tl2br w:val="nil"/>
              <w:tr2bl w:val="nil"/>
            </w:tcBorders>
            <w:shd w:val="clear" w:color="auto" w:fill="auto"/>
            <w:noWrap w:val="0"/>
            <w:vAlign w:val="center"/>
          </w:tcPr>
          <w:p w14:paraId="6BC11AEC">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6132B2F7">
            <w:pPr>
              <w:spacing w:before="31" w:beforeLines="10" w:line="264" w:lineRule="auto"/>
              <w:jc w:val="center"/>
              <w:rPr>
                <w:color w:val="auto"/>
              </w:rPr>
            </w:pPr>
            <w:r>
              <w:rPr>
                <w:color w:val="auto"/>
              </w:rPr>
              <w:t>ND</w:t>
            </w:r>
          </w:p>
        </w:tc>
        <w:tc>
          <w:tcPr>
            <w:tcW w:w="491" w:type="pct"/>
            <w:tcBorders>
              <w:tl2br w:val="nil"/>
              <w:tr2bl w:val="nil"/>
            </w:tcBorders>
            <w:shd w:val="clear" w:color="auto" w:fill="auto"/>
            <w:noWrap w:val="0"/>
            <w:vAlign w:val="center"/>
          </w:tcPr>
          <w:p w14:paraId="53A7CC8A">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6ED42EB7">
            <w:pPr>
              <w:spacing w:before="31" w:beforeLines="10" w:line="264" w:lineRule="auto"/>
              <w:jc w:val="center"/>
              <w:rPr>
                <w:color w:val="auto"/>
              </w:rPr>
            </w:pPr>
            <w:r>
              <w:rPr>
                <w:color w:val="auto"/>
              </w:rPr>
              <w:t>0</w:t>
            </w:r>
          </w:p>
        </w:tc>
        <w:tc>
          <w:tcPr>
            <w:tcW w:w="746" w:type="pct"/>
            <w:tcBorders>
              <w:tl2br w:val="nil"/>
              <w:tr2bl w:val="nil"/>
            </w:tcBorders>
            <w:shd w:val="clear" w:color="auto" w:fill="auto"/>
            <w:noWrap w:val="0"/>
            <w:vAlign w:val="center"/>
          </w:tcPr>
          <w:p w14:paraId="229AF1DD">
            <w:pPr>
              <w:spacing w:before="31" w:beforeLines="10" w:line="264" w:lineRule="auto"/>
              <w:jc w:val="center"/>
              <w:rPr>
                <w:color w:val="auto"/>
              </w:rPr>
            </w:pPr>
            <w:r>
              <w:rPr>
                <w:color w:val="auto"/>
              </w:rPr>
              <w:t>达标</w:t>
            </w:r>
          </w:p>
        </w:tc>
      </w:tr>
      <w:tr w14:paraId="0F0F0B8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173E6E1F">
            <w:pPr>
              <w:spacing w:before="31" w:beforeLines="10" w:line="264" w:lineRule="auto"/>
              <w:jc w:val="center"/>
              <w:rPr>
                <w:color w:val="auto"/>
              </w:rPr>
            </w:pPr>
            <w:r>
              <w:rPr>
                <w:color w:val="auto"/>
              </w:rPr>
              <w:t>G5</w:t>
            </w:r>
          </w:p>
        </w:tc>
        <w:tc>
          <w:tcPr>
            <w:tcW w:w="1155" w:type="pct"/>
            <w:tcBorders>
              <w:tl2br w:val="nil"/>
              <w:tr2bl w:val="nil"/>
            </w:tcBorders>
            <w:shd w:val="clear" w:color="auto" w:fill="auto"/>
            <w:noWrap w:val="0"/>
            <w:vAlign w:val="top"/>
          </w:tcPr>
          <w:p w14:paraId="6B6EBAA3">
            <w:pPr>
              <w:jc w:val="center"/>
              <w:rPr>
                <w:color w:val="auto"/>
              </w:rPr>
            </w:pPr>
            <w:r>
              <w:rPr>
                <w:color w:val="auto"/>
              </w:rPr>
              <w:t>赵楼村</w:t>
            </w:r>
          </w:p>
        </w:tc>
        <w:tc>
          <w:tcPr>
            <w:tcW w:w="797" w:type="pct"/>
            <w:tcBorders>
              <w:tl2br w:val="nil"/>
              <w:tr2bl w:val="nil"/>
            </w:tcBorders>
            <w:shd w:val="clear" w:color="auto" w:fill="auto"/>
            <w:noWrap w:val="0"/>
            <w:vAlign w:val="center"/>
          </w:tcPr>
          <w:p w14:paraId="5E1DDEE8">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4F4E9D20">
            <w:pPr>
              <w:spacing w:before="31" w:beforeLines="10" w:line="264" w:lineRule="auto"/>
              <w:jc w:val="center"/>
              <w:rPr>
                <w:color w:val="auto"/>
              </w:rPr>
            </w:pPr>
            <w:r>
              <w:rPr>
                <w:color w:val="auto"/>
              </w:rPr>
              <w:t>ND</w:t>
            </w:r>
          </w:p>
        </w:tc>
        <w:tc>
          <w:tcPr>
            <w:tcW w:w="491" w:type="pct"/>
            <w:tcBorders>
              <w:tl2br w:val="nil"/>
              <w:tr2bl w:val="nil"/>
            </w:tcBorders>
            <w:shd w:val="clear" w:color="auto" w:fill="auto"/>
            <w:noWrap w:val="0"/>
            <w:vAlign w:val="center"/>
          </w:tcPr>
          <w:p w14:paraId="3D2AF4EA">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7602C3A8">
            <w:pPr>
              <w:spacing w:before="31" w:beforeLines="10" w:line="264" w:lineRule="auto"/>
              <w:jc w:val="center"/>
              <w:rPr>
                <w:color w:val="auto"/>
              </w:rPr>
            </w:pPr>
            <w:r>
              <w:rPr>
                <w:color w:val="auto"/>
              </w:rPr>
              <w:t>0</w:t>
            </w:r>
          </w:p>
        </w:tc>
        <w:tc>
          <w:tcPr>
            <w:tcW w:w="746" w:type="pct"/>
            <w:tcBorders>
              <w:tl2br w:val="nil"/>
              <w:tr2bl w:val="nil"/>
            </w:tcBorders>
            <w:shd w:val="clear" w:color="auto" w:fill="auto"/>
            <w:noWrap w:val="0"/>
            <w:vAlign w:val="center"/>
          </w:tcPr>
          <w:p w14:paraId="34686B30">
            <w:pPr>
              <w:spacing w:before="31" w:beforeLines="10" w:line="264" w:lineRule="auto"/>
              <w:jc w:val="center"/>
              <w:rPr>
                <w:color w:val="auto"/>
              </w:rPr>
            </w:pPr>
            <w:r>
              <w:rPr>
                <w:color w:val="auto"/>
              </w:rPr>
              <w:t>达标</w:t>
            </w:r>
          </w:p>
        </w:tc>
      </w:tr>
      <w:tr w14:paraId="0BA024C5">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0674885B">
            <w:pPr>
              <w:spacing w:before="31" w:beforeLines="10" w:line="264" w:lineRule="auto"/>
              <w:jc w:val="center"/>
              <w:rPr>
                <w:color w:val="auto"/>
              </w:rPr>
            </w:pPr>
            <w:r>
              <w:rPr>
                <w:color w:val="auto"/>
              </w:rPr>
              <w:t>G6</w:t>
            </w:r>
          </w:p>
        </w:tc>
        <w:tc>
          <w:tcPr>
            <w:tcW w:w="1155" w:type="pct"/>
            <w:tcBorders>
              <w:tl2br w:val="nil"/>
              <w:tr2bl w:val="nil"/>
            </w:tcBorders>
            <w:shd w:val="clear" w:color="auto" w:fill="auto"/>
            <w:noWrap w:val="0"/>
            <w:vAlign w:val="top"/>
          </w:tcPr>
          <w:p w14:paraId="1D2CCA1E">
            <w:pPr>
              <w:jc w:val="center"/>
              <w:rPr>
                <w:color w:val="auto"/>
              </w:rPr>
            </w:pPr>
            <w:r>
              <w:rPr>
                <w:color w:val="auto"/>
              </w:rPr>
              <w:t>王埝村</w:t>
            </w:r>
          </w:p>
        </w:tc>
        <w:tc>
          <w:tcPr>
            <w:tcW w:w="797" w:type="pct"/>
            <w:tcBorders>
              <w:tl2br w:val="nil"/>
              <w:tr2bl w:val="nil"/>
            </w:tcBorders>
            <w:shd w:val="clear" w:color="auto" w:fill="auto"/>
            <w:noWrap w:val="0"/>
            <w:vAlign w:val="center"/>
          </w:tcPr>
          <w:p w14:paraId="7378BC38">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488A8628">
            <w:pPr>
              <w:spacing w:before="31" w:beforeLines="10" w:line="264" w:lineRule="auto"/>
              <w:jc w:val="center"/>
              <w:rPr>
                <w:color w:val="auto"/>
              </w:rPr>
            </w:pPr>
            <w:r>
              <w:rPr>
                <w:color w:val="auto"/>
              </w:rPr>
              <w:t>ND</w:t>
            </w:r>
          </w:p>
        </w:tc>
        <w:tc>
          <w:tcPr>
            <w:tcW w:w="491" w:type="pct"/>
            <w:tcBorders>
              <w:tl2br w:val="nil"/>
              <w:tr2bl w:val="nil"/>
            </w:tcBorders>
            <w:shd w:val="clear" w:color="auto" w:fill="auto"/>
            <w:noWrap w:val="0"/>
            <w:vAlign w:val="center"/>
          </w:tcPr>
          <w:p w14:paraId="02858812">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76508060">
            <w:pPr>
              <w:spacing w:before="31" w:beforeLines="10" w:line="264" w:lineRule="auto"/>
              <w:jc w:val="center"/>
              <w:rPr>
                <w:color w:val="auto"/>
              </w:rPr>
            </w:pPr>
            <w:r>
              <w:rPr>
                <w:color w:val="auto"/>
              </w:rPr>
              <w:t>0</w:t>
            </w:r>
          </w:p>
        </w:tc>
        <w:tc>
          <w:tcPr>
            <w:tcW w:w="746" w:type="pct"/>
            <w:tcBorders>
              <w:tl2br w:val="nil"/>
              <w:tr2bl w:val="nil"/>
            </w:tcBorders>
            <w:shd w:val="clear" w:color="auto" w:fill="auto"/>
            <w:noWrap w:val="0"/>
            <w:vAlign w:val="center"/>
          </w:tcPr>
          <w:p w14:paraId="40305D65">
            <w:pPr>
              <w:spacing w:before="31" w:beforeLines="10" w:line="264" w:lineRule="auto"/>
              <w:jc w:val="center"/>
              <w:rPr>
                <w:color w:val="auto"/>
              </w:rPr>
            </w:pPr>
            <w:r>
              <w:rPr>
                <w:color w:val="auto"/>
              </w:rPr>
              <w:t>达标</w:t>
            </w:r>
          </w:p>
        </w:tc>
      </w:tr>
    </w:tbl>
    <w:p w14:paraId="2F3588F0">
      <w:pPr>
        <w:spacing w:line="360" w:lineRule="auto"/>
        <w:jc w:val="center"/>
        <w:rPr>
          <w:rFonts w:hint="default"/>
          <w:b/>
          <w:bCs/>
          <w:color w:val="auto"/>
          <w:sz w:val="24"/>
          <w:szCs w:val="32"/>
          <w:vertAlign w:val="superscript"/>
          <w:lang w:val="en-US" w:eastAsia="zh-CN"/>
        </w:rPr>
      </w:pPr>
      <w:r>
        <w:rPr>
          <w:rFonts w:hint="eastAsia"/>
          <w:b/>
          <w:bCs/>
          <w:color w:val="auto"/>
          <w:sz w:val="24"/>
          <w:szCs w:val="32"/>
          <w:lang w:val="en-US" w:eastAsia="zh-CN"/>
        </w:rPr>
        <w:t>表2-13 各监测点氟化物小时浓度统计表   标准值： 20ug/Nm</w:t>
      </w:r>
      <w:r>
        <w:rPr>
          <w:rFonts w:hint="eastAsia"/>
          <w:b/>
          <w:bCs/>
          <w:color w:val="auto"/>
          <w:sz w:val="24"/>
          <w:szCs w:val="32"/>
          <w:vertAlign w:val="superscript"/>
          <w:lang w:val="en-US" w:eastAsia="zh-CN"/>
        </w:rPr>
        <w:t>3</w:t>
      </w:r>
    </w:p>
    <w:tbl>
      <w:tblPr>
        <w:tblStyle w:val="31"/>
        <w:tblW w:w="4997"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795"/>
        <w:gridCol w:w="2321"/>
        <w:gridCol w:w="1570"/>
        <w:gridCol w:w="1472"/>
        <w:gridCol w:w="976"/>
        <w:gridCol w:w="1337"/>
        <w:gridCol w:w="1485"/>
      </w:tblGrid>
      <w:tr w14:paraId="71735D7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blHeader/>
        </w:trPr>
        <w:tc>
          <w:tcPr>
            <w:tcW w:w="1564" w:type="pct"/>
            <w:gridSpan w:val="2"/>
            <w:tcBorders>
              <w:tl2br w:val="nil"/>
              <w:tr2bl w:val="nil"/>
            </w:tcBorders>
            <w:shd w:val="clear" w:color="auto" w:fill="auto"/>
            <w:noWrap w:val="0"/>
            <w:vAlign w:val="center"/>
          </w:tcPr>
          <w:p w14:paraId="3CF1A127">
            <w:pPr>
              <w:spacing w:before="31" w:beforeLines="10" w:line="264" w:lineRule="auto"/>
              <w:jc w:val="center"/>
              <w:rPr>
                <w:b/>
                <w:color w:val="auto"/>
              </w:rPr>
            </w:pPr>
            <w:r>
              <w:rPr>
                <w:b/>
                <w:color w:val="auto"/>
              </w:rPr>
              <w:t>监测点位</w:t>
            </w:r>
          </w:p>
        </w:tc>
        <w:tc>
          <w:tcPr>
            <w:tcW w:w="788" w:type="pct"/>
            <w:tcBorders>
              <w:tl2br w:val="nil"/>
              <w:tr2bl w:val="nil"/>
            </w:tcBorders>
            <w:shd w:val="clear" w:color="auto" w:fill="auto"/>
            <w:noWrap w:val="0"/>
            <w:vAlign w:val="center"/>
          </w:tcPr>
          <w:p w14:paraId="65232C7E">
            <w:pPr>
              <w:spacing w:before="31" w:beforeLines="10" w:line="264" w:lineRule="auto"/>
              <w:jc w:val="center"/>
              <w:rPr>
                <w:b/>
                <w:color w:val="auto"/>
              </w:rPr>
            </w:pPr>
            <w:r>
              <w:rPr>
                <w:b/>
                <w:color w:val="auto"/>
              </w:rPr>
              <w:t>浓度范围</w:t>
            </w:r>
          </w:p>
          <w:p w14:paraId="43DF7887">
            <w:pPr>
              <w:spacing w:before="31" w:beforeLines="10" w:line="264" w:lineRule="auto"/>
              <w:jc w:val="center"/>
              <w:rPr>
                <w:b/>
                <w:color w:val="auto"/>
              </w:rPr>
            </w:pPr>
            <w:r>
              <w:rPr>
                <w:b/>
                <w:color w:val="auto"/>
              </w:rPr>
              <w:t>（</w:t>
            </w:r>
            <w:r>
              <w:rPr>
                <w:rFonts w:hint="eastAsia"/>
                <w:b/>
                <w:color w:val="auto"/>
              </w:rPr>
              <w:t>u</w:t>
            </w:r>
            <w:r>
              <w:rPr>
                <w:b/>
                <w:color w:val="auto"/>
              </w:rPr>
              <w:t>g/Nm</w:t>
            </w:r>
            <w:r>
              <w:rPr>
                <w:b/>
                <w:color w:val="auto"/>
                <w:vertAlign w:val="superscript"/>
              </w:rPr>
              <w:t>3</w:t>
            </w:r>
            <w:r>
              <w:rPr>
                <w:b/>
                <w:color w:val="auto"/>
              </w:rPr>
              <w:t>）</w:t>
            </w:r>
          </w:p>
        </w:tc>
        <w:tc>
          <w:tcPr>
            <w:tcW w:w="739" w:type="pct"/>
            <w:tcBorders>
              <w:tl2br w:val="nil"/>
              <w:tr2bl w:val="nil"/>
            </w:tcBorders>
            <w:shd w:val="clear" w:color="auto" w:fill="auto"/>
            <w:noWrap w:val="0"/>
            <w:vAlign w:val="center"/>
          </w:tcPr>
          <w:p w14:paraId="3051140B">
            <w:pPr>
              <w:spacing w:before="31" w:beforeLines="10" w:line="264" w:lineRule="auto"/>
              <w:jc w:val="center"/>
              <w:rPr>
                <w:b/>
                <w:color w:val="auto"/>
              </w:rPr>
            </w:pPr>
            <w:r>
              <w:rPr>
                <w:b/>
                <w:color w:val="auto"/>
              </w:rPr>
              <w:t>最大占</w:t>
            </w:r>
          </w:p>
          <w:p w14:paraId="739E56B0">
            <w:pPr>
              <w:spacing w:before="31" w:beforeLines="10" w:line="264" w:lineRule="auto"/>
              <w:jc w:val="center"/>
              <w:rPr>
                <w:b/>
                <w:color w:val="auto"/>
              </w:rPr>
            </w:pPr>
            <w:r>
              <w:rPr>
                <w:b/>
                <w:color w:val="auto"/>
              </w:rPr>
              <w:t>标率（%）</w:t>
            </w:r>
          </w:p>
        </w:tc>
        <w:tc>
          <w:tcPr>
            <w:tcW w:w="490" w:type="pct"/>
            <w:tcBorders>
              <w:tl2br w:val="nil"/>
              <w:tr2bl w:val="nil"/>
            </w:tcBorders>
            <w:shd w:val="clear" w:color="auto" w:fill="auto"/>
            <w:noWrap w:val="0"/>
            <w:vAlign w:val="center"/>
          </w:tcPr>
          <w:p w14:paraId="259FA3FD">
            <w:pPr>
              <w:spacing w:before="31" w:beforeLines="10" w:line="264" w:lineRule="auto"/>
              <w:jc w:val="center"/>
              <w:rPr>
                <w:b/>
                <w:color w:val="auto"/>
              </w:rPr>
            </w:pPr>
            <w:r>
              <w:rPr>
                <w:b/>
                <w:color w:val="auto"/>
              </w:rPr>
              <w:t>超标</w:t>
            </w:r>
          </w:p>
          <w:p w14:paraId="5A4AC4F0">
            <w:pPr>
              <w:spacing w:before="31" w:beforeLines="10" w:line="264" w:lineRule="auto"/>
              <w:jc w:val="center"/>
              <w:rPr>
                <w:b/>
                <w:color w:val="auto"/>
              </w:rPr>
            </w:pPr>
            <w:r>
              <w:rPr>
                <w:b/>
                <w:color w:val="auto"/>
              </w:rPr>
              <w:t>个数</w:t>
            </w:r>
          </w:p>
        </w:tc>
        <w:tc>
          <w:tcPr>
            <w:tcW w:w="671" w:type="pct"/>
            <w:tcBorders>
              <w:tl2br w:val="nil"/>
              <w:tr2bl w:val="nil"/>
            </w:tcBorders>
            <w:shd w:val="clear" w:color="auto" w:fill="auto"/>
            <w:noWrap w:val="0"/>
            <w:vAlign w:val="center"/>
          </w:tcPr>
          <w:p w14:paraId="22F98960">
            <w:pPr>
              <w:spacing w:before="31" w:beforeLines="10" w:line="264" w:lineRule="auto"/>
              <w:jc w:val="center"/>
              <w:rPr>
                <w:b/>
                <w:color w:val="auto"/>
              </w:rPr>
            </w:pPr>
            <w:r>
              <w:rPr>
                <w:b/>
                <w:color w:val="auto"/>
              </w:rPr>
              <w:t>超标率</w:t>
            </w:r>
          </w:p>
          <w:p w14:paraId="609C57E9">
            <w:pPr>
              <w:spacing w:before="31" w:beforeLines="10" w:line="264" w:lineRule="auto"/>
              <w:jc w:val="center"/>
              <w:rPr>
                <w:b/>
                <w:color w:val="auto"/>
              </w:rPr>
            </w:pPr>
            <w:r>
              <w:rPr>
                <w:b/>
                <w:color w:val="auto"/>
              </w:rPr>
              <w:t>（%）</w:t>
            </w:r>
          </w:p>
        </w:tc>
        <w:tc>
          <w:tcPr>
            <w:tcW w:w="745" w:type="pct"/>
            <w:tcBorders>
              <w:tl2br w:val="nil"/>
              <w:tr2bl w:val="nil"/>
            </w:tcBorders>
            <w:shd w:val="clear" w:color="auto" w:fill="auto"/>
            <w:noWrap w:val="0"/>
            <w:vAlign w:val="center"/>
          </w:tcPr>
          <w:p w14:paraId="13754645">
            <w:pPr>
              <w:spacing w:before="31" w:beforeLines="10" w:line="264" w:lineRule="auto"/>
              <w:jc w:val="center"/>
              <w:rPr>
                <w:b/>
                <w:color w:val="auto"/>
              </w:rPr>
            </w:pPr>
            <w:r>
              <w:rPr>
                <w:b/>
                <w:color w:val="auto"/>
              </w:rPr>
              <w:t>达标</w:t>
            </w:r>
          </w:p>
          <w:p w14:paraId="0722AD31">
            <w:pPr>
              <w:spacing w:before="31" w:beforeLines="10" w:line="264" w:lineRule="auto"/>
              <w:jc w:val="center"/>
              <w:rPr>
                <w:b/>
                <w:color w:val="auto"/>
              </w:rPr>
            </w:pPr>
            <w:r>
              <w:rPr>
                <w:b/>
                <w:color w:val="auto"/>
              </w:rPr>
              <w:t>情况</w:t>
            </w:r>
          </w:p>
        </w:tc>
      </w:tr>
      <w:tr w14:paraId="0D1486F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0FE11428">
            <w:pPr>
              <w:spacing w:before="31" w:beforeLines="10" w:line="264" w:lineRule="auto"/>
              <w:jc w:val="center"/>
              <w:rPr>
                <w:color w:val="auto"/>
              </w:rPr>
            </w:pPr>
            <w:r>
              <w:rPr>
                <w:color w:val="auto"/>
              </w:rPr>
              <w:t>G1</w:t>
            </w:r>
          </w:p>
        </w:tc>
        <w:tc>
          <w:tcPr>
            <w:tcW w:w="1165" w:type="pct"/>
            <w:tcBorders>
              <w:tl2br w:val="nil"/>
              <w:tr2bl w:val="nil"/>
            </w:tcBorders>
            <w:shd w:val="clear" w:color="auto" w:fill="auto"/>
            <w:noWrap w:val="0"/>
            <w:vAlign w:val="top"/>
          </w:tcPr>
          <w:p w14:paraId="2F2C6DAE">
            <w:pPr>
              <w:jc w:val="center"/>
              <w:rPr>
                <w:color w:val="auto"/>
              </w:rPr>
            </w:pPr>
            <w:r>
              <w:rPr>
                <w:color w:val="auto"/>
              </w:rPr>
              <w:t>星河花园小区</w:t>
            </w:r>
          </w:p>
        </w:tc>
        <w:tc>
          <w:tcPr>
            <w:tcW w:w="788" w:type="pct"/>
            <w:tcBorders>
              <w:tl2br w:val="nil"/>
              <w:tr2bl w:val="nil"/>
            </w:tcBorders>
            <w:shd w:val="clear" w:color="auto" w:fill="auto"/>
            <w:noWrap w:val="0"/>
            <w:vAlign w:val="center"/>
          </w:tcPr>
          <w:p w14:paraId="1C65B683">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4827A76A">
            <w:pPr>
              <w:spacing w:before="31" w:beforeLines="10" w:line="264" w:lineRule="auto"/>
              <w:jc w:val="center"/>
              <w:rPr>
                <w:color w:val="auto"/>
              </w:rPr>
            </w:pPr>
            <w:r>
              <w:rPr>
                <w:color w:val="auto"/>
              </w:rPr>
              <w:t>ND</w:t>
            </w:r>
          </w:p>
        </w:tc>
        <w:tc>
          <w:tcPr>
            <w:tcW w:w="490" w:type="pct"/>
            <w:tcBorders>
              <w:tl2br w:val="nil"/>
              <w:tr2bl w:val="nil"/>
            </w:tcBorders>
            <w:shd w:val="clear" w:color="auto" w:fill="auto"/>
            <w:noWrap w:val="0"/>
            <w:vAlign w:val="center"/>
          </w:tcPr>
          <w:p w14:paraId="7DBA5779">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12B0B972">
            <w:pPr>
              <w:spacing w:before="31" w:beforeLines="10" w:line="264" w:lineRule="auto"/>
              <w:jc w:val="center"/>
              <w:rPr>
                <w:color w:val="auto"/>
              </w:rPr>
            </w:pPr>
            <w:r>
              <w:rPr>
                <w:color w:val="auto"/>
              </w:rPr>
              <w:t>0</w:t>
            </w:r>
          </w:p>
        </w:tc>
        <w:tc>
          <w:tcPr>
            <w:tcW w:w="745" w:type="pct"/>
            <w:tcBorders>
              <w:tl2br w:val="nil"/>
              <w:tr2bl w:val="nil"/>
            </w:tcBorders>
            <w:shd w:val="clear" w:color="auto" w:fill="auto"/>
            <w:noWrap w:val="0"/>
            <w:vAlign w:val="center"/>
          </w:tcPr>
          <w:p w14:paraId="47166B0C">
            <w:pPr>
              <w:spacing w:before="31" w:beforeLines="10" w:line="264" w:lineRule="auto"/>
              <w:jc w:val="center"/>
              <w:rPr>
                <w:color w:val="auto"/>
              </w:rPr>
            </w:pPr>
            <w:r>
              <w:rPr>
                <w:color w:val="auto"/>
              </w:rPr>
              <w:t>达标</w:t>
            </w:r>
          </w:p>
        </w:tc>
      </w:tr>
      <w:tr w14:paraId="446DBBCC">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3294913D">
            <w:pPr>
              <w:spacing w:before="31" w:beforeLines="10" w:line="264" w:lineRule="auto"/>
              <w:jc w:val="center"/>
              <w:rPr>
                <w:color w:val="auto"/>
              </w:rPr>
            </w:pPr>
            <w:r>
              <w:rPr>
                <w:color w:val="auto"/>
              </w:rPr>
              <w:t>G2</w:t>
            </w:r>
          </w:p>
        </w:tc>
        <w:tc>
          <w:tcPr>
            <w:tcW w:w="1165" w:type="pct"/>
            <w:tcBorders>
              <w:tl2br w:val="nil"/>
              <w:tr2bl w:val="nil"/>
            </w:tcBorders>
            <w:shd w:val="clear" w:color="auto" w:fill="auto"/>
            <w:noWrap w:val="0"/>
            <w:vAlign w:val="top"/>
          </w:tcPr>
          <w:p w14:paraId="60FD42CC">
            <w:pPr>
              <w:jc w:val="center"/>
              <w:rPr>
                <w:color w:val="auto"/>
              </w:rPr>
            </w:pPr>
            <w:r>
              <w:rPr>
                <w:color w:val="auto"/>
              </w:rPr>
              <w:t>项目地</w:t>
            </w:r>
          </w:p>
        </w:tc>
        <w:tc>
          <w:tcPr>
            <w:tcW w:w="788" w:type="pct"/>
            <w:tcBorders>
              <w:tl2br w:val="nil"/>
              <w:tr2bl w:val="nil"/>
            </w:tcBorders>
            <w:shd w:val="clear" w:color="auto" w:fill="auto"/>
            <w:noWrap w:val="0"/>
            <w:vAlign w:val="center"/>
          </w:tcPr>
          <w:p w14:paraId="7447E42C">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0D2279F4">
            <w:pPr>
              <w:spacing w:before="31" w:beforeLines="10" w:line="264" w:lineRule="auto"/>
              <w:jc w:val="center"/>
              <w:rPr>
                <w:color w:val="auto"/>
              </w:rPr>
            </w:pPr>
            <w:r>
              <w:rPr>
                <w:color w:val="auto"/>
              </w:rPr>
              <w:t>ND</w:t>
            </w:r>
          </w:p>
        </w:tc>
        <w:tc>
          <w:tcPr>
            <w:tcW w:w="490" w:type="pct"/>
            <w:tcBorders>
              <w:tl2br w:val="nil"/>
              <w:tr2bl w:val="nil"/>
            </w:tcBorders>
            <w:shd w:val="clear" w:color="auto" w:fill="auto"/>
            <w:noWrap w:val="0"/>
            <w:vAlign w:val="center"/>
          </w:tcPr>
          <w:p w14:paraId="684F7647">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2BCFF1F7">
            <w:pPr>
              <w:spacing w:before="31" w:beforeLines="10" w:line="264" w:lineRule="auto"/>
              <w:jc w:val="center"/>
              <w:rPr>
                <w:color w:val="auto"/>
              </w:rPr>
            </w:pPr>
            <w:r>
              <w:rPr>
                <w:color w:val="auto"/>
              </w:rPr>
              <w:t>0</w:t>
            </w:r>
          </w:p>
        </w:tc>
        <w:tc>
          <w:tcPr>
            <w:tcW w:w="745" w:type="pct"/>
            <w:tcBorders>
              <w:tl2br w:val="nil"/>
              <w:tr2bl w:val="nil"/>
            </w:tcBorders>
            <w:shd w:val="clear" w:color="auto" w:fill="auto"/>
            <w:noWrap w:val="0"/>
            <w:vAlign w:val="center"/>
          </w:tcPr>
          <w:p w14:paraId="4EA9D898">
            <w:pPr>
              <w:spacing w:before="31" w:beforeLines="10" w:line="264" w:lineRule="auto"/>
              <w:jc w:val="center"/>
              <w:rPr>
                <w:color w:val="auto"/>
              </w:rPr>
            </w:pPr>
            <w:r>
              <w:rPr>
                <w:color w:val="auto"/>
              </w:rPr>
              <w:t>达标</w:t>
            </w:r>
          </w:p>
        </w:tc>
      </w:tr>
      <w:tr w14:paraId="1D4E73D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4C346B3C">
            <w:pPr>
              <w:spacing w:before="31" w:beforeLines="10" w:line="264" w:lineRule="auto"/>
              <w:jc w:val="center"/>
              <w:rPr>
                <w:color w:val="auto"/>
              </w:rPr>
            </w:pPr>
            <w:r>
              <w:rPr>
                <w:color w:val="auto"/>
              </w:rPr>
              <w:t>G3</w:t>
            </w:r>
          </w:p>
        </w:tc>
        <w:tc>
          <w:tcPr>
            <w:tcW w:w="1165" w:type="pct"/>
            <w:tcBorders>
              <w:tl2br w:val="nil"/>
              <w:tr2bl w:val="nil"/>
            </w:tcBorders>
            <w:shd w:val="clear" w:color="auto" w:fill="auto"/>
            <w:noWrap w:val="0"/>
            <w:vAlign w:val="top"/>
          </w:tcPr>
          <w:p w14:paraId="4FF790CE">
            <w:pPr>
              <w:jc w:val="center"/>
              <w:rPr>
                <w:color w:val="auto"/>
              </w:rPr>
            </w:pPr>
            <w:r>
              <w:rPr>
                <w:color w:val="auto"/>
              </w:rPr>
              <w:t>刘桥镇</w:t>
            </w:r>
          </w:p>
        </w:tc>
        <w:tc>
          <w:tcPr>
            <w:tcW w:w="788" w:type="pct"/>
            <w:tcBorders>
              <w:tl2br w:val="nil"/>
              <w:tr2bl w:val="nil"/>
            </w:tcBorders>
            <w:shd w:val="clear" w:color="auto" w:fill="auto"/>
            <w:noWrap w:val="0"/>
            <w:vAlign w:val="center"/>
          </w:tcPr>
          <w:p w14:paraId="095E1FDE">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79FDF16B">
            <w:pPr>
              <w:spacing w:before="31" w:beforeLines="10" w:line="264" w:lineRule="auto"/>
              <w:jc w:val="center"/>
              <w:rPr>
                <w:color w:val="auto"/>
              </w:rPr>
            </w:pPr>
            <w:r>
              <w:rPr>
                <w:color w:val="auto"/>
              </w:rPr>
              <w:t>ND</w:t>
            </w:r>
          </w:p>
        </w:tc>
        <w:tc>
          <w:tcPr>
            <w:tcW w:w="490" w:type="pct"/>
            <w:tcBorders>
              <w:tl2br w:val="nil"/>
              <w:tr2bl w:val="nil"/>
            </w:tcBorders>
            <w:shd w:val="clear" w:color="auto" w:fill="auto"/>
            <w:noWrap w:val="0"/>
            <w:vAlign w:val="center"/>
          </w:tcPr>
          <w:p w14:paraId="74D89C6E">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571CF33D">
            <w:pPr>
              <w:spacing w:before="31" w:beforeLines="10" w:line="264" w:lineRule="auto"/>
              <w:jc w:val="center"/>
              <w:rPr>
                <w:color w:val="auto"/>
              </w:rPr>
            </w:pPr>
            <w:r>
              <w:rPr>
                <w:color w:val="auto"/>
              </w:rPr>
              <w:t>0</w:t>
            </w:r>
          </w:p>
        </w:tc>
        <w:tc>
          <w:tcPr>
            <w:tcW w:w="745" w:type="pct"/>
            <w:tcBorders>
              <w:tl2br w:val="nil"/>
              <w:tr2bl w:val="nil"/>
            </w:tcBorders>
            <w:shd w:val="clear" w:color="auto" w:fill="auto"/>
            <w:noWrap w:val="0"/>
            <w:vAlign w:val="center"/>
          </w:tcPr>
          <w:p w14:paraId="2EA3A0E2">
            <w:pPr>
              <w:spacing w:before="31" w:beforeLines="10" w:line="264" w:lineRule="auto"/>
              <w:jc w:val="center"/>
              <w:rPr>
                <w:color w:val="auto"/>
              </w:rPr>
            </w:pPr>
            <w:r>
              <w:rPr>
                <w:color w:val="auto"/>
              </w:rPr>
              <w:t>达标</w:t>
            </w:r>
          </w:p>
        </w:tc>
      </w:tr>
      <w:tr w14:paraId="6AF65BD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58301587">
            <w:pPr>
              <w:spacing w:before="31" w:beforeLines="10" w:line="264" w:lineRule="auto"/>
              <w:jc w:val="center"/>
              <w:rPr>
                <w:color w:val="auto"/>
              </w:rPr>
            </w:pPr>
            <w:r>
              <w:rPr>
                <w:color w:val="auto"/>
              </w:rPr>
              <w:t>G4</w:t>
            </w:r>
          </w:p>
        </w:tc>
        <w:tc>
          <w:tcPr>
            <w:tcW w:w="1165" w:type="pct"/>
            <w:tcBorders>
              <w:tl2br w:val="nil"/>
              <w:tr2bl w:val="nil"/>
            </w:tcBorders>
            <w:shd w:val="clear" w:color="auto" w:fill="auto"/>
            <w:noWrap w:val="0"/>
            <w:vAlign w:val="top"/>
          </w:tcPr>
          <w:p w14:paraId="79DAC017">
            <w:pPr>
              <w:jc w:val="center"/>
              <w:rPr>
                <w:rFonts w:hint="eastAsia" w:eastAsia="宋体"/>
                <w:color w:val="auto"/>
                <w:lang w:eastAsia="zh-CN"/>
              </w:rPr>
            </w:pPr>
            <w:r>
              <w:rPr>
                <w:color w:val="auto"/>
              </w:rPr>
              <w:t>公租房区</w:t>
            </w:r>
            <w:r>
              <w:rPr>
                <w:rFonts w:hint="eastAsia"/>
                <w:color w:val="auto"/>
                <w:lang w:eastAsia="zh-CN"/>
              </w:rPr>
              <w:t>（</w:t>
            </w:r>
            <w:r>
              <w:rPr>
                <w:rFonts w:hint="eastAsia"/>
                <w:color w:val="auto"/>
                <w:lang w:val="en-US" w:eastAsia="zh-CN"/>
              </w:rPr>
              <w:t>和谐家园</w:t>
            </w:r>
            <w:r>
              <w:rPr>
                <w:rFonts w:hint="eastAsia"/>
                <w:color w:val="auto"/>
                <w:lang w:eastAsia="zh-CN"/>
              </w:rPr>
              <w:t>）</w:t>
            </w:r>
          </w:p>
        </w:tc>
        <w:tc>
          <w:tcPr>
            <w:tcW w:w="788" w:type="pct"/>
            <w:tcBorders>
              <w:tl2br w:val="nil"/>
              <w:tr2bl w:val="nil"/>
            </w:tcBorders>
            <w:shd w:val="clear" w:color="auto" w:fill="auto"/>
            <w:noWrap w:val="0"/>
            <w:vAlign w:val="center"/>
          </w:tcPr>
          <w:p w14:paraId="6C2EA167">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7513669E">
            <w:pPr>
              <w:spacing w:before="31" w:beforeLines="10" w:line="264" w:lineRule="auto"/>
              <w:jc w:val="center"/>
              <w:rPr>
                <w:color w:val="auto"/>
              </w:rPr>
            </w:pPr>
            <w:r>
              <w:rPr>
                <w:color w:val="auto"/>
              </w:rPr>
              <w:t>ND</w:t>
            </w:r>
          </w:p>
        </w:tc>
        <w:tc>
          <w:tcPr>
            <w:tcW w:w="490" w:type="pct"/>
            <w:tcBorders>
              <w:tl2br w:val="nil"/>
              <w:tr2bl w:val="nil"/>
            </w:tcBorders>
            <w:shd w:val="clear" w:color="auto" w:fill="auto"/>
            <w:noWrap w:val="0"/>
            <w:vAlign w:val="center"/>
          </w:tcPr>
          <w:p w14:paraId="2788B882">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11A026EC">
            <w:pPr>
              <w:spacing w:before="31" w:beforeLines="10" w:line="264" w:lineRule="auto"/>
              <w:jc w:val="center"/>
              <w:rPr>
                <w:color w:val="auto"/>
              </w:rPr>
            </w:pPr>
            <w:r>
              <w:rPr>
                <w:color w:val="auto"/>
              </w:rPr>
              <w:t>0</w:t>
            </w:r>
          </w:p>
        </w:tc>
        <w:tc>
          <w:tcPr>
            <w:tcW w:w="745" w:type="pct"/>
            <w:tcBorders>
              <w:tl2br w:val="nil"/>
              <w:tr2bl w:val="nil"/>
            </w:tcBorders>
            <w:shd w:val="clear" w:color="auto" w:fill="auto"/>
            <w:noWrap w:val="0"/>
            <w:vAlign w:val="center"/>
          </w:tcPr>
          <w:p w14:paraId="550926FF">
            <w:pPr>
              <w:spacing w:before="31" w:beforeLines="10" w:line="264" w:lineRule="auto"/>
              <w:jc w:val="center"/>
              <w:rPr>
                <w:color w:val="auto"/>
              </w:rPr>
            </w:pPr>
            <w:r>
              <w:rPr>
                <w:color w:val="auto"/>
              </w:rPr>
              <w:t>达标</w:t>
            </w:r>
          </w:p>
        </w:tc>
      </w:tr>
      <w:tr w14:paraId="1DC5D12C">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01CF70EF">
            <w:pPr>
              <w:spacing w:before="31" w:beforeLines="10" w:line="264" w:lineRule="auto"/>
              <w:jc w:val="center"/>
              <w:rPr>
                <w:color w:val="auto"/>
              </w:rPr>
            </w:pPr>
            <w:r>
              <w:rPr>
                <w:color w:val="auto"/>
              </w:rPr>
              <w:t>G5</w:t>
            </w:r>
          </w:p>
        </w:tc>
        <w:tc>
          <w:tcPr>
            <w:tcW w:w="1165" w:type="pct"/>
            <w:tcBorders>
              <w:tl2br w:val="nil"/>
              <w:tr2bl w:val="nil"/>
            </w:tcBorders>
            <w:shd w:val="clear" w:color="auto" w:fill="auto"/>
            <w:noWrap w:val="0"/>
            <w:vAlign w:val="top"/>
          </w:tcPr>
          <w:p w14:paraId="75150AD5">
            <w:pPr>
              <w:jc w:val="center"/>
              <w:rPr>
                <w:color w:val="auto"/>
              </w:rPr>
            </w:pPr>
            <w:r>
              <w:rPr>
                <w:color w:val="auto"/>
              </w:rPr>
              <w:t>赵楼村</w:t>
            </w:r>
          </w:p>
        </w:tc>
        <w:tc>
          <w:tcPr>
            <w:tcW w:w="788" w:type="pct"/>
            <w:tcBorders>
              <w:tl2br w:val="nil"/>
              <w:tr2bl w:val="nil"/>
            </w:tcBorders>
            <w:shd w:val="clear" w:color="auto" w:fill="auto"/>
            <w:noWrap w:val="0"/>
            <w:vAlign w:val="center"/>
          </w:tcPr>
          <w:p w14:paraId="13E512F1">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5F28D5B8">
            <w:pPr>
              <w:spacing w:before="31" w:beforeLines="10" w:line="264" w:lineRule="auto"/>
              <w:jc w:val="center"/>
              <w:rPr>
                <w:color w:val="auto"/>
              </w:rPr>
            </w:pPr>
            <w:r>
              <w:rPr>
                <w:color w:val="auto"/>
              </w:rPr>
              <w:t>ND</w:t>
            </w:r>
          </w:p>
        </w:tc>
        <w:tc>
          <w:tcPr>
            <w:tcW w:w="490" w:type="pct"/>
            <w:tcBorders>
              <w:tl2br w:val="nil"/>
              <w:tr2bl w:val="nil"/>
            </w:tcBorders>
            <w:shd w:val="clear" w:color="auto" w:fill="auto"/>
            <w:noWrap w:val="0"/>
            <w:vAlign w:val="center"/>
          </w:tcPr>
          <w:p w14:paraId="193BB57F">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4FD74B3C">
            <w:pPr>
              <w:spacing w:before="31" w:beforeLines="10" w:line="264" w:lineRule="auto"/>
              <w:jc w:val="center"/>
              <w:rPr>
                <w:color w:val="auto"/>
              </w:rPr>
            </w:pPr>
            <w:r>
              <w:rPr>
                <w:color w:val="auto"/>
              </w:rPr>
              <w:t>0</w:t>
            </w:r>
          </w:p>
        </w:tc>
        <w:tc>
          <w:tcPr>
            <w:tcW w:w="745" w:type="pct"/>
            <w:tcBorders>
              <w:tl2br w:val="nil"/>
              <w:tr2bl w:val="nil"/>
            </w:tcBorders>
            <w:shd w:val="clear" w:color="auto" w:fill="auto"/>
            <w:noWrap w:val="0"/>
            <w:vAlign w:val="center"/>
          </w:tcPr>
          <w:p w14:paraId="2F2379B0">
            <w:pPr>
              <w:spacing w:before="31" w:beforeLines="10" w:line="264" w:lineRule="auto"/>
              <w:jc w:val="center"/>
              <w:rPr>
                <w:color w:val="auto"/>
              </w:rPr>
            </w:pPr>
            <w:r>
              <w:rPr>
                <w:color w:val="auto"/>
              </w:rPr>
              <w:t>达标</w:t>
            </w:r>
          </w:p>
        </w:tc>
      </w:tr>
      <w:tr w14:paraId="2CEF487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399" w:type="pct"/>
            <w:tcBorders>
              <w:tl2br w:val="nil"/>
              <w:tr2bl w:val="nil"/>
            </w:tcBorders>
            <w:shd w:val="clear" w:color="auto" w:fill="auto"/>
            <w:noWrap w:val="0"/>
            <w:vAlign w:val="center"/>
          </w:tcPr>
          <w:p w14:paraId="3A45E74C">
            <w:pPr>
              <w:spacing w:before="31" w:beforeLines="10" w:line="264" w:lineRule="auto"/>
              <w:jc w:val="center"/>
              <w:rPr>
                <w:color w:val="auto"/>
              </w:rPr>
            </w:pPr>
            <w:r>
              <w:rPr>
                <w:color w:val="auto"/>
              </w:rPr>
              <w:t>G6</w:t>
            </w:r>
          </w:p>
        </w:tc>
        <w:tc>
          <w:tcPr>
            <w:tcW w:w="1165" w:type="pct"/>
            <w:tcBorders>
              <w:tl2br w:val="nil"/>
              <w:tr2bl w:val="nil"/>
            </w:tcBorders>
            <w:shd w:val="clear" w:color="auto" w:fill="auto"/>
            <w:noWrap w:val="0"/>
            <w:vAlign w:val="top"/>
          </w:tcPr>
          <w:p w14:paraId="4FA5C31F">
            <w:pPr>
              <w:jc w:val="center"/>
              <w:rPr>
                <w:color w:val="auto"/>
              </w:rPr>
            </w:pPr>
            <w:r>
              <w:rPr>
                <w:color w:val="auto"/>
              </w:rPr>
              <w:t>王埝村</w:t>
            </w:r>
          </w:p>
        </w:tc>
        <w:tc>
          <w:tcPr>
            <w:tcW w:w="788" w:type="pct"/>
            <w:tcBorders>
              <w:tl2br w:val="nil"/>
              <w:tr2bl w:val="nil"/>
            </w:tcBorders>
            <w:shd w:val="clear" w:color="auto" w:fill="auto"/>
            <w:noWrap w:val="0"/>
            <w:vAlign w:val="center"/>
          </w:tcPr>
          <w:p w14:paraId="73A5FC7B">
            <w:pPr>
              <w:spacing w:before="31" w:beforeLines="10" w:line="264" w:lineRule="auto"/>
              <w:jc w:val="center"/>
              <w:rPr>
                <w:color w:val="auto"/>
              </w:rPr>
            </w:pPr>
            <w:r>
              <w:rPr>
                <w:color w:val="auto"/>
              </w:rPr>
              <w:t>ND</w:t>
            </w:r>
          </w:p>
        </w:tc>
        <w:tc>
          <w:tcPr>
            <w:tcW w:w="739" w:type="pct"/>
            <w:tcBorders>
              <w:tl2br w:val="nil"/>
              <w:tr2bl w:val="nil"/>
            </w:tcBorders>
            <w:shd w:val="clear" w:color="auto" w:fill="auto"/>
            <w:noWrap w:val="0"/>
            <w:vAlign w:val="center"/>
          </w:tcPr>
          <w:p w14:paraId="4EFD41C1">
            <w:pPr>
              <w:spacing w:before="31" w:beforeLines="10" w:line="264" w:lineRule="auto"/>
              <w:jc w:val="center"/>
              <w:rPr>
                <w:color w:val="auto"/>
              </w:rPr>
            </w:pPr>
            <w:r>
              <w:rPr>
                <w:color w:val="auto"/>
              </w:rPr>
              <w:t>ND</w:t>
            </w:r>
          </w:p>
        </w:tc>
        <w:tc>
          <w:tcPr>
            <w:tcW w:w="490" w:type="pct"/>
            <w:tcBorders>
              <w:tl2br w:val="nil"/>
              <w:tr2bl w:val="nil"/>
            </w:tcBorders>
            <w:shd w:val="clear" w:color="auto" w:fill="auto"/>
            <w:noWrap w:val="0"/>
            <w:vAlign w:val="center"/>
          </w:tcPr>
          <w:p w14:paraId="026D951A">
            <w:pPr>
              <w:spacing w:before="31" w:beforeLines="10" w:line="264" w:lineRule="auto"/>
              <w:jc w:val="center"/>
              <w:rPr>
                <w:color w:val="auto"/>
              </w:rPr>
            </w:pPr>
            <w:r>
              <w:rPr>
                <w:color w:val="auto"/>
              </w:rPr>
              <w:t>0</w:t>
            </w:r>
          </w:p>
        </w:tc>
        <w:tc>
          <w:tcPr>
            <w:tcW w:w="671" w:type="pct"/>
            <w:tcBorders>
              <w:tl2br w:val="nil"/>
              <w:tr2bl w:val="nil"/>
            </w:tcBorders>
            <w:shd w:val="clear" w:color="auto" w:fill="auto"/>
            <w:noWrap w:val="0"/>
            <w:vAlign w:val="center"/>
          </w:tcPr>
          <w:p w14:paraId="1070A503">
            <w:pPr>
              <w:spacing w:before="31" w:beforeLines="10" w:line="264" w:lineRule="auto"/>
              <w:jc w:val="center"/>
              <w:rPr>
                <w:color w:val="auto"/>
              </w:rPr>
            </w:pPr>
            <w:r>
              <w:rPr>
                <w:color w:val="auto"/>
              </w:rPr>
              <w:t>0</w:t>
            </w:r>
          </w:p>
        </w:tc>
        <w:tc>
          <w:tcPr>
            <w:tcW w:w="745" w:type="pct"/>
            <w:tcBorders>
              <w:tl2br w:val="nil"/>
              <w:tr2bl w:val="nil"/>
            </w:tcBorders>
            <w:shd w:val="clear" w:color="auto" w:fill="auto"/>
            <w:noWrap w:val="0"/>
            <w:vAlign w:val="center"/>
          </w:tcPr>
          <w:p w14:paraId="767F07E4">
            <w:pPr>
              <w:spacing w:before="31" w:beforeLines="10" w:line="264" w:lineRule="auto"/>
              <w:jc w:val="center"/>
              <w:rPr>
                <w:color w:val="auto"/>
              </w:rPr>
            </w:pPr>
            <w:r>
              <w:rPr>
                <w:color w:val="auto"/>
              </w:rPr>
              <w:t>达标</w:t>
            </w:r>
          </w:p>
        </w:tc>
      </w:tr>
    </w:tbl>
    <w:p w14:paraId="28C0B381">
      <w:pPr>
        <w:spacing w:line="360" w:lineRule="auto"/>
        <w:ind w:firstLine="480" w:firstLineChars="200"/>
        <w:jc w:val="left"/>
        <w:rPr>
          <w:color w:val="auto"/>
          <w:sz w:val="24"/>
          <w:szCs w:val="32"/>
        </w:rPr>
      </w:pPr>
    </w:p>
    <w:p w14:paraId="7D72A17D">
      <w:pPr>
        <w:spacing w:line="360" w:lineRule="auto"/>
        <w:ind w:firstLine="480" w:firstLineChars="200"/>
        <w:jc w:val="left"/>
        <w:rPr>
          <w:rFonts w:hint="default"/>
          <w:b w:val="0"/>
          <w:bCs w:val="0"/>
          <w:color w:val="auto"/>
          <w:sz w:val="24"/>
          <w:szCs w:val="32"/>
          <w:lang w:val="en-US" w:eastAsia="zh-CN"/>
        </w:rPr>
      </w:pPr>
      <w:r>
        <w:rPr>
          <w:rFonts w:hint="eastAsia"/>
          <w:color w:val="auto"/>
          <w:sz w:val="24"/>
          <w:szCs w:val="32"/>
          <w:lang w:val="en-US" w:eastAsia="zh-CN"/>
        </w:rPr>
        <w:t>根据上表可知，原环评阶段</w:t>
      </w:r>
      <w:r>
        <w:rPr>
          <w:color w:val="auto"/>
          <w:sz w:val="24"/>
          <w:szCs w:val="32"/>
        </w:rPr>
        <w:t>项目区域环境空气质量SO</w:t>
      </w:r>
      <w:r>
        <w:rPr>
          <w:color w:val="auto"/>
          <w:sz w:val="24"/>
          <w:szCs w:val="32"/>
          <w:vertAlign w:val="subscript"/>
        </w:rPr>
        <w:t>2</w:t>
      </w:r>
      <w:r>
        <w:rPr>
          <w:color w:val="auto"/>
          <w:sz w:val="24"/>
          <w:szCs w:val="32"/>
        </w:rPr>
        <w:t>、NO</w:t>
      </w:r>
      <w:r>
        <w:rPr>
          <w:color w:val="auto"/>
          <w:sz w:val="24"/>
          <w:szCs w:val="32"/>
          <w:vertAlign w:val="subscript"/>
        </w:rPr>
        <w:t>2</w:t>
      </w:r>
      <w:r>
        <w:rPr>
          <w:color w:val="auto"/>
          <w:sz w:val="24"/>
          <w:szCs w:val="32"/>
        </w:rPr>
        <w:t>、PM</w:t>
      </w:r>
      <w:r>
        <w:rPr>
          <w:color w:val="auto"/>
          <w:sz w:val="24"/>
          <w:szCs w:val="32"/>
          <w:vertAlign w:val="subscript"/>
        </w:rPr>
        <w:t>10</w:t>
      </w:r>
      <w:r>
        <w:rPr>
          <w:color w:val="auto"/>
          <w:sz w:val="24"/>
          <w:szCs w:val="32"/>
        </w:rPr>
        <w:t>、</w:t>
      </w:r>
      <w:r>
        <w:rPr>
          <w:rFonts w:hint="eastAsia"/>
          <w:color w:val="auto"/>
          <w:sz w:val="24"/>
          <w:szCs w:val="32"/>
          <w:lang w:val="en-US" w:eastAsia="zh-CN"/>
        </w:rPr>
        <w:t>氟化物监测浓度均满足</w:t>
      </w:r>
      <w:r>
        <w:rPr>
          <w:color w:val="auto"/>
          <w:sz w:val="24"/>
          <w:szCs w:val="32"/>
        </w:rPr>
        <w:t>《环境空气质量标准》（GB3095－2012）中</w:t>
      </w:r>
      <w:r>
        <w:rPr>
          <w:rFonts w:hint="eastAsia"/>
          <w:color w:val="auto"/>
          <w:sz w:val="24"/>
          <w:szCs w:val="32"/>
          <w:lang w:val="en-US" w:eastAsia="zh-CN"/>
        </w:rPr>
        <w:t>相关标准限值要求</w:t>
      </w:r>
      <w:r>
        <w:rPr>
          <w:color w:val="auto"/>
          <w:sz w:val="24"/>
          <w:szCs w:val="32"/>
        </w:rPr>
        <w:t>；</w:t>
      </w:r>
      <w:r>
        <w:rPr>
          <w:rFonts w:hint="eastAsia"/>
          <w:color w:val="auto"/>
          <w:sz w:val="24"/>
          <w:szCs w:val="32"/>
          <w:lang w:val="en-US" w:eastAsia="zh-CN"/>
        </w:rPr>
        <w:t>氯化氢监测浓度满足《工业企业设计卫生标准》（TJ36-79）中相关标准限值要求；二噁英监测浓度满足《日本环境厅中央环境审议会制定的环境标准》中相关标准限值要求。</w:t>
      </w:r>
    </w:p>
    <w:bookmarkEnd w:id="263"/>
    <w:p w14:paraId="69E70489">
      <w:pPr>
        <w:keepNext w:val="0"/>
        <w:keepLines w:val="0"/>
        <w:pageBreakBefore w:val="0"/>
        <w:widowControl w:val="0"/>
        <w:kinsoku/>
        <w:wordWrap/>
        <w:overflowPunct/>
        <w:topLinePunct w:val="0"/>
        <w:autoSpaceDE/>
        <w:autoSpaceDN/>
        <w:bidi w:val="0"/>
        <w:adjustRightInd/>
        <w:snapToGrid/>
        <w:spacing w:line="360" w:lineRule="auto"/>
        <w:textAlignment w:val="auto"/>
        <w:outlineLvl w:val="3"/>
        <w:rPr>
          <w:rFonts w:hint="default" w:eastAsia="宋体"/>
          <w:b/>
          <w:bCs/>
          <w:color w:val="auto"/>
          <w:sz w:val="24"/>
          <w:szCs w:val="32"/>
          <w:lang w:val="en-US" w:eastAsia="zh-CN"/>
        </w:rPr>
      </w:pPr>
      <w:bookmarkStart w:id="264" w:name="_Toc406"/>
      <w:bookmarkStart w:id="265" w:name="_Toc6228"/>
      <w:bookmarkStart w:id="266" w:name="_Toc22271"/>
      <w:r>
        <w:rPr>
          <w:b/>
          <w:bCs/>
          <w:color w:val="auto"/>
          <w:sz w:val="24"/>
          <w:szCs w:val="32"/>
        </w:rPr>
        <w:t>2.</w:t>
      </w:r>
      <w:r>
        <w:rPr>
          <w:rFonts w:hint="eastAsia"/>
          <w:b/>
          <w:bCs/>
          <w:color w:val="auto"/>
          <w:sz w:val="24"/>
          <w:szCs w:val="32"/>
          <w:lang w:val="en-US" w:eastAsia="zh-CN"/>
        </w:rPr>
        <w:t>3</w:t>
      </w:r>
      <w:r>
        <w:rPr>
          <w:b/>
          <w:bCs/>
          <w:color w:val="auto"/>
          <w:sz w:val="24"/>
          <w:szCs w:val="32"/>
        </w:rPr>
        <w:t>.1.3</w:t>
      </w:r>
      <w:r>
        <w:rPr>
          <w:rFonts w:hint="eastAsia"/>
          <w:b/>
          <w:bCs/>
          <w:color w:val="auto"/>
          <w:sz w:val="24"/>
          <w:szCs w:val="32"/>
          <w:lang w:val="en-US" w:eastAsia="zh-CN"/>
        </w:rPr>
        <w:t xml:space="preserve"> 环评阶段地下水环境质量监测情况</w:t>
      </w:r>
    </w:p>
    <w:p w14:paraId="1F3220F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3"/>
        <w:rPr>
          <w:rFonts w:hint="eastAsia"/>
          <w:b w:val="0"/>
          <w:bCs w:val="0"/>
          <w:color w:val="auto"/>
          <w:sz w:val="24"/>
          <w:szCs w:val="32"/>
          <w:lang w:val="en-US" w:eastAsia="zh-CN"/>
        </w:rPr>
      </w:pPr>
      <w:r>
        <w:rPr>
          <w:rFonts w:hint="eastAsia"/>
          <w:b w:val="0"/>
          <w:bCs w:val="0"/>
          <w:color w:val="auto"/>
          <w:sz w:val="24"/>
          <w:szCs w:val="32"/>
          <w:lang w:eastAsia="zh-CN"/>
        </w:rPr>
        <w:t>（</w:t>
      </w:r>
      <w:r>
        <w:rPr>
          <w:rFonts w:hint="eastAsia"/>
          <w:b w:val="0"/>
          <w:bCs w:val="0"/>
          <w:color w:val="auto"/>
          <w:sz w:val="24"/>
          <w:szCs w:val="32"/>
          <w:lang w:val="en-US" w:eastAsia="zh-CN"/>
        </w:rPr>
        <w:t>1</w:t>
      </w:r>
      <w:r>
        <w:rPr>
          <w:rFonts w:hint="eastAsia"/>
          <w:b w:val="0"/>
          <w:bCs w:val="0"/>
          <w:color w:val="auto"/>
          <w:sz w:val="24"/>
          <w:szCs w:val="32"/>
          <w:lang w:eastAsia="zh-CN"/>
        </w:rPr>
        <w:t>）</w:t>
      </w:r>
      <w:r>
        <w:rPr>
          <w:rFonts w:hint="eastAsia"/>
          <w:b w:val="0"/>
          <w:bCs w:val="0"/>
          <w:color w:val="auto"/>
          <w:sz w:val="24"/>
          <w:szCs w:val="32"/>
          <w:lang w:val="en-US" w:eastAsia="zh-CN"/>
        </w:rPr>
        <w:t>监测项目及监测点位</w:t>
      </w:r>
    </w:p>
    <w:p w14:paraId="2AA6A5C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3"/>
        <w:rPr>
          <w:rFonts w:hint="default"/>
          <w:b w:val="0"/>
          <w:bCs w:val="0"/>
          <w:color w:val="auto"/>
          <w:sz w:val="24"/>
          <w:szCs w:val="32"/>
          <w:lang w:val="en-US" w:eastAsia="zh-CN"/>
        </w:rPr>
      </w:pPr>
      <w:r>
        <w:rPr>
          <w:rFonts w:hint="eastAsia"/>
          <w:b w:val="0"/>
          <w:bCs w:val="0"/>
          <w:color w:val="auto"/>
          <w:sz w:val="24"/>
          <w:szCs w:val="32"/>
          <w:lang w:val="en-US" w:eastAsia="zh-CN"/>
        </w:rPr>
        <w:t>环评阶段pH、氟化物、氯化物、高锰酸盐指数、硬度、溶解性总固体、铅、铬、砷、汞指标作为地下水环境质量现状监测项目，地下水监测时间为2014年7月7日～7月8日，具体监测点位见下表。</w:t>
      </w:r>
    </w:p>
    <w:p w14:paraId="2E117A7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3"/>
        <w:rPr>
          <w:rFonts w:hint="default"/>
          <w:b/>
          <w:bCs/>
          <w:color w:val="auto"/>
          <w:sz w:val="24"/>
          <w:szCs w:val="32"/>
          <w:lang w:val="en-US" w:eastAsia="zh-CN"/>
        </w:rPr>
      </w:pPr>
      <w:r>
        <w:rPr>
          <w:rFonts w:hint="eastAsia"/>
          <w:b/>
          <w:bCs/>
          <w:color w:val="auto"/>
          <w:sz w:val="24"/>
          <w:szCs w:val="32"/>
          <w:lang w:val="en-US" w:eastAsia="zh-CN"/>
        </w:rPr>
        <w:t>表2-14 地下水现状监测点位布设一览表</w:t>
      </w:r>
    </w:p>
    <w:tbl>
      <w:tblPr>
        <w:tblStyle w:val="31"/>
        <w:tblW w:w="4998"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autofit"/>
        <w:tblCellMar>
          <w:top w:w="0" w:type="dxa"/>
          <w:left w:w="108" w:type="dxa"/>
          <w:bottom w:w="0" w:type="dxa"/>
          <w:right w:w="108" w:type="dxa"/>
        </w:tblCellMar>
      </w:tblPr>
      <w:tblGrid>
        <w:gridCol w:w="1281"/>
        <w:gridCol w:w="3218"/>
        <w:gridCol w:w="1807"/>
        <w:gridCol w:w="1807"/>
        <w:gridCol w:w="1845"/>
      </w:tblGrid>
      <w:tr w14:paraId="1D3B2ED5">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43" w:type="pct"/>
            <w:tcBorders>
              <w:tl2br w:val="nil"/>
              <w:tr2bl w:val="nil"/>
            </w:tcBorders>
            <w:shd w:val="clear" w:color="auto" w:fill="auto"/>
            <w:noWrap w:val="0"/>
            <w:vAlign w:val="center"/>
          </w:tcPr>
          <w:p w14:paraId="014C31F5">
            <w:pPr>
              <w:spacing w:before="31" w:beforeLines="10" w:line="264" w:lineRule="auto"/>
              <w:jc w:val="center"/>
              <w:rPr>
                <w:b/>
                <w:color w:val="auto"/>
              </w:rPr>
            </w:pPr>
            <w:r>
              <w:rPr>
                <w:b/>
                <w:color w:val="auto"/>
              </w:rPr>
              <w:t>序号</w:t>
            </w:r>
          </w:p>
        </w:tc>
        <w:tc>
          <w:tcPr>
            <w:tcW w:w="1615" w:type="pct"/>
            <w:tcBorders>
              <w:tl2br w:val="nil"/>
              <w:tr2bl w:val="nil"/>
            </w:tcBorders>
            <w:shd w:val="clear" w:color="auto" w:fill="auto"/>
            <w:noWrap w:val="0"/>
            <w:vAlign w:val="center"/>
          </w:tcPr>
          <w:p w14:paraId="36C78D73">
            <w:pPr>
              <w:spacing w:before="31" w:beforeLines="10" w:line="264" w:lineRule="auto"/>
              <w:jc w:val="center"/>
              <w:rPr>
                <w:b/>
                <w:color w:val="auto"/>
              </w:rPr>
            </w:pPr>
            <w:r>
              <w:rPr>
                <w:b/>
                <w:color w:val="auto"/>
              </w:rPr>
              <w:t>监测点位</w:t>
            </w:r>
          </w:p>
        </w:tc>
        <w:tc>
          <w:tcPr>
            <w:tcW w:w="907" w:type="pct"/>
            <w:tcBorders>
              <w:tl2br w:val="nil"/>
              <w:tr2bl w:val="nil"/>
            </w:tcBorders>
            <w:shd w:val="clear" w:color="auto" w:fill="auto"/>
            <w:noWrap w:val="0"/>
            <w:vAlign w:val="center"/>
          </w:tcPr>
          <w:p w14:paraId="2BBDB4DA">
            <w:pPr>
              <w:spacing w:line="240" w:lineRule="atLeast"/>
              <w:jc w:val="center"/>
              <w:rPr>
                <w:b/>
                <w:color w:val="auto"/>
                <w:szCs w:val="21"/>
              </w:rPr>
            </w:pPr>
            <w:r>
              <w:rPr>
                <w:b/>
                <w:color w:val="auto"/>
                <w:szCs w:val="21"/>
              </w:rPr>
              <w:t>方位</w:t>
            </w:r>
          </w:p>
        </w:tc>
        <w:tc>
          <w:tcPr>
            <w:tcW w:w="907" w:type="pct"/>
            <w:tcBorders>
              <w:tl2br w:val="nil"/>
              <w:tr2bl w:val="nil"/>
            </w:tcBorders>
            <w:shd w:val="clear" w:color="auto" w:fill="auto"/>
            <w:noWrap w:val="0"/>
            <w:vAlign w:val="center"/>
          </w:tcPr>
          <w:p w14:paraId="6423537B">
            <w:pPr>
              <w:spacing w:line="240" w:lineRule="atLeast"/>
              <w:jc w:val="center"/>
              <w:rPr>
                <w:b/>
                <w:color w:val="auto"/>
                <w:szCs w:val="21"/>
              </w:rPr>
            </w:pPr>
            <w:r>
              <w:rPr>
                <w:b/>
                <w:color w:val="auto"/>
                <w:szCs w:val="21"/>
              </w:rPr>
              <w:t>距离</w:t>
            </w:r>
          </w:p>
        </w:tc>
        <w:tc>
          <w:tcPr>
            <w:tcW w:w="926" w:type="pct"/>
            <w:tcBorders>
              <w:tl2br w:val="nil"/>
              <w:tr2bl w:val="nil"/>
            </w:tcBorders>
            <w:shd w:val="clear" w:color="auto" w:fill="auto"/>
            <w:noWrap w:val="0"/>
            <w:vAlign w:val="center"/>
          </w:tcPr>
          <w:p w14:paraId="35DEFD7F">
            <w:pPr>
              <w:spacing w:before="31" w:beforeLines="10" w:line="264" w:lineRule="auto"/>
              <w:jc w:val="center"/>
              <w:rPr>
                <w:b/>
                <w:color w:val="auto"/>
              </w:rPr>
            </w:pPr>
            <w:r>
              <w:rPr>
                <w:b/>
                <w:color w:val="auto"/>
              </w:rPr>
              <w:t>备注</w:t>
            </w:r>
          </w:p>
        </w:tc>
      </w:tr>
      <w:tr w14:paraId="6631BD02">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43" w:type="pct"/>
            <w:tcBorders>
              <w:tl2br w:val="nil"/>
              <w:tr2bl w:val="nil"/>
            </w:tcBorders>
            <w:shd w:val="clear" w:color="auto" w:fill="auto"/>
            <w:noWrap w:val="0"/>
            <w:vAlign w:val="center"/>
          </w:tcPr>
          <w:p w14:paraId="2EB06651">
            <w:pPr>
              <w:spacing w:before="31" w:beforeLines="10" w:line="264" w:lineRule="auto"/>
              <w:jc w:val="center"/>
              <w:rPr>
                <w:color w:val="auto"/>
              </w:rPr>
            </w:pPr>
            <w:r>
              <w:rPr>
                <w:color w:val="auto"/>
              </w:rPr>
              <w:t>1</w:t>
            </w:r>
          </w:p>
        </w:tc>
        <w:tc>
          <w:tcPr>
            <w:tcW w:w="1615" w:type="pct"/>
            <w:tcBorders>
              <w:tl2br w:val="nil"/>
              <w:tr2bl w:val="nil"/>
            </w:tcBorders>
            <w:shd w:val="clear" w:color="auto" w:fill="auto"/>
            <w:noWrap w:val="0"/>
            <w:vAlign w:val="center"/>
          </w:tcPr>
          <w:p w14:paraId="4DF25C7C">
            <w:pPr>
              <w:spacing w:line="240" w:lineRule="atLeast"/>
              <w:jc w:val="center"/>
              <w:rPr>
                <w:color w:val="auto"/>
                <w:szCs w:val="21"/>
              </w:rPr>
            </w:pPr>
            <w:r>
              <w:rPr>
                <w:rFonts w:hint="eastAsia"/>
                <w:color w:val="auto"/>
                <w:lang w:val="en-US" w:eastAsia="zh-CN"/>
              </w:rPr>
              <w:t>D1</w:t>
            </w:r>
            <w:r>
              <w:rPr>
                <w:color w:val="auto"/>
                <w:szCs w:val="21"/>
              </w:rPr>
              <w:t>开发区管委会</w:t>
            </w:r>
          </w:p>
        </w:tc>
        <w:tc>
          <w:tcPr>
            <w:tcW w:w="907" w:type="pct"/>
            <w:tcBorders>
              <w:tl2br w:val="nil"/>
              <w:tr2bl w:val="nil"/>
            </w:tcBorders>
            <w:shd w:val="clear" w:color="auto" w:fill="auto"/>
            <w:noWrap w:val="0"/>
            <w:vAlign w:val="center"/>
          </w:tcPr>
          <w:p w14:paraId="557D3F54">
            <w:pPr>
              <w:spacing w:line="240" w:lineRule="atLeast"/>
              <w:jc w:val="center"/>
              <w:rPr>
                <w:color w:val="auto"/>
                <w:szCs w:val="21"/>
              </w:rPr>
            </w:pPr>
            <w:r>
              <w:rPr>
                <w:color w:val="auto"/>
                <w:szCs w:val="21"/>
              </w:rPr>
              <w:t>NE</w:t>
            </w:r>
          </w:p>
        </w:tc>
        <w:tc>
          <w:tcPr>
            <w:tcW w:w="907" w:type="pct"/>
            <w:tcBorders>
              <w:tl2br w:val="nil"/>
              <w:tr2bl w:val="nil"/>
            </w:tcBorders>
            <w:shd w:val="clear" w:color="auto" w:fill="auto"/>
            <w:noWrap w:val="0"/>
            <w:vAlign w:val="center"/>
          </w:tcPr>
          <w:p w14:paraId="38F5C31F">
            <w:pPr>
              <w:spacing w:line="240" w:lineRule="atLeast"/>
              <w:jc w:val="center"/>
              <w:rPr>
                <w:color w:val="auto"/>
                <w:szCs w:val="21"/>
              </w:rPr>
            </w:pPr>
            <w:r>
              <w:rPr>
                <w:color w:val="auto"/>
                <w:szCs w:val="21"/>
              </w:rPr>
              <w:t>3km</w:t>
            </w:r>
          </w:p>
        </w:tc>
        <w:tc>
          <w:tcPr>
            <w:tcW w:w="926" w:type="pct"/>
            <w:tcBorders>
              <w:tl2br w:val="nil"/>
              <w:tr2bl w:val="nil"/>
            </w:tcBorders>
            <w:shd w:val="clear" w:color="auto" w:fill="auto"/>
            <w:noWrap w:val="0"/>
            <w:vAlign w:val="center"/>
          </w:tcPr>
          <w:p w14:paraId="09D34DF4">
            <w:pPr>
              <w:spacing w:before="31" w:beforeLines="10" w:line="264" w:lineRule="auto"/>
              <w:jc w:val="center"/>
              <w:rPr>
                <w:rFonts w:hint="eastAsia" w:eastAsia="宋体"/>
                <w:color w:val="auto"/>
                <w:lang w:val="en-US" w:eastAsia="zh-CN"/>
              </w:rPr>
            </w:pPr>
            <w:r>
              <w:rPr>
                <w:rFonts w:hint="eastAsia"/>
                <w:color w:val="auto"/>
                <w:lang w:val="en-US" w:eastAsia="zh-CN"/>
              </w:rPr>
              <w:t>/</w:t>
            </w:r>
          </w:p>
        </w:tc>
      </w:tr>
      <w:tr w14:paraId="24541FD2">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643" w:type="pct"/>
            <w:tcBorders>
              <w:tl2br w:val="nil"/>
              <w:tr2bl w:val="nil"/>
            </w:tcBorders>
            <w:shd w:val="clear" w:color="auto" w:fill="auto"/>
            <w:noWrap w:val="0"/>
            <w:vAlign w:val="center"/>
          </w:tcPr>
          <w:p w14:paraId="06836937">
            <w:pPr>
              <w:spacing w:before="31" w:beforeLines="10" w:line="264" w:lineRule="auto"/>
              <w:jc w:val="center"/>
              <w:rPr>
                <w:color w:val="auto"/>
              </w:rPr>
            </w:pPr>
            <w:r>
              <w:rPr>
                <w:color w:val="auto"/>
              </w:rPr>
              <w:t>2</w:t>
            </w:r>
          </w:p>
        </w:tc>
        <w:tc>
          <w:tcPr>
            <w:tcW w:w="1615" w:type="pct"/>
            <w:tcBorders>
              <w:tl2br w:val="nil"/>
              <w:tr2bl w:val="nil"/>
            </w:tcBorders>
            <w:shd w:val="clear" w:color="auto" w:fill="auto"/>
            <w:noWrap w:val="0"/>
            <w:vAlign w:val="center"/>
          </w:tcPr>
          <w:p w14:paraId="6CDE36E5">
            <w:pPr>
              <w:spacing w:line="240" w:lineRule="atLeast"/>
              <w:jc w:val="center"/>
              <w:rPr>
                <w:color w:val="auto"/>
                <w:szCs w:val="21"/>
              </w:rPr>
            </w:pPr>
            <w:r>
              <w:rPr>
                <w:rFonts w:hint="eastAsia"/>
                <w:color w:val="auto"/>
                <w:lang w:val="en-US" w:eastAsia="zh-CN"/>
              </w:rPr>
              <w:t>D</w:t>
            </w:r>
            <w:r>
              <w:rPr>
                <w:color w:val="auto"/>
              </w:rPr>
              <w:t>2</w:t>
            </w:r>
            <w:r>
              <w:rPr>
                <w:color w:val="auto"/>
                <w:szCs w:val="21"/>
              </w:rPr>
              <w:t>开发区污水处理厂</w:t>
            </w:r>
          </w:p>
        </w:tc>
        <w:tc>
          <w:tcPr>
            <w:tcW w:w="907" w:type="pct"/>
            <w:tcBorders>
              <w:tl2br w:val="nil"/>
              <w:tr2bl w:val="nil"/>
            </w:tcBorders>
            <w:shd w:val="clear" w:color="auto" w:fill="auto"/>
            <w:noWrap w:val="0"/>
            <w:vAlign w:val="center"/>
          </w:tcPr>
          <w:p w14:paraId="0F9EDFE2">
            <w:pPr>
              <w:spacing w:line="240" w:lineRule="atLeast"/>
              <w:jc w:val="center"/>
              <w:rPr>
                <w:color w:val="auto"/>
                <w:szCs w:val="21"/>
              </w:rPr>
            </w:pPr>
            <w:r>
              <w:rPr>
                <w:color w:val="auto"/>
                <w:szCs w:val="21"/>
              </w:rPr>
              <w:t>SE</w:t>
            </w:r>
          </w:p>
        </w:tc>
        <w:tc>
          <w:tcPr>
            <w:tcW w:w="907" w:type="pct"/>
            <w:tcBorders>
              <w:tl2br w:val="nil"/>
              <w:tr2bl w:val="nil"/>
            </w:tcBorders>
            <w:shd w:val="clear" w:color="auto" w:fill="auto"/>
            <w:noWrap w:val="0"/>
            <w:vAlign w:val="center"/>
          </w:tcPr>
          <w:p w14:paraId="0BD67692">
            <w:pPr>
              <w:spacing w:line="240" w:lineRule="atLeast"/>
              <w:jc w:val="center"/>
              <w:rPr>
                <w:color w:val="auto"/>
                <w:szCs w:val="21"/>
              </w:rPr>
            </w:pPr>
            <w:r>
              <w:rPr>
                <w:color w:val="auto"/>
                <w:szCs w:val="21"/>
              </w:rPr>
              <w:t>2km</w:t>
            </w:r>
          </w:p>
        </w:tc>
        <w:tc>
          <w:tcPr>
            <w:tcW w:w="926" w:type="pct"/>
            <w:tcBorders>
              <w:tl2br w:val="nil"/>
              <w:tr2bl w:val="nil"/>
            </w:tcBorders>
            <w:shd w:val="clear" w:color="auto" w:fill="auto"/>
            <w:noWrap w:val="0"/>
            <w:vAlign w:val="center"/>
          </w:tcPr>
          <w:p w14:paraId="11E9C48E">
            <w:pPr>
              <w:spacing w:before="31" w:beforeLines="10" w:line="264" w:lineRule="auto"/>
              <w:jc w:val="center"/>
              <w:rPr>
                <w:rFonts w:hint="eastAsia" w:eastAsia="宋体"/>
                <w:color w:val="auto"/>
                <w:lang w:val="en-US" w:eastAsia="zh-CN"/>
              </w:rPr>
            </w:pPr>
            <w:r>
              <w:rPr>
                <w:rFonts w:hint="eastAsia"/>
                <w:color w:val="auto"/>
                <w:lang w:val="en-US" w:eastAsia="zh-CN"/>
              </w:rPr>
              <w:t>/</w:t>
            </w:r>
          </w:p>
        </w:tc>
      </w:tr>
    </w:tbl>
    <w:p w14:paraId="4EE011C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3"/>
        <w:rPr>
          <w:rFonts w:hint="eastAsia"/>
          <w:b w:val="0"/>
          <w:bCs w:val="0"/>
          <w:color w:val="auto"/>
          <w:sz w:val="24"/>
          <w:szCs w:val="32"/>
          <w:lang w:val="en-US" w:eastAsia="zh-CN"/>
        </w:rPr>
      </w:pPr>
    </w:p>
    <w:p w14:paraId="006AA7A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3"/>
        <w:rPr>
          <w:rFonts w:hint="default"/>
          <w:b w:val="0"/>
          <w:bCs w:val="0"/>
          <w:color w:val="auto"/>
          <w:sz w:val="24"/>
          <w:szCs w:val="32"/>
          <w:lang w:val="en-US" w:eastAsia="zh-CN"/>
        </w:rPr>
      </w:pPr>
      <w:r>
        <w:rPr>
          <w:rFonts w:hint="eastAsia"/>
          <w:b w:val="0"/>
          <w:bCs w:val="0"/>
          <w:color w:val="auto"/>
          <w:sz w:val="24"/>
          <w:szCs w:val="32"/>
          <w:lang w:val="en-US" w:eastAsia="zh-CN"/>
        </w:rPr>
        <w:t>（2）评价标准</w:t>
      </w:r>
    </w:p>
    <w:p w14:paraId="6B27C0D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3"/>
        <w:rPr>
          <w:rFonts w:hint="default" w:eastAsia="宋体"/>
          <w:b w:val="0"/>
          <w:bCs w:val="0"/>
          <w:color w:val="auto"/>
          <w:sz w:val="24"/>
          <w:szCs w:val="32"/>
          <w:lang w:val="en-US" w:eastAsia="zh-CN"/>
        </w:rPr>
      </w:pPr>
      <w:r>
        <w:rPr>
          <w:rFonts w:hint="eastAsia"/>
          <w:color w:val="auto"/>
          <w:sz w:val="24"/>
          <w:lang w:val="en-US" w:eastAsia="zh-CN"/>
        </w:rPr>
        <w:t>环评阶段区域地下水环境</w:t>
      </w:r>
      <w:r>
        <w:rPr>
          <w:color w:val="auto"/>
          <w:sz w:val="24"/>
        </w:rPr>
        <w:t>执行《地下水质量标准》（GB/T14848-93）III类标准</w:t>
      </w:r>
      <w:r>
        <w:rPr>
          <w:rFonts w:hint="eastAsia"/>
          <w:color w:val="auto"/>
          <w:sz w:val="24"/>
          <w:lang w:eastAsia="zh-CN"/>
        </w:rPr>
        <w:t>，</w:t>
      </w:r>
      <w:r>
        <w:rPr>
          <w:rFonts w:hint="eastAsia"/>
          <w:color w:val="auto"/>
          <w:sz w:val="24"/>
          <w:lang w:val="en-US" w:eastAsia="zh-CN"/>
        </w:rPr>
        <w:t>具体标准限值如下：</w:t>
      </w:r>
    </w:p>
    <w:p w14:paraId="563B87B5">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3"/>
        <w:rPr>
          <w:rFonts w:hint="default"/>
          <w:b/>
          <w:bCs/>
          <w:color w:val="auto"/>
          <w:sz w:val="24"/>
          <w:szCs w:val="32"/>
          <w:lang w:val="en-US" w:eastAsia="zh-CN"/>
        </w:rPr>
      </w:pPr>
      <w:r>
        <w:rPr>
          <w:rFonts w:hint="eastAsia"/>
          <w:b/>
          <w:bCs/>
          <w:color w:val="auto"/>
          <w:sz w:val="24"/>
          <w:szCs w:val="32"/>
          <w:lang w:val="en-US" w:eastAsia="zh-CN"/>
        </w:rPr>
        <w:t>表2-15 地下水环境质量标准一览表</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autofit"/>
        <w:tblCellMar>
          <w:top w:w="0" w:type="dxa"/>
          <w:left w:w="108" w:type="dxa"/>
          <w:bottom w:w="0" w:type="dxa"/>
          <w:right w:w="108" w:type="dxa"/>
        </w:tblCellMar>
      </w:tblPr>
      <w:tblGrid>
        <w:gridCol w:w="1096"/>
        <w:gridCol w:w="2830"/>
        <w:gridCol w:w="1327"/>
        <w:gridCol w:w="4709"/>
      </w:tblGrid>
      <w:tr w14:paraId="3A3322FA">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blHeader/>
        </w:trPr>
        <w:tc>
          <w:tcPr>
            <w:tcW w:w="550" w:type="pct"/>
            <w:tcBorders>
              <w:tl2br w:val="nil"/>
              <w:tr2bl w:val="nil"/>
            </w:tcBorders>
            <w:shd w:val="clear" w:color="auto" w:fill="auto"/>
            <w:noWrap w:val="0"/>
            <w:vAlign w:val="center"/>
          </w:tcPr>
          <w:p w14:paraId="76BE9409">
            <w:pPr>
              <w:spacing w:before="31" w:beforeLines="10" w:line="264" w:lineRule="auto"/>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序号</w:t>
            </w:r>
          </w:p>
        </w:tc>
        <w:tc>
          <w:tcPr>
            <w:tcW w:w="1420" w:type="pct"/>
            <w:tcBorders>
              <w:tl2br w:val="nil"/>
              <w:tr2bl w:val="nil"/>
            </w:tcBorders>
            <w:shd w:val="clear" w:color="auto" w:fill="auto"/>
            <w:noWrap w:val="0"/>
            <w:vAlign w:val="center"/>
          </w:tcPr>
          <w:p w14:paraId="5CDC9228">
            <w:pPr>
              <w:spacing w:before="31" w:beforeLines="10" w:line="264" w:lineRule="auto"/>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项  目</w:t>
            </w:r>
          </w:p>
        </w:tc>
        <w:tc>
          <w:tcPr>
            <w:tcW w:w="666" w:type="pct"/>
            <w:tcBorders>
              <w:tl2br w:val="nil"/>
              <w:tr2bl w:val="nil"/>
            </w:tcBorders>
            <w:shd w:val="clear" w:color="auto" w:fill="auto"/>
            <w:noWrap w:val="0"/>
            <w:vAlign w:val="center"/>
          </w:tcPr>
          <w:p w14:paraId="34572BED">
            <w:pPr>
              <w:spacing w:before="31" w:beforeLines="10" w:line="264" w:lineRule="auto"/>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单位</w:t>
            </w:r>
          </w:p>
        </w:tc>
        <w:tc>
          <w:tcPr>
            <w:tcW w:w="2363" w:type="pct"/>
            <w:tcBorders>
              <w:tl2br w:val="nil"/>
              <w:tr2bl w:val="nil"/>
            </w:tcBorders>
            <w:shd w:val="clear" w:color="auto" w:fill="auto"/>
            <w:noWrap w:val="0"/>
            <w:vAlign w:val="center"/>
          </w:tcPr>
          <w:p w14:paraId="6AFCF582">
            <w:pPr>
              <w:spacing w:before="31" w:beforeLines="10" w:line="264" w:lineRule="auto"/>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GB/T14848-93中Ⅲ类标准值</w:t>
            </w:r>
          </w:p>
        </w:tc>
      </w:tr>
      <w:tr w14:paraId="0CEAA983">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1874B7C8">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w:t>
            </w:r>
          </w:p>
        </w:tc>
        <w:tc>
          <w:tcPr>
            <w:tcW w:w="1420" w:type="pct"/>
            <w:tcBorders>
              <w:tl2br w:val="nil"/>
              <w:tr2bl w:val="nil"/>
            </w:tcBorders>
            <w:shd w:val="clear" w:color="auto" w:fill="auto"/>
            <w:noWrap w:val="0"/>
            <w:vAlign w:val="center"/>
          </w:tcPr>
          <w:p w14:paraId="49E33600">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pH</w:t>
            </w:r>
          </w:p>
        </w:tc>
        <w:tc>
          <w:tcPr>
            <w:tcW w:w="666" w:type="pct"/>
            <w:tcBorders>
              <w:tl2br w:val="nil"/>
              <w:tr2bl w:val="nil"/>
            </w:tcBorders>
            <w:shd w:val="clear" w:color="auto" w:fill="auto"/>
            <w:noWrap w:val="0"/>
            <w:vAlign w:val="center"/>
          </w:tcPr>
          <w:p w14:paraId="17379930">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无量纲</w:t>
            </w:r>
          </w:p>
        </w:tc>
        <w:tc>
          <w:tcPr>
            <w:tcW w:w="2363" w:type="pct"/>
            <w:tcBorders>
              <w:tl2br w:val="nil"/>
              <w:tr2bl w:val="nil"/>
            </w:tcBorders>
            <w:shd w:val="clear" w:color="auto" w:fill="auto"/>
            <w:noWrap w:val="0"/>
            <w:vAlign w:val="center"/>
          </w:tcPr>
          <w:p w14:paraId="5E6CEB75">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6.5～8.5</w:t>
            </w:r>
          </w:p>
        </w:tc>
      </w:tr>
      <w:tr w14:paraId="5BE05C43">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0EE2F002">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w:t>
            </w:r>
          </w:p>
        </w:tc>
        <w:tc>
          <w:tcPr>
            <w:tcW w:w="1420" w:type="pct"/>
            <w:tcBorders>
              <w:tl2br w:val="nil"/>
              <w:tr2bl w:val="nil"/>
            </w:tcBorders>
            <w:shd w:val="clear" w:color="auto" w:fill="auto"/>
            <w:noWrap w:val="0"/>
            <w:vAlign w:val="center"/>
          </w:tcPr>
          <w:p w14:paraId="16C42956">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氟化物</w:t>
            </w:r>
          </w:p>
        </w:tc>
        <w:tc>
          <w:tcPr>
            <w:tcW w:w="666" w:type="pct"/>
            <w:tcBorders>
              <w:tl2br w:val="nil"/>
              <w:tr2bl w:val="nil"/>
            </w:tcBorders>
            <w:shd w:val="clear" w:color="auto" w:fill="auto"/>
            <w:noWrap w:val="0"/>
            <w:vAlign w:val="center"/>
          </w:tcPr>
          <w:p w14:paraId="0B716FEB">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76409A93">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≤1.0</w:t>
            </w:r>
          </w:p>
        </w:tc>
      </w:tr>
      <w:tr w14:paraId="1CD3A43B">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0D49307C">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w:t>
            </w:r>
          </w:p>
        </w:tc>
        <w:tc>
          <w:tcPr>
            <w:tcW w:w="1420" w:type="pct"/>
            <w:tcBorders>
              <w:tl2br w:val="nil"/>
              <w:tr2bl w:val="nil"/>
            </w:tcBorders>
            <w:shd w:val="clear" w:color="auto" w:fill="auto"/>
            <w:noWrap w:val="0"/>
            <w:vAlign w:val="center"/>
          </w:tcPr>
          <w:p w14:paraId="464C20FE">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氯化物</w:t>
            </w:r>
          </w:p>
        </w:tc>
        <w:tc>
          <w:tcPr>
            <w:tcW w:w="666" w:type="pct"/>
            <w:tcBorders>
              <w:tl2br w:val="nil"/>
              <w:tr2bl w:val="nil"/>
            </w:tcBorders>
            <w:shd w:val="clear" w:color="auto" w:fill="auto"/>
            <w:noWrap w:val="0"/>
            <w:vAlign w:val="center"/>
          </w:tcPr>
          <w:p w14:paraId="1C69BD4D">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1F4F75D5">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≤250</w:t>
            </w:r>
          </w:p>
        </w:tc>
      </w:tr>
      <w:tr w14:paraId="34251484">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5994C6C1">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4</w:t>
            </w:r>
          </w:p>
        </w:tc>
        <w:tc>
          <w:tcPr>
            <w:tcW w:w="1420" w:type="pct"/>
            <w:tcBorders>
              <w:tl2br w:val="nil"/>
              <w:tr2bl w:val="nil"/>
            </w:tcBorders>
            <w:shd w:val="clear" w:color="auto" w:fill="auto"/>
            <w:noWrap w:val="0"/>
            <w:vAlign w:val="center"/>
          </w:tcPr>
          <w:p w14:paraId="03FB908A">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高锰酸盐指数</w:t>
            </w:r>
          </w:p>
        </w:tc>
        <w:tc>
          <w:tcPr>
            <w:tcW w:w="666" w:type="pct"/>
            <w:tcBorders>
              <w:tl2br w:val="nil"/>
              <w:tr2bl w:val="nil"/>
            </w:tcBorders>
            <w:shd w:val="clear" w:color="auto" w:fill="auto"/>
            <w:noWrap w:val="0"/>
            <w:vAlign w:val="center"/>
          </w:tcPr>
          <w:p w14:paraId="5125A69E">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23C9E790">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≤3.0</w:t>
            </w:r>
          </w:p>
        </w:tc>
      </w:tr>
      <w:tr w14:paraId="48E77636">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5124EDA3">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5</w:t>
            </w:r>
          </w:p>
        </w:tc>
        <w:tc>
          <w:tcPr>
            <w:tcW w:w="1420" w:type="pct"/>
            <w:tcBorders>
              <w:tl2br w:val="nil"/>
              <w:tr2bl w:val="nil"/>
            </w:tcBorders>
            <w:shd w:val="clear" w:color="auto" w:fill="auto"/>
            <w:noWrap w:val="0"/>
            <w:vAlign w:val="center"/>
          </w:tcPr>
          <w:p w14:paraId="259C221C">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总硬度</w:t>
            </w:r>
          </w:p>
        </w:tc>
        <w:tc>
          <w:tcPr>
            <w:tcW w:w="666" w:type="pct"/>
            <w:tcBorders>
              <w:tl2br w:val="nil"/>
              <w:tr2bl w:val="nil"/>
            </w:tcBorders>
            <w:shd w:val="clear" w:color="auto" w:fill="auto"/>
            <w:noWrap w:val="0"/>
            <w:vAlign w:val="center"/>
          </w:tcPr>
          <w:p w14:paraId="399164FC">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70F35D69">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≤450</w:t>
            </w:r>
          </w:p>
        </w:tc>
      </w:tr>
      <w:tr w14:paraId="75D9D9FF">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3F781546">
            <w:pPr>
              <w:spacing w:before="31" w:beforeLines="10" w:line="264" w:lineRule="auto"/>
              <w:jc w:val="center"/>
              <w:rPr>
                <w:rFonts w:hint="eastAsia" w:ascii="Times New Roman" w:hAnsi="Times New Roman" w:eastAsia="宋体" w:cs="Times New Roman"/>
                <w:color w:val="auto"/>
                <w:sz w:val="21"/>
                <w:szCs w:val="21"/>
                <w:lang w:val="en-US" w:eastAsia="zh-CN"/>
              </w:rPr>
            </w:pPr>
            <w:bookmarkStart w:id="267" w:name="OLE_LINK5" w:colFirst="3" w:colLast="67"/>
            <w:r>
              <w:rPr>
                <w:rFonts w:hint="eastAsia" w:cs="Times New Roman"/>
                <w:color w:val="auto"/>
                <w:sz w:val="21"/>
                <w:szCs w:val="21"/>
                <w:lang w:val="en-US" w:eastAsia="zh-CN"/>
              </w:rPr>
              <w:t>6</w:t>
            </w:r>
          </w:p>
        </w:tc>
        <w:tc>
          <w:tcPr>
            <w:tcW w:w="1420" w:type="pct"/>
            <w:tcBorders>
              <w:tl2br w:val="nil"/>
              <w:tr2bl w:val="nil"/>
            </w:tcBorders>
            <w:shd w:val="clear" w:color="auto" w:fill="auto"/>
            <w:noWrap w:val="0"/>
            <w:vAlign w:val="center"/>
          </w:tcPr>
          <w:p w14:paraId="5FA105CD">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溶解性固体</w:t>
            </w:r>
          </w:p>
        </w:tc>
        <w:tc>
          <w:tcPr>
            <w:tcW w:w="666" w:type="pct"/>
            <w:tcBorders>
              <w:tl2br w:val="nil"/>
              <w:tr2bl w:val="nil"/>
            </w:tcBorders>
            <w:shd w:val="clear" w:color="auto" w:fill="auto"/>
            <w:noWrap w:val="0"/>
            <w:vAlign w:val="center"/>
          </w:tcPr>
          <w:p w14:paraId="68EAD2E6">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76A732FC">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≤1000</w:t>
            </w:r>
          </w:p>
        </w:tc>
      </w:tr>
      <w:tr w14:paraId="0A3B81FC">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021215D5">
            <w:pPr>
              <w:spacing w:before="31" w:beforeLines="10" w:line="264" w:lineRule="auto"/>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7</w:t>
            </w:r>
          </w:p>
        </w:tc>
        <w:tc>
          <w:tcPr>
            <w:tcW w:w="1420" w:type="pct"/>
            <w:tcBorders>
              <w:tl2br w:val="nil"/>
              <w:tr2bl w:val="nil"/>
            </w:tcBorders>
            <w:shd w:val="clear" w:color="auto" w:fill="auto"/>
            <w:noWrap w:val="0"/>
            <w:vAlign w:val="center"/>
          </w:tcPr>
          <w:p w14:paraId="7B5426AC">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铅</w:t>
            </w:r>
          </w:p>
        </w:tc>
        <w:tc>
          <w:tcPr>
            <w:tcW w:w="666" w:type="pct"/>
            <w:tcBorders>
              <w:tl2br w:val="nil"/>
              <w:tr2bl w:val="nil"/>
            </w:tcBorders>
            <w:shd w:val="clear" w:color="auto" w:fill="auto"/>
            <w:noWrap w:val="0"/>
            <w:vAlign w:val="center"/>
          </w:tcPr>
          <w:p w14:paraId="553605F9">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0CB0CE00">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≤0.05</w:t>
            </w:r>
          </w:p>
        </w:tc>
      </w:tr>
      <w:tr w14:paraId="38D5C5C4">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4B4E23A6">
            <w:pPr>
              <w:spacing w:before="31" w:beforeLines="10" w:line="264" w:lineRule="auto"/>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8</w:t>
            </w:r>
          </w:p>
        </w:tc>
        <w:tc>
          <w:tcPr>
            <w:tcW w:w="1420" w:type="pct"/>
            <w:tcBorders>
              <w:tl2br w:val="nil"/>
              <w:tr2bl w:val="nil"/>
            </w:tcBorders>
            <w:shd w:val="clear" w:color="auto" w:fill="auto"/>
            <w:noWrap w:val="0"/>
            <w:vAlign w:val="center"/>
          </w:tcPr>
          <w:p w14:paraId="0787C550">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六价铬</w:t>
            </w:r>
          </w:p>
        </w:tc>
        <w:tc>
          <w:tcPr>
            <w:tcW w:w="666" w:type="pct"/>
            <w:tcBorders>
              <w:tl2br w:val="nil"/>
              <w:tr2bl w:val="nil"/>
            </w:tcBorders>
            <w:shd w:val="clear" w:color="auto" w:fill="auto"/>
            <w:noWrap w:val="0"/>
            <w:vAlign w:val="center"/>
          </w:tcPr>
          <w:p w14:paraId="1DEEF79C">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16779BCB">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≤0.05</w:t>
            </w:r>
          </w:p>
        </w:tc>
      </w:tr>
      <w:tr w14:paraId="745CD4C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57215277">
            <w:pPr>
              <w:spacing w:before="31" w:beforeLines="10" w:line="264" w:lineRule="auto"/>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9</w:t>
            </w:r>
          </w:p>
        </w:tc>
        <w:tc>
          <w:tcPr>
            <w:tcW w:w="1420" w:type="pct"/>
            <w:tcBorders>
              <w:tl2br w:val="nil"/>
              <w:tr2bl w:val="nil"/>
            </w:tcBorders>
            <w:shd w:val="clear" w:color="auto" w:fill="auto"/>
            <w:noWrap w:val="0"/>
            <w:vAlign w:val="center"/>
          </w:tcPr>
          <w:p w14:paraId="2B24E41E">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砷</w:t>
            </w:r>
          </w:p>
        </w:tc>
        <w:tc>
          <w:tcPr>
            <w:tcW w:w="666" w:type="pct"/>
            <w:tcBorders>
              <w:tl2br w:val="nil"/>
              <w:tr2bl w:val="nil"/>
            </w:tcBorders>
            <w:shd w:val="clear" w:color="auto" w:fill="auto"/>
            <w:noWrap w:val="0"/>
            <w:vAlign w:val="center"/>
          </w:tcPr>
          <w:p w14:paraId="7A3F274C">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04AC978C">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≤0.05</w:t>
            </w:r>
          </w:p>
        </w:tc>
      </w:tr>
      <w:tr w14:paraId="76370D65">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50" w:type="pct"/>
            <w:tcBorders>
              <w:tl2br w:val="nil"/>
              <w:tr2bl w:val="nil"/>
            </w:tcBorders>
            <w:shd w:val="clear" w:color="auto" w:fill="auto"/>
            <w:noWrap w:val="0"/>
            <w:vAlign w:val="center"/>
          </w:tcPr>
          <w:p w14:paraId="035CB1E4">
            <w:pPr>
              <w:spacing w:before="31" w:beforeLines="10" w:line="264" w:lineRule="auto"/>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10</w:t>
            </w:r>
          </w:p>
        </w:tc>
        <w:tc>
          <w:tcPr>
            <w:tcW w:w="1420" w:type="pct"/>
            <w:tcBorders>
              <w:tl2br w:val="nil"/>
              <w:tr2bl w:val="nil"/>
            </w:tcBorders>
            <w:shd w:val="clear" w:color="auto" w:fill="auto"/>
            <w:noWrap w:val="0"/>
            <w:vAlign w:val="center"/>
          </w:tcPr>
          <w:p w14:paraId="4C709814">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汞</w:t>
            </w:r>
          </w:p>
        </w:tc>
        <w:tc>
          <w:tcPr>
            <w:tcW w:w="666" w:type="pct"/>
            <w:tcBorders>
              <w:tl2br w:val="nil"/>
              <w:tr2bl w:val="nil"/>
            </w:tcBorders>
            <w:shd w:val="clear" w:color="auto" w:fill="auto"/>
            <w:noWrap w:val="0"/>
            <w:vAlign w:val="center"/>
          </w:tcPr>
          <w:p w14:paraId="368FAFCA">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mg/L</w:t>
            </w:r>
          </w:p>
        </w:tc>
        <w:tc>
          <w:tcPr>
            <w:tcW w:w="2363" w:type="pct"/>
            <w:tcBorders>
              <w:tl2br w:val="nil"/>
              <w:tr2bl w:val="nil"/>
            </w:tcBorders>
            <w:shd w:val="clear" w:color="auto" w:fill="auto"/>
            <w:noWrap w:val="0"/>
            <w:vAlign w:val="center"/>
          </w:tcPr>
          <w:p w14:paraId="40B0CE88">
            <w:pPr>
              <w:spacing w:before="31" w:beforeLines="10" w:line="264"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≤0.001</w:t>
            </w:r>
          </w:p>
        </w:tc>
      </w:tr>
      <w:bookmarkEnd w:id="267"/>
    </w:tbl>
    <w:p w14:paraId="104B507D">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3"/>
        <w:rPr>
          <w:rFonts w:hint="eastAsia"/>
          <w:b w:val="0"/>
          <w:bCs w:val="0"/>
          <w:color w:val="auto"/>
          <w:sz w:val="24"/>
          <w:szCs w:val="32"/>
          <w:lang w:val="en-US" w:eastAsia="zh-CN"/>
        </w:rPr>
      </w:pPr>
      <w:r>
        <w:rPr>
          <w:rFonts w:hint="eastAsia"/>
          <w:b w:val="0"/>
          <w:bCs w:val="0"/>
          <w:color w:val="auto"/>
          <w:sz w:val="24"/>
          <w:szCs w:val="32"/>
          <w:lang w:val="en-US" w:eastAsia="zh-CN"/>
        </w:rPr>
        <w:t>（3）监测结果</w:t>
      </w:r>
    </w:p>
    <w:p w14:paraId="4C09821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3"/>
        <w:rPr>
          <w:rFonts w:hint="default"/>
          <w:b w:val="0"/>
          <w:bCs w:val="0"/>
          <w:color w:val="auto"/>
          <w:sz w:val="24"/>
          <w:szCs w:val="32"/>
          <w:lang w:val="en-US" w:eastAsia="zh-CN"/>
        </w:rPr>
      </w:pPr>
      <w:r>
        <w:rPr>
          <w:rFonts w:hint="default" w:ascii="Times New Roman" w:hAnsi="Times New Roman" w:cs="Times New Roman"/>
          <w:b/>
          <w:bCs/>
          <w:color w:val="auto"/>
          <w:sz w:val="24"/>
          <w:szCs w:val="32"/>
          <w:lang w:val="en-US" w:eastAsia="zh-CN"/>
        </w:rPr>
        <w:t>表2-16 地</w:t>
      </w:r>
      <w:r>
        <w:rPr>
          <w:rFonts w:hint="eastAsia" w:cs="Times New Roman"/>
          <w:b/>
          <w:bCs/>
          <w:color w:val="auto"/>
          <w:sz w:val="24"/>
          <w:szCs w:val="32"/>
          <w:lang w:val="en-US" w:eastAsia="zh-CN"/>
        </w:rPr>
        <w:t>下</w:t>
      </w:r>
      <w:r>
        <w:rPr>
          <w:rFonts w:hint="default" w:ascii="Times New Roman" w:hAnsi="Times New Roman" w:cs="Times New Roman"/>
          <w:b/>
          <w:bCs/>
          <w:color w:val="auto"/>
          <w:sz w:val="24"/>
          <w:szCs w:val="32"/>
          <w:lang w:val="en-US" w:eastAsia="zh-CN"/>
        </w:rPr>
        <w:t>水环境质量现状监测结果及评</w:t>
      </w:r>
      <w:r>
        <w:rPr>
          <w:rFonts w:hint="eastAsia"/>
          <w:b/>
          <w:bCs/>
          <w:color w:val="auto"/>
          <w:sz w:val="24"/>
          <w:szCs w:val="32"/>
          <w:lang w:val="en-US" w:eastAsia="zh-CN"/>
        </w:rPr>
        <w:t>价结果一览表</w:t>
      </w:r>
    </w:p>
    <w:tbl>
      <w:tblPr>
        <w:tblStyle w:val="31"/>
        <w:tblW w:w="5000" w:type="pct"/>
        <w:jc w:val="center"/>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fixed"/>
        <w:tblCellMar>
          <w:top w:w="0" w:type="dxa"/>
          <w:left w:w="108" w:type="dxa"/>
          <w:bottom w:w="0" w:type="dxa"/>
          <w:right w:w="108" w:type="dxa"/>
        </w:tblCellMar>
      </w:tblPr>
      <w:tblGrid>
        <w:gridCol w:w="1146"/>
        <w:gridCol w:w="404"/>
        <w:gridCol w:w="878"/>
        <w:gridCol w:w="639"/>
        <w:gridCol w:w="775"/>
        <w:gridCol w:w="775"/>
        <w:gridCol w:w="775"/>
        <w:gridCol w:w="764"/>
        <w:gridCol w:w="788"/>
        <w:gridCol w:w="727"/>
        <w:gridCol w:w="727"/>
        <w:gridCol w:w="727"/>
        <w:gridCol w:w="837"/>
      </w:tblGrid>
      <w:tr w14:paraId="18BEBDF7">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blHeader/>
          <w:jc w:val="center"/>
        </w:trPr>
        <w:tc>
          <w:tcPr>
            <w:tcW w:w="575" w:type="pct"/>
            <w:tcBorders>
              <w:tl2br w:val="nil"/>
              <w:tr2bl w:val="nil"/>
            </w:tcBorders>
            <w:shd w:val="clear" w:color="auto" w:fill="auto"/>
            <w:noWrap/>
            <w:vAlign w:val="center"/>
          </w:tcPr>
          <w:p w14:paraId="31224F59">
            <w:pPr>
              <w:spacing w:before="31" w:beforeLines="10" w:line="264" w:lineRule="auto"/>
              <w:jc w:val="center"/>
              <w:rPr>
                <w:b/>
                <w:color w:val="auto"/>
                <w:szCs w:val="21"/>
              </w:rPr>
            </w:pPr>
            <w:r>
              <w:rPr>
                <w:b/>
                <w:color w:val="auto"/>
                <w:szCs w:val="21"/>
              </w:rPr>
              <w:t>采样点</w:t>
            </w:r>
          </w:p>
        </w:tc>
        <w:tc>
          <w:tcPr>
            <w:tcW w:w="643" w:type="pct"/>
            <w:gridSpan w:val="2"/>
            <w:tcBorders>
              <w:tl2br w:val="nil"/>
              <w:tr2bl w:val="nil"/>
            </w:tcBorders>
            <w:shd w:val="clear" w:color="auto" w:fill="auto"/>
            <w:noWrap/>
            <w:vAlign w:val="center"/>
          </w:tcPr>
          <w:p w14:paraId="73294BB3">
            <w:pPr>
              <w:spacing w:before="31" w:beforeLines="10" w:line="264" w:lineRule="auto"/>
              <w:jc w:val="center"/>
              <w:rPr>
                <w:b/>
                <w:color w:val="auto"/>
                <w:szCs w:val="21"/>
              </w:rPr>
            </w:pPr>
            <w:r>
              <w:rPr>
                <w:b/>
                <w:color w:val="auto"/>
                <w:szCs w:val="21"/>
              </w:rPr>
              <w:t>项目</w:t>
            </w:r>
          </w:p>
        </w:tc>
        <w:tc>
          <w:tcPr>
            <w:tcW w:w="320" w:type="pct"/>
            <w:tcBorders>
              <w:tl2br w:val="nil"/>
              <w:tr2bl w:val="nil"/>
            </w:tcBorders>
            <w:shd w:val="clear" w:color="auto" w:fill="auto"/>
            <w:noWrap/>
            <w:vAlign w:val="center"/>
          </w:tcPr>
          <w:p w14:paraId="1B410645">
            <w:pPr>
              <w:spacing w:before="31" w:beforeLines="10" w:line="264" w:lineRule="auto"/>
              <w:jc w:val="center"/>
              <w:rPr>
                <w:b/>
                <w:color w:val="auto"/>
                <w:szCs w:val="21"/>
              </w:rPr>
            </w:pPr>
            <w:r>
              <w:rPr>
                <w:b/>
                <w:color w:val="auto"/>
                <w:szCs w:val="21"/>
              </w:rPr>
              <w:t>pH</w:t>
            </w:r>
          </w:p>
        </w:tc>
        <w:tc>
          <w:tcPr>
            <w:tcW w:w="388" w:type="pct"/>
            <w:tcBorders>
              <w:tl2br w:val="nil"/>
              <w:tr2bl w:val="nil"/>
            </w:tcBorders>
            <w:shd w:val="clear" w:color="auto" w:fill="auto"/>
            <w:noWrap/>
            <w:vAlign w:val="center"/>
          </w:tcPr>
          <w:p w14:paraId="6EB52F68">
            <w:pPr>
              <w:spacing w:before="31" w:beforeLines="10" w:line="264" w:lineRule="auto"/>
              <w:jc w:val="center"/>
              <w:rPr>
                <w:b/>
                <w:color w:val="auto"/>
                <w:szCs w:val="21"/>
              </w:rPr>
            </w:pPr>
            <w:r>
              <w:rPr>
                <w:b/>
                <w:color w:val="auto"/>
                <w:szCs w:val="21"/>
              </w:rPr>
              <w:t>氟化物</w:t>
            </w:r>
          </w:p>
        </w:tc>
        <w:tc>
          <w:tcPr>
            <w:tcW w:w="388" w:type="pct"/>
            <w:tcBorders>
              <w:tl2br w:val="nil"/>
              <w:tr2bl w:val="nil"/>
            </w:tcBorders>
            <w:shd w:val="clear" w:color="auto" w:fill="auto"/>
            <w:noWrap/>
            <w:vAlign w:val="center"/>
          </w:tcPr>
          <w:p w14:paraId="16FCE58C">
            <w:pPr>
              <w:spacing w:before="31" w:beforeLines="10" w:line="264" w:lineRule="auto"/>
              <w:jc w:val="center"/>
              <w:rPr>
                <w:b/>
                <w:color w:val="auto"/>
                <w:szCs w:val="21"/>
              </w:rPr>
            </w:pPr>
            <w:r>
              <w:rPr>
                <w:b/>
                <w:color w:val="auto"/>
                <w:szCs w:val="21"/>
              </w:rPr>
              <w:t>氯化物</w:t>
            </w:r>
          </w:p>
        </w:tc>
        <w:tc>
          <w:tcPr>
            <w:tcW w:w="388" w:type="pct"/>
            <w:tcBorders>
              <w:tl2br w:val="nil"/>
              <w:tr2bl w:val="nil"/>
            </w:tcBorders>
            <w:shd w:val="clear" w:color="auto" w:fill="auto"/>
            <w:noWrap/>
            <w:vAlign w:val="center"/>
          </w:tcPr>
          <w:p w14:paraId="141CF1FB">
            <w:pPr>
              <w:spacing w:before="31" w:beforeLines="10" w:line="264" w:lineRule="auto"/>
              <w:jc w:val="center"/>
              <w:rPr>
                <w:b/>
                <w:color w:val="auto"/>
                <w:szCs w:val="21"/>
              </w:rPr>
            </w:pPr>
            <w:r>
              <w:rPr>
                <w:b/>
                <w:color w:val="auto"/>
                <w:szCs w:val="21"/>
              </w:rPr>
              <w:t>高锰酸盐指数</w:t>
            </w:r>
          </w:p>
        </w:tc>
        <w:tc>
          <w:tcPr>
            <w:tcW w:w="383" w:type="pct"/>
            <w:tcBorders>
              <w:tl2br w:val="nil"/>
              <w:tr2bl w:val="nil"/>
            </w:tcBorders>
            <w:shd w:val="clear" w:color="auto" w:fill="auto"/>
            <w:noWrap/>
            <w:vAlign w:val="center"/>
          </w:tcPr>
          <w:p w14:paraId="3AD10417">
            <w:pPr>
              <w:spacing w:before="31" w:beforeLines="10" w:line="264" w:lineRule="auto"/>
              <w:jc w:val="center"/>
              <w:rPr>
                <w:b/>
                <w:color w:val="auto"/>
                <w:szCs w:val="21"/>
              </w:rPr>
            </w:pPr>
            <w:r>
              <w:rPr>
                <w:b/>
                <w:color w:val="auto"/>
                <w:szCs w:val="21"/>
              </w:rPr>
              <w:t>总硬度</w:t>
            </w:r>
          </w:p>
        </w:tc>
        <w:tc>
          <w:tcPr>
            <w:tcW w:w="395" w:type="pct"/>
            <w:tcBorders>
              <w:tl2br w:val="nil"/>
              <w:tr2bl w:val="nil"/>
            </w:tcBorders>
            <w:shd w:val="clear" w:color="auto" w:fill="auto"/>
            <w:noWrap/>
            <w:vAlign w:val="center"/>
          </w:tcPr>
          <w:p w14:paraId="683CB3FA">
            <w:pPr>
              <w:spacing w:before="31" w:beforeLines="10" w:line="264" w:lineRule="auto"/>
              <w:jc w:val="center"/>
              <w:rPr>
                <w:b/>
                <w:color w:val="auto"/>
                <w:szCs w:val="21"/>
              </w:rPr>
            </w:pPr>
            <w:r>
              <w:rPr>
                <w:b/>
                <w:color w:val="auto"/>
                <w:szCs w:val="21"/>
              </w:rPr>
              <w:t>溶解性总固体</w:t>
            </w:r>
          </w:p>
        </w:tc>
        <w:tc>
          <w:tcPr>
            <w:tcW w:w="364" w:type="pct"/>
            <w:tcBorders>
              <w:tl2br w:val="nil"/>
              <w:tr2bl w:val="nil"/>
            </w:tcBorders>
            <w:shd w:val="clear" w:color="auto" w:fill="auto"/>
            <w:noWrap/>
            <w:vAlign w:val="center"/>
          </w:tcPr>
          <w:p w14:paraId="3832B611">
            <w:pPr>
              <w:spacing w:before="31" w:beforeLines="10" w:line="264" w:lineRule="auto"/>
              <w:jc w:val="center"/>
              <w:rPr>
                <w:b/>
                <w:color w:val="auto"/>
                <w:szCs w:val="21"/>
              </w:rPr>
            </w:pPr>
            <w:r>
              <w:rPr>
                <w:b/>
                <w:color w:val="auto"/>
                <w:szCs w:val="21"/>
              </w:rPr>
              <w:t>铅</w:t>
            </w:r>
          </w:p>
        </w:tc>
        <w:tc>
          <w:tcPr>
            <w:tcW w:w="364" w:type="pct"/>
            <w:tcBorders>
              <w:tl2br w:val="nil"/>
              <w:tr2bl w:val="nil"/>
            </w:tcBorders>
            <w:shd w:val="clear" w:color="auto" w:fill="auto"/>
            <w:noWrap/>
            <w:vAlign w:val="center"/>
          </w:tcPr>
          <w:p w14:paraId="37E40A07">
            <w:pPr>
              <w:spacing w:before="31" w:beforeLines="10" w:line="264" w:lineRule="auto"/>
              <w:jc w:val="center"/>
              <w:rPr>
                <w:b/>
                <w:color w:val="auto"/>
                <w:szCs w:val="21"/>
              </w:rPr>
            </w:pPr>
            <w:r>
              <w:rPr>
                <w:b/>
                <w:color w:val="auto"/>
                <w:szCs w:val="21"/>
              </w:rPr>
              <w:t>铬</w:t>
            </w:r>
          </w:p>
        </w:tc>
        <w:tc>
          <w:tcPr>
            <w:tcW w:w="364" w:type="pct"/>
            <w:tcBorders>
              <w:tl2br w:val="nil"/>
              <w:tr2bl w:val="nil"/>
            </w:tcBorders>
            <w:shd w:val="clear" w:color="auto" w:fill="auto"/>
            <w:noWrap/>
            <w:vAlign w:val="center"/>
          </w:tcPr>
          <w:p w14:paraId="16DACBF6">
            <w:pPr>
              <w:spacing w:before="31" w:beforeLines="10" w:line="264" w:lineRule="auto"/>
              <w:jc w:val="center"/>
              <w:rPr>
                <w:b/>
                <w:color w:val="auto"/>
                <w:szCs w:val="21"/>
              </w:rPr>
            </w:pPr>
            <w:r>
              <w:rPr>
                <w:b/>
                <w:color w:val="auto"/>
                <w:szCs w:val="21"/>
              </w:rPr>
              <w:t>砷</w:t>
            </w:r>
          </w:p>
        </w:tc>
        <w:tc>
          <w:tcPr>
            <w:tcW w:w="420" w:type="pct"/>
            <w:tcBorders>
              <w:tl2br w:val="nil"/>
              <w:tr2bl w:val="nil"/>
            </w:tcBorders>
            <w:shd w:val="clear" w:color="auto" w:fill="auto"/>
            <w:noWrap/>
            <w:vAlign w:val="center"/>
          </w:tcPr>
          <w:p w14:paraId="60F66D96">
            <w:pPr>
              <w:spacing w:before="31" w:beforeLines="10" w:line="264" w:lineRule="auto"/>
              <w:jc w:val="center"/>
              <w:rPr>
                <w:b/>
                <w:color w:val="auto"/>
                <w:szCs w:val="21"/>
              </w:rPr>
            </w:pPr>
            <w:r>
              <w:rPr>
                <w:b/>
                <w:color w:val="auto"/>
                <w:szCs w:val="21"/>
              </w:rPr>
              <w:t>汞</w:t>
            </w:r>
          </w:p>
        </w:tc>
      </w:tr>
      <w:tr w14:paraId="7755134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restart"/>
            <w:tcBorders>
              <w:tl2br w:val="nil"/>
              <w:tr2bl w:val="nil"/>
            </w:tcBorders>
            <w:shd w:val="clear" w:color="auto" w:fill="auto"/>
            <w:noWrap/>
            <w:vAlign w:val="center"/>
          </w:tcPr>
          <w:p w14:paraId="09C7E2AD">
            <w:pPr>
              <w:spacing w:before="31" w:beforeLines="10" w:line="264" w:lineRule="auto"/>
              <w:jc w:val="center"/>
              <w:rPr>
                <w:color w:val="auto"/>
                <w:szCs w:val="21"/>
              </w:rPr>
            </w:pPr>
            <w:r>
              <w:rPr>
                <w:color w:val="auto"/>
                <w:szCs w:val="21"/>
              </w:rPr>
              <w:t>开发区</w:t>
            </w:r>
          </w:p>
          <w:p w14:paraId="27079389">
            <w:pPr>
              <w:spacing w:before="31" w:beforeLines="10" w:line="264" w:lineRule="auto"/>
              <w:jc w:val="center"/>
              <w:rPr>
                <w:color w:val="auto"/>
                <w:szCs w:val="21"/>
              </w:rPr>
            </w:pPr>
            <w:r>
              <w:rPr>
                <w:color w:val="auto"/>
                <w:szCs w:val="21"/>
              </w:rPr>
              <w:t>管委会</w:t>
            </w:r>
          </w:p>
        </w:tc>
        <w:tc>
          <w:tcPr>
            <w:tcW w:w="202" w:type="pct"/>
            <w:vMerge w:val="restart"/>
            <w:tcBorders>
              <w:tl2br w:val="nil"/>
              <w:tr2bl w:val="nil"/>
            </w:tcBorders>
            <w:shd w:val="clear" w:color="auto" w:fill="auto"/>
            <w:noWrap/>
            <w:vAlign w:val="center"/>
          </w:tcPr>
          <w:p w14:paraId="12EAA3EE">
            <w:pPr>
              <w:spacing w:before="31" w:beforeLines="10" w:line="264" w:lineRule="auto"/>
              <w:ind w:left="-92" w:leftChars="-44" w:right="-84" w:rightChars="-40"/>
              <w:jc w:val="center"/>
              <w:rPr>
                <w:color w:val="auto"/>
                <w:szCs w:val="21"/>
              </w:rPr>
            </w:pPr>
            <w:r>
              <w:rPr>
                <w:color w:val="auto"/>
                <w:szCs w:val="21"/>
              </w:rPr>
              <w:t>监测值</w:t>
            </w:r>
          </w:p>
        </w:tc>
        <w:tc>
          <w:tcPr>
            <w:tcW w:w="440" w:type="pct"/>
            <w:tcBorders>
              <w:tl2br w:val="nil"/>
              <w:tr2bl w:val="nil"/>
            </w:tcBorders>
            <w:shd w:val="clear" w:color="auto" w:fill="auto"/>
            <w:noWrap w:val="0"/>
            <w:vAlign w:val="center"/>
          </w:tcPr>
          <w:p w14:paraId="4C97B741">
            <w:pPr>
              <w:spacing w:before="31" w:beforeLines="10" w:line="264" w:lineRule="auto"/>
              <w:ind w:left="-92" w:leftChars="-44" w:right="-84" w:rightChars="-40"/>
              <w:jc w:val="center"/>
              <w:rPr>
                <w:rFonts w:hint="eastAsia" w:eastAsia="宋体"/>
                <w:color w:val="auto"/>
                <w:szCs w:val="21"/>
                <w:lang w:val="en-US" w:eastAsia="zh-CN"/>
              </w:rPr>
            </w:pPr>
            <w:r>
              <w:rPr>
                <w:color w:val="auto"/>
                <w:szCs w:val="21"/>
              </w:rPr>
              <w:t>7</w:t>
            </w:r>
            <w:r>
              <w:rPr>
                <w:rFonts w:hint="eastAsia"/>
                <w:color w:val="auto"/>
                <w:szCs w:val="21"/>
                <w:lang w:val="en-US" w:eastAsia="zh-CN"/>
              </w:rPr>
              <w:t>月</w:t>
            </w:r>
            <w:r>
              <w:rPr>
                <w:color w:val="auto"/>
                <w:szCs w:val="21"/>
              </w:rPr>
              <w:t>7</w:t>
            </w:r>
            <w:r>
              <w:rPr>
                <w:rFonts w:hint="eastAsia"/>
                <w:color w:val="auto"/>
                <w:szCs w:val="21"/>
                <w:lang w:val="en-US" w:eastAsia="zh-CN"/>
              </w:rPr>
              <w:t>日</w:t>
            </w:r>
          </w:p>
        </w:tc>
        <w:tc>
          <w:tcPr>
            <w:tcW w:w="320" w:type="pct"/>
            <w:tcBorders>
              <w:tl2br w:val="nil"/>
              <w:tr2bl w:val="nil"/>
            </w:tcBorders>
            <w:shd w:val="clear" w:color="auto" w:fill="auto"/>
            <w:noWrap/>
            <w:vAlign w:val="center"/>
          </w:tcPr>
          <w:p w14:paraId="24CDC622">
            <w:pPr>
              <w:jc w:val="center"/>
              <w:rPr>
                <w:color w:val="auto"/>
                <w:szCs w:val="21"/>
              </w:rPr>
            </w:pPr>
            <w:r>
              <w:rPr>
                <w:color w:val="auto"/>
                <w:szCs w:val="21"/>
              </w:rPr>
              <w:t xml:space="preserve">7.12 </w:t>
            </w:r>
          </w:p>
        </w:tc>
        <w:tc>
          <w:tcPr>
            <w:tcW w:w="388" w:type="pct"/>
            <w:tcBorders>
              <w:tl2br w:val="nil"/>
              <w:tr2bl w:val="nil"/>
            </w:tcBorders>
            <w:shd w:val="clear" w:color="auto" w:fill="auto"/>
            <w:noWrap/>
            <w:vAlign w:val="center"/>
          </w:tcPr>
          <w:p w14:paraId="2B1ABE73">
            <w:pPr>
              <w:jc w:val="center"/>
              <w:rPr>
                <w:color w:val="auto"/>
                <w:szCs w:val="21"/>
              </w:rPr>
            </w:pPr>
            <w:r>
              <w:rPr>
                <w:color w:val="auto"/>
                <w:szCs w:val="21"/>
              </w:rPr>
              <w:t xml:space="preserve">0.36 </w:t>
            </w:r>
          </w:p>
        </w:tc>
        <w:tc>
          <w:tcPr>
            <w:tcW w:w="388" w:type="pct"/>
            <w:tcBorders>
              <w:tl2br w:val="nil"/>
              <w:tr2bl w:val="nil"/>
            </w:tcBorders>
            <w:shd w:val="clear" w:color="auto" w:fill="auto"/>
            <w:noWrap/>
            <w:vAlign w:val="center"/>
          </w:tcPr>
          <w:p w14:paraId="7AFFC368">
            <w:pPr>
              <w:jc w:val="center"/>
              <w:rPr>
                <w:color w:val="auto"/>
                <w:szCs w:val="21"/>
              </w:rPr>
            </w:pPr>
            <w:r>
              <w:rPr>
                <w:color w:val="auto"/>
                <w:szCs w:val="21"/>
              </w:rPr>
              <w:t xml:space="preserve">63 </w:t>
            </w:r>
          </w:p>
        </w:tc>
        <w:tc>
          <w:tcPr>
            <w:tcW w:w="388" w:type="pct"/>
            <w:tcBorders>
              <w:tl2br w:val="nil"/>
              <w:tr2bl w:val="nil"/>
            </w:tcBorders>
            <w:shd w:val="clear" w:color="auto" w:fill="auto"/>
            <w:noWrap/>
            <w:vAlign w:val="center"/>
          </w:tcPr>
          <w:p w14:paraId="22587695">
            <w:pPr>
              <w:jc w:val="center"/>
              <w:rPr>
                <w:color w:val="auto"/>
                <w:szCs w:val="21"/>
              </w:rPr>
            </w:pPr>
            <w:r>
              <w:rPr>
                <w:color w:val="auto"/>
                <w:szCs w:val="21"/>
              </w:rPr>
              <w:t xml:space="preserve">0.83 </w:t>
            </w:r>
          </w:p>
        </w:tc>
        <w:tc>
          <w:tcPr>
            <w:tcW w:w="383" w:type="pct"/>
            <w:tcBorders>
              <w:tl2br w:val="nil"/>
              <w:tr2bl w:val="nil"/>
            </w:tcBorders>
            <w:shd w:val="clear" w:color="auto" w:fill="auto"/>
            <w:noWrap/>
            <w:vAlign w:val="center"/>
          </w:tcPr>
          <w:p w14:paraId="604E16D0">
            <w:pPr>
              <w:jc w:val="center"/>
              <w:rPr>
                <w:color w:val="auto"/>
                <w:szCs w:val="21"/>
              </w:rPr>
            </w:pPr>
            <w:r>
              <w:rPr>
                <w:color w:val="auto"/>
                <w:szCs w:val="21"/>
              </w:rPr>
              <w:t xml:space="preserve">257 </w:t>
            </w:r>
          </w:p>
        </w:tc>
        <w:tc>
          <w:tcPr>
            <w:tcW w:w="395" w:type="pct"/>
            <w:tcBorders>
              <w:tl2br w:val="nil"/>
              <w:tr2bl w:val="nil"/>
            </w:tcBorders>
            <w:shd w:val="clear" w:color="auto" w:fill="auto"/>
            <w:noWrap/>
            <w:vAlign w:val="center"/>
          </w:tcPr>
          <w:p w14:paraId="0B68EDA4">
            <w:pPr>
              <w:jc w:val="center"/>
              <w:rPr>
                <w:color w:val="auto"/>
                <w:szCs w:val="21"/>
              </w:rPr>
            </w:pPr>
            <w:r>
              <w:rPr>
                <w:color w:val="auto"/>
                <w:szCs w:val="21"/>
              </w:rPr>
              <w:t xml:space="preserve">689 </w:t>
            </w:r>
          </w:p>
        </w:tc>
        <w:tc>
          <w:tcPr>
            <w:tcW w:w="364" w:type="pct"/>
            <w:tcBorders>
              <w:tl2br w:val="nil"/>
              <w:tr2bl w:val="nil"/>
            </w:tcBorders>
            <w:shd w:val="clear" w:color="auto" w:fill="auto"/>
            <w:noWrap/>
            <w:vAlign w:val="center"/>
          </w:tcPr>
          <w:p w14:paraId="599C5687">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581F0BB4">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71A9967E">
            <w:pPr>
              <w:jc w:val="center"/>
              <w:rPr>
                <w:color w:val="auto"/>
                <w:szCs w:val="21"/>
              </w:rPr>
            </w:pPr>
            <w:r>
              <w:rPr>
                <w:color w:val="auto"/>
                <w:szCs w:val="21"/>
              </w:rPr>
              <w:t>ND</w:t>
            </w:r>
          </w:p>
        </w:tc>
        <w:tc>
          <w:tcPr>
            <w:tcW w:w="420" w:type="pct"/>
            <w:tcBorders>
              <w:tl2br w:val="nil"/>
              <w:tr2bl w:val="nil"/>
            </w:tcBorders>
            <w:shd w:val="clear" w:color="auto" w:fill="auto"/>
            <w:noWrap/>
            <w:vAlign w:val="center"/>
          </w:tcPr>
          <w:p w14:paraId="62BA7350">
            <w:pPr>
              <w:jc w:val="center"/>
              <w:rPr>
                <w:color w:val="auto"/>
                <w:szCs w:val="21"/>
              </w:rPr>
            </w:pPr>
            <w:r>
              <w:rPr>
                <w:color w:val="auto"/>
                <w:szCs w:val="21"/>
              </w:rPr>
              <w:t>ND</w:t>
            </w:r>
          </w:p>
        </w:tc>
      </w:tr>
      <w:tr w14:paraId="6BCADFA6">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continue"/>
            <w:tcBorders>
              <w:tl2br w:val="nil"/>
              <w:tr2bl w:val="nil"/>
            </w:tcBorders>
            <w:shd w:val="clear" w:color="auto" w:fill="auto"/>
            <w:noWrap/>
            <w:vAlign w:val="center"/>
          </w:tcPr>
          <w:p w14:paraId="67455E25">
            <w:pPr>
              <w:spacing w:before="31" w:beforeLines="10" w:line="264" w:lineRule="auto"/>
              <w:jc w:val="center"/>
              <w:rPr>
                <w:color w:val="auto"/>
                <w:szCs w:val="21"/>
              </w:rPr>
            </w:pPr>
          </w:p>
        </w:tc>
        <w:tc>
          <w:tcPr>
            <w:tcW w:w="202" w:type="pct"/>
            <w:vMerge w:val="continue"/>
            <w:tcBorders>
              <w:tl2br w:val="nil"/>
              <w:tr2bl w:val="nil"/>
            </w:tcBorders>
            <w:shd w:val="clear" w:color="auto" w:fill="auto"/>
            <w:noWrap/>
            <w:vAlign w:val="center"/>
          </w:tcPr>
          <w:p w14:paraId="40D26D12">
            <w:pPr>
              <w:spacing w:before="31" w:beforeLines="10" w:line="264" w:lineRule="auto"/>
              <w:ind w:left="-92" w:leftChars="-44" w:right="-84" w:rightChars="-40"/>
              <w:jc w:val="center"/>
              <w:rPr>
                <w:color w:val="auto"/>
                <w:szCs w:val="21"/>
              </w:rPr>
            </w:pPr>
          </w:p>
        </w:tc>
        <w:tc>
          <w:tcPr>
            <w:tcW w:w="440" w:type="pct"/>
            <w:tcBorders>
              <w:tl2br w:val="nil"/>
              <w:tr2bl w:val="nil"/>
            </w:tcBorders>
            <w:shd w:val="clear" w:color="auto" w:fill="auto"/>
            <w:noWrap w:val="0"/>
            <w:vAlign w:val="center"/>
          </w:tcPr>
          <w:p w14:paraId="68C939A6">
            <w:pPr>
              <w:spacing w:before="31" w:beforeLines="10" w:line="264" w:lineRule="auto"/>
              <w:ind w:left="-92" w:leftChars="-44" w:right="-84" w:rightChars="-40"/>
              <w:jc w:val="center"/>
              <w:rPr>
                <w:color w:val="auto"/>
                <w:szCs w:val="21"/>
              </w:rPr>
            </w:pPr>
            <w:r>
              <w:rPr>
                <w:color w:val="auto"/>
                <w:szCs w:val="21"/>
              </w:rPr>
              <w:t>7</w:t>
            </w:r>
            <w:r>
              <w:rPr>
                <w:rFonts w:hint="eastAsia"/>
                <w:color w:val="auto"/>
                <w:szCs w:val="21"/>
                <w:lang w:val="en-US" w:eastAsia="zh-CN"/>
              </w:rPr>
              <w:t>月8日</w:t>
            </w:r>
          </w:p>
        </w:tc>
        <w:tc>
          <w:tcPr>
            <w:tcW w:w="320" w:type="pct"/>
            <w:tcBorders>
              <w:tl2br w:val="nil"/>
              <w:tr2bl w:val="nil"/>
            </w:tcBorders>
            <w:shd w:val="clear" w:color="auto" w:fill="auto"/>
            <w:noWrap/>
            <w:vAlign w:val="center"/>
          </w:tcPr>
          <w:p w14:paraId="1E3B80AD">
            <w:pPr>
              <w:jc w:val="center"/>
              <w:rPr>
                <w:color w:val="auto"/>
                <w:szCs w:val="21"/>
              </w:rPr>
            </w:pPr>
            <w:r>
              <w:rPr>
                <w:color w:val="auto"/>
                <w:szCs w:val="21"/>
              </w:rPr>
              <w:t xml:space="preserve">7.24 </w:t>
            </w:r>
          </w:p>
        </w:tc>
        <w:tc>
          <w:tcPr>
            <w:tcW w:w="388" w:type="pct"/>
            <w:tcBorders>
              <w:tl2br w:val="nil"/>
              <w:tr2bl w:val="nil"/>
            </w:tcBorders>
            <w:shd w:val="clear" w:color="auto" w:fill="auto"/>
            <w:noWrap/>
            <w:vAlign w:val="center"/>
          </w:tcPr>
          <w:p w14:paraId="4955E279">
            <w:pPr>
              <w:jc w:val="center"/>
              <w:rPr>
                <w:color w:val="auto"/>
                <w:szCs w:val="21"/>
              </w:rPr>
            </w:pPr>
            <w:r>
              <w:rPr>
                <w:color w:val="auto"/>
                <w:szCs w:val="21"/>
              </w:rPr>
              <w:t xml:space="preserve">0.38 </w:t>
            </w:r>
          </w:p>
        </w:tc>
        <w:tc>
          <w:tcPr>
            <w:tcW w:w="388" w:type="pct"/>
            <w:tcBorders>
              <w:tl2br w:val="nil"/>
              <w:tr2bl w:val="nil"/>
            </w:tcBorders>
            <w:shd w:val="clear" w:color="auto" w:fill="auto"/>
            <w:noWrap/>
            <w:vAlign w:val="center"/>
          </w:tcPr>
          <w:p w14:paraId="680210AC">
            <w:pPr>
              <w:jc w:val="center"/>
              <w:rPr>
                <w:color w:val="auto"/>
                <w:szCs w:val="21"/>
              </w:rPr>
            </w:pPr>
            <w:r>
              <w:rPr>
                <w:color w:val="auto"/>
                <w:szCs w:val="21"/>
              </w:rPr>
              <w:t xml:space="preserve">60 </w:t>
            </w:r>
          </w:p>
        </w:tc>
        <w:tc>
          <w:tcPr>
            <w:tcW w:w="388" w:type="pct"/>
            <w:tcBorders>
              <w:tl2br w:val="nil"/>
              <w:tr2bl w:val="nil"/>
            </w:tcBorders>
            <w:shd w:val="clear" w:color="auto" w:fill="auto"/>
            <w:noWrap/>
            <w:vAlign w:val="center"/>
          </w:tcPr>
          <w:p w14:paraId="13652D30">
            <w:pPr>
              <w:jc w:val="center"/>
              <w:rPr>
                <w:color w:val="auto"/>
                <w:szCs w:val="21"/>
              </w:rPr>
            </w:pPr>
            <w:r>
              <w:rPr>
                <w:color w:val="auto"/>
                <w:szCs w:val="21"/>
              </w:rPr>
              <w:t xml:space="preserve">0.79 </w:t>
            </w:r>
          </w:p>
        </w:tc>
        <w:tc>
          <w:tcPr>
            <w:tcW w:w="383" w:type="pct"/>
            <w:tcBorders>
              <w:tl2br w:val="nil"/>
              <w:tr2bl w:val="nil"/>
            </w:tcBorders>
            <w:shd w:val="clear" w:color="auto" w:fill="auto"/>
            <w:noWrap/>
            <w:vAlign w:val="center"/>
          </w:tcPr>
          <w:p w14:paraId="20DDF0D5">
            <w:pPr>
              <w:jc w:val="center"/>
              <w:rPr>
                <w:color w:val="auto"/>
                <w:szCs w:val="21"/>
              </w:rPr>
            </w:pPr>
            <w:r>
              <w:rPr>
                <w:color w:val="auto"/>
                <w:szCs w:val="21"/>
              </w:rPr>
              <w:t xml:space="preserve">301 </w:t>
            </w:r>
          </w:p>
        </w:tc>
        <w:tc>
          <w:tcPr>
            <w:tcW w:w="395" w:type="pct"/>
            <w:tcBorders>
              <w:tl2br w:val="nil"/>
              <w:tr2bl w:val="nil"/>
            </w:tcBorders>
            <w:shd w:val="clear" w:color="auto" w:fill="auto"/>
            <w:noWrap/>
            <w:vAlign w:val="center"/>
          </w:tcPr>
          <w:p w14:paraId="50475638">
            <w:pPr>
              <w:jc w:val="center"/>
              <w:rPr>
                <w:color w:val="auto"/>
                <w:szCs w:val="21"/>
              </w:rPr>
            </w:pPr>
            <w:r>
              <w:rPr>
                <w:color w:val="auto"/>
                <w:szCs w:val="21"/>
              </w:rPr>
              <w:t xml:space="preserve">697 </w:t>
            </w:r>
          </w:p>
        </w:tc>
        <w:tc>
          <w:tcPr>
            <w:tcW w:w="364" w:type="pct"/>
            <w:tcBorders>
              <w:tl2br w:val="nil"/>
              <w:tr2bl w:val="nil"/>
            </w:tcBorders>
            <w:shd w:val="clear" w:color="auto" w:fill="auto"/>
            <w:noWrap/>
            <w:vAlign w:val="center"/>
          </w:tcPr>
          <w:p w14:paraId="0D6E02C8">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017AD2F8">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30DF979B">
            <w:pPr>
              <w:jc w:val="center"/>
              <w:rPr>
                <w:color w:val="auto"/>
                <w:szCs w:val="21"/>
              </w:rPr>
            </w:pPr>
            <w:r>
              <w:rPr>
                <w:color w:val="auto"/>
                <w:szCs w:val="21"/>
              </w:rPr>
              <w:t>ND</w:t>
            </w:r>
          </w:p>
        </w:tc>
        <w:tc>
          <w:tcPr>
            <w:tcW w:w="420" w:type="pct"/>
            <w:tcBorders>
              <w:tl2br w:val="nil"/>
              <w:tr2bl w:val="nil"/>
            </w:tcBorders>
            <w:shd w:val="clear" w:color="auto" w:fill="auto"/>
            <w:noWrap/>
            <w:vAlign w:val="center"/>
          </w:tcPr>
          <w:p w14:paraId="30D4069B">
            <w:pPr>
              <w:jc w:val="center"/>
              <w:rPr>
                <w:color w:val="auto"/>
                <w:szCs w:val="21"/>
              </w:rPr>
            </w:pPr>
            <w:r>
              <w:rPr>
                <w:color w:val="auto"/>
                <w:szCs w:val="21"/>
              </w:rPr>
              <w:t>ND</w:t>
            </w:r>
          </w:p>
        </w:tc>
      </w:tr>
      <w:tr w14:paraId="1D819F7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continue"/>
            <w:tcBorders>
              <w:tl2br w:val="nil"/>
              <w:tr2bl w:val="nil"/>
            </w:tcBorders>
            <w:shd w:val="clear" w:color="auto" w:fill="auto"/>
            <w:noWrap/>
            <w:vAlign w:val="center"/>
          </w:tcPr>
          <w:p w14:paraId="2A0DF966">
            <w:pPr>
              <w:spacing w:before="31" w:beforeLines="10" w:line="264" w:lineRule="auto"/>
              <w:jc w:val="center"/>
              <w:rPr>
                <w:color w:val="auto"/>
                <w:szCs w:val="21"/>
              </w:rPr>
            </w:pPr>
          </w:p>
        </w:tc>
        <w:tc>
          <w:tcPr>
            <w:tcW w:w="202" w:type="pct"/>
            <w:vMerge w:val="continue"/>
            <w:tcBorders>
              <w:tl2br w:val="nil"/>
              <w:tr2bl w:val="nil"/>
            </w:tcBorders>
            <w:shd w:val="clear" w:color="auto" w:fill="auto"/>
            <w:noWrap/>
            <w:vAlign w:val="center"/>
          </w:tcPr>
          <w:p w14:paraId="0C3330EA">
            <w:pPr>
              <w:spacing w:before="31" w:beforeLines="10" w:line="264" w:lineRule="auto"/>
              <w:ind w:left="-92" w:leftChars="-44" w:right="-84" w:rightChars="-40"/>
              <w:jc w:val="center"/>
              <w:rPr>
                <w:color w:val="auto"/>
                <w:szCs w:val="21"/>
              </w:rPr>
            </w:pPr>
          </w:p>
        </w:tc>
        <w:tc>
          <w:tcPr>
            <w:tcW w:w="440" w:type="pct"/>
            <w:tcBorders>
              <w:tl2br w:val="nil"/>
              <w:tr2bl w:val="nil"/>
            </w:tcBorders>
            <w:shd w:val="clear" w:color="auto" w:fill="auto"/>
            <w:noWrap w:val="0"/>
            <w:vAlign w:val="center"/>
          </w:tcPr>
          <w:p w14:paraId="40CC6FC1">
            <w:pPr>
              <w:spacing w:before="31" w:beforeLines="10" w:line="264" w:lineRule="auto"/>
              <w:ind w:left="-92" w:leftChars="-44" w:right="-84" w:rightChars="-40"/>
              <w:jc w:val="center"/>
              <w:rPr>
                <w:color w:val="auto"/>
                <w:szCs w:val="21"/>
              </w:rPr>
            </w:pPr>
            <w:r>
              <w:rPr>
                <w:color w:val="auto"/>
                <w:szCs w:val="21"/>
              </w:rPr>
              <w:t>均值</w:t>
            </w:r>
          </w:p>
        </w:tc>
        <w:tc>
          <w:tcPr>
            <w:tcW w:w="320" w:type="pct"/>
            <w:tcBorders>
              <w:tl2br w:val="nil"/>
              <w:tr2bl w:val="nil"/>
            </w:tcBorders>
            <w:shd w:val="clear" w:color="auto" w:fill="auto"/>
            <w:noWrap/>
            <w:vAlign w:val="center"/>
          </w:tcPr>
          <w:p w14:paraId="043D1670">
            <w:pPr>
              <w:jc w:val="center"/>
              <w:rPr>
                <w:color w:val="auto"/>
                <w:szCs w:val="21"/>
              </w:rPr>
            </w:pPr>
            <w:r>
              <w:rPr>
                <w:color w:val="auto"/>
                <w:szCs w:val="21"/>
              </w:rPr>
              <w:t xml:space="preserve">7.18 </w:t>
            </w:r>
          </w:p>
        </w:tc>
        <w:tc>
          <w:tcPr>
            <w:tcW w:w="388" w:type="pct"/>
            <w:tcBorders>
              <w:tl2br w:val="nil"/>
              <w:tr2bl w:val="nil"/>
            </w:tcBorders>
            <w:shd w:val="clear" w:color="auto" w:fill="auto"/>
            <w:noWrap/>
            <w:vAlign w:val="center"/>
          </w:tcPr>
          <w:p w14:paraId="17B4DEA4">
            <w:pPr>
              <w:jc w:val="center"/>
              <w:rPr>
                <w:color w:val="auto"/>
                <w:szCs w:val="21"/>
              </w:rPr>
            </w:pPr>
            <w:r>
              <w:rPr>
                <w:color w:val="auto"/>
                <w:szCs w:val="21"/>
              </w:rPr>
              <w:t xml:space="preserve">0.37 </w:t>
            </w:r>
          </w:p>
        </w:tc>
        <w:tc>
          <w:tcPr>
            <w:tcW w:w="388" w:type="pct"/>
            <w:tcBorders>
              <w:tl2br w:val="nil"/>
              <w:tr2bl w:val="nil"/>
            </w:tcBorders>
            <w:shd w:val="clear" w:color="auto" w:fill="auto"/>
            <w:noWrap/>
            <w:vAlign w:val="center"/>
          </w:tcPr>
          <w:p w14:paraId="149ADE07">
            <w:pPr>
              <w:jc w:val="center"/>
              <w:rPr>
                <w:color w:val="auto"/>
                <w:szCs w:val="21"/>
              </w:rPr>
            </w:pPr>
            <w:r>
              <w:rPr>
                <w:color w:val="auto"/>
                <w:szCs w:val="21"/>
              </w:rPr>
              <w:t xml:space="preserve">62 </w:t>
            </w:r>
          </w:p>
        </w:tc>
        <w:tc>
          <w:tcPr>
            <w:tcW w:w="388" w:type="pct"/>
            <w:tcBorders>
              <w:tl2br w:val="nil"/>
              <w:tr2bl w:val="nil"/>
            </w:tcBorders>
            <w:shd w:val="clear" w:color="auto" w:fill="auto"/>
            <w:noWrap/>
            <w:vAlign w:val="center"/>
          </w:tcPr>
          <w:p w14:paraId="0C06D03A">
            <w:pPr>
              <w:jc w:val="center"/>
              <w:rPr>
                <w:color w:val="auto"/>
                <w:szCs w:val="21"/>
              </w:rPr>
            </w:pPr>
            <w:r>
              <w:rPr>
                <w:color w:val="auto"/>
                <w:szCs w:val="21"/>
              </w:rPr>
              <w:t xml:space="preserve">0.81 </w:t>
            </w:r>
          </w:p>
        </w:tc>
        <w:tc>
          <w:tcPr>
            <w:tcW w:w="383" w:type="pct"/>
            <w:tcBorders>
              <w:tl2br w:val="nil"/>
              <w:tr2bl w:val="nil"/>
            </w:tcBorders>
            <w:shd w:val="clear" w:color="auto" w:fill="auto"/>
            <w:noWrap/>
            <w:vAlign w:val="center"/>
          </w:tcPr>
          <w:p w14:paraId="54BCCFBD">
            <w:pPr>
              <w:jc w:val="center"/>
              <w:rPr>
                <w:color w:val="auto"/>
                <w:szCs w:val="21"/>
              </w:rPr>
            </w:pPr>
            <w:r>
              <w:rPr>
                <w:color w:val="auto"/>
                <w:szCs w:val="21"/>
              </w:rPr>
              <w:t xml:space="preserve">279 </w:t>
            </w:r>
          </w:p>
        </w:tc>
        <w:tc>
          <w:tcPr>
            <w:tcW w:w="395" w:type="pct"/>
            <w:tcBorders>
              <w:tl2br w:val="nil"/>
              <w:tr2bl w:val="nil"/>
            </w:tcBorders>
            <w:shd w:val="clear" w:color="auto" w:fill="auto"/>
            <w:noWrap/>
            <w:vAlign w:val="center"/>
          </w:tcPr>
          <w:p w14:paraId="2A3C61BC">
            <w:pPr>
              <w:jc w:val="center"/>
              <w:rPr>
                <w:color w:val="auto"/>
                <w:szCs w:val="21"/>
              </w:rPr>
            </w:pPr>
            <w:r>
              <w:rPr>
                <w:color w:val="auto"/>
                <w:szCs w:val="21"/>
              </w:rPr>
              <w:t xml:space="preserve">693 </w:t>
            </w:r>
          </w:p>
        </w:tc>
        <w:tc>
          <w:tcPr>
            <w:tcW w:w="364" w:type="pct"/>
            <w:tcBorders>
              <w:tl2br w:val="nil"/>
              <w:tr2bl w:val="nil"/>
            </w:tcBorders>
            <w:shd w:val="clear" w:color="auto" w:fill="auto"/>
            <w:noWrap/>
            <w:vAlign w:val="center"/>
          </w:tcPr>
          <w:p w14:paraId="08A0D515">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4117F50F">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477EB034">
            <w:pPr>
              <w:jc w:val="center"/>
              <w:rPr>
                <w:color w:val="auto"/>
                <w:szCs w:val="21"/>
              </w:rPr>
            </w:pPr>
            <w:r>
              <w:rPr>
                <w:color w:val="auto"/>
                <w:szCs w:val="21"/>
              </w:rPr>
              <w:t>ND</w:t>
            </w:r>
          </w:p>
        </w:tc>
        <w:tc>
          <w:tcPr>
            <w:tcW w:w="420" w:type="pct"/>
            <w:tcBorders>
              <w:tl2br w:val="nil"/>
              <w:tr2bl w:val="nil"/>
            </w:tcBorders>
            <w:shd w:val="clear" w:color="auto" w:fill="auto"/>
            <w:noWrap/>
            <w:vAlign w:val="center"/>
          </w:tcPr>
          <w:p w14:paraId="171D835E">
            <w:pPr>
              <w:jc w:val="center"/>
              <w:rPr>
                <w:color w:val="auto"/>
                <w:szCs w:val="21"/>
              </w:rPr>
            </w:pPr>
            <w:r>
              <w:rPr>
                <w:color w:val="auto"/>
                <w:szCs w:val="21"/>
              </w:rPr>
              <w:t>ND</w:t>
            </w:r>
          </w:p>
        </w:tc>
      </w:tr>
      <w:tr w14:paraId="6906CFC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continue"/>
            <w:tcBorders>
              <w:tl2br w:val="nil"/>
              <w:tr2bl w:val="nil"/>
            </w:tcBorders>
            <w:shd w:val="clear" w:color="auto" w:fill="auto"/>
            <w:noWrap w:val="0"/>
            <w:vAlign w:val="center"/>
          </w:tcPr>
          <w:p w14:paraId="3402D648">
            <w:pPr>
              <w:spacing w:before="31" w:beforeLines="10" w:line="264" w:lineRule="auto"/>
              <w:jc w:val="center"/>
              <w:rPr>
                <w:color w:val="auto"/>
                <w:szCs w:val="21"/>
              </w:rPr>
            </w:pPr>
          </w:p>
        </w:tc>
        <w:tc>
          <w:tcPr>
            <w:tcW w:w="643" w:type="pct"/>
            <w:gridSpan w:val="2"/>
            <w:tcBorders>
              <w:tl2br w:val="nil"/>
              <w:tr2bl w:val="nil"/>
            </w:tcBorders>
            <w:shd w:val="clear" w:color="auto" w:fill="auto"/>
            <w:noWrap/>
            <w:vAlign w:val="center"/>
          </w:tcPr>
          <w:p w14:paraId="4344342C">
            <w:pPr>
              <w:spacing w:before="31" w:beforeLines="10" w:line="264" w:lineRule="auto"/>
              <w:jc w:val="center"/>
              <w:rPr>
                <w:rFonts w:hint="default" w:eastAsia="宋体"/>
                <w:color w:val="auto"/>
                <w:szCs w:val="21"/>
                <w:lang w:val="en-US" w:eastAsia="zh-CN"/>
              </w:rPr>
            </w:pPr>
            <w:r>
              <w:rPr>
                <w:rFonts w:hint="eastAsia"/>
                <w:color w:val="auto"/>
                <w:szCs w:val="21"/>
                <w:lang w:val="en-US" w:eastAsia="zh-CN"/>
              </w:rPr>
              <w:t>标准限值</w:t>
            </w:r>
          </w:p>
        </w:tc>
        <w:tc>
          <w:tcPr>
            <w:tcW w:w="320" w:type="pct"/>
            <w:tcBorders>
              <w:tl2br w:val="nil"/>
              <w:tr2bl w:val="nil"/>
            </w:tcBorders>
            <w:shd w:val="clear" w:color="auto" w:fill="auto"/>
            <w:noWrap/>
            <w:vAlign w:val="center"/>
          </w:tcPr>
          <w:p w14:paraId="1AFEDC4E">
            <w:pPr>
              <w:jc w:val="center"/>
              <w:rPr>
                <w:rFonts w:hint="default" w:eastAsia="宋体"/>
                <w:color w:val="auto"/>
                <w:szCs w:val="21"/>
                <w:lang w:val="en-US" w:eastAsia="zh-CN"/>
              </w:rPr>
            </w:pPr>
            <w:r>
              <w:rPr>
                <w:rFonts w:hint="eastAsia"/>
                <w:color w:val="auto"/>
                <w:szCs w:val="21"/>
                <w:lang w:val="en-US" w:eastAsia="zh-CN"/>
              </w:rPr>
              <w:t>6.5~8.5</w:t>
            </w:r>
          </w:p>
        </w:tc>
        <w:tc>
          <w:tcPr>
            <w:tcW w:w="388" w:type="pct"/>
            <w:tcBorders>
              <w:tl2br w:val="nil"/>
              <w:tr2bl w:val="nil"/>
            </w:tcBorders>
            <w:shd w:val="clear" w:color="auto" w:fill="auto"/>
            <w:noWrap/>
            <w:vAlign w:val="center"/>
          </w:tcPr>
          <w:p w14:paraId="4F0D1CAF">
            <w:pPr>
              <w:jc w:val="center"/>
              <w:rPr>
                <w:rFonts w:hint="default" w:eastAsia="宋体"/>
                <w:color w:val="auto"/>
                <w:szCs w:val="21"/>
                <w:lang w:val="en-US" w:eastAsia="zh-CN"/>
              </w:rPr>
            </w:pPr>
            <w:r>
              <w:rPr>
                <w:rFonts w:hint="eastAsia"/>
                <w:color w:val="auto"/>
                <w:szCs w:val="21"/>
                <w:lang w:val="en-US" w:eastAsia="zh-CN"/>
              </w:rPr>
              <w:t>≤1.0</w:t>
            </w:r>
          </w:p>
        </w:tc>
        <w:tc>
          <w:tcPr>
            <w:tcW w:w="388" w:type="pct"/>
            <w:tcBorders>
              <w:tl2br w:val="nil"/>
              <w:tr2bl w:val="nil"/>
            </w:tcBorders>
            <w:shd w:val="clear" w:color="auto" w:fill="auto"/>
            <w:noWrap/>
            <w:vAlign w:val="center"/>
          </w:tcPr>
          <w:p w14:paraId="2B3E2D0B">
            <w:pPr>
              <w:jc w:val="center"/>
              <w:rPr>
                <w:color w:val="auto"/>
                <w:szCs w:val="21"/>
              </w:rPr>
            </w:pPr>
            <w:r>
              <w:rPr>
                <w:rFonts w:hint="eastAsia" w:ascii="仿宋" w:hAnsi="仿宋" w:eastAsia="仿宋" w:cs="仿宋"/>
                <w:color w:val="auto"/>
                <w:szCs w:val="21"/>
              </w:rPr>
              <w:t>≤</w:t>
            </w:r>
            <w:r>
              <w:rPr>
                <w:rFonts w:hint="default"/>
                <w:color w:val="auto"/>
                <w:szCs w:val="21"/>
              </w:rPr>
              <w:t>250</w:t>
            </w:r>
          </w:p>
        </w:tc>
        <w:tc>
          <w:tcPr>
            <w:tcW w:w="388" w:type="pct"/>
            <w:tcBorders>
              <w:tl2br w:val="nil"/>
              <w:tr2bl w:val="nil"/>
            </w:tcBorders>
            <w:shd w:val="clear" w:color="auto" w:fill="auto"/>
            <w:noWrap/>
            <w:vAlign w:val="center"/>
          </w:tcPr>
          <w:p w14:paraId="7F6E988D">
            <w:pPr>
              <w:jc w:val="center"/>
              <w:rPr>
                <w:rFonts w:hint="default"/>
                <w:color w:val="auto"/>
                <w:szCs w:val="21"/>
                <w:lang w:val="en-US"/>
              </w:rPr>
            </w:pPr>
            <w:r>
              <w:rPr>
                <w:rFonts w:hint="eastAsia"/>
                <w:color w:val="auto"/>
                <w:szCs w:val="21"/>
                <w:lang w:val="en-US" w:eastAsia="zh-CN"/>
              </w:rPr>
              <w:t>≤3</w:t>
            </w:r>
          </w:p>
        </w:tc>
        <w:tc>
          <w:tcPr>
            <w:tcW w:w="383" w:type="pct"/>
            <w:tcBorders>
              <w:tl2br w:val="nil"/>
              <w:tr2bl w:val="nil"/>
            </w:tcBorders>
            <w:shd w:val="clear" w:color="auto" w:fill="auto"/>
            <w:noWrap/>
            <w:vAlign w:val="center"/>
          </w:tcPr>
          <w:p w14:paraId="07FCB2CD">
            <w:pPr>
              <w:jc w:val="center"/>
              <w:rPr>
                <w:rFonts w:hint="default"/>
                <w:color w:val="auto"/>
                <w:szCs w:val="21"/>
                <w:lang w:val="en-US"/>
              </w:rPr>
            </w:pPr>
            <w:r>
              <w:rPr>
                <w:rFonts w:hint="eastAsia"/>
                <w:color w:val="auto"/>
                <w:szCs w:val="21"/>
                <w:lang w:val="en-US" w:eastAsia="zh-CN"/>
              </w:rPr>
              <w:t>≤450</w:t>
            </w:r>
          </w:p>
        </w:tc>
        <w:tc>
          <w:tcPr>
            <w:tcW w:w="395" w:type="pct"/>
            <w:tcBorders>
              <w:tl2br w:val="nil"/>
              <w:tr2bl w:val="nil"/>
            </w:tcBorders>
            <w:shd w:val="clear" w:color="auto" w:fill="auto"/>
            <w:noWrap/>
            <w:vAlign w:val="center"/>
          </w:tcPr>
          <w:p w14:paraId="615C7D40">
            <w:pPr>
              <w:jc w:val="center"/>
              <w:rPr>
                <w:rFonts w:hint="default"/>
                <w:color w:val="auto"/>
                <w:szCs w:val="21"/>
                <w:lang w:val="en-US"/>
              </w:rPr>
            </w:pPr>
            <w:r>
              <w:rPr>
                <w:rFonts w:hint="eastAsia"/>
                <w:color w:val="auto"/>
                <w:szCs w:val="21"/>
                <w:lang w:val="en-US" w:eastAsia="zh-CN"/>
              </w:rPr>
              <w:t>≤1000</w:t>
            </w:r>
          </w:p>
        </w:tc>
        <w:tc>
          <w:tcPr>
            <w:tcW w:w="364" w:type="pct"/>
            <w:tcBorders>
              <w:tl2br w:val="nil"/>
              <w:tr2bl w:val="nil"/>
            </w:tcBorders>
            <w:shd w:val="clear" w:color="auto" w:fill="auto"/>
            <w:noWrap/>
            <w:vAlign w:val="center"/>
          </w:tcPr>
          <w:p w14:paraId="4EF24680">
            <w:pPr>
              <w:jc w:val="center"/>
              <w:rPr>
                <w:rFonts w:hint="default"/>
                <w:color w:val="auto"/>
                <w:szCs w:val="21"/>
                <w:lang w:val="en-US"/>
              </w:rPr>
            </w:pPr>
            <w:r>
              <w:rPr>
                <w:rFonts w:hint="eastAsia"/>
                <w:color w:val="auto"/>
                <w:szCs w:val="21"/>
                <w:lang w:val="en-US" w:eastAsia="zh-CN"/>
              </w:rPr>
              <w:t>≤0.05</w:t>
            </w:r>
          </w:p>
        </w:tc>
        <w:tc>
          <w:tcPr>
            <w:tcW w:w="364" w:type="pct"/>
            <w:tcBorders>
              <w:tl2br w:val="nil"/>
              <w:tr2bl w:val="nil"/>
            </w:tcBorders>
            <w:shd w:val="clear" w:color="auto" w:fill="auto"/>
            <w:noWrap/>
            <w:vAlign w:val="center"/>
          </w:tcPr>
          <w:p w14:paraId="05D375EA">
            <w:pPr>
              <w:jc w:val="center"/>
              <w:rPr>
                <w:color w:val="auto"/>
                <w:szCs w:val="21"/>
              </w:rPr>
            </w:pPr>
            <w:r>
              <w:rPr>
                <w:rFonts w:hint="eastAsia"/>
                <w:color w:val="auto"/>
                <w:szCs w:val="21"/>
                <w:lang w:val="en-US" w:eastAsia="zh-CN"/>
              </w:rPr>
              <w:t>≤0.05</w:t>
            </w:r>
          </w:p>
        </w:tc>
        <w:tc>
          <w:tcPr>
            <w:tcW w:w="364" w:type="pct"/>
            <w:tcBorders>
              <w:tl2br w:val="nil"/>
              <w:tr2bl w:val="nil"/>
            </w:tcBorders>
            <w:shd w:val="clear" w:color="auto" w:fill="auto"/>
            <w:noWrap/>
            <w:vAlign w:val="center"/>
          </w:tcPr>
          <w:p w14:paraId="307863F9">
            <w:pPr>
              <w:jc w:val="center"/>
              <w:rPr>
                <w:color w:val="auto"/>
                <w:szCs w:val="21"/>
              </w:rPr>
            </w:pPr>
            <w:r>
              <w:rPr>
                <w:rFonts w:hint="eastAsia"/>
                <w:color w:val="auto"/>
                <w:szCs w:val="21"/>
                <w:lang w:val="en-US" w:eastAsia="zh-CN"/>
              </w:rPr>
              <w:t>≤0.05</w:t>
            </w:r>
          </w:p>
        </w:tc>
        <w:tc>
          <w:tcPr>
            <w:tcW w:w="420" w:type="pct"/>
            <w:tcBorders>
              <w:tl2br w:val="nil"/>
              <w:tr2bl w:val="nil"/>
            </w:tcBorders>
            <w:shd w:val="clear" w:color="auto" w:fill="auto"/>
            <w:noWrap/>
            <w:vAlign w:val="center"/>
          </w:tcPr>
          <w:p w14:paraId="424A9132">
            <w:pPr>
              <w:jc w:val="center"/>
              <w:rPr>
                <w:rFonts w:hint="default"/>
                <w:color w:val="auto"/>
                <w:szCs w:val="21"/>
                <w:lang w:val="en-US"/>
              </w:rPr>
            </w:pPr>
            <w:r>
              <w:rPr>
                <w:rFonts w:hint="eastAsia"/>
                <w:color w:val="auto"/>
                <w:szCs w:val="21"/>
                <w:lang w:val="en-US" w:eastAsia="zh-CN"/>
              </w:rPr>
              <w:t>≤0.001</w:t>
            </w:r>
          </w:p>
        </w:tc>
      </w:tr>
      <w:tr w14:paraId="392ED760">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continue"/>
            <w:tcBorders>
              <w:tl2br w:val="nil"/>
              <w:tr2bl w:val="nil"/>
            </w:tcBorders>
            <w:shd w:val="clear" w:color="auto" w:fill="auto"/>
            <w:noWrap w:val="0"/>
            <w:vAlign w:val="center"/>
          </w:tcPr>
          <w:p w14:paraId="2D8DB2F4">
            <w:pPr>
              <w:spacing w:before="31" w:beforeLines="10" w:line="264" w:lineRule="auto"/>
              <w:jc w:val="center"/>
              <w:rPr>
                <w:color w:val="auto"/>
                <w:szCs w:val="21"/>
              </w:rPr>
            </w:pPr>
          </w:p>
        </w:tc>
        <w:tc>
          <w:tcPr>
            <w:tcW w:w="643" w:type="pct"/>
            <w:gridSpan w:val="2"/>
            <w:tcBorders>
              <w:tl2br w:val="nil"/>
              <w:tr2bl w:val="nil"/>
            </w:tcBorders>
            <w:shd w:val="clear" w:color="auto" w:fill="auto"/>
            <w:noWrap/>
            <w:vAlign w:val="center"/>
          </w:tcPr>
          <w:p w14:paraId="1899863F">
            <w:pPr>
              <w:spacing w:before="31" w:beforeLines="10" w:line="264" w:lineRule="auto"/>
              <w:jc w:val="center"/>
              <w:rPr>
                <w:rFonts w:hint="default" w:eastAsia="宋体"/>
                <w:color w:val="auto"/>
                <w:szCs w:val="21"/>
                <w:lang w:val="en-US" w:eastAsia="zh-CN"/>
              </w:rPr>
            </w:pPr>
            <w:r>
              <w:rPr>
                <w:rFonts w:hint="eastAsia"/>
                <w:color w:val="auto"/>
                <w:szCs w:val="21"/>
                <w:lang w:val="en-US" w:eastAsia="zh-CN"/>
              </w:rPr>
              <w:t>是否达标</w:t>
            </w:r>
          </w:p>
        </w:tc>
        <w:tc>
          <w:tcPr>
            <w:tcW w:w="320" w:type="pct"/>
            <w:tcBorders>
              <w:tl2br w:val="nil"/>
              <w:tr2bl w:val="nil"/>
            </w:tcBorders>
            <w:shd w:val="clear" w:color="auto" w:fill="auto"/>
            <w:noWrap/>
            <w:vAlign w:val="center"/>
          </w:tcPr>
          <w:p w14:paraId="34543398">
            <w:pPr>
              <w:jc w:val="center"/>
              <w:rPr>
                <w:rFonts w:hint="eastAsia" w:eastAsia="宋体"/>
                <w:color w:val="auto"/>
                <w:szCs w:val="21"/>
                <w:lang w:val="en-US" w:eastAsia="zh-CN"/>
              </w:rPr>
            </w:pPr>
            <w:r>
              <w:rPr>
                <w:rFonts w:hint="eastAsia"/>
                <w:color w:val="auto"/>
                <w:szCs w:val="21"/>
                <w:lang w:val="en-US" w:eastAsia="zh-CN"/>
              </w:rPr>
              <w:t>达标</w:t>
            </w:r>
          </w:p>
        </w:tc>
        <w:tc>
          <w:tcPr>
            <w:tcW w:w="388" w:type="pct"/>
            <w:tcBorders>
              <w:tl2br w:val="nil"/>
              <w:tr2bl w:val="nil"/>
            </w:tcBorders>
            <w:shd w:val="clear" w:color="auto" w:fill="auto"/>
            <w:noWrap/>
            <w:vAlign w:val="center"/>
          </w:tcPr>
          <w:p w14:paraId="3AF8C725">
            <w:pPr>
              <w:jc w:val="center"/>
              <w:rPr>
                <w:rFonts w:hint="eastAsia" w:eastAsia="宋体"/>
                <w:color w:val="auto"/>
                <w:szCs w:val="21"/>
                <w:lang w:val="en-US" w:eastAsia="zh-CN"/>
              </w:rPr>
            </w:pPr>
            <w:r>
              <w:rPr>
                <w:rFonts w:hint="eastAsia"/>
                <w:color w:val="auto"/>
                <w:szCs w:val="21"/>
                <w:lang w:val="en-US" w:eastAsia="zh-CN"/>
              </w:rPr>
              <w:t>达标</w:t>
            </w:r>
          </w:p>
        </w:tc>
        <w:tc>
          <w:tcPr>
            <w:tcW w:w="388" w:type="pct"/>
            <w:tcBorders>
              <w:tl2br w:val="nil"/>
              <w:tr2bl w:val="nil"/>
            </w:tcBorders>
            <w:shd w:val="clear" w:color="auto" w:fill="auto"/>
            <w:noWrap/>
            <w:vAlign w:val="center"/>
          </w:tcPr>
          <w:p w14:paraId="72ADA427">
            <w:pPr>
              <w:jc w:val="center"/>
              <w:rPr>
                <w:color w:val="auto"/>
                <w:szCs w:val="21"/>
              </w:rPr>
            </w:pPr>
            <w:r>
              <w:rPr>
                <w:rFonts w:hint="eastAsia"/>
                <w:color w:val="auto"/>
                <w:szCs w:val="21"/>
                <w:lang w:val="en-US" w:eastAsia="zh-CN"/>
              </w:rPr>
              <w:t>达标</w:t>
            </w:r>
          </w:p>
        </w:tc>
        <w:tc>
          <w:tcPr>
            <w:tcW w:w="388" w:type="pct"/>
            <w:tcBorders>
              <w:tl2br w:val="nil"/>
              <w:tr2bl w:val="nil"/>
            </w:tcBorders>
            <w:shd w:val="clear" w:color="auto" w:fill="auto"/>
            <w:noWrap/>
            <w:vAlign w:val="center"/>
          </w:tcPr>
          <w:p w14:paraId="716E39AC">
            <w:pPr>
              <w:jc w:val="center"/>
              <w:rPr>
                <w:color w:val="auto"/>
                <w:szCs w:val="21"/>
              </w:rPr>
            </w:pPr>
            <w:r>
              <w:rPr>
                <w:rFonts w:hint="eastAsia"/>
                <w:color w:val="auto"/>
                <w:szCs w:val="21"/>
                <w:lang w:val="en-US" w:eastAsia="zh-CN"/>
              </w:rPr>
              <w:t>达标</w:t>
            </w:r>
          </w:p>
        </w:tc>
        <w:tc>
          <w:tcPr>
            <w:tcW w:w="383" w:type="pct"/>
            <w:tcBorders>
              <w:tl2br w:val="nil"/>
              <w:tr2bl w:val="nil"/>
            </w:tcBorders>
            <w:shd w:val="clear" w:color="auto" w:fill="auto"/>
            <w:noWrap/>
            <w:vAlign w:val="center"/>
          </w:tcPr>
          <w:p w14:paraId="7B57A5AD">
            <w:pPr>
              <w:jc w:val="center"/>
              <w:rPr>
                <w:color w:val="auto"/>
                <w:szCs w:val="21"/>
              </w:rPr>
            </w:pPr>
            <w:r>
              <w:rPr>
                <w:rFonts w:hint="eastAsia"/>
                <w:color w:val="auto"/>
                <w:szCs w:val="21"/>
                <w:lang w:val="en-US" w:eastAsia="zh-CN"/>
              </w:rPr>
              <w:t>达标</w:t>
            </w:r>
          </w:p>
        </w:tc>
        <w:tc>
          <w:tcPr>
            <w:tcW w:w="395" w:type="pct"/>
            <w:tcBorders>
              <w:tl2br w:val="nil"/>
              <w:tr2bl w:val="nil"/>
            </w:tcBorders>
            <w:shd w:val="clear" w:color="auto" w:fill="auto"/>
            <w:noWrap/>
            <w:vAlign w:val="center"/>
          </w:tcPr>
          <w:p w14:paraId="66463051">
            <w:pPr>
              <w:jc w:val="center"/>
              <w:rPr>
                <w:color w:val="auto"/>
                <w:szCs w:val="21"/>
              </w:rPr>
            </w:pPr>
            <w:r>
              <w:rPr>
                <w:rFonts w:hint="eastAsia"/>
                <w:color w:val="auto"/>
                <w:szCs w:val="21"/>
                <w:lang w:val="en-US" w:eastAsia="zh-CN"/>
              </w:rPr>
              <w:t>达标</w:t>
            </w:r>
          </w:p>
        </w:tc>
        <w:tc>
          <w:tcPr>
            <w:tcW w:w="364" w:type="pct"/>
            <w:tcBorders>
              <w:tl2br w:val="nil"/>
              <w:tr2bl w:val="nil"/>
            </w:tcBorders>
            <w:shd w:val="clear" w:color="auto" w:fill="auto"/>
            <w:noWrap/>
            <w:vAlign w:val="center"/>
          </w:tcPr>
          <w:p w14:paraId="106E12DD">
            <w:pPr>
              <w:jc w:val="center"/>
              <w:rPr>
                <w:color w:val="auto"/>
                <w:szCs w:val="21"/>
              </w:rPr>
            </w:pPr>
            <w:r>
              <w:rPr>
                <w:rFonts w:hint="eastAsia"/>
                <w:color w:val="auto"/>
                <w:szCs w:val="21"/>
                <w:lang w:val="en-US" w:eastAsia="zh-CN"/>
              </w:rPr>
              <w:t>达标</w:t>
            </w:r>
          </w:p>
        </w:tc>
        <w:tc>
          <w:tcPr>
            <w:tcW w:w="364" w:type="pct"/>
            <w:tcBorders>
              <w:tl2br w:val="nil"/>
              <w:tr2bl w:val="nil"/>
            </w:tcBorders>
            <w:shd w:val="clear" w:color="auto" w:fill="auto"/>
            <w:noWrap/>
            <w:vAlign w:val="center"/>
          </w:tcPr>
          <w:p w14:paraId="3BDD0033">
            <w:pPr>
              <w:jc w:val="center"/>
              <w:rPr>
                <w:color w:val="auto"/>
                <w:szCs w:val="21"/>
              </w:rPr>
            </w:pPr>
            <w:r>
              <w:rPr>
                <w:rFonts w:hint="eastAsia"/>
                <w:color w:val="auto"/>
                <w:szCs w:val="21"/>
                <w:lang w:val="en-US" w:eastAsia="zh-CN"/>
              </w:rPr>
              <w:t>达标</w:t>
            </w:r>
          </w:p>
        </w:tc>
        <w:tc>
          <w:tcPr>
            <w:tcW w:w="364" w:type="pct"/>
            <w:tcBorders>
              <w:tl2br w:val="nil"/>
              <w:tr2bl w:val="nil"/>
            </w:tcBorders>
            <w:shd w:val="clear" w:color="auto" w:fill="auto"/>
            <w:noWrap/>
            <w:vAlign w:val="center"/>
          </w:tcPr>
          <w:p w14:paraId="1595B7CA">
            <w:pPr>
              <w:jc w:val="center"/>
              <w:rPr>
                <w:color w:val="auto"/>
                <w:szCs w:val="21"/>
              </w:rPr>
            </w:pPr>
            <w:r>
              <w:rPr>
                <w:rFonts w:hint="eastAsia"/>
                <w:color w:val="auto"/>
                <w:szCs w:val="21"/>
                <w:lang w:val="en-US" w:eastAsia="zh-CN"/>
              </w:rPr>
              <w:t>达标</w:t>
            </w:r>
          </w:p>
        </w:tc>
        <w:tc>
          <w:tcPr>
            <w:tcW w:w="420" w:type="pct"/>
            <w:tcBorders>
              <w:tl2br w:val="nil"/>
              <w:tr2bl w:val="nil"/>
            </w:tcBorders>
            <w:shd w:val="clear" w:color="auto" w:fill="auto"/>
            <w:noWrap/>
            <w:vAlign w:val="center"/>
          </w:tcPr>
          <w:p w14:paraId="27DDD58F">
            <w:pPr>
              <w:jc w:val="center"/>
              <w:rPr>
                <w:color w:val="auto"/>
                <w:szCs w:val="21"/>
              </w:rPr>
            </w:pPr>
            <w:r>
              <w:rPr>
                <w:rFonts w:hint="eastAsia"/>
                <w:color w:val="auto"/>
                <w:szCs w:val="21"/>
                <w:lang w:val="en-US" w:eastAsia="zh-CN"/>
              </w:rPr>
              <w:t>达标</w:t>
            </w:r>
          </w:p>
        </w:tc>
      </w:tr>
      <w:tr w14:paraId="76986664">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restart"/>
            <w:tcBorders>
              <w:tl2br w:val="nil"/>
              <w:tr2bl w:val="nil"/>
            </w:tcBorders>
            <w:shd w:val="clear" w:color="auto" w:fill="auto"/>
            <w:noWrap/>
            <w:vAlign w:val="center"/>
          </w:tcPr>
          <w:p w14:paraId="2C4927B8">
            <w:pPr>
              <w:spacing w:before="31" w:beforeLines="10" w:line="264" w:lineRule="auto"/>
              <w:jc w:val="center"/>
              <w:rPr>
                <w:color w:val="auto"/>
                <w:szCs w:val="21"/>
              </w:rPr>
            </w:pPr>
            <w:r>
              <w:rPr>
                <w:color w:val="auto"/>
                <w:szCs w:val="21"/>
              </w:rPr>
              <w:t>开发区</w:t>
            </w:r>
          </w:p>
          <w:p w14:paraId="356A149C">
            <w:pPr>
              <w:spacing w:before="31" w:beforeLines="10" w:line="264" w:lineRule="auto"/>
              <w:jc w:val="center"/>
              <w:rPr>
                <w:color w:val="auto"/>
                <w:szCs w:val="21"/>
              </w:rPr>
            </w:pPr>
            <w:r>
              <w:rPr>
                <w:color w:val="auto"/>
                <w:szCs w:val="21"/>
              </w:rPr>
              <w:t>污水处理厂</w:t>
            </w:r>
          </w:p>
        </w:tc>
        <w:tc>
          <w:tcPr>
            <w:tcW w:w="202" w:type="pct"/>
            <w:vMerge w:val="restart"/>
            <w:tcBorders>
              <w:tl2br w:val="nil"/>
              <w:tr2bl w:val="nil"/>
            </w:tcBorders>
            <w:shd w:val="clear" w:color="auto" w:fill="auto"/>
            <w:noWrap/>
            <w:vAlign w:val="center"/>
          </w:tcPr>
          <w:p w14:paraId="1028817F">
            <w:pPr>
              <w:spacing w:before="31" w:beforeLines="10" w:line="264" w:lineRule="auto"/>
              <w:ind w:left="-92" w:leftChars="-44" w:right="-84" w:rightChars="-40"/>
              <w:jc w:val="center"/>
              <w:rPr>
                <w:color w:val="auto"/>
                <w:szCs w:val="21"/>
              </w:rPr>
            </w:pPr>
            <w:r>
              <w:rPr>
                <w:color w:val="auto"/>
                <w:szCs w:val="21"/>
              </w:rPr>
              <w:t>监测值</w:t>
            </w:r>
          </w:p>
        </w:tc>
        <w:tc>
          <w:tcPr>
            <w:tcW w:w="440" w:type="pct"/>
            <w:tcBorders>
              <w:tl2br w:val="nil"/>
              <w:tr2bl w:val="nil"/>
            </w:tcBorders>
            <w:shd w:val="clear" w:color="auto" w:fill="auto"/>
            <w:noWrap w:val="0"/>
            <w:vAlign w:val="center"/>
          </w:tcPr>
          <w:p w14:paraId="7E285646">
            <w:pPr>
              <w:spacing w:before="31" w:beforeLines="10" w:line="264" w:lineRule="auto"/>
              <w:ind w:left="-92" w:leftChars="-44" w:right="-84" w:rightChars="-40"/>
              <w:jc w:val="center"/>
              <w:rPr>
                <w:color w:val="auto"/>
                <w:szCs w:val="21"/>
              </w:rPr>
            </w:pPr>
            <w:r>
              <w:rPr>
                <w:color w:val="auto"/>
                <w:szCs w:val="21"/>
              </w:rPr>
              <w:t>7</w:t>
            </w:r>
            <w:r>
              <w:rPr>
                <w:rFonts w:hint="eastAsia"/>
                <w:color w:val="auto"/>
                <w:szCs w:val="21"/>
                <w:lang w:val="en-US" w:eastAsia="zh-CN"/>
              </w:rPr>
              <w:t>月</w:t>
            </w:r>
            <w:r>
              <w:rPr>
                <w:color w:val="auto"/>
                <w:szCs w:val="21"/>
              </w:rPr>
              <w:t>7</w:t>
            </w:r>
            <w:r>
              <w:rPr>
                <w:rFonts w:hint="eastAsia"/>
                <w:color w:val="auto"/>
                <w:szCs w:val="21"/>
                <w:lang w:val="en-US" w:eastAsia="zh-CN"/>
              </w:rPr>
              <w:t>日</w:t>
            </w:r>
          </w:p>
        </w:tc>
        <w:tc>
          <w:tcPr>
            <w:tcW w:w="320" w:type="pct"/>
            <w:tcBorders>
              <w:tl2br w:val="nil"/>
              <w:tr2bl w:val="nil"/>
            </w:tcBorders>
            <w:shd w:val="clear" w:color="auto" w:fill="auto"/>
            <w:noWrap/>
            <w:vAlign w:val="center"/>
          </w:tcPr>
          <w:p w14:paraId="3B70A02E">
            <w:pPr>
              <w:jc w:val="center"/>
              <w:rPr>
                <w:color w:val="auto"/>
                <w:szCs w:val="21"/>
              </w:rPr>
            </w:pPr>
            <w:r>
              <w:rPr>
                <w:color w:val="auto"/>
                <w:szCs w:val="21"/>
              </w:rPr>
              <w:t xml:space="preserve">7.21 </w:t>
            </w:r>
          </w:p>
        </w:tc>
        <w:tc>
          <w:tcPr>
            <w:tcW w:w="388" w:type="pct"/>
            <w:tcBorders>
              <w:tl2br w:val="nil"/>
              <w:tr2bl w:val="nil"/>
            </w:tcBorders>
            <w:shd w:val="clear" w:color="auto" w:fill="auto"/>
            <w:noWrap/>
            <w:vAlign w:val="center"/>
          </w:tcPr>
          <w:p w14:paraId="57C191FF">
            <w:pPr>
              <w:jc w:val="center"/>
              <w:rPr>
                <w:color w:val="auto"/>
                <w:szCs w:val="21"/>
              </w:rPr>
            </w:pPr>
            <w:r>
              <w:rPr>
                <w:color w:val="auto"/>
                <w:szCs w:val="21"/>
              </w:rPr>
              <w:t xml:space="preserve">0.52 </w:t>
            </w:r>
          </w:p>
        </w:tc>
        <w:tc>
          <w:tcPr>
            <w:tcW w:w="388" w:type="pct"/>
            <w:tcBorders>
              <w:tl2br w:val="nil"/>
              <w:tr2bl w:val="nil"/>
            </w:tcBorders>
            <w:shd w:val="clear" w:color="auto" w:fill="auto"/>
            <w:noWrap/>
            <w:vAlign w:val="center"/>
          </w:tcPr>
          <w:p w14:paraId="24B999F4">
            <w:pPr>
              <w:jc w:val="center"/>
              <w:rPr>
                <w:color w:val="auto"/>
                <w:szCs w:val="21"/>
              </w:rPr>
            </w:pPr>
            <w:r>
              <w:rPr>
                <w:color w:val="auto"/>
                <w:szCs w:val="21"/>
              </w:rPr>
              <w:t xml:space="preserve">68 </w:t>
            </w:r>
          </w:p>
        </w:tc>
        <w:tc>
          <w:tcPr>
            <w:tcW w:w="388" w:type="pct"/>
            <w:tcBorders>
              <w:tl2br w:val="nil"/>
              <w:tr2bl w:val="nil"/>
            </w:tcBorders>
            <w:shd w:val="clear" w:color="auto" w:fill="auto"/>
            <w:noWrap/>
            <w:vAlign w:val="center"/>
          </w:tcPr>
          <w:p w14:paraId="551C9D38">
            <w:pPr>
              <w:jc w:val="center"/>
              <w:rPr>
                <w:color w:val="auto"/>
                <w:szCs w:val="21"/>
              </w:rPr>
            </w:pPr>
            <w:r>
              <w:rPr>
                <w:color w:val="auto"/>
                <w:szCs w:val="21"/>
              </w:rPr>
              <w:t xml:space="preserve">0.93 </w:t>
            </w:r>
          </w:p>
        </w:tc>
        <w:tc>
          <w:tcPr>
            <w:tcW w:w="383" w:type="pct"/>
            <w:tcBorders>
              <w:tl2br w:val="nil"/>
              <w:tr2bl w:val="nil"/>
            </w:tcBorders>
            <w:shd w:val="clear" w:color="auto" w:fill="auto"/>
            <w:noWrap/>
            <w:vAlign w:val="center"/>
          </w:tcPr>
          <w:p w14:paraId="7BB228B9">
            <w:pPr>
              <w:jc w:val="center"/>
              <w:rPr>
                <w:color w:val="auto"/>
                <w:szCs w:val="21"/>
              </w:rPr>
            </w:pPr>
            <w:r>
              <w:rPr>
                <w:color w:val="auto"/>
                <w:szCs w:val="21"/>
              </w:rPr>
              <w:t xml:space="preserve">289 </w:t>
            </w:r>
          </w:p>
        </w:tc>
        <w:tc>
          <w:tcPr>
            <w:tcW w:w="395" w:type="pct"/>
            <w:tcBorders>
              <w:tl2br w:val="nil"/>
              <w:tr2bl w:val="nil"/>
            </w:tcBorders>
            <w:shd w:val="clear" w:color="auto" w:fill="auto"/>
            <w:noWrap/>
            <w:vAlign w:val="center"/>
          </w:tcPr>
          <w:p w14:paraId="28B0E8D3">
            <w:pPr>
              <w:jc w:val="center"/>
              <w:rPr>
                <w:color w:val="auto"/>
                <w:szCs w:val="21"/>
              </w:rPr>
            </w:pPr>
            <w:r>
              <w:rPr>
                <w:color w:val="auto"/>
                <w:szCs w:val="21"/>
              </w:rPr>
              <w:t xml:space="preserve">712 </w:t>
            </w:r>
          </w:p>
        </w:tc>
        <w:tc>
          <w:tcPr>
            <w:tcW w:w="364" w:type="pct"/>
            <w:tcBorders>
              <w:tl2br w:val="nil"/>
              <w:tr2bl w:val="nil"/>
            </w:tcBorders>
            <w:shd w:val="clear" w:color="auto" w:fill="auto"/>
            <w:noWrap/>
            <w:vAlign w:val="center"/>
          </w:tcPr>
          <w:p w14:paraId="08453C2C">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5C1A5516">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55960E00">
            <w:pPr>
              <w:jc w:val="center"/>
              <w:rPr>
                <w:color w:val="auto"/>
                <w:szCs w:val="21"/>
              </w:rPr>
            </w:pPr>
            <w:r>
              <w:rPr>
                <w:color w:val="auto"/>
                <w:szCs w:val="21"/>
              </w:rPr>
              <w:t>ND</w:t>
            </w:r>
          </w:p>
        </w:tc>
        <w:tc>
          <w:tcPr>
            <w:tcW w:w="420" w:type="pct"/>
            <w:tcBorders>
              <w:tl2br w:val="nil"/>
              <w:tr2bl w:val="nil"/>
            </w:tcBorders>
            <w:shd w:val="clear" w:color="auto" w:fill="auto"/>
            <w:noWrap/>
            <w:vAlign w:val="center"/>
          </w:tcPr>
          <w:p w14:paraId="48464836">
            <w:pPr>
              <w:jc w:val="center"/>
              <w:rPr>
                <w:color w:val="auto"/>
                <w:szCs w:val="21"/>
              </w:rPr>
            </w:pPr>
            <w:r>
              <w:rPr>
                <w:color w:val="auto"/>
                <w:szCs w:val="21"/>
              </w:rPr>
              <w:t>ND</w:t>
            </w:r>
          </w:p>
        </w:tc>
      </w:tr>
      <w:tr w14:paraId="66211C65">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PrEx>
        <w:trPr>
          <w:jc w:val="center"/>
        </w:trPr>
        <w:tc>
          <w:tcPr>
            <w:tcW w:w="575" w:type="pct"/>
            <w:vMerge w:val="continue"/>
            <w:tcBorders>
              <w:tl2br w:val="nil"/>
              <w:tr2bl w:val="nil"/>
            </w:tcBorders>
            <w:shd w:val="clear" w:color="auto" w:fill="auto"/>
            <w:noWrap/>
            <w:vAlign w:val="center"/>
          </w:tcPr>
          <w:p w14:paraId="6763D439">
            <w:pPr>
              <w:spacing w:before="31" w:beforeLines="10" w:line="264" w:lineRule="auto"/>
              <w:jc w:val="center"/>
              <w:rPr>
                <w:color w:val="auto"/>
                <w:szCs w:val="21"/>
              </w:rPr>
            </w:pPr>
          </w:p>
        </w:tc>
        <w:tc>
          <w:tcPr>
            <w:tcW w:w="202" w:type="pct"/>
            <w:vMerge w:val="continue"/>
            <w:tcBorders>
              <w:tl2br w:val="nil"/>
              <w:tr2bl w:val="nil"/>
            </w:tcBorders>
            <w:shd w:val="clear" w:color="auto" w:fill="auto"/>
            <w:noWrap/>
            <w:vAlign w:val="center"/>
          </w:tcPr>
          <w:p w14:paraId="5152A807">
            <w:pPr>
              <w:spacing w:before="31" w:beforeLines="10" w:line="264" w:lineRule="auto"/>
              <w:ind w:left="-92" w:leftChars="-44" w:right="-84" w:rightChars="-40"/>
              <w:jc w:val="center"/>
              <w:rPr>
                <w:color w:val="auto"/>
                <w:szCs w:val="21"/>
              </w:rPr>
            </w:pPr>
          </w:p>
        </w:tc>
        <w:tc>
          <w:tcPr>
            <w:tcW w:w="440" w:type="pct"/>
            <w:tcBorders>
              <w:tl2br w:val="nil"/>
              <w:tr2bl w:val="nil"/>
            </w:tcBorders>
            <w:shd w:val="clear" w:color="auto" w:fill="auto"/>
            <w:noWrap w:val="0"/>
            <w:vAlign w:val="center"/>
          </w:tcPr>
          <w:p w14:paraId="5F733918">
            <w:pPr>
              <w:spacing w:before="31" w:beforeLines="10" w:line="264" w:lineRule="auto"/>
              <w:ind w:left="-92" w:leftChars="-44" w:right="-84" w:rightChars="-40"/>
              <w:jc w:val="center"/>
              <w:rPr>
                <w:color w:val="auto"/>
                <w:szCs w:val="21"/>
              </w:rPr>
            </w:pPr>
            <w:r>
              <w:rPr>
                <w:color w:val="auto"/>
                <w:szCs w:val="21"/>
              </w:rPr>
              <w:t>7</w:t>
            </w:r>
            <w:r>
              <w:rPr>
                <w:rFonts w:hint="eastAsia"/>
                <w:color w:val="auto"/>
                <w:szCs w:val="21"/>
                <w:lang w:val="en-US" w:eastAsia="zh-CN"/>
              </w:rPr>
              <w:t>月8日</w:t>
            </w:r>
          </w:p>
        </w:tc>
        <w:tc>
          <w:tcPr>
            <w:tcW w:w="320" w:type="pct"/>
            <w:tcBorders>
              <w:tl2br w:val="nil"/>
              <w:tr2bl w:val="nil"/>
            </w:tcBorders>
            <w:shd w:val="clear" w:color="auto" w:fill="auto"/>
            <w:noWrap/>
            <w:vAlign w:val="center"/>
          </w:tcPr>
          <w:p w14:paraId="3DBFDD4C">
            <w:pPr>
              <w:jc w:val="center"/>
              <w:rPr>
                <w:color w:val="auto"/>
                <w:szCs w:val="21"/>
              </w:rPr>
            </w:pPr>
            <w:r>
              <w:rPr>
                <w:color w:val="auto"/>
                <w:szCs w:val="21"/>
              </w:rPr>
              <w:t xml:space="preserve">7.30 </w:t>
            </w:r>
          </w:p>
        </w:tc>
        <w:tc>
          <w:tcPr>
            <w:tcW w:w="388" w:type="pct"/>
            <w:tcBorders>
              <w:tl2br w:val="nil"/>
              <w:tr2bl w:val="nil"/>
            </w:tcBorders>
            <w:shd w:val="clear" w:color="auto" w:fill="auto"/>
            <w:noWrap/>
            <w:vAlign w:val="center"/>
          </w:tcPr>
          <w:p w14:paraId="0A946359">
            <w:pPr>
              <w:jc w:val="center"/>
              <w:rPr>
                <w:color w:val="auto"/>
                <w:szCs w:val="21"/>
              </w:rPr>
            </w:pPr>
            <w:r>
              <w:rPr>
                <w:color w:val="auto"/>
                <w:szCs w:val="21"/>
              </w:rPr>
              <w:t xml:space="preserve">0.40 </w:t>
            </w:r>
          </w:p>
        </w:tc>
        <w:tc>
          <w:tcPr>
            <w:tcW w:w="388" w:type="pct"/>
            <w:tcBorders>
              <w:tl2br w:val="nil"/>
              <w:tr2bl w:val="nil"/>
            </w:tcBorders>
            <w:shd w:val="clear" w:color="auto" w:fill="auto"/>
            <w:noWrap/>
            <w:vAlign w:val="center"/>
          </w:tcPr>
          <w:p w14:paraId="1065710B">
            <w:pPr>
              <w:jc w:val="center"/>
              <w:rPr>
                <w:color w:val="auto"/>
                <w:szCs w:val="21"/>
              </w:rPr>
            </w:pPr>
            <w:r>
              <w:rPr>
                <w:color w:val="auto"/>
                <w:szCs w:val="21"/>
              </w:rPr>
              <w:t xml:space="preserve">71 </w:t>
            </w:r>
          </w:p>
        </w:tc>
        <w:tc>
          <w:tcPr>
            <w:tcW w:w="388" w:type="pct"/>
            <w:tcBorders>
              <w:tl2br w:val="nil"/>
              <w:tr2bl w:val="nil"/>
            </w:tcBorders>
            <w:shd w:val="clear" w:color="auto" w:fill="auto"/>
            <w:noWrap/>
            <w:vAlign w:val="center"/>
          </w:tcPr>
          <w:p w14:paraId="3E2AD85B">
            <w:pPr>
              <w:jc w:val="center"/>
              <w:rPr>
                <w:color w:val="auto"/>
                <w:szCs w:val="21"/>
              </w:rPr>
            </w:pPr>
            <w:r>
              <w:rPr>
                <w:color w:val="auto"/>
                <w:szCs w:val="21"/>
              </w:rPr>
              <w:t xml:space="preserve">1.02 </w:t>
            </w:r>
          </w:p>
        </w:tc>
        <w:tc>
          <w:tcPr>
            <w:tcW w:w="383" w:type="pct"/>
            <w:tcBorders>
              <w:tl2br w:val="nil"/>
              <w:tr2bl w:val="nil"/>
            </w:tcBorders>
            <w:shd w:val="clear" w:color="auto" w:fill="auto"/>
            <w:noWrap/>
            <w:vAlign w:val="center"/>
          </w:tcPr>
          <w:p w14:paraId="4681B322">
            <w:pPr>
              <w:jc w:val="center"/>
              <w:rPr>
                <w:color w:val="auto"/>
                <w:szCs w:val="21"/>
              </w:rPr>
            </w:pPr>
            <w:r>
              <w:rPr>
                <w:color w:val="auto"/>
                <w:szCs w:val="21"/>
              </w:rPr>
              <w:t xml:space="preserve">275 </w:t>
            </w:r>
          </w:p>
        </w:tc>
        <w:tc>
          <w:tcPr>
            <w:tcW w:w="395" w:type="pct"/>
            <w:tcBorders>
              <w:tl2br w:val="nil"/>
              <w:tr2bl w:val="nil"/>
            </w:tcBorders>
            <w:shd w:val="clear" w:color="auto" w:fill="auto"/>
            <w:noWrap/>
            <w:vAlign w:val="center"/>
          </w:tcPr>
          <w:p w14:paraId="4AE42F1E">
            <w:pPr>
              <w:jc w:val="center"/>
              <w:rPr>
                <w:color w:val="auto"/>
                <w:szCs w:val="21"/>
              </w:rPr>
            </w:pPr>
            <w:r>
              <w:rPr>
                <w:color w:val="auto"/>
                <w:szCs w:val="21"/>
              </w:rPr>
              <w:t xml:space="preserve">693 </w:t>
            </w:r>
          </w:p>
        </w:tc>
        <w:tc>
          <w:tcPr>
            <w:tcW w:w="364" w:type="pct"/>
            <w:tcBorders>
              <w:tl2br w:val="nil"/>
              <w:tr2bl w:val="nil"/>
            </w:tcBorders>
            <w:shd w:val="clear" w:color="auto" w:fill="auto"/>
            <w:noWrap/>
            <w:vAlign w:val="center"/>
          </w:tcPr>
          <w:p w14:paraId="41259065">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1143B2F6">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7A32659B">
            <w:pPr>
              <w:jc w:val="center"/>
              <w:rPr>
                <w:color w:val="auto"/>
                <w:szCs w:val="21"/>
              </w:rPr>
            </w:pPr>
            <w:r>
              <w:rPr>
                <w:color w:val="auto"/>
                <w:szCs w:val="21"/>
              </w:rPr>
              <w:t>ND</w:t>
            </w:r>
          </w:p>
        </w:tc>
        <w:tc>
          <w:tcPr>
            <w:tcW w:w="420" w:type="pct"/>
            <w:tcBorders>
              <w:tl2br w:val="nil"/>
              <w:tr2bl w:val="nil"/>
            </w:tcBorders>
            <w:shd w:val="clear" w:color="auto" w:fill="auto"/>
            <w:noWrap/>
            <w:vAlign w:val="center"/>
          </w:tcPr>
          <w:p w14:paraId="611BA174">
            <w:pPr>
              <w:jc w:val="center"/>
              <w:rPr>
                <w:color w:val="auto"/>
                <w:szCs w:val="21"/>
              </w:rPr>
            </w:pPr>
            <w:r>
              <w:rPr>
                <w:color w:val="auto"/>
                <w:szCs w:val="21"/>
              </w:rPr>
              <w:t>ND</w:t>
            </w:r>
          </w:p>
        </w:tc>
      </w:tr>
      <w:tr w14:paraId="7D5675AC">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continue"/>
            <w:tcBorders>
              <w:tl2br w:val="nil"/>
              <w:tr2bl w:val="nil"/>
            </w:tcBorders>
            <w:shd w:val="clear" w:color="auto" w:fill="auto"/>
            <w:noWrap/>
            <w:vAlign w:val="center"/>
          </w:tcPr>
          <w:p w14:paraId="0C2D9C09">
            <w:pPr>
              <w:spacing w:before="31" w:beforeLines="10" w:line="264" w:lineRule="auto"/>
              <w:jc w:val="center"/>
              <w:rPr>
                <w:color w:val="auto"/>
                <w:szCs w:val="21"/>
              </w:rPr>
            </w:pPr>
          </w:p>
        </w:tc>
        <w:tc>
          <w:tcPr>
            <w:tcW w:w="202" w:type="pct"/>
            <w:vMerge w:val="continue"/>
            <w:tcBorders>
              <w:tl2br w:val="nil"/>
              <w:tr2bl w:val="nil"/>
            </w:tcBorders>
            <w:shd w:val="clear" w:color="auto" w:fill="auto"/>
            <w:noWrap/>
            <w:vAlign w:val="center"/>
          </w:tcPr>
          <w:p w14:paraId="6B61ACDF">
            <w:pPr>
              <w:spacing w:before="31" w:beforeLines="10" w:line="264" w:lineRule="auto"/>
              <w:ind w:left="-92" w:leftChars="-44" w:right="-84" w:rightChars="-40"/>
              <w:jc w:val="center"/>
              <w:rPr>
                <w:color w:val="auto"/>
                <w:szCs w:val="21"/>
              </w:rPr>
            </w:pPr>
          </w:p>
        </w:tc>
        <w:tc>
          <w:tcPr>
            <w:tcW w:w="440" w:type="pct"/>
            <w:tcBorders>
              <w:tl2br w:val="nil"/>
              <w:tr2bl w:val="nil"/>
            </w:tcBorders>
            <w:shd w:val="clear" w:color="auto" w:fill="auto"/>
            <w:noWrap w:val="0"/>
            <w:vAlign w:val="center"/>
          </w:tcPr>
          <w:p w14:paraId="17063289">
            <w:pPr>
              <w:spacing w:before="31" w:beforeLines="10" w:line="264" w:lineRule="auto"/>
              <w:ind w:left="-92" w:leftChars="-44" w:right="-84" w:rightChars="-40"/>
              <w:jc w:val="center"/>
              <w:rPr>
                <w:color w:val="auto"/>
                <w:szCs w:val="21"/>
              </w:rPr>
            </w:pPr>
            <w:r>
              <w:rPr>
                <w:color w:val="auto"/>
                <w:szCs w:val="21"/>
              </w:rPr>
              <w:t>均值</w:t>
            </w:r>
          </w:p>
        </w:tc>
        <w:tc>
          <w:tcPr>
            <w:tcW w:w="320" w:type="pct"/>
            <w:tcBorders>
              <w:tl2br w:val="nil"/>
              <w:tr2bl w:val="nil"/>
            </w:tcBorders>
            <w:shd w:val="clear" w:color="auto" w:fill="auto"/>
            <w:noWrap/>
            <w:vAlign w:val="center"/>
          </w:tcPr>
          <w:p w14:paraId="0DD82B8A">
            <w:pPr>
              <w:jc w:val="center"/>
              <w:rPr>
                <w:color w:val="auto"/>
                <w:szCs w:val="21"/>
              </w:rPr>
            </w:pPr>
            <w:r>
              <w:rPr>
                <w:color w:val="auto"/>
                <w:szCs w:val="21"/>
              </w:rPr>
              <w:t xml:space="preserve">7.26 </w:t>
            </w:r>
          </w:p>
        </w:tc>
        <w:tc>
          <w:tcPr>
            <w:tcW w:w="388" w:type="pct"/>
            <w:tcBorders>
              <w:tl2br w:val="nil"/>
              <w:tr2bl w:val="nil"/>
            </w:tcBorders>
            <w:shd w:val="clear" w:color="auto" w:fill="auto"/>
            <w:noWrap/>
            <w:vAlign w:val="center"/>
          </w:tcPr>
          <w:p w14:paraId="3C732EA4">
            <w:pPr>
              <w:jc w:val="center"/>
              <w:rPr>
                <w:color w:val="auto"/>
                <w:szCs w:val="21"/>
              </w:rPr>
            </w:pPr>
            <w:r>
              <w:rPr>
                <w:color w:val="auto"/>
                <w:szCs w:val="21"/>
              </w:rPr>
              <w:t xml:space="preserve">0.46 </w:t>
            </w:r>
          </w:p>
        </w:tc>
        <w:tc>
          <w:tcPr>
            <w:tcW w:w="388" w:type="pct"/>
            <w:tcBorders>
              <w:tl2br w:val="nil"/>
              <w:tr2bl w:val="nil"/>
            </w:tcBorders>
            <w:shd w:val="clear" w:color="auto" w:fill="auto"/>
            <w:noWrap/>
            <w:vAlign w:val="center"/>
          </w:tcPr>
          <w:p w14:paraId="6DC69E78">
            <w:pPr>
              <w:jc w:val="center"/>
              <w:rPr>
                <w:color w:val="auto"/>
                <w:szCs w:val="21"/>
              </w:rPr>
            </w:pPr>
            <w:r>
              <w:rPr>
                <w:color w:val="auto"/>
                <w:szCs w:val="21"/>
              </w:rPr>
              <w:t xml:space="preserve">70 </w:t>
            </w:r>
          </w:p>
        </w:tc>
        <w:tc>
          <w:tcPr>
            <w:tcW w:w="388" w:type="pct"/>
            <w:tcBorders>
              <w:tl2br w:val="nil"/>
              <w:tr2bl w:val="nil"/>
            </w:tcBorders>
            <w:shd w:val="clear" w:color="auto" w:fill="auto"/>
            <w:noWrap/>
            <w:vAlign w:val="center"/>
          </w:tcPr>
          <w:p w14:paraId="634F483A">
            <w:pPr>
              <w:jc w:val="center"/>
              <w:rPr>
                <w:color w:val="auto"/>
                <w:szCs w:val="21"/>
              </w:rPr>
            </w:pPr>
            <w:r>
              <w:rPr>
                <w:color w:val="auto"/>
                <w:szCs w:val="21"/>
              </w:rPr>
              <w:t xml:space="preserve">0.98 </w:t>
            </w:r>
          </w:p>
        </w:tc>
        <w:tc>
          <w:tcPr>
            <w:tcW w:w="383" w:type="pct"/>
            <w:tcBorders>
              <w:tl2br w:val="nil"/>
              <w:tr2bl w:val="nil"/>
            </w:tcBorders>
            <w:shd w:val="clear" w:color="auto" w:fill="auto"/>
            <w:noWrap/>
            <w:vAlign w:val="center"/>
          </w:tcPr>
          <w:p w14:paraId="3B103FE5">
            <w:pPr>
              <w:jc w:val="center"/>
              <w:rPr>
                <w:color w:val="auto"/>
                <w:szCs w:val="21"/>
              </w:rPr>
            </w:pPr>
            <w:r>
              <w:rPr>
                <w:color w:val="auto"/>
                <w:szCs w:val="21"/>
              </w:rPr>
              <w:t xml:space="preserve">282 </w:t>
            </w:r>
          </w:p>
        </w:tc>
        <w:tc>
          <w:tcPr>
            <w:tcW w:w="395" w:type="pct"/>
            <w:tcBorders>
              <w:tl2br w:val="nil"/>
              <w:tr2bl w:val="nil"/>
            </w:tcBorders>
            <w:shd w:val="clear" w:color="auto" w:fill="auto"/>
            <w:noWrap/>
            <w:vAlign w:val="center"/>
          </w:tcPr>
          <w:p w14:paraId="18A67F9F">
            <w:pPr>
              <w:jc w:val="center"/>
              <w:rPr>
                <w:color w:val="auto"/>
                <w:szCs w:val="21"/>
              </w:rPr>
            </w:pPr>
            <w:r>
              <w:rPr>
                <w:color w:val="auto"/>
                <w:szCs w:val="21"/>
              </w:rPr>
              <w:t xml:space="preserve">703 </w:t>
            </w:r>
          </w:p>
        </w:tc>
        <w:tc>
          <w:tcPr>
            <w:tcW w:w="364" w:type="pct"/>
            <w:tcBorders>
              <w:tl2br w:val="nil"/>
              <w:tr2bl w:val="nil"/>
            </w:tcBorders>
            <w:shd w:val="clear" w:color="auto" w:fill="auto"/>
            <w:noWrap/>
            <w:vAlign w:val="center"/>
          </w:tcPr>
          <w:p w14:paraId="66777523">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089AE812">
            <w:pPr>
              <w:jc w:val="center"/>
              <w:rPr>
                <w:color w:val="auto"/>
                <w:szCs w:val="21"/>
              </w:rPr>
            </w:pPr>
            <w:r>
              <w:rPr>
                <w:color w:val="auto"/>
                <w:szCs w:val="21"/>
              </w:rPr>
              <w:t>ND</w:t>
            </w:r>
          </w:p>
        </w:tc>
        <w:tc>
          <w:tcPr>
            <w:tcW w:w="364" w:type="pct"/>
            <w:tcBorders>
              <w:tl2br w:val="nil"/>
              <w:tr2bl w:val="nil"/>
            </w:tcBorders>
            <w:shd w:val="clear" w:color="auto" w:fill="auto"/>
            <w:noWrap/>
            <w:vAlign w:val="center"/>
          </w:tcPr>
          <w:p w14:paraId="77CA54BA">
            <w:pPr>
              <w:jc w:val="center"/>
              <w:rPr>
                <w:color w:val="auto"/>
                <w:szCs w:val="21"/>
              </w:rPr>
            </w:pPr>
            <w:r>
              <w:rPr>
                <w:color w:val="auto"/>
                <w:szCs w:val="21"/>
              </w:rPr>
              <w:t>ND</w:t>
            </w:r>
          </w:p>
        </w:tc>
        <w:tc>
          <w:tcPr>
            <w:tcW w:w="420" w:type="pct"/>
            <w:tcBorders>
              <w:tl2br w:val="nil"/>
              <w:tr2bl w:val="nil"/>
            </w:tcBorders>
            <w:shd w:val="clear" w:color="auto" w:fill="auto"/>
            <w:noWrap/>
            <w:vAlign w:val="center"/>
          </w:tcPr>
          <w:p w14:paraId="4CE07ADB">
            <w:pPr>
              <w:jc w:val="center"/>
              <w:rPr>
                <w:color w:val="auto"/>
                <w:szCs w:val="21"/>
              </w:rPr>
            </w:pPr>
            <w:r>
              <w:rPr>
                <w:color w:val="auto"/>
                <w:szCs w:val="21"/>
              </w:rPr>
              <w:t>ND</w:t>
            </w:r>
          </w:p>
        </w:tc>
      </w:tr>
      <w:tr w14:paraId="285F360A">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continue"/>
            <w:tcBorders>
              <w:tl2br w:val="nil"/>
              <w:tr2bl w:val="nil"/>
            </w:tcBorders>
            <w:shd w:val="clear" w:color="auto" w:fill="auto"/>
            <w:noWrap w:val="0"/>
            <w:vAlign w:val="center"/>
          </w:tcPr>
          <w:p w14:paraId="25C3EE61">
            <w:pPr>
              <w:spacing w:before="31" w:beforeLines="10" w:line="264" w:lineRule="auto"/>
              <w:jc w:val="center"/>
              <w:rPr>
                <w:color w:val="auto"/>
                <w:szCs w:val="21"/>
              </w:rPr>
            </w:pPr>
          </w:p>
        </w:tc>
        <w:tc>
          <w:tcPr>
            <w:tcW w:w="643" w:type="pct"/>
            <w:gridSpan w:val="2"/>
            <w:tcBorders>
              <w:tl2br w:val="nil"/>
              <w:tr2bl w:val="nil"/>
            </w:tcBorders>
            <w:shd w:val="clear" w:color="auto" w:fill="auto"/>
            <w:noWrap/>
            <w:vAlign w:val="center"/>
          </w:tcPr>
          <w:p w14:paraId="6562EC96">
            <w:pPr>
              <w:spacing w:before="31" w:beforeLines="10" w:line="264" w:lineRule="auto"/>
              <w:jc w:val="center"/>
              <w:rPr>
                <w:color w:val="auto"/>
                <w:szCs w:val="21"/>
              </w:rPr>
            </w:pPr>
            <w:r>
              <w:rPr>
                <w:rFonts w:hint="eastAsia"/>
                <w:color w:val="auto"/>
                <w:szCs w:val="21"/>
                <w:lang w:val="en-US" w:eastAsia="zh-CN"/>
              </w:rPr>
              <w:t>标准限值</w:t>
            </w:r>
          </w:p>
        </w:tc>
        <w:tc>
          <w:tcPr>
            <w:tcW w:w="320" w:type="pct"/>
            <w:tcBorders>
              <w:tl2br w:val="nil"/>
              <w:tr2bl w:val="nil"/>
            </w:tcBorders>
            <w:shd w:val="clear" w:color="auto" w:fill="auto"/>
            <w:noWrap/>
            <w:vAlign w:val="center"/>
          </w:tcPr>
          <w:p w14:paraId="5E563EAC">
            <w:pPr>
              <w:jc w:val="center"/>
              <w:rPr>
                <w:color w:val="auto"/>
                <w:szCs w:val="21"/>
              </w:rPr>
            </w:pPr>
            <w:r>
              <w:rPr>
                <w:rFonts w:hint="eastAsia"/>
                <w:color w:val="auto"/>
                <w:szCs w:val="21"/>
                <w:lang w:val="en-US" w:eastAsia="zh-CN"/>
              </w:rPr>
              <w:t>6.5~8.5</w:t>
            </w:r>
          </w:p>
        </w:tc>
        <w:tc>
          <w:tcPr>
            <w:tcW w:w="388" w:type="pct"/>
            <w:tcBorders>
              <w:tl2br w:val="nil"/>
              <w:tr2bl w:val="nil"/>
            </w:tcBorders>
            <w:shd w:val="clear" w:color="auto" w:fill="auto"/>
            <w:noWrap/>
            <w:vAlign w:val="center"/>
          </w:tcPr>
          <w:p w14:paraId="0ABC11A0">
            <w:pPr>
              <w:jc w:val="center"/>
              <w:rPr>
                <w:color w:val="auto"/>
                <w:szCs w:val="21"/>
              </w:rPr>
            </w:pPr>
            <w:r>
              <w:rPr>
                <w:rFonts w:hint="eastAsia"/>
                <w:color w:val="auto"/>
                <w:szCs w:val="21"/>
                <w:lang w:val="en-US" w:eastAsia="zh-CN"/>
              </w:rPr>
              <w:t>≤1.0</w:t>
            </w:r>
          </w:p>
        </w:tc>
        <w:tc>
          <w:tcPr>
            <w:tcW w:w="388" w:type="pct"/>
            <w:tcBorders>
              <w:tl2br w:val="nil"/>
              <w:tr2bl w:val="nil"/>
            </w:tcBorders>
            <w:shd w:val="clear" w:color="auto" w:fill="auto"/>
            <w:noWrap/>
            <w:vAlign w:val="center"/>
          </w:tcPr>
          <w:p w14:paraId="666950B3">
            <w:pPr>
              <w:jc w:val="center"/>
              <w:rPr>
                <w:color w:val="auto"/>
                <w:szCs w:val="21"/>
              </w:rPr>
            </w:pPr>
            <w:r>
              <w:rPr>
                <w:rFonts w:hint="eastAsia" w:ascii="仿宋" w:hAnsi="仿宋" w:eastAsia="仿宋" w:cs="仿宋"/>
                <w:color w:val="auto"/>
                <w:szCs w:val="21"/>
              </w:rPr>
              <w:t>≤</w:t>
            </w:r>
            <w:r>
              <w:rPr>
                <w:rFonts w:hint="default"/>
                <w:color w:val="auto"/>
                <w:szCs w:val="21"/>
              </w:rPr>
              <w:t>250</w:t>
            </w:r>
          </w:p>
        </w:tc>
        <w:tc>
          <w:tcPr>
            <w:tcW w:w="388" w:type="pct"/>
            <w:tcBorders>
              <w:tl2br w:val="nil"/>
              <w:tr2bl w:val="nil"/>
            </w:tcBorders>
            <w:shd w:val="clear" w:color="auto" w:fill="auto"/>
            <w:noWrap/>
            <w:vAlign w:val="center"/>
          </w:tcPr>
          <w:p w14:paraId="7EE381D8">
            <w:pPr>
              <w:jc w:val="center"/>
              <w:rPr>
                <w:color w:val="auto"/>
                <w:szCs w:val="21"/>
              </w:rPr>
            </w:pPr>
            <w:r>
              <w:rPr>
                <w:rFonts w:hint="eastAsia"/>
                <w:color w:val="auto"/>
                <w:szCs w:val="21"/>
                <w:lang w:val="en-US" w:eastAsia="zh-CN"/>
              </w:rPr>
              <w:t>≤3</w:t>
            </w:r>
          </w:p>
        </w:tc>
        <w:tc>
          <w:tcPr>
            <w:tcW w:w="383" w:type="pct"/>
            <w:tcBorders>
              <w:tl2br w:val="nil"/>
              <w:tr2bl w:val="nil"/>
            </w:tcBorders>
            <w:shd w:val="clear" w:color="auto" w:fill="auto"/>
            <w:noWrap/>
            <w:vAlign w:val="center"/>
          </w:tcPr>
          <w:p w14:paraId="4DE967A7">
            <w:pPr>
              <w:jc w:val="center"/>
              <w:rPr>
                <w:color w:val="auto"/>
                <w:szCs w:val="21"/>
              </w:rPr>
            </w:pPr>
            <w:r>
              <w:rPr>
                <w:rFonts w:hint="eastAsia"/>
                <w:color w:val="auto"/>
                <w:szCs w:val="21"/>
                <w:lang w:val="en-US" w:eastAsia="zh-CN"/>
              </w:rPr>
              <w:t>≤450</w:t>
            </w:r>
          </w:p>
        </w:tc>
        <w:tc>
          <w:tcPr>
            <w:tcW w:w="395" w:type="pct"/>
            <w:tcBorders>
              <w:tl2br w:val="nil"/>
              <w:tr2bl w:val="nil"/>
            </w:tcBorders>
            <w:shd w:val="clear" w:color="auto" w:fill="auto"/>
            <w:noWrap/>
            <w:vAlign w:val="center"/>
          </w:tcPr>
          <w:p w14:paraId="37FEA473">
            <w:pPr>
              <w:jc w:val="center"/>
              <w:rPr>
                <w:color w:val="auto"/>
                <w:szCs w:val="21"/>
              </w:rPr>
            </w:pPr>
            <w:r>
              <w:rPr>
                <w:rFonts w:hint="eastAsia"/>
                <w:color w:val="auto"/>
                <w:szCs w:val="21"/>
                <w:lang w:val="en-US" w:eastAsia="zh-CN"/>
              </w:rPr>
              <w:t>≤1000</w:t>
            </w:r>
          </w:p>
        </w:tc>
        <w:tc>
          <w:tcPr>
            <w:tcW w:w="364" w:type="pct"/>
            <w:tcBorders>
              <w:tl2br w:val="nil"/>
              <w:tr2bl w:val="nil"/>
            </w:tcBorders>
            <w:shd w:val="clear" w:color="auto" w:fill="auto"/>
            <w:noWrap/>
            <w:vAlign w:val="center"/>
          </w:tcPr>
          <w:p w14:paraId="6D5E2F3C">
            <w:pPr>
              <w:jc w:val="center"/>
              <w:rPr>
                <w:color w:val="auto"/>
                <w:szCs w:val="21"/>
              </w:rPr>
            </w:pPr>
            <w:r>
              <w:rPr>
                <w:rFonts w:hint="eastAsia"/>
                <w:color w:val="auto"/>
                <w:szCs w:val="21"/>
                <w:lang w:val="en-US" w:eastAsia="zh-CN"/>
              </w:rPr>
              <w:t>≤0.05</w:t>
            </w:r>
          </w:p>
        </w:tc>
        <w:tc>
          <w:tcPr>
            <w:tcW w:w="364" w:type="pct"/>
            <w:tcBorders>
              <w:tl2br w:val="nil"/>
              <w:tr2bl w:val="nil"/>
            </w:tcBorders>
            <w:shd w:val="clear" w:color="auto" w:fill="auto"/>
            <w:noWrap/>
            <w:vAlign w:val="center"/>
          </w:tcPr>
          <w:p w14:paraId="3BE262CB">
            <w:pPr>
              <w:jc w:val="center"/>
              <w:rPr>
                <w:color w:val="auto"/>
                <w:szCs w:val="21"/>
              </w:rPr>
            </w:pPr>
            <w:r>
              <w:rPr>
                <w:rFonts w:hint="eastAsia"/>
                <w:color w:val="auto"/>
                <w:szCs w:val="21"/>
                <w:lang w:val="en-US" w:eastAsia="zh-CN"/>
              </w:rPr>
              <w:t>≤0.05</w:t>
            </w:r>
          </w:p>
        </w:tc>
        <w:tc>
          <w:tcPr>
            <w:tcW w:w="364" w:type="pct"/>
            <w:tcBorders>
              <w:tl2br w:val="nil"/>
              <w:tr2bl w:val="nil"/>
            </w:tcBorders>
            <w:shd w:val="clear" w:color="auto" w:fill="auto"/>
            <w:noWrap/>
            <w:vAlign w:val="center"/>
          </w:tcPr>
          <w:p w14:paraId="4F995E09">
            <w:pPr>
              <w:jc w:val="center"/>
              <w:rPr>
                <w:color w:val="auto"/>
                <w:szCs w:val="21"/>
              </w:rPr>
            </w:pPr>
            <w:r>
              <w:rPr>
                <w:rFonts w:hint="eastAsia"/>
                <w:color w:val="auto"/>
                <w:szCs w:val="21"/>
                <w:lang w:val="en-US" w:eastAsia="zh-CN"/>
              </w:rPr>
              <w:t>≤0.05</w:t>
            </w:r>
          </w:p>
        </w:tc>
        <w:tc>
          <w:tcPr>
            <w:tcW w:w="420" w:type="pct"/>
            <w:tcBorders>
              <w:tl2br w:val="nil"/>
              <w:tr2bl w:val="nil"/>
            </w:tcBorders>
            <w:shd w:val="clear" w:color="auto" w:fill="auto"/>
            <w:noWrap/>
            <w:vAlign w:val="center"/>
          </w:tcPr>
          <w:p w14:paraId="19096355">
            <w:pPr>
              <w:jc w:val="center"/>
              <w:rPr>
                <w:color w:val="auto"/>
                <w:szCs w:val="21"/>
              </w:rPr>
            </w:pPr>
            <w:r>
              <w:rPr>
                <w:rFonts w:hint="eastAsia"/>
                <w:color w:val="auto"/>
                <w:szCs w:val="21"/>
                <w:lang w:val="en-US" w:eastAsia="zh-CN"/>
              </w:rPr>
              <w:t>≤0.001</w:t>
            </w:r>
          </w:p>
        </w:tc>
      </w:tr>
      <w:tr w14:paraId="0D5E985B">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75" w:type="pct"/>
            <w:vMerge w:val="continue"/>
            <w:tcBorders>
              <w:tl2br w:val="nil"/>
              <w:tr2bl w:val="nil"/>
            </w:tcBorders>
            <w:shd w:val="clear" w:color="auto" w:fill="auto"/>
            <w:noWrap w:val="0"/>
            <w:vAlign w:val="center"/>
          </w:tcPr>
          <w:p w14:paraId="4A019634">
            <w:pPr>
              <w:spacing w:before="31" w:beforeLines="10" w:line="264" w:lineRule="auto"/>
              <w:jc w:val="center"/>
              <w:rPr>
                <w:color w:val="auto"/>
                <w:szCs w:val="21"/>
              </w:rPr>
            </w:pPr>
          </w:p>
        </w:tc>
        <w:tc>
          <w:tcPr>
            <w:tcW w:w="643" w:type="pct"/>
            <w:gridSpan w:val="2"/>
            <w:tcBorders>
              <w:tl2br w:val="nil"/>
              <w:tr2bl w:val="nil"/>
            </w:tcBorders>
            <w:shd w:val="clear" w:color="auto" w:fill="auto"/>
            <w:noWrap/>
            <w:vAlign w:val="center"/>
          </w:tcPr>
          <w:p w14:paraId="4A0715D4">
            <w:pPr>
              <w:spacing w:before="31" w:beforeLines="10" w:line="264" w:lineRule="auto"/>
              <w:jc w:val="center"/>
              <w:rPr>
                <w:color w:val="auto"/>
                <w:szCs w:val="21"/>
              </w:rPr>
            </w:pPr>
            <w:r>
              <w:rPr>
                <w:rFonts w:hint="eastAsia"/>
                <w:color w:val="auto"/>
                <w:szCs w:val="21"/>
                <w:lang w:val="en-US" w:eastAsia="zh-CN"/>
              </w:rPr>
              <w:t>是否达标</w:t>
            </w:r>
          </w:p>
        </w:tc>
        <w:tc>
          <w:tcPr>
            <w:tcW w:w="320" w:type="pct"/>
            <w:tcBorders>
              <w:tl2br w:val="nil"/>
              <w:tr2bl w:val="nil"/>
            </w:tcBorders>
            <w:shd w:val="clear" w:color="auto" w:fill="auto"/>
            <w:noWrap/>
            <w:vAlign w:val="center"/>
          </w:tcPr>
          <w:p w14:paraId="6DEDB60F">
            <w:pPr>
              <w:jc w:val="center"/>
              <w:rPr>
                <w:color w:val="auto"/>
                <w:szCs w:val="21"/>
              </w:rPr>
            </w:pPr>
            <w:r>
              <w:rPr>
                <w:rFonts w:hint="eastAsia"/>
                <w:color w:val="auto"/>
                <w:szCs w:val="21"/>
                <w:lang w:val="en-US" w:eastAsia="zh-CN"/>
              </w:rPr>
              <w:t>达标</w:t>
            </w:r>
          </w:p>
        </w:tc>
        <w:tc>
          <w:tcPr>
            <w:tcW w:w="388" w:type="pct"/>
            <w:tcBorders>
              <w:tl2br w:val="nil"/>
              <w:tr2bl w:val="nil"/>
            </w:tcBorders>
            <w:shd w:val="clear" w:color="auto" w:fill="auto"/>
            <w:noWrap/>
            <w:vAlign w:val="center"/>
          </w:tcPr>
          <w:p w14:paraId="03C715CA">
            <w:pPr>
              <w:jc w:val="center"/>
              <w:rPr>
                <w:color w:val="auto"/>
                <w:szCs w:val="21"/>
              </w:rPr>
            </w:pPr>
            <w:r>
              <w:rPr>
                <w:rFonts w:hint="eastAsia"/>
                <w:color w:val="auto"/>
                <w:szCs w:val="21"/>
                <w:lang w:val="en-US" w:eastAsia="zh-CN"/>
              </w:rPr>
              <w:t>达标</w:t>
            </w:r>
          </w:p>
        </w:tc>
        <w:tc>
          <w:tcPr>
            <w:tcW w:w="388" w:type="pct"/>
            <w:tcBorders>
              <w:tl2br w:val="nil"/>
              <w:tr2bl w:val="nil"/>
            </w:tcBorders>
            <w:shd w:val="clear" w:color="auto" w:fill="auto"/>
            <w:noWrap/>
            <w:vAlign w:val="center"/>
          </w:tcPr>
          <w:p w14:paraId="0E68AF6E">
            <w:pPr>
              <w:jc w:val="center"/>
              <w:rPr>
                <w:color w:val="auto"/>
                <w:szCs w:val="21"/>
              </w:rPr>
            </w:pPr>
            <w:r>
              <w:rPr>
                <w:rFonts w:hint="eastAsia"/>
                <w:color w:val="auto"/>
                <w:szCs w:val="21"/>
                <w:lang w:val="en-US" w:eastAsia="zh-CN"/>
              </w:rPr>
              <w:t>达标</w:t>
            </w:r>
          </w:p>
        </w:tc>
        <w:tc>
          <w:tcPr>
            <w:tcW w:w="388" w:type="pct"/>
            <w:tcBorders>
              <w:tl2br w:val="nil"/>
              <w:tr2bl w:val="nil"/>
            </w:tcBorders>
            <w:shd w:val="clear" w:color="auto" w:fill="auto"/>
            <w:noWrap/>
            <w:vAlign w:val="center"/>
          </w:tcPr>
          <w:p w14:paraId="1AA8AEA7">
            <w:pPr>
              <w:jc w:val="center"/>
              <w:rPr>
                <w:color w:val="auto"/>
                <w:szCs w:val="21"/>
              </w:rPr>
            </w:pPr>
            <w:r>
              <w:rPr>
                <w:rFonts w:hint="eastAsia"/>
                <w:color w:val="auto"/>
                <w:szCs w:val="21"/>
                <w:lang w:val="en-US" w:eastAsia="zh-CN"/>
              </w:rPr>
              <w:t>达标</w:t>
            </w:r>
          </w:p>
        </w:tc>
        <w:tc>
          <w:tcPr>
            <w:tcW w:w="383" w:type="pct"/>
            <w:tcBorders>
              <w:tl2br w:val="nil"/>
              <w:tr2bl w:val="nil"/>
            </w:tcBorders>
            <w:shd w:val="clear" w:color="auto" w:fill="auto"/>
            <w:noWrap/>
            <w:vAlign w:val="center"/>
          </w:tcPr>
          <w:p w14:paraId="542F30AE">
            <w:pPr>
              <w:jc w:val="center"/>
              <w:rPr>
                <w:color w:val="auto"/>
                <w:szCs w:val="21"/>
              </w:rPr>
            </w:pPr>
            <w:r>
              <w:rPr>
                <w:rFonts w:hint="eastAsia"/>
                <w:color w:val="auto"/>
                <w:szCs w:val="21"/>
                <w:lang w:val="en-US" w:eastAsia="zh-CN"/>
              </w:rPr>
              <w:t>达标</w:t>
            </w:r>
          </w:p>
        </w:tc>
        <w:tc>
          <w:tcPr>
            <w:tcW w:w="395" w:type="pct"/>
            <w:tcBorders>
              <w:tl2br w:val="nil"/>
              <w:tr2bl w:val="nil"/>
            </w:tcBorders>
            <w:shd w:val="clear" w:color="auto" w:fill="auto"/>
            <w:noWrap/>
            <w:vAlign w:val="center"/>
          </w:tcPr>
          <w:p w14:paraId="068B583C">
            <w:pPr>
              <w:jc w:val="center"/>
              <w:rPr>
                <w:color w:val="auto"/>
                <w:szCs w:val="21"/>
              </w:rPr>
            </w:pPr>
            <w:r>
              <w:rPr>
                <w:rFonts w:hint="eastAsia"/>
                <w:color w:val="auto"/>
                <w:szCs w:val="21"/>
                <w:lang w:val="en-US" w:eastAsia="zh-CN"/>
              </w:rPr>
              <w:t>达标</w:t>
            </w:r>
          </w:p>
        </w:tc>
        <w:tc>
          <w:tcPr>
            <w:tcW w:w="364" w:type="pct"/>
            <w:tcBorders>
              <w:tl2br w:val="nil"/>
              <w:tr2bl w:val="nil"/>
            </w:tcBorders>
            <w:shd w:val="clear" w:color="auto" w:fill="auto"/>
            <w:noWrap/>
            <w:vAlign w:val="center"/>
          </w:tcPr>
          <w:p w14:paraId="5714224E">
            <w:pPr>
              <w:jc w:val="center"/>
              <w:rPr>
                <w:color w:val="auto"/>
                <w:szCs w:val="21"/>
              </w:rPr>
            </w:pPr>
            <w:r>
              <w:rPr>
                <w:rFonts w:hint="eastAsia"/>
                <w:color w:val="auto"/>
                <w:szCs w:val="21"/>
                <w:lang w:val="en-US" w:eastAsia="zh-CN"/>
              </w:rPr>
              <w:t>达标</w:t>
            </w:r>
          </w:p>
        </w:tc>
        <w:tc>
          <w:tcPr>
            <w:tcW w:w="364" w:type="pct"/>
            <w:tcBorders>
              <w:tl2br w:val="nil"/>
              <w:tr2bl w:val="nil"/>
            </w:tcBorders>
            <w:shd w:val="clear" w:color="auto" w:fill="auto"/>
            <w:noWrap/>
            <w:vAlign w:val="center"/>
          </w:tcPr>
          <w:p w14:paraId="555873F3">
            <w:pPr>
              <w:jc w:val="center"/>
              <w:rPr>
                <w:color w:val="auto"/>
                <w:szCs w:val="21"/>
              </w:rPr>
            </w:pPr>
            <w:r>
              <w:rPr>
                <w:rFonts w:hint="eastAsia"/>
                <w:color w:val="auto"/>
                <w:szCs w:val="21"/>
                <w:lang w:val="en-US" w:eastAsia="zh-CN"/>
              </w:rPr>
              <w:t>达标</w:t>
            </w:r>
          </w:p>
        </w:tc>
        <w:tc>
          <w:tcPr>
            <w:tcW w:w="364" w:type="pct"/>
            <w:tcBorders>
              <w:tl2br w:val="nil"/>
              <w:tr2bl w:val="nil"/>
            </w:tcBorders>
            <w:shd w:val="clear" w:color="auto" w:fill="auto"/>
            <w:noWrap/>
            <w:vAlign w:val="center"/>
          </w:tcPr>
          <w:p w14:paraId="7F574D8B">
            <w:pPr>
              <w:jc w:val="center"/>
              <w:rPr>
                <w:color w:val="auto"/>
                <w:szCs w:val="21"/>
              </w:rPr>
            </w:pPr>
            <w:r>
              <w:rPr>
                <w:rFonts w:hint="eastAsia"/>
                <w:color w:val="auto"/>
                <w:szCs w:val="21"/>
                <w:lang w:val="en-US" w:eastAsia="zh-CN"/>
              </w:rPr>
              <w:t>达标</w:t>
            </w:r>
          </w:p>
        </w:tc>
        <w:tc>
          <w:tcPr>
            <w:tcW w:w="420" w:type="pct"/>
            <w:tcBorders>
              <w:tl2br w:val="nil"/>
              <w:tr2bl w:val="nil"/>
            </w:tcBorders>
            <w:shd w:val="clear" w:color="auto" w:fill="auto"/>
            <w:noWrap/>
            <w:vAlign w:val="center"/>
          </w:tcPr>
          <w:p w14:paraId="1532D314">
            <w:pPr>
              <w:jc w:val="center"/>
              <w:rPr>
                <w:color w:val="auto"/>
                <w:szCs w:val="21"/>
              </w:rPr>
            </w:pPr>
            <w:r>
              <w:rPr>
                <w:rFonts w:hint="eastAsia"/>
                <w:color w:val="auto"/>
                <w:szCs w:val="21"/>
                <w:lang w:val="en-US" w:eastAsia="zh-CN"/>
              </w:rPr>
              <w:t>达标</w:t>
            </w:r>
          </w:p>
        </w:tc>
      </w:tr>
      <w:tr w14:paraId="6BBC7162">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jc w:val="center"/>
        </w:trPr>
        <w:tc>
          <w:tcPr>
            <w:tcW w:w="5000" w:type="pct"/>
            <w:gridSpan w:val="13"/>
            <w:tcBorders>
              <w:tl2br w:val="nil"/>
              <w:tr2bl w:val="nil"/>
            </w:tcBorders>
            <w:shd w:val="clear" w:color="auto" w:fill="auto"/>
            <w:noWrap w:val="0"/>
            <w:vAlign w:val="center"/>
          </w:tcPr>
          <w:p w14:paraId="6B0CFF3B">
            <w:pPr>
              <w:spacing w:before="31" w:beforeLines="10" w:line="264" w:lineRule="auto"/>
              <w:rPr>
                <w:color w:val="auto"/>
                <w:szCs w:val="21"/>
              </w:rPr>
            </w:pPr>
            <w:r>
              <w:rPr>
                <w:color w:val="auto"/>
                <w:szCs w:val="21"/>
              </w:rPr>
              <w:t>备注：ND表示未检出。</w:t>
            </w:r>
          </w:p>
        </w:tc>
      </w:tr>
    </w:tbl>
    <w:p w14:paraId="2AB1C8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3"/>
        <w:rPr>
          <w:rFonts w:hint="eastAsia"/>
          <w:b w:val="0"/>
          <w:bCs w:val="0"/>
          <w:color w:val="auto"/>
          <w:sz w:val="24"/>
          <w:szCs w:val="32"/>
          <w:lang w:val="en-US" w:eastAsia="zh-CN"/>
        </w:rPr>
      </w:pPr>
    </w:p>
    <w:p w14:paraId="48B80EC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3"/>
        <w:rPr>
          <w:rFonts w:hint="eastAsia"/>
          <w:b w:val="0"/>
          <w:bCs w:val="0"/>
          <w:color w:val="auto"/>
          <w:sz w:val="24"/>
          <w:szCs w:val="32"/>
          <w:lang w:val="en-US" w:eastAsia="zh-CN"/>
        </w:rPr>
      </w:pPr>
      <w:r>
        <w:rPr>
          <w:rFonts w:hint="eastAsia"/>
          <w:b w:val="0"/>
          <w:bCs w:val="0"/>
          <w:color w:val="auto"/>
          <w:sz w:val="24"/>
          <w:szCs w:val="32"/>
          <w:lang w:val="en-US" w:eastAsia="zh-CN"/>
        </w:rPr>
        <w:t>根据上述水质监测与评价结果可知，环评阶段各监测点位的监测指标均达到《地下水质量标准》（GB14848-93）中Ⅲ类标准，表明区域地下水环境质量较好。</w:t>
      </w:r>
    </w:p>
    <w:p w14:paraId="28CCFD3E">
      <w:pPr>
        <w:keepNext w:val="0"/>
        <w:keepLines w:val="0"/>
        <w:pageBreakBefore w:val="0"/>
        <w:widowControl w:val="0"/>
        <w:kinsoku/>
        <w:wordWrap/>
        <w:overflowPunct/>
        <w:topLinePunct w:val="0"/>
        <w:autoSpaceDE/>
        <w:autoSpaceDN/>
        <w:bidi w:val="0"/>
        <w:adjustRightInd/>
        <w:snapToGrid/>
        <w:spacing w:line="360" w:lineRule="auto"/>
        <w:textAlignment w:val="auto"/>
        <w:outlineLvl w:val="3"/>
        <w:rPr>
          <w:b/>
          <w:bCs/>
          <w:color w:val="auto"/>
          <w:sz w:val="24"/>
          <w:szCs w:val="32"/>
        </w:rPr>
      </w:pPr>
      <w:r>
        <w:rPr>
          <w:rFonts w:hint="eastAsia"/>
          <w:b/>
          <w:bCs/>
          <w:color w:val="auto"/>
          <w:sz w:val="24"/>
          <w:szCs w:val="32"/>
          <w:lang w:val="en-US" w:eastAsia="zh-CN"/>
        </w:rPr>
        <w:t>2.3.1.4 环评阶段声环境质量监测情况</w:t>
      </w:r>
      <w:bookmarkEnd w:id="264"/>
      <w:bookmarkEnd w:id="265"/>
      <w:bookmarkEnd w:id="266"/>
    </w:p>
    <w:p w14:paraId="3D576BB3">
      <w:pPr>
        <w:spacing w:line="360" w:lineRule="auto"/>
        <w:ind w:firstLine="480" w:firstLineChars="200"/>
        <w:rPr>
          <w:color w:val="auto"/>
          <w:sz w:val="24"/>
          <w:szCs w:val="32"/>
        </w:rPr>
      </w:pPr>
      <w:r>
        <w:rPr>
          <w:color w:val="auto"/>
          <w:sz w:val="24"/>
          <w:szCs w:val="32"/>
        </w:rPr>
        <w:t>环评阶段声环境监测布点在厂界</w:t>
      </w:r>
      <w:r>
        <w:rPr>
          <w:rFonts w:hint="eastAsia"/>
          <w:color w:val="auto"/>
          <w:sz w:val="24"/>
          <w:szCs w:val="32"/>
          <w:lang w:val="en-US" w:eastAsia="zh-CN"/>
        </w:rPr>
        <w:t>四周</w:t>
      </w:r>
      <w:r>
        <w:rPr>
          <w:color w:val="auto"/>
          <w:sz w:val="24"/>
          <w:szCs w:val="32"/>
        </w:rPr>
        <w:t>布设</w:t>
      </w:r>
      <w:r>
        <w:rPr>
          <w:rFonts w:hint="eastAsia"/>
          <w:color w:val="auto"/>
          <w:sz w:val="24"/>
          <w:szCs w:val="32"/>
          <w:lang w:val="en-US" w:eastAsia="zh-CN"/>
        </w:rPr>
        <w:t>4</w:t>
      </w:r>
      <w:r>
        <w:rPr>
          <w:color w:val="auto"/>
          <w:sz w:val="24"/>
          <w:szCs w:val="32"/>
        </w:rPr>
        <w:t>个监测点，监测时间为201</w:t>
      </w:r>
      <w:r>
        <w:rPr>
          <w:rFonts w:hint="eastAsia"/>
          <w:color w:val="auto"/>
          <w:sz w:val="24"/>
          <w:szCs w:val="32"/>
          <w:lang w:val="en-US" w:eastAsia="zh-CN"/>
        </w:rPr>
        <w:t>4</w:t>
      </w:r>
      <w:r>
        <w:rPr>
          <w:color w:val="auto"/>
          <w:sz w:val="24"/>
          <w:szCs w:val="32"/>
        </w:rPr>
        <w:t>年</w:t>
      </w:r>
      <w:r>
        <w:rPr>
          <w:rFonts w:hint="eastAsia"/>
          <w:color w:val="auto"/>
          <w:sz w:val="24"/>
          <w:szCs w:val="32"/>
          <w:lang w:val="en-US" w:eastAsia="zh-CN"/>
        </w:rPr>
        <w:t>7</w:t>
      </w:r>
      <w:r>
        <w:rPr>
          <w:color w:val="auto"/>
          <w:sz w:val="24"/>
          <w:szCs w:val="32"/>
        </w:rPr>
        <w:t>月</w:t>
      </w:r>
      <w:r>
        <w:rPr>
          <w:rFonts w:hint="eastAsia"/>
          <w:color w:val="auto"/>
          <w:sz w:val="24"/>
          <w:szCs w:val="32"/>
          <w:lang w:val="en-US" w:eastAsia="zh-CN"/>
        </w:rPr>
        <w:t>8</w:t>
      </w:r>
      <w:r>
        <w:rPr>
          <w:color w:val="auto"/>
          <w:sz w:val="24"/>
          <w:szCs w:val="32"/>
        </w:rPr>
        <w:t>日，监测结果汇总见下表：</w:t>
      </w:r>
    </w:p>
    <w:p w14:paraId="2F33491E">
      <w:pPr>
        <w:spacing w:line="360" w:lineRule="auto"/>
        <w:jc w:val="center"/>
        <w:rPr>
          <w:b/>
          <w:bCs/>
          <w:color w:val="auto"/>
          <w:sz w:val="24"/>
          <w:szCs w:val="32"/>
        </w:rPr>
      </w:pPr>
      <w:r>
        <w:rPr>
          <w:b/>
          <w:bCs/>
          <w:color w:val="auto"/>
          <w:sz w:val="24"/>
          <w:szCs w:val="32"/>
        </w:rPr>
        <w:t>表2-</w:t>
      </w:r>
      <w:r>
        <w:rPr>
          <w:rFonts w:hint="eastAsia"/>
          <w:b/>
          <w:bCs/>
          <w:color w:val="auto"/>
          <w:sz w:val="24"/>
          <w:szCs w:val="32"/>
          <w:lang w:val="en-US" w:eastAsia="zh-CN"/>
        </w:rPr>
        <w:t>17</w:t>
      </w:r>
      <w:r>
        <w:rPr>
          <w:b/>
          <w:bCs/>
          <w:color w:val="auto"/>
          <w:sz w:val="24"/>
          <w:szCs w:val="32"/>
        </w:rPr>
        <w:t xml:space="preserve"> 噪声监测结果汇总表</w:t>
      </w:r>
    </w:p>
    <w:tbl>
      <w:tblPr>
        <w:tblStyle w:val="31"/>
        <w:tblW w:w="4998" w:type="pct"/>
        <w:jc w:val="right"/>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15" w:type="dxa"/>
          <w:left w:w="15" w:type="dxa"/>
          <w:bottom w:w="15" w:type="dxa"/>
          <w:right w:w="15" w:type="dxa"/>
        </w:tblCellMar>
      </w:tblPr>
      <w:tblGrid>
        <w:gridCol w:w="1165"/>
        <w:gridCol w:w="4603"/>
        <w:gridCol w:w="2303"/>
        <w:gridCol w:w="1701"/>
      </w:tblGrid>
      <w:tr w14:paraId="7A5EA3A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blHeader/>
          <w:jc w:val="right"/>
        </w:trPr>
        <w:tc>
          <w:tcPr>
            <w:tcW w:w="596" w:type="pct"/>
            <w:vMerge w:val="restart"/>
            <w:tcBorders>
              <w:tl2br w:val="nil"/>
              <w:tr2bl w:val="nil"/>
            </w:tcBorders>
            <w:noWrap/>
            <w:vAlign w:val="center"/>
          </w:tcPr>
          <w:p w14:paraId="0E75DAD6">
            <w:pPr>
              <w:widowControl/>
              <w:snapToGrid w:val="0"/>
              <w:jc w:val="center"/>
              <w:textAlignment w:val="center"/>
              <w:rPr>
                <w:b/>
                <w:color w:val="auto"/>
                <w:szCs w:val="21"/>
              </w:rPr>
            </w:pPr>
            <w:r>
              <w:rPr>
                <w:b/>
                <w:color w:val="auto"/>
                <w:kern w:val="0"/>
                <w:szCs w:val="21"/>
                <w:lang w:bidi="ar"/>
              </w:rPr>
              <w:t>序号</w:t>
            </w:r>
          </w:p>
        </w:tc>
        <w:tc>
          <w:tcPr>
            <w:tcW w:w="2354" w:type="pct"/>
            <w:vMerge w:val="restart"/>
            <w:tcBorders>
              <w:tl2br w:val="nil"/>
              <w:tr2bl w:val="nil"/>
            </w:tcBorders>
            <w:noWrap/>
            <w:vAlign w:val="center"/>
          </w:tcPr>
          <w:p w14:paraId="3101F5CD">
            <w:pPr>
              <w:widowControl/>
              <w:snapToGrid w:val="0"/>
              <w:jc w:val="center"/>
              <w:textAlignment w:val="center"/>
              <w:rPr>
                <w:b/>
                <w:color w:val="auto"/>
                <w:szCs w:val="21"/>
              </w:rPr>
            </w:pPr>
            <w:r>
              <w:rPr>
                <w:b/>
                <w:color w:val="auto"/>
                <w:kern w:val="0"/>
                <w:szCs w:val="21"/>
                <w:lang w:bidi="ar"/>
              </w:rPr>
              <w:t>检测点位</w:t>
            </w:r>
          </w:p>
        </w:tc>
        <w:tc>
          <w:tcPr>
            <w:tcW w:w="2048" w:type="pct"/>
            <w:gridSpan w:val="2"/>
            <w:tcBorders>
              <w:tl2br w:val="nil"/>
              <w:tr2bl w:val="nil"/>
            </w:tcBorders>
            <w:noWrap/>
            <w:vAlign w:val="center"/>
          </w:tcPr>
          <w:p w14:paraId="5ABAFF26">
            <w:pPr>
              <w:widowControl/>
              <w:snapToGrid w:val="0"/>
              <w:jc w:val="center"/>
              <w:textAlignment w:val="center"/>
              <w:rPr>
                <w:b/>
                <w:color w:val="auto"/>
                <w:szCs w:val="21"/>
              </w:rPr>
            </w:pPr>
            <w:r>
              <w:rPr>
                <w:b/>
                <w:color w:val="auto"/>
                <w:kern w:val="0"/>
                <w:szCs w:val="21"/>
                <w:lang w:bidi="ar"/>
              </w:rPr>
              <w:t>201</w:t>
            </w:r>
            <w:r>
              <w:rPr>
                <w:rFonts w:hint="eastAsia"/>
                <w:b/>
                <w:color w:val="auto"/>
                <w:kern w:val="0"/>
                <w:szCs w:val="21"/>
                <w:lang w:val="en-US" w:eastAsia="zh-CN" w:bidi="ar"/>
              </w:rPr>
              <w:t>4</w:t>
            </w:r>
            <w:r>
              <w:rPr>
                <w:b/>
                <w:color w:val="auto"/>
                <w:kern w:val="0"/>
                <w:szCs w:val="21"/>
                <w:lang w:bidi="ar"/>
              </w:rPr>
              <w:t>年</w:t>
            </w:r>
            <w:r>
              <w:rPr>
                <w:rFonts w:hint="eastAsia"/>
                <w:b/>
                <w:color w:val="auto"/>
                <w:kern w:val="0"/>
                <w:szCs w:val="21"/>
                <w:lang w:val="en-US" w:eastAsia="zh-CN" w:bidi="ar"/>
              </w:rPr>
              <w:t>7</w:t>
            </w:r>
            <w:r>
              <w:rPr>
                <w:b/>
                <w:color w:val="auto"/>
                <w:kern w:val="0"/>
                <w:szCs w:val="21"/>
                <w:lang w:bidi="ar"/>
              </w:rPr>
              <w:t>月</w:t>
            </w:r>
            <w:r>
              <w:rPr>
                <w:rFonts w:hint="eastAsia"/>
                <w:b/>
                <w:color w:val="auto"/>
                <w:kern w:val="0"/>
                <w:szCs w:val="21"/>
                <w:lang w:val="en-US" w:eastAsia="zh-CN" w:bidi="ar"/>
              </w:rPr>
              <w:t>8</w:t>
            </w:r>
            <w:r>
              <w:rPr>
                <w:b/>
                <w:color w:val="auto"/>
                <w:kern w:val="0"/>
                <w:szCs w:val="21"/>
                <w:lang w:bidi="ar"/>
              </w:rPr>
              <w:t>日</w:t>
            </w:r>
          </w:p>
        </w:tc>
      </w:tr>
      <w:tr w14:paraId="4D57591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blHeader/>
          <w:jc w:val="right"/>
        </w:trPr>
        <w:tc>
          <w:tcPr>
            <w:tcW w:w="596" w:type="pct"/>
            <w:vMerge w:val="continue"/>
            <w:tcBorders>
              <w:tl2br w:val="nil"/>
              <w:tr2bl w:val="nil"/>
            </w:tcBorders>
            <w:noWrap/>
            <w:vAlign w:val="center"/>
          </w:tcPr>
          <w:p w14:paraId="14A82322">
            <w:pPr>
              <w:widowControl/>
              <w:snapToGrid w:val="0"/>
              <w:jc w:val="center"/>
              <w:rPr>
                <w:b/>
                <w:color w:val="auto"/>
                <w:szCs w:val="21"/>
              </w:rPr>
            </w:pPr>
          </w:p>
        </w:tc>
        <w:tc>
          <w:tcPr>
            <w:tcW w:w="2354" w:type="pct"/>
            <w:vMerge w:val="continue"/>
            <w:tcBorders>
              <w:tl2br w:val="nil"/>
              <w:tr2bl w:val="nil"/>
            </w:tcBorders>
            <w:noWrap/>
            <w:vAlign w:val="center"/>
          </w:tcPr>
          <w:p w14:paraId="47D28AAC">
            <w:pPr>
              <w:widowControl/>
              <w:snapToGrid w:val="0"/>
              <w:jc w:val="center"/>
              <w:rPr>
                <w:b/>
                <w:color w:val="auto"/>
                <w:szCs w:val="21"/>
              </w:rPr>
            </w:pPr>
          </w:p>
        </w:tc>
        <w:tc>
          <w:tcPr>
            <w:tcW w:w="1178" w:type="pct"/>
            <w:tcBorders>
              <w:tl2br w:val="nil"/>
              <w:tr2bl w:val="nil"/>
            </w:tcBorders>
            <w:noWrap/>
            <w:vAlign w:val="center"/>
          </w:tcPr>
          <w:p w14:paraId="4E4A8CB7">
            <w:pPr>
              <w:widowControl/>
              <w:snapToGrid w:val="0"/>
              <w:jc w:val="center"/>
              <w:textAlignment w:val="center"/>
              <w:rPr>
                <w:b/>
                <w:color w:val="auto"/>
                <w:szCs w:val="21"/>
              </w:rPr>
            </w:pPr>
            <w:r>
              <w:rPr>
                <w:b/>
                <w:color w:val="auto"/>
                <w:kern w:val="0"/>
                <w:szCs w:val="21"/>
                <w:lang w:bidi="ar"/>
              </w:rPr>
              <w:t>昼间Leq</w:t>
            </w:r>
          </w:p>
        </w:tc>
        <w:tc>
          <w:tcPr>
            <w:tcW w:w="870" w:type="pct"/>
            <w:tcBorders>
              <w:tl2br w:val="nil"/>
              <w:tr2bl w:val="nil"/>
            </w:tcBorders>
            <w:noWrap/>
            <w:vAlign w:val="center"/>
          </w:tcPr>
          <w:p w14:paraId="470810AA">
            <w:pPr>
              <w:widowControl/>
              <w:snapToGrid w:val="0"/>
              <w:jc w:val="center"/>
              <w:textAlignment w:val="center"/>
              <w:rPr>
                <w:b/>
                <w:color w:val="auto"/>
                <w:szCs w:val="21"/>
              </w:rPr>
            </w:pPr>
            <w:r>
              <w:rPr>
                <w:b/>
                <w:color w:val="auto"/>
                <w:kern w:val="0"/>
                <w:szCs w:val="21"/>
                <w:lang w:bidi="ar"/>
              </w:rPr>
              <w:t>夜间Leq</w:t>
            </w:r>
          </w:p>
        </w:tc>
      </w:tr>
      <w:tr w14:paraId="65CEDA0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right"/>
        </w:trPr>
        <w:tc>
          <w:tcPr>
            <w:tcW w:w="596" w:type="pct"/>
            <w:tcBorders>
              <w:tl2br w:val="nil"/>
              <w:tr2bl w:val="nil"/>
            </w:tcBorders>
            <w:noWrap/>
            <w:vAlign w:val="center"/>
          </w:tcPr>
          <w:p w14:paraId="34A1A0B4">
            <w:pPr>
              <w:widowControl/>
              <w:snapToGrid w:val="0"/>
              <w:jc w:val="center"/>
              <w:textAlignment w:val="center"/>
              <w:rPr>
                <w:color w:val="auto"/>
                <w:szCs w:val="21"/>
              </w:rPr>
            </w:pPr>
            <w:r>
              <w:rPr>
                <w:color w:val="auto"/>
                <w:kern w:val="0"/>
                <w:szCs w:val="21"/>
                <w:lang w:bidi="ar"/>
              </w:rPr>
              <w:t>NI</w:t>
            </w:r>
          </w:p>
        </w:tc>
        <w:tc>
          <w:tcPr>
            <w:tcW w:w="2354" w:type="pct"/>
            <w:tcBorders>
              <w:tl2br w:val="nil"/>
              <w:tr2bl w:val="nil"/>
            </w:tcBorders>
            <w:noWrap/>
            <w:vAlign w:val="center"/>
          </w:tcPr>
          <w:p w14:paraId="074ED5DD">
            <w:pPr>
              <w:widowControl/>
              <w:snapToGrid w:val="0"/>
              <w:jc w:val="center"/>
              <w:textAlignment w:val="center"/>
              <w:rPr>
                <w:color w:val="auto"/>
                <w:szCs w:val="21"/>
              </w:rPr>
            </w:pPr>
            <w:r>
              <w:rPr>
                <w:color w:val="auto"/>
                <w:kern w:val="0"/>
                <w:szCs w:val="21"/>
                <w:lang w:bidi="ar"/>
              </w:rPr>
              <w:t>项目东侧厂界外1m</w:t>
            </w:r>
          </w:p>
        </w:tc>
        <w:tc>
          <w:tcPr>
            <w:tcW w:w="1178" w:type="pct"/>
            <w:tcBorders>
              <w:tl2br w:val="nil"/>
              <w:tr2bl w:val="nil"/>
            </w:tcBorders>
            <w:noWrap/>
            <w:vAlign w:val="center"/>
          </w:tcPr>
          <w:p w14:paraId="7E29F089">
            <w:pPr>
              <w:widowControl/>
              <w:snapToGrid w:val="0"/>
              <w:jc w:val="center"/>
              <w:textAlignment w:val="center"/>
              <w:rPr>
                <w:rFonts w:hint="default" w:eastAsia="宋体"/>
                <w:color w:val="auto"/>
                <w:szCs w:val="21"/>
                <w:lang w:val="en-US" w:eastAsia="zh-CN"/>
              </w:rPr>
            </w:pPr>
            <w:r>
              <w:rPr>
                <w:rFonts w:hint="eastAsia"/>
                <w:color w:val="auto"/>
                <w:kern w:val="0"/>
                <w:szCs w:val="21"/>
                <w:lang w:val="en-US" w:eastAsia="zh-CN" w:bidi="ar"/>
              </w:rPr>
              <w:t>50.3</w:t>
            </w:r>
          </w:p>
        </w:tc>
        <w:tc>
          <w:tcPr>
            <w:tcW w:w="870" w:type="pct"/>
            <w:tcBorders>
              <w:tl2br w:val="nil"/>
              <w:tr2bl w:val="nil"/>
            </w:tcBorders>
            <w:noWrap/>
            <w:vAlign w:val="center"/>
          </w:tcPr>
          <w:p w14:paraId="0E1C3FCE">
            <w:pPr>
              <w:widowControl/>
              <w:snapToGrid w:val="0"/>
              <w:jc w:val="center"/>
              <w:textAlignment w:val="center"/>
              <w:rPr>
                <w:rFonts w:hint="default" w:eastAsia="宋体"/>
                <w:color w:val="auto"/>
                <w:szCs w:val="21"/>
                <w:lang w:val="en-US" w:eastAsia="zh-CN"/>
              </w:rPr>
            </w:pPr>
            <w:r>
              <w:rPr>
                <w:rFonts w:hint="eastAsia"/>
                <w:color w:val="auto"/>
                <w:kern w:val="0"/>
                <w:szCs w:val="21"/>
                <w:lang w:val="en-US" w:eastAsia="zh-CN" w:bidi="ar"/>
              </w:rPr>
              <w:t>39.7</w:t>
            </w:r>
          </w:p>
        </w:tc>
      </w:tr>
      <w:tr w14:paraId="6F9B35E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right"/>
        </w:trPr>
        <w:tc>
          <w:tcPr>
            <w:tcW w:w="596" w:type="pct"/>
            <w:tcBorders>
              <w:tl2br w:val="nil"/>
              <w:tr2bl w:val="nil"/>
            </w:tcBorders>
            <w:noWrap/>
            <w:vAlign w:val="center"/>
          </w:tcPr>
          <w:p w14:paraId="0874ACD3">
            <w:pPr>
              <w:widowControl/>
              <w:snapToGrid w:val="0"/>
              <w:jc w:val="center"/>
              <w:textAlignment w:val="center"/>
              <w:rPr>
                <w:color w:val="auto"/>
                <w:szCs w:val="21"/>
              </w:rPr>
            </w:pPr>
            <w:r>
              <w:rPr>
                <w:color w:val="auto"/>
                <w:kern w:val="0"/>
                <w:szCs w:val="21"/>
                <w:lang w:bidi="ar"/>
              </w:rPr>
              <w:t>N2</w:t>
            </w:r>
          </w:p>
        </w:tc>
        <w:tc>
          <w:tcPr>
            <w:tcW w:w="2354" w:type="pct"/>
            <w:tcBorders>
              <w:tl2br w:val="nil"/>
              <w:tr2bl w:val="nil"/>
            </w:tcBorders>
            <w:noWrap/>
            <w:vAlign w:val="center"/>
          </w:tcPr>
          <w:p w14:paraId="3E96746B">
            <w:pPr>
              <w:widowControl/>
              <w:snapToGrid w:val="0"/>
              <w:jc w:val="center"/>
              <w:textAlignment w:val="center"/>
              <w:rPr>
                <w:color w:val="auto"/>
                <w:szCs w:val="21"/>
              </w:rPr>
            </w:pPr>
            <w:r>
              <w:rPr>
                <w:color w:val="auto"/>
                <w:kern w:val="0"/>
                <w:szCs w:val="21"/>
                <w:lang w:bidi="ar"/>
              </w:rPr>
              <w:t>项目南侧厂界外1m</w:t>
            </w:r>
          </w:p>
        </w:tc>
        <w:tc>
          <w:tcPr>
            <w:tcW w:w="1178" w:type="pct"/>
            <w:tcBorders>
              <w:tl2br w:val="nil"/>
              <w:tr2bl w:val="nil"/>
            </w:tcBorders>
            <w:noWrap/>
            <w:vAlign w:val="center"/>
          </w:tcPr>
          <w:p w14:paraId="0B280333">
            <w:pPr>
              <w:widowControl/>
              <w:snapToGrid w:val="0"/>
              <w:jc w:val="center"/>
              <w:textAlignment w:val="center"/>
              <w:rPr>
                <w:rFonts w:hint="default" w:eastAsia="宋体"/>
                <w:color w:val="auto"/>
                <w:szCs w:val="21"/>
                <w:lang w:val="en-US" w:eastAsia="zh-CN"/>
              </w:rPr>
            </w:pPr>
            <w:r>
              <w:rPr>
                <w:rFonts w:hint="eastAsia"/>
                <w:color w:val="auto"/>
                <w:kern w:val="0"/>
                <w:szCs w:val="21"/>
                <w:lang w:val="en-US" w:eastAsia="zh-CN" w:bidi="ar"/>
              </w:rPr>
              <w:t>51.2</w:t>
            </w:r>
          </w:p>
        </w:tc>
        <w:tc>
          <w:tcPr>
            <w:tcW w:w="870" w:type="pct"/>
            <w:tcBorders>
              <w:tl2br w:val="nil"/>
              <w:tr2bl w:val="nil"/>
            </w:tcBorders>
            <w:noWrap/>
            <w:vAlign w:val="center"/>
          </w:tcPr>
          <w:p w14:paraId="59092F66">
            <w:pPr>
              <w:widowControl/>
              <w:snapToGrid w:val="0"/>
              <w:jc w:val="center"/>
              <w:textAlignment w:val="center"/>
              <w:rPr>
                <w:rFonts w:hint="default" w:eastAsia="宋体"/>
                <w:color w:val="auto"/>
                <w:szCs w:val="21"/>
                <w:lang w:val="en-US" w:eastAsia="zh-CN"/>
              </w:rPr>
            </w:pPr>
            <w:r>
              <w:rPr>
                <w:rFonts w:hint="eastAsia"/>
                <w:color w:val="auto"/>
                <w:kern w:val="0"/>
                <w:szCs w:val="21"/>
                <w:lang w:val="en-US" w:eastAsia="zh-CN" w:bidi="ar"/>
              </w:rPr>
              <w:t>41.7</w:t>
            </w:r>
          </w:p>
        </w:tc>
      </w:tr>
      <w:tr w14:paraId="3CCC8DE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right"/>
        </w:trPr>
        <w:tc>
          <w:tcPr>
            <w:tcW w:w="596" w:type="pct"/>
            <w:tcBorders>
              <w:tl2br w:val="nil"/>
              <w:tr2bl w:val="nil"/>
            </w:tcBorders>
            <w:noWrap/>
            <w:vAlign w:val="center"/>
          </w:tcPr>
          <w:p w14:paraId="07D9266C">
            <w:pPr>
              <w:widowControl/>
              <w:snapToGrid w:val="0"/>
              <w:jc w:val="center"/>
              <w:textAlignment w:val="center"/>
              <w:rPr>
                <w:color w:val="auto"/>
                <w:szCs w:val="21"/>
              </w:rPr>
            </w:pPr>
            <w:r>
              <w:rPr>
                <w:color w:val="auto"/>
                <w:kern w:val="0"/>
                <w:szCs w:val="21"/>
                <w:lang w:bidi="ar"/>
              </w:rPr>
              <w:t>N3</w:t>
            </w:r>
          </w:p>
        </w:tc>
        <w:tc>
          <w:tcPr>
            <w:tcW w:w="2354" w:type="pct"/>
            <w:tcBorders>
              <w:tl2br w:val="nil"/>
              <w:tr2bl w:val="nil"/>
            </w:tcBorders>
            <w:noWrap/>
            <w:vAlign w:val="center"/>
          </w:tcPr>
          <w:p w14:paraId="1D525C0F">
            <w:pPr>
              <w:widowControl/>
              <w:snapToGrid w:val="0"/>
              <w:jc w:val="center"/>
              <w:textAlignment w:val="center"/>
              <w:rPr>
                <w:color w:val="auto"/>
                <w:szCs w:val="21"/>
              </w:rPr>
            </w:pPr>
            <w:r>
              <w:rPr>
                <w:color w:val="auto"/>
                <w:kern w:val="0"/>
                <w:szCs w:val="21"/>
                <w:lang w:bidi="ar"/>
              </w:rPr>
              <w:t>项目西侧厂界外1m</w:t>
            </w:r>
          </w:p>
        </w:tc>
        <w:tc>
          <w:tcPr>
            <w:tcW w:w="1178" w:type="pct"/>
            <w:tcBorders>
              <w:tl2br w:val="nil"/>
              <w:tr2bl w:val="nil"/>
            </w:tcBorders>
            <w:noWrap/>
            <w:vAlign w:val="center"/>
          </w:tcPr>
          <w:p w14:paraId="4E8404F5">
            <w:pPr>
              <w:widowControl/>
              <w:snapToGrid w:val="0"/>
              <w:jc w:val="center"/>
              <w:textAlignment w:val="center"/>
              <w:rPr>
                <w:rFonts w:hint="default" w:eastAsia="宋体"/>
                <w:color w:val="auto"/>
                <w:szCs w:val="21"/>
                <w:lang w:val="en-US" w:eastAsia="zh-CN"/>
              </w:rPr>
            </w:pPr>
            <w:r>
              <w:rPr>
                <w:rFonts w:hint="eastAsia"/>
                <w:color w:val="auto"/>
                <w:kern w:val="0"/>
                <w:szCs w:val="21"/>
                <w:lang w:val="en-US" w:eastAsia="zh-CN" w:bidi="ar"/>
              </w:rPr>
              <w:t>50.6</w:t>
            </w:r>
          </w:p>
        </w:tc>
        <w:tc>
          <w:tcPr>
            <w:tcW w:w="870" w:type="pct"/>
            <w:tcBorders>
              <w:tl2br w:val="nil"/>
              <w:tr2bl w:val="nil"/>
            </w:tcBorders>
            <w:noWrap/>
            <w:vAlign w:val="center"/>
          </w:tcPr>
          <w:p w14:paraId="21992F4A">
            <w:pPr>
              <w:widowControl/>
              <w:snapToGrid w:val="0"/>
              <w:jc w:val="center"/>
              <w:textAlignment w:val="center"/>
              <w:rPr>
                <w:rFonts w:hint="default" w:eastAsia="宋体"/>
                <w:color w:val="auto"/>
                <w:szCs w:val="21"/>
                <w:lang w:val="en-US" w:eastAsia="zh-CN"/>
              </w:rPr>
            </w:pPr>
            <w:r>
              <w:rPr>
                <w:rFonts w:hint="eastAsia"/>
                <w:color w:val="auto"/>
                <w:kern w:val="0"/>
                <w:szCs w:val="21"/>
                <w:lang w:val="en-US" w:eastAsia="zh-CN" w:bidi="ar"/>
              </w:rPr>
              <w:t>39.6</w:t>
            </w:r>
          </w:p>
        </w:tc>
      </w:tr>
      <w:tr w14:paraId="6466EE6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right"/>
        </w:trPr>
        <w:tc>
          <w:tcPr>
            <w:tcW w:w="596" w:type="pct"/>
            <w:tcBorders>
              <w:tl2br w:val="nil"/>
              <w:tr2bl w:val="nil"/>
            </w:tcBorders>
            <w:noWrap/>
            <w:vAlign w:val="center"/>
          </w:tcPr>
          <w:p w14:paraId="0EF2C315">
            <w:pPr>
              <w:widowControl/>
              <w:snapToGrid w:val="0"/>
              <w:jc w:val="center"/>
              <w:textAlignment w:val="center"/>
              <w:rPr>
                <w:color w:val="auto"/>
                <w:szCs w:val="21"/>
              </w:rPr>
            </w:pPr>
            <w:r>
              <w:rPr>
                <w:color w:val="auto"/>
                <w:kern w:val="0"/>
                <w:szCs w:val="21"/>
                <w:lang w:bidi="ar"/>
              </w:rPr>
              <w:t>N4</w:t>
            </w:r>
          </w:p>
        </w:tc>
        <w:tc>
          <w:tcPr>
            <w:tcW w:w="2354" w:type="pct"/>
            <w:tcBorders>
              <w:tl2br w:val="nil"/>
              <w:tr2bl w:val="nil"/>
            </w:tcBorders>
            <w:noWrap/>
            <w:vAlign w:val="center"/>
          </w:tcPr>
          <w:p w14:paraId="4DA4A586">
            <w:pPr>
              <w:widowControl/>
              <w:snapToGrid w:val="0"/>
              <w:jc w:val="center"/>
              <w:textAlignment w:val="center"/>
              <w:rPr>
                <w:color w:val="auto"/>
                <w:szCs w:val="21"/>
              </w:rPr>
            </w:pPr>
            <w:r>
              <w:rPr>
                <w:color w:val="auto"/>
                <w:kern w:val="0"/>
                <w:szCs w:val="21"/>
                <w:lang w:bidi="ar"/>
              </w:rPr>
              <w:t>项目北侧厂界外1m</w:t>
            </w:r>
          </w:p>
        </w:tc>
        <w:tc>
          <w:tcPr>
            <w:tcW w:w="1178" w:type="pct"/>
            <w:tcBorders>
              <w:tl2br w:val="nil"/>
              <w:tr2bl w:val="nil"/>
            </w:tcBorders>
            <w:noWrap/>
            <w:vAlign w:val="center"/>
          </w:tcPr>
          <w:p w14:paraId="78E5C215">
            <w:pPr>
              <w:widowControl/>
              <w:snapToGrid w:val="0"/>
              <w:jc w:val="center"/>
              <w:textAlignment w:val="center"/>
              <w:rPr>
                <w:rFonts w:hint="eastAsia" w:eastAsia="宋体"/>
                <w:color w:val="auto"/>
                <w:szCs w:val="21"/>
                <w:lang w:val="en-US" w:eastAsia="zh-CN"/>
              </w:rPr>
            </w:pPr>
            <w:r>
              <w:rPr>
                <w:color w:val="auto"/>
                <w:kern w:val="0"/>
                <w:szCs w:val="21"/>
                <w:lang w:bidi="ar"/>
              </w:rPr>
              <w:t>52.</w:t>
            </w:r>
            <w:r>
              <w:rPr>
                <w:rFonts w:hint="eastAsia"/>
                <w:color w:val="auto"/>
                <w:kern w:val="0"/>
                <w:szCs w:val="21"/>
                <w:lang w:val="en-US" w:eastAsia="zh-CN" w:bidi="ar"/>
              </w:rPr>
              <w:t>0</w:t>
            </w:r>
          </w:p>
        </w:tc>
        <w:tc>
          <w:tcPr>
            <w:tcW w:w="870" w:type="pct"/>
            <w:tcBorders>
              <w:tl2br w:val="nil"/>
              <w:tr2bl w:val="nil"/>
            </w:tcBorders>
            <w:noWrap/>
            <w:vAlign w:val="center"/>
          </w:tcPr>
          <w:p w14:paraId="3D11966B">
            <w:pPr>
              <w:widowControl/>
              <w:snapToGrid w:val="0"/>
              <w:jc w:val="center"/>
              <w:textAlignment w:val="center"/>
              <w:rPr>
                <w:rFonts w:hint="default" w:eastAsia="宋体"/>
                <w:color w:val="auto"/>
                <w:szCs w:val="21"/>
                <w:lang w:val="en-US" w:eastAsia="zh-CN"/>
              </w:rPr>
            </w:pPr>
            <w:r>
              <w:rPr>
                <w:rFonts w:hint="eastAsia"/>
                <w:color w:val="auto"/>
                <w:kern w:val="0"/>
                <w:szCs w:val="21"/>
                <w:lang w:val="en-US" w:eastAsia="zh-CN" w:bidi="ar"/>
              </w:rPr>
              <w:t>38.4</w:t>
            </w:r>
          </w:p>
        </w:tc>
      </w:tr>
    </w:tbl>
    <w:p w14:paraId="4E45832F">
      <w:pPr>
        <w:spacing w:line="360" w:lineRule="auto"/>
        <w:ind w:firstLine="480" w:firstLineChars="200"/>
        <w:rPr>
          <w:color w:val="auto"/>
          <w:sz w:val="24"/>
          <w:szCs w:val="32"/>
        </w:rPr>
      </w:pPr>
    </w:p>
    <w:p w14:paraId="5B9F6F38">
      <w:pPr>
        <w:spacing w:line="360" w:lineRule="auto"/>
        <w:ind w:firstLine="480" w:firstLineChars="200"/>
        <w:rPr>
          <w:color w:val="auto"/>
          <w:sz w:val="24"/>
          <w:szCs w:val="32"/>
        </w:rPr>
      </w:pPr>
      <w:r>
        <w:rPr>
          <w:color w:val="auto"/>
          <w:sz w:val="24"/>
          <w:szCs w:val="32"/>
        </w:rPr>
        <w:t>由上表可知，厂界昼夜噪声值满足《声环境质量标准》（GB3096-2008）中的</w:t>
      </w:r>
      <w:r>
        <w:rPr>
          <w:rFonts w:hint="eastAsia"/>
          <w:color w:val="auto"/>
          <w:sz w:val="24"/>
          <w:szCs w:val="32"/>
          <w:lang w:val="en-US" w:eastAsia="zh-CN"/>
        </w:rPr>
        <w:t>2</w:t>
      </w:r>
      <w:r>
        <w:rPr>
          <w:color w:val="auto"/>
          <w:sz w:val="24"/>
          <w:szCs w:val="32"/>
        </w:rPr>
        <w:t>类标准，表明项目区声环境质量良好，符合声环境相应功能区要求。</w:t>
      </w:r>
    </w:p>
    <w:p w14:paraId="2825671E">
      <w:pPr>
        <w:keepNext w:val="0"/>
        <w:keepLines w:val="0"/>
        <w:pageBreakBefore w:val="0"/>
        <w:widowControl w:val="0"/>
        <w:kinsoku/>
        <w:wordWrap/>
        <w:overflowPunct/>
        <w:topLinePunct w:val="0"/>
        <w:autoSpaceDE/>
        <w:autoSpaceDN/>
        <w:bidi w:val="0"/>
        <w:adjustRightInd/>
        <w:snapToGrid/>
        <w:spacing w:line="360" w:lineRule="auto"/>
        <w:textAlignment w:val="auto"/>
        <w:outlineLvl w:val="2"/>
        <w:rPr>
          <w:rFonts w:hint="default"/>
          <w:b/>
          <w:bCs/>
          <w:color w:val="auto"/>
          <w:sz w:val="24"/>
          <w:szCs w:val="32"/>
          <w:lang w:val="en-US"/>
        </w:rPr>
      </w:pPr>
      <w:bookmarkStart w:id="268" w:name="_Toc22927"/>
      <w:bookmarkStart w:id="269" w:name="_Toc2866"/>
      <w:r>
        <w:rPr>
          <w:rFonts w:hint="eastAsia"/>
          <w:b/>
          <w:bCs/>
          <w:color w:val="auto"/>
          <w:sz w:val="24"/>
          <w:szCs w:val="32"/>
          <w:lang w:val="en-US" w:eastAsia="zh-CN"/>
        </w:rPr>
        <w:t>2.3.1.5 环评阶段土壤环境质量监测情况</w:t>
      </w:r>
    </w:p>
    <w:p w14:paraId="44C3FC2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3"/>
        <w:rPr>
          <w:rFonts w:hint="eastAsia"/>
          <w:b w:val="0"/>
          <w:bCs w:val="0"/>
          <w:color w:val="auto"/>
          <w:sz w:val="24"/>
          <w:szCs w:val="32"/>
          <w:lang w:val="en-US" w:eastAsia="zh-CN"/>
        </w:rPr>
      </w:pPr>
      <w:r>
        <w:rPr>
          <w:rFonts w:hint="eastAsia"/>
          <w:b w:val="0"/>
          <w:bCs w:val="0"/>
          <w:color w:val="auto"/>
          <w:sz w:val="24"/>
          <w:szCs w:val="32"/>
          <w:lang w:eastAsia="zh-CN"/>
        </w:rPr>
        <w:t>（</w:t>
      </w:r>
      <w:r>
        <w:rPr>
          <w:rFonts w:hint="eastAsia"/>
          <w:b w:val="0"/>
          <w:bCs w:val="0"/>
          <w:color w:val="auto"/>
          <w:sz w:val="24"/>
          <w:szCs w:val="32"/>
          <w:lang w:val="en-US" w:eastAsia="zh-CN"/>
        </w:rPr>
        <w:t>1</w:t>
      </w:r>
      <w:r>
        <w:rPr>
          <w:rFonts w:hint="eastAsia"/>
          <w:b w:val="0"/>
          <w:bCs w:val="0"/>
          <w:color w:val="auto"/>
          <w:sz w:val="24"/>
          <w:szCs w:val="32"/>
          <w:lang w:eastAsia="zh-CN"/>
        </w:rPr>
        <w:t>）</w:t>
      </w:r>
      <w:r>
        <w:rPr>
          <w:rFonts w:hint="eastAsia"/>
          <w:b w:val="0"/>
          <w:bCs w:val="0"/>
          <w:color w:val="auto"/>
          <w:sz w:val="24"/>
          <w:szCs w:val="32"/>
          <w:lang w:val="en-US" w:eastAsia="zh-CN"/>
        </w:rPr>
        <w:t>监测项目及监测点位</w:t>
      </w:r>
    </w:p>
    <w:p w14:paraId="08E23F2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b w:val="0"/>
          <w:bCs w:val="0"/>
          <w:color w:val="auto"/>
          <w:sz w:val="24"/>
          <w:szCs w:val="32"/>
          <w:lang w:val="en-US" w:eastAsia="zh-CN"/>
        </w:rPr>
      </w:pPr>
      <w:r>
        <w:rPr>
          <w:rFonts w:hint="eastAsia"/>
          <w:b w:val="0"/>
          <w:bCs w:val="0"/>
          <w:color w:val="auto"/>
          <w:sz w:val="24"/>
          <w:szCs w:val="32"/>
          <w:lang w:val="en-US" w:eastAsia="zh-CN"/>
        </w:rPr>
        <w:t>环评阶段</w:t>
      </w:r>
      <w:r>
        <w:rPr>
          <w:color w:val="auto"/>
          <w:sz w:val="24"/>
        </w:rPr>
        <w:t>pH、镉、铅、铬、砷、汞、二噁英</w:t>
      </w:r>
      <w:r>
        <w:rPr>
          <w:rFonts w:hint="eastAsia"/>
          <w:color w:val="auto"/>
          <w:sz w:val="24"/>
          <w:lang w:val="en-US" w:eastAsia="zh-CN"/>
        </w:rPr>
        <w:t>类等</w:t>
      </w:r>
      <w:r>
        <w:rPr>
          <w:rFonts w:hint="eastAsia"/>
          <w:b w:val="0"/>
          <w:bCs w:val="0"/>
          <w:color w:val="auto"/>
          <w:sz w:val="24"/>
          <w:szCs w:val="32"/>
          <w:lang w:val="en-US" w:eastAsia="zh-CN"/>
        </w:rPr>
        <w:t>指标，作为土壤环境质量现状监测项目，监测时间为2014年7月9日，具体监测点位见下表。</w:t>
      </w:r>
    </w:p>
    <w:p w14:paraId="25E5205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rPr>
          <w:rFonts w:hint="default"/>
          <w:b/>
          <w:bCs/>
          <w:color w:val="auto"/>
          <w:sz w:val="24"/>
          <w:szCs w:val="32"/>
          <w:lang w:val="en-US" w:eastAsia="zh-CN"/>
        </w:rPr>
      </w:pPr>
      <w:r>
        <w:rPr>
          <w:rFonts w:hint="eastAsia"/>
          <w:b/>
          <w:bCs/>
          <w:color w:val="auto"/>
          <w:sz w:val="24"/>
          <w:szCs w:val="32"/>
          <w:lang w:val="en-US" w:eastAsia="zh-CN"/>
        </w:rPr>
        <w:t>表2-18 土壤环境现状监测点位布设一览表</w:t>
      </w:r>
    </w:p>
    <w:tbl>
      <w:tblPr>
        <w:tblStyle w:val="31"/>
        <w:tblW w:w="4998"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autofit"/>
        <w:tblCellMar>
          <w:top w:w="0" w:type="dxa"/>
          <w:left w:w="108" w:type="dxa"/>
          <w:bottom w:w="0" w:type="dxa"/>
          <w:right w:w="108" w:type="dxa"/>
        </w:tblCellMar>
      </w:tblPr>
      <w:tblGrid>
        <w:gridCol w:w="1553"/>
        <w:gridCol w:w="2853"/>
        <w:gridCol w:w="2530"/>
        <w:gridCol w:w="3022"/>
      </w:tblGrid>
      <w:tr w14:paraId="74DC5D57">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780" w:type="pct"/>
            <w:tcBorders>
              <w:tl2br w:val="nil"/>
              <w:tr2bl w:val="nil"/>
            </w:tcBorders>
            <w:shd w:val="clear" w:color="auto" w:fill="auto"/>
            <w:noWrap w:val="0"/>
            <w:vAlign w:val="center"/>
          </w:tcPr>
          <w:p w14:paraId="0F8788C5">
            <w:pPr>
              <w:spacing w:before="31" w:beforeLines="10" w:line="264" w:lineRule="auto"/>
              <w:jc w:val="center"/>
              <w:rPr>
                <w:b/>
                <w:color w:val="auto"/>
              </w:rPr>
            </w:pPr>
            <w:r>
              <w:rPr>
                <w:b/>
                <w:color w:val="auto"/>
              </w:rPr>
              <w:t>序号</w:t>
            </w:r>
          </w:p>
        </w:tc>
        <w:tc>
          <w:tcPr>
            <w:tcW w:w="1432" w:type="pct"/>
            <w:tcBorders>
              <w:tl2br w:val="nil"/>
              <w:tr2bl w:val="nil"/>
            </w:tcBorders>
            <w:shd w:val="clear" w:color="auto" w:fill="auto"/>
            <w:noWrap w:val="0"/>
            <w:vAlign w:val="center"/>
          </w:tcPr>
          <w:p w14:paraId="4CE6BE02">
            <w:pPr>
              <w:spacing w:before="31" w:beforeLines="10" w:line="288" w:lineRule="auto"/>
              <w:jc w:val="center"/>
              <w:rPr>
                <w:b/>
                <w:color w:val="auto"/>
              </w:rPr>
            </w:pPr>
            <w:r>
              <w:rPr>
                <w:b/>
                <w:color w:val="auto"/>
              </w:rPr>
              <w:t>监测点位</w:t>
            </w:r>
          </w:p>
        </w:tc>
        <w:tc>
          <w:tcPr>
            <w:tcW w:w="1270" w:type="pct"/>
            <w:tcBorders>
              <w:tl2br w:val="nil"/>
              <w:tr2bl w:val="nil"/>
            </w:tcBorders>
            <w:shd w:val="clear" w:color="auto" w:fill="auto"/>
            <w:noWrap w:val="0"/>
            <w:vAlign w:val="center"/>
          </w:tcPr>
          <w:p w14:paraId="0C69DA9D">
            <w:pPr>
              <w:spacing w:before="31" w:beforeLines="10" w:line="264" w:lineRule="auto"/>
              <w:jc w:val="center"/>
              <w:rPr>
                <w:b/>
                <w:color w:val="auto"/>
              </w:rPr>
            </w:pPr>
            <w:r>
              <w:rPr>
                <w:b/>
                <w:color w:val="auto"/>
              </w:rPr>
              <w:t>方位</w:t>
            </w:r>
          </w:p>
        </w:tc>
        <w:tc>
          <w:tcPr>
            <w:tcW w:w="1517" w:type="pct"/>
            <w:tcBorders>
              <w:tl2br w:val="nil"/>
              <w:tr2bl w:val="nil"/>
            </w:tcBorders>
            <w:shd w:val="clear" w:color="auto" w:fill="auto"/>
            <w:noWrap w:val="0"/>
            <w:vAlign w:val="center"/>
          </w:tcPr>
          <w:p w14:paraId="6276D188">
            <w:pPr>
              <w:spacing w:before="31" w:beforeLines="10" w:line="264" w:lineRule="auto"/>
              <w:jc w:val="center"/>
              <w:rPr>
                <w:b/>
                <w:color w:val="auto"/>
                <w:szCs w:val="21"/>
              </w:rPr>
            </w:pPr>
            <w:r>
              <w:rPr>
                <w:b/>
                <w:color w:val="auto"/>
              </w:rPr>
              <w:t>相对厂址距离</w:t>
            </w:r>
          </w:p>
        </w:tc>
      </w:tr>
      <w:tr w14:paraId="127BECD5">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780" w:type="pct"/>
            <w:tcBorders>
              <w:tl2br w:val="nil"/>
              <w:tr2bl w:val="nil"/>
            </w:tcBorders>
            <w:shd w:val="clear" w:color="auto" w:fill="auto"/>
            <w:noWrap w:val="0"/>
            <w:vAlign w:val="center"/>
          </w:tcPr>
          <w:p w14:paraId="5E2ECAE8">
            <w:pPr>
              <w:spacing w:before="31" w:beforeLines="10" w:line="264" w:lineRule="auto"/>
              <w:jc w:val="center"/>
              <w:rPr>
                <w:color w:val="auto"/>
              </w:rPr>
            </w:pPr>
            <w:r>
              <w:rPr>
                <w:color w:val="auto"/>
              </w:rPr>
              <w:t>1</w:t>
            </w:r>
          </w:p>
        </w:tc>
        <w:tc>
          <w:tcPr>
            <w:tcW w:w="1432" w:type="pct"/>
            <w:tcBorders>
              <w:tl2br w:val="nil"/>
              <w:tr2bl w:val="nil"/>
            </w:tcBorders>
            <w:shd w:val="clear" w:color="auto" w:fill="auto"/>
            <w:noWrap w:val="0"/>
            <w:vAlign w:val="center"/>
          </w:tcPr>
          <w:p w14:paraId="2B5D20A8">
            <w:pPr>
              <w:spacing w:before="31" w:beforeLines="10" w:line="288" w:lineRule="auto"/>
              <w:jc w:val="center"/>
              <w:rPr>
                <w:color w:val="auto"/>
              </w:rPr>
            </w:pPr>
            <w:r>
              <w:rPr>
                <w:color w:val="auto"/>
              </w:rPr>
              <w:t>G1星河花园小区</w:t>
            </w:r>
          </w:p>
        </w:tc>
        <w:tc>
          <w:tcPr>
            <w:tcW w:w="1270" w:type="pct"/>
            <w:tcBorders>
              <w:tl2br w:val="nil"/>
              <w:tr2bl w:val="nil"/>
            </w:tcBorders>
            <w:shd w:val="clear" w:color="auto" w:fill="auto"/>
            <w:noWrap w:val="0"/>
            <w:vAlign w:val="center"/>
          </w:tcPr>
          <w:p w14:paraId="26A9EB8B">
            <w:pPr>
              <w:jc w:val="center"/>
              <w:rPr>
                <w:color w:val="auto"/>
                <w:szCs w:val="21"/>
              </w:rPr>
            </w:pPr>
            <w:r>
              <w:rPr>
                <w:color w:val="auto"/>
                <w:szCs w:val="21"/>
              </w:rPr>
              <w:t>NNE</w:t>
            </w:r>
          </w:p>
        </w:tc>
        <w:tc>
          <w:tcPr>
            <w:tcW w:w="1517" w:type="pct"/>
            <w:tcBorders>
              <w:tl2br w:val="nil"/>
              <w:tr2bl w:val="nil"/>
            </w:tcBorders>
            <w:shd w:val="clear" w:color="auto" w:fill="auto"/>
            <w:noWrap w:val="0"/>
            <w:vAlign w:val="center"/>
          </w:tcPr>
          <w:p w14:paraId="6E69C69F">
            <w:pPr>
              <w:adjustRightInd w:val="0"/>
              <w:snapToGrid w:val="0"/>
              <w:jc w:val="center"/>
              <w:rPr>
                <w:color w:val="auto"/>
                <w:szCs w:val="21"/>
              </w:rPr>
            </w:pPr>
            <w:r>
              <w:rPr>
                <w:color w:val="auto"/>
                <w:szCs w:val="21"/>
              </w:rPr>
              <w:t>1200m</w:t>
            </w:r>
          </w:p>
        </w:tc>
      </w:tr>
      <w:tr w14:paraId="7646243B">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780" w:type="pct"/>
            <w:tcBorders>
              <w:tl2br w:val="nil"/>
              <w:tr2bl w:val="nil"/>
            </w:tcBorders>
            <w:shd w:val="clear" w:color="auto" w:fill="auto"/>
            <w:noWrap w:val="0"/>
            <w:vAlign w:val="center"/>
          </w:tcPr>
          <w:p w14:paraId="548CE0B9">
            <w:pPr>
              <w:spacing w:before="31" w:beforeLines="10" w:line="264" w:lineRule="auto"/>
              <w:jc w:val="center"/>
              <w:rPr>
                <w:color w:val="auto"/>
              </w:rPr>
            </w:pPr>
            <w:r>
              <w:rPr>
                <w:color w:val="auto"/>
              </w:rPr>
              <w:t>2</w:t>
            </w:r>
          </w:p>
        </w:tc>
        <w:tc>
          <w:tcPr>
            <w:tcW w:w="1432" w:type="pct"/>
            <w:tcBorders>
              <w:tl2br w:val="nil"/>
              <w:tr2bl w:val="nil"/>
            </w:tcBorders>
            <w:shd w:val="clear" w:color="auto" w:fill="auto"/>
            <w:noWrap w:val="0"/>
            <w:vAlign w:val="center"/>
          </w:tcPr>
          <w:p w14:paraId="06BD24F6">
            <w:pPr>
              <w:spacing w:before="31" w:beforeLines="10" w:line="288" w:lineRule="auto"/>
              <w:jc w:val="center"/>
              <w:rPr>
                <w:color w:val="auto"/>
              </w:rPr>
            </w:pPr>
            <w:r>
              <w:rPr>
                <w:color w:val="auto"/>
              </w:rPr>
              <w:t>G2</w:t>
            </w:r>
            <w:r>
              <w:rPr>
                <w:color w:val="auto"/>
                <w:szCs w:val="21"/>
              </w:rPr>
              <w:t>项目地</w:t>
            </w:r>
          </w:p>
        </w:tc>
        <w:tc>
          <w:tcPr>
            <w:tcW w:w="1270" w:type="pct"/>
            <w:tcBorders>
              <w:tl2br w:val="nil"/>
              <w:tr2bl w:val="nil"/>
            </w:tcBorders>
            <w:shd w:val="clear" w:color="auto" w:fill="auto"/>
            <w:noWrap w:val="0"/>
            <w:vAlign w:val="center"/>
          </w:tcPr>
          <w:p w14:paraId="3ADBA476">
            <w:pPr>
              <w:jc w:val="center"/>
              <w:rPr>
                <w:color w:val="auto"/>
                <w:szCs w:val="21"/>
              </w:rPr>
            </w:pPr>
            <w:r>
              <w:rPr>
                <w:color w:val="auto"/>
                <w:szCs w:val="21"/>
              </w:rPr>
              <w:t>/</w:t>
            </w:r>
          </w:p>
        </w:tc>
        <w:tc>
          <w:tcPr>
            <w:tcW w:w="1517" w:type="pct"/>
            <w:tcBorders>
              <w:tl2br w:val="nil"/>
              <w:tr2bl w:val="nil"/>
            </w:tcBorders>
            <w:shd w:val="clear" w:color="auto" w:fill="auto"/>
            <w:noWrap w:val="0"/>
            <w:vAlign w:val="center"/>
          </w:tcPr>
          <w:p w14:paraId="5D283E10">
            <w:pPr>
              <w:adjustRightInd w:val="0"/>
              <w:snapToGrid w:val="0"/>
              <w:jc w:val="center"/>
              <w:rPr>
                <w:color w:val="auto"/>
                <w:szCs w:val="21"/>
              </w:rPr>
            </w:pPr>
            <w:r>
              <w:rPr>
                <w:color w:val="auto"/>
                <w:szCs w:val="21"/>
              </w:rPr>
              <w:t>/</w:t>
            </w:r>
          </w:p>
        </w:tc>
      </w:tr>
      <w:tr w14:paraId="720AD48F">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780" w:type="pct"/>
            <w:tcBorders>
              <w:tl2br w:val="nil"/>
              <w:tr2bl w:val="nil"/>
            </w:tcBorders>
            <w:shd w:val="clear" w:color="auto" w:fill="auto"/>
            <w:noWrap w:val="0"/>
            <w:vAlign w:val="center"/>
          </w:tcPr>
          <w:p w14:paraId="157ABFFA">
            <w:pPr>
              <w:spacing w:before="31" w:beforeLines="10" w:line="264" w:lineRule="auto"/>
              <w:jc w:val="center"/>
              <w:rPr>
                <w:color w:val="auto"/>
              </w:rPr>
            </w:pPr>
            <w:r>
              <w:rPr>
                <w:color w:val="auto"/>
              </w:rPr>
              <w:t>3</w:t>
            </w:r>
          </w:p>
        </w:tc>
        <w:tc>
          <w:tcPr>
            <w:tcW w:w="1432" w:type="pct"/>
            <w:tcBorders>
              <w:tl2br w:val="nil"/>
              <w:tr2bl w:val="nil"/>
            </w:tcBorders>
            <w:shd w:val="clear" w:color="auto" w:fill="auto"/>
            <w:noWrap w:val="0"/>
            <w:vAlign w:val="center"/>
          </w:tcPr>
          <w:p w14:paraId="18AED7C8">
            <w:pPr>
              <w:spacing w:before="31" w:beforeLines="10" w:line="288" w:lineRule="auto"/>
              <w:jc w:val="center"/>
              <w:rPr>
                <w:color w:val="auto"/>
              </w:rPr>
            </w:pPr>
            <w:r>
              <w:rPr>
                <w:color w:val="auto"/>
              </w:rPr>
              <w:t>G4</w:t>
            </w:r>
            <w:r>
              <w:rPr>
                <w:color w:val="auto"/>
                <w:szCs w:val="21"/>
              </w:rPr>
              <w:t>公租房区</w:t>
            </w:r>
          </w:p>
        </w:tc>
        <w:tc>
          <w:tcPr>
            <w:tcW w:w="1270" w:type="pct"/>
            <w:tcBorders>
              <w:tl2br w:val="nil"/>
              <w:tr2bl w:val="nil"/>
            </w:tcBorders>
            <w:shd w:val="clear" w:color="auto" w:fill="auto"/>
            <w:noWrap w:val="0"/>
            <w:vAlign w:val="center"/>
          </w:tcPr>
          <w:p w14:paraId="7C2F785D">
            <w:pPr>
              <w:adjustRightInd w:val="0"/>
              <w:snapToGrid w:val="0"/>
              <w:jc w:val="center"/>
              <w:rPr>
                <w:color w:val="auto"/>
                <w:szCs w:val="21"/>
              </w:rPr>
            </w:pPr>
            <w:r>
              <w:rPr>
                <w:color w:val="auto"/>
                <w:szCs w:val="21"/>
              </w:rPr>
              <w:t>E</w:t>
            </w:r>
          </w:p>
        </w:tc>
        <w:tc>
          <w:tcPr>
            <w:tcW w:w="1517" w:type="pct"/>
            <w:tcBorders>
              <w:tl2br w:val="nil"/>
              <w:tr2bl w:val="nil"/>
            </w:tcBorders>
            <w:shd w:val="clear" w:color="auto" w:fill="auto"/>
            <w:noWrap w:val="0"/>
            <w:vAlign w:val="center"/>
          </w:tcPr>
          <w:p w14:paraId="39BD2732">
            <w:pPr>
              <w:adjustRightInd w:val="0"/>
              <w:snapToGrid w:val="0"/>
              <w:jc w:val="center"/>
              <w:rPr>
                <w:color w:val="auto"/>
                <w:szCs w:val="21"/>
              </w:rPr>
            </w:pPr>
            <w:r>
              <w:rPr>
                <w:color w:val="auto"/>
                <w:szCs w:val="21"/>
              </w:rPr>
              <w:t>1300m</w:t>
            </w:r>
          </w:p>
        </w:tc>
      </w:tr>
      <w:tr w14:paraId="61821E4C">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780" w:type="pct"/>
            <w:tcBorders>
              <w:tl2br w:val="nil"/>
              <w:tr2bl w:val="nil"/>
            </w:tcBorders>
            <w:shd w:val="clear" w:color="auto" w:fill="auto"/>
            <w:noWrap w:val="0"/>
            <w:vAlign w:val="center"/>
          </w:tcPr>
          <w:p w14:paraId="656DB182">
            <w:pPr>
              <w:spacing w:before="31" w:beforeLines="10" w:line="264" w:lineRule="auto"/>
              <w:jc w:val="center"/>
              <w:rPr>
                <w:color w:val="auto"/>
              </w:rPr>
            </w:pPr>
            <w:r>
              <w:rPr>
                <w:color w:val="auto"/>
              </w:rPr>
              <w:t>4</w:t>
            </w:r>
          </w:p>
        </w:tc>
        <w:tc>
          <w:tcPr>
            <w:tcW w:w="1432" w:type="pct"/>
            <w:tcBorders>
              <w:tl2br w:val="nil"/>
              <w:tr2bl w:val="nil"/>
            </w:tcBorders>
            <w:shd w:val="clear" w:color="auto" w:fill="auto"/>
            <w:noWrap w:val="0"/>
            <w:vAlign w:val="center"/>
          </w:tcPr>
          <w:p w14:paraId="7C43B617">
            <w:pPr>
              <w:spacing w:before="31" w:beforeLines="10" w:line="288" w:lineRule="auto"/>
              <w:jc w:val="center"/>
              <w:rPr>
                <w:color w:val="auto"/>
              </w:rPr>
            </w:pPr>
            <w:r>
              <w:rPr>
                <w:color w:val="auto"/>
              </w:rPr>
              <w:t>G5</w:t>
            </w:r>
            <w:r>
              <w:rPr>
                <w:color w:val="auto"/>
                <w:szCs w:val="21"/>
              </w:rPr>
              <w:t>赵楼村</w:t>
            </w:r>
          </w:p>
        </w:tc>
        <w:tc>
          <w:tcPr>
            <w:tcW w:w="1270" w:type="pct"/>
            <w:tcBorders>
              <w:tl2br w:val="nil"/>
              <w:tr2bl w:val="nil"/>
            </w:tcBorders>
            <w:shd w:val="clear" w:color="auto" w:fill="auto"/>
            <w:noWrap w:val="0"/>
            <w:vAlign w:val="center"/>
          </w:tcPr>
          <w:p w14:paraId="7CB3AD1B">
            <w:pPr>
              <w:adjustRightInd w:val="0"/>
              <w:snapToGrid w:val="0"/>
              <w:jc w:val="center"/>
              <w:rPr>
                <w:color w:val="auto"/>
                <w:szCs w:val="21"/>
              </w:rPr>
            </w:pPr>
            <w:r>
              <w:rPr>
                <w:color w:val="auto"/>
                <w:szCs w:val="21"/>
              </w:rPr>
              <w:t>W</w:t>
            </w:r>
          </w:p>
        </w:tc>
        <w:tc>
          <w:tcPr>
            <w:tcW w:w="1517" w:type="pct"/>
            <w:tcBorders>
              <w:tl2br w:val="nil"/>
              <w:tr2bl w:val="nil"/>
            </w:tcBorders>
            <w:shd w:val="clear" w:color="auto" w:fill="auto"/>
            <w:noWrap w:val="0"/>
            <w:vAlign w:val="center"/>
          </w:tcPr>
          <w:p w14:paraId="73A537F6">
            <w:pPr>
              <w:adjustRightInd w:val="0"/>
              <w:snapToGrid w:val="0"/>
              <w:jc w:val="center"/>
              <w:rPr>
                <w:color w:val="auto"/>
                <w:szCs w:val="21"/>
              </w:rPr>
            </w:pPr>
            <w:r>
              <w:rPr>
                <w:color w:val="auto"/>
                <w:szCs w:val="21"/>
              </w:rPr>
              <w:t>910m</w:t>
            </w:r>
          </w:p>
        </w:tc>
      </w:tr>
    </w:tbl>
    <w:p w14:paraId="2E2F112D">
      <w:pPr>
        <w:keepNext w:val="0"/>
        <w:keepLines w:val="0"/>
        <w:pageBreakBefore w:val="0"/>
        <w:widowControl w:val="0"/>
        <w:kinsoku/>
        <w:wordWrap/>
        <w:overflowPunct/>
        <w:topLinePunct w:val="0"/>
        <w:autoSpaceDE/>
        <w:autoSpaceDN/>
        <w:bidi w:val="0"/>
        <w:adjustRightInd/>
        <w:snapToGrid/>
        <w:spacing w:line="360" w:lineRule="auto"/>
        <w:textAlignment w:val="auto"/>
        <w:outlineLvl w:val="2"/>
        <w:rPr>
          <w:rFonts w:hint="eastAsia"/>
          <w:b w:val="0"/>
          <w:bCs w:val="0"/>
          <w:color w:val="auto"/>
          <w:sz w:val="24"/>
          <w:szCs w:val="32"/>
          <w:lang w:eastAsia="zh-CN"/>
        </w:rPr>
      </w:pPr>
    </w:p>
    <w:p w14:paraId="367B602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b w:val="0"/>
          <w:bCs w:val="0"/>
          <w:color w:val="auto"/>
          <w:sz w:val="24"/>
          <w:szCs w:val="32"/>
          <w:lang w:val="en-US" w:eastAsia="zh-CN"/>
        </w:rPr>
      </w:pPr>
      <w:r>
        <w:rPr>
          <w:rFonts w:hint="eastAsia"/>
          <w:b w:val="0"/>
          <w:bCs w:val="0"/>
          <w:color w:val="auto"/>
          <w:sz w:val="24"/>
          <w:szCs w:val="32"/>
          <w:lang w:eastAsia="zh-CN"/>
        </w:rPr>
        <w:t>（</w:t>
      </w:r>
      <w:r>
        <w:rPr>
          <w:rFonts w:hint="eastAsia"/>
          <w:b w:val="0"/>
          <w:bCs w:val="0"/>
          <w:color w:val="auto"/>
          <w:sz w:val="24"/>
          <w:szCs w:val="32"/>
          <w:lang w:val="en-US" w:eastAsia="zh-CN"/>
        </w:rPr>
        <w:t>3</w:t>
      </w:r>
      <w:r>
        <w:rPr>
          <w:rFonts w:hint="eastAsia"/>
          <w:b w:val="0"/>
          <w:bCs w:val="0"/>
          <w:color w:val="auto"/>
          <w:sz w:val="24"/>
          <w:szCs w:val="32"/>
          <w:lang w:eastAsia="zh-CN"/>
        </w:rPr>
        <w:t>）</w:t>
      </w:r>
      <w:r>
        <w:rPr>
          <w:rFonts w:hint="eastAsia"/>
          <w:b w:val="0"/>
          <w:bCs w:val="0"/>
          <w:color w:val="auto"/>
          <w:sz w:val="24"/>
          <w:szCs w:val="32"/>
          <w:lang w:val="en-US" w:eastAsia="zh-CN"/>
        </w:rPr>
        <w:t>评价标准</w:t>
      </w:r>
    </w:p>
    <w:p w14:paraId="52935E22">
      <w:pPr>
        <w:adjustRightInd w:val="0"/>
        <w:snapToGrid w:val="0"/>
        <w:spacing w:line="360" w:lineRule="auto"/>
        <w:ind w:firstLine="480" w:firstLineChars="200"/>
        <w:rPr>
          <w:b w:val="0"/>
          <w:bCs w:val="0"/>
          <w:color w:val="auto"/>
          <w:sz w:val="24"/>
        </w:rPr>
      </w:pPr>
      <w:r>
        <w:rPr>
          <w:b w:val="0"/>
          <w:bCs w:val="0"/>
          <w:color w:val="auto"/>
          <w:sz w:val="24"/>
        </w:rPr>
        <w:t>环评阶段项目所在区域土壤执行《土壤环境质量标准》（GB15618-1995）中二级标准，具体限值详见下表：</w:t>
      </w:r>
    </w:p>
    <w:p w14:paraId="42D6D24D">
      <w:pPr>
        <w:adjustRightInd w:val="0"/>
        <w:snapToGrid w:val="0"/>
        <w:spacing w:line="360" w:lineRule="auto"/>
        <w:jc w:val="center"/>
        <w:rPr>
          <w:b/>
          <w:bCs/>
          <w:color w:val="auto"/>
          <w:sz w:val="24"/>
        </w:rPr>
      </w:pPr>
      <w:r>
        <w:rPr>
          <w:b/>
          <w:bCs/>
          <w:color w:val="auto"/>
          <w:sz w:val="24"/>
        </w:rPr>
        <w:t>表</w:t>
      </w:r>
      <w:r>
        <w:rPr>
          <w:rFonts w:hint="eastAsia"/>
          <w:b/>
          <w:bCs/>
          <w:color w:val="auto"/>
          <w:sz w:val="24"/>
          <w:lang w:val="en-US" w:eastAsia="zh-CN"/>
        </w:rPr>
        <w:t>2-19</w:t>
      </w:r>
      <w:r>
        <w:rPr>
          <w:b/>
          <w:bCs/>
          <w:color w:val="auto"/>
          <w:sz w:val="24"/>
        </w:rPr>
        <w:t xml:space="preserve"> 土壤环境质量标准</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autofit"/>
        <w:tblCellMar>
          <w:top w:w="0" w:type="dxa"/>
          <w:left w:w="108" w:type="dxa"/>
          <w:bottom w:w="0" w:type="dxa"/>
          <w:right w:w="108" w:type="dxa"/>
        </w:tblCellMar>
      </w:tblPr>
      <w:tblGrid>
        <w:gridCol w:w="1182"/>
        <w:gridCol w:w="856"/>
        <w:gridCol w:w="738"/>
        <w:gridCol w:w="1484"/>
        <w:gridCol w:w="1334"/>
        <w:gridCol w:w="672"/>
        <w:gridCol w:w="672"/>
        <w:gridCol w:w="1460"/>
        <w:gridCol w:w="784"/>
        <w:gridCol w:w="780"/>
      </w:tblGrid>
      <w:tr w14:paraId="7017264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rPr>
          <w:tblHeader/>
        </w:trPr>
        <w:tc>
          <w:tcPr>
            <w:tcW w:w="593" w:type="pct"/>
            <w:tcBorders>
              <w:tl2br w:val="nil"/>
              <w:tr2bl w:val="nil"/>
            </w:tcBorders>
            <w:shd w:val="clear" w:color="auto" w:fill="auto"/>
            <w:noWrap w:val="0"/>
            <w:vAlign w:val="center"/>
          </w:tcPr>
          <w:p w14:paraId="3F5EFF59">
            <w:pPr>
              <w:spacing w:before="31" w:beforeLines="10" w:line="264" w:lineRule="auto"/>
              <w:jc w:val="center"/>
              <w:rPr>
                <w:b/>
                <w:color w:val="auto"/>
                <w:szCs w:val="21"/>
              </w:rPr>
            </w:pPr>
            <w:r>
              <w:rPr>
                <w:b/>
                <w:color w:val="auto"/>
                <w:szCs w:val="21"/>
              </w:rPr>
              <w:t>项目</w:t>
            </w:r>
          </w:p>
        </w:tc>
        <w:tc>
          <w:tcPr>
            <w:tcW w:w="429" w:type="pct"/>
            <w:tcBorders>
              <w:tl2br w:val="nil"/>
              <w:tr2bl w:val="nil"/>
            </w:tcBorders>
            <w:shd w:val="clear" w:color="auto" w:fill="auto"/>
            <w:noWrap w:val="0"/>
            <w:vAlign w:val="center"/>
          </w:tcPr>
          <w:p w14:paraId="3391E8BD">
            <w:pPr>
              <w:spacing w:before="31" w:beforeLines="10" w:line="264" w:lineRule="auto"/>
              <w:jc w:val="center"/>
              <w:rPr>
                <w:b/>
                <w:color w:val="auto"/>
                <w:szCs w:val="21"/>
              </w:rPr>
            </w:pPr>
            <w:r>
              <w:rPr>
                <w:b/>
                <w:color w:val="auto"/>
                <w:szCs w:val="21"/>
              </w:rPr>
              <w:t>pH</w:t>
            </w:r>
          </w:p>
        </w:tc>
        <w:tc>
          <w:tcPr>
            <w:tcW w:w="370" w:type="pct"/>
            <w:tcBorders>
              <w:tl2br w:val="nil"/>
              <w:tr2bl w:val="nil"/>
            </w:tcBorders>
            <w:shd w:val="clear" w:color="auto" w:fill="auto"/>
            <w:noWrap w:val="0"/>
            <w:vAlign w:val="center"/>
          </w:tcPr>
          <w:p w14:paraId="55BBA006">
            <w:pPr>
              <w:spacing w:before="31" w:beforeLines="10" w:line="264" w:lineRule="auto"/>
              <w:jc w:val="center"/>
              <w:rPr>
                <w:b/>
                <w:color w:val="auto"/>
                <w:szCs w:val="21"/>
              </w:rPr>
            </w:pPr>
            <w:r>
              <w:rPr>
                <w:b/>
                <w:color w:val="auto"/>
                <w:szCs w:val="21"/>
              </w:rPr>
              <w:t>镉</w:t>
            </w:r>
          </w:p>
        </w:tc>
        <w:tc>
          <w:tcPr>
            <w:tcW w:w="744" w:type="pct"/>
            <w:tcBorders>
              <w:tl2br w:val="nil"/>
              <w:tr2bl w:val="nil"/>
            </w:tcBorders>
            <w:shd w:val="clear" w:color="auto" w:fill="auto"/>
            <w:noWrap w:val="0"/>
            <w:vAlign w:val="center"/>
          </w:tcPr>
          <w:p w14:paraId="668B0AAD">
            <w:pPr>
              <w:spacing w:before="31" w:beforeLines="10" w:line="264" w:lineRule="auto"/>
              <w:jc w:val="center"/>
              <w:rPr>
                <w:b/>
                <w:color w:val="auto"/>
                <w:szCs w:val="21"/>
              </w:rPr>
            </w:pPr>
            <w:r>
              <w:rPr>
                <w:b/>
                <w:color w:val="auto"/>
                <w:szCs w:val="21"/>
              </w:rPr>
              <w:t>铬</w:t>
            </w:r>
          </w:p>
        </w:tc>
        <w:tc>
          <w:tcPr>
            <w:tcW w:w="669" w:type="pct"/>
            <w:tcBorders>
              <w:tl2br w:val="nil"/>
              <w:tr2bl w:val="nil"/>
            </w:tcBorders>
            <w:shd w:val="clear" w:color="auto" w:fill="auto"/>
            <w:noWrap w:val="0"/>
            <w:vAlign w:val="center"/>
          </w:tcPr>
          <w:p w14:paraId="32FC289E">
            <w:pPr>
              <w:spacing w:before="31" w:beforeLines="10" w:line="264" w:lineRule="auto"/>
              <w:jc w:val="center"/>
              <w:rPr>
                <w:b/>
                <w:color w:val="auto"/>
                <w:szCs w:val="21"/>
              </w:rPr>
            </w:pPr>
            <w:r>
              <w:rPr>
                <w:b/>
                <w:color w:val="auto"/>
                <w:szCs w:val="21"/>
              </w:rPr>
              <w:t>砷</w:t>
            </w:r>
          </w:p>
        </w:tc>
        <w:tc>
          <w:tcPr>
            <w:tcW w:w="337" w:type="pct"/>
            <w:tcBorders>
              <w:tl2br w:val="nil"/>
              <w:tr2bl w:val="nil"/>
            </w:tcBorders>
            <w:shd w:val="clear" w:color="auto" w:fill="auto"/>
            <w:noWrap w:val="0"/>
            <w:vAlign w:val="center"/>
          </w:tcPr>
          <w:p w14:paraId="30968805">
            <w:pPr>
              <w:spacing w:before="31" w:beforeLines="10" w:line="264" w:lineRule="auto"/>
              <w:jc w:val="center"/>
              <w:rPr>
                <w:b/>
                <w:color w:val="auto"/>
                <w:szCs w:val="21"/>
              </w:rPr>
            </w:pPr>
            <w:r>
              <w:rPr>
                <w:b/>
                <w:color w:val="auto"/>
                <w:szCs w:val="21"/>
              </w:rPr>
              <w:t>汞</w:t>
            </w:r>
          </w:p>
        </w:tc>
        <w:tc>
          <w:tcPr>
            <w:tcW w:w="337" w:type="pct"/>
            <w:tcBorders>
              <w:tl2br w:val="nil"/>
              <w:tr2bl w:val="nil"/>
            </w:tcBorders>
            <w:shd w:val="clear" w:color="auto" w:fill="auto"/>
            <w:noWrap w:val="0"/>
            <w:vAlign w:val="center"/>
          </w:tcPr>
          <w:p w14:paraId="714B65B1">
            <w:pPr>
              <w:spacing w:before="31" w:beforeLines="10" w:line="264" w:lineRule="auto"/>
              <w:jc w:val="center"/>
              <w:rPr>
                <w:b/>
                <w:color w:val="auto"/>
                <w:szCs w:val="21"/>
              </w:rPr>
            </w:pPr>
            <w:r>
              <w:rPr>
                <w:b/>
                <w:color w:val="auto"/>
                <w:szCs w:val="21"/>
              </w:rPr>
              <w:t>铅</w:t>
            </w:r>
          </w:p>
        </w:tc>
        <w:tc>
          <w:tcPr>
            <w:tcW w:w="732" w:type="pct"/>
            <w:tcBorders>
              <w:tl2br w:val="nil"/>
              <w:tr2bl w:val="nil"/>
            </w:tcBorders>
            <w:shd w:val="clear" w:color="auto" w:fill="auto"/>
            <w:noWrap w:val="0"/>
            <w:vAlign w:val="center"/>
          </w:tcPr>
          <w:p w14:paraId="40D9FA6E">
            <w:pPr>
              <w:spacing w:before="31" w:beforeLines="10" w:line="264" w:lineRule="auto"/>
              <w:jc w:val="center"/>
              <w:rPr>
                <w:b/>
                <w:color w:val="auto"/>
                <w:szCs w:val="21"/>
              </w:rPr>
            </w:pPr>
            <w:r>
              <w:rPr>
                <w:b/>
                <w:color w:val="auto"/>
                <w:szCs w:val="21"/>
              </w:rPr>
              <w:t>铜</w:t>
            </w:r>
          </w:p>
        </w:tc>
        <w:tc>
          <w:tcPr>
            <w:tcW w:w="393" w:type="pct"/>
            <w:tcBorders>
              <w:tl2br w:val="nil"/>
              <w:tr2bl w:val="nil"/>
            </w:tcBorders>
            <w:shd w:val="clear" w:color="auto" w:fill="auto"/>
            <w:noWrap w:val="0"/>
            <w:vAlign w:val="center"/>
          </w:tcPr>
          <w:p w14:paraId="38458430">
            <w:pPr>
              <w:jc w:val="center"/>
              <w:rPr>
                <w:b/>
                <w:color w:val="auto"/>
                <w:szCs w:val="21"/>
              </w:rPr>
            </w:pPr>
            <w:r>
              <w:rPr>
                <w:b/>
                <w:color w:val="auto"/>
                <w:szCs w:val="21"/>
              </w:rPr>
              <w:t>锌</w:t>
            </w:r>
          </w:p>
        </w:tc>
        <w:tc>
          <w:tcPr>
            <w:tcW w:w="391" w:type="pct"/>
            <w:tcBorders>
              <w:tl2br w:val="nil"/>
              <w:tr2bl w:val="nil"/>
            </w:tcBorders>
            <w:shd w:val="clear" w:color="auto" w:fill="auto"/>
            <w:noWrap w:val="0"/>
            <w:vAlign w:val="center"/>
          </w:tcPr>
          <w:p w14:paraId="0A6A9DD4">
            <w:pPr>
              <w:jc w:val="center"/>
              <w:rPr>
                <w:b/>
                <w:color w:val="auto"/>
                <w:szCs w:val="21"/>
              </w:rPr>
            </w:pPr>
            <w:r>
              <w:rPr>
                <w:b/>
                <w:color w:val="auto"/>
                <w:szCs w:val="21"/>
              </w:rPr>
              <w:t>镍</w:t>
            </w:r>
          </w:p>
        </w:tc>
      </w:tr>
      <w:tr w14:paraId="51F5F015">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93" w:type="pct"/>
            <w:vMerge w:val="restart"/>
            <w:tcBorders>
              <w:tl2br w:val="nil"/>
              <w:tr2bl w:val="nil"/>
            </w:tcBorders>
            <w:shd w:val="clear" w:color="auto" w:fill="auto"/>
            <w:noWrap w:val="0"/>
            <w:vAlign w:val="center"/>
          </w:tcPr>
          <w:p w14:paraId="37DCF5EB">
            <w:pPr>
              <w:spacing w:before="31" w:beforeLines="10" w:line="264" w:lineRule="auto"/>
              <w:jc w:val="center"/>
              <w:rPr>
                <w:color w:val="auto"/>
                <w:szCs w:val="21"/>
              </w:rPr>
            </w:pPr>
            <w:r>
              <w:rPr>
                <w:color w:val="auto"/>
                <w:szCs w:val="21"/>
              </w:rPr>
              <w:t>GB15618</w:t>
            </w:r>
          </w:p>
          <w:p w14:paraId="06099F7E">
            <w:pPr>
              <w:spacing w:before="31" w:beforeLines="10" w:line="264" w:lineRule="auto"/>
              <w:jc w:val="center"/>
              <w:rPr>
                <w:color w:val="auto"/>
                <w:szCs w:val="21"/>
              </w:rPr>
            </w:pPr>
            <w:r>
              <w:rPr>
                <w:color w:val="auto"/>
                <w:szCs w:val="21"/>
              </w:rPr>
              <w:t>-1995中</w:t>
            </w:r>
          </w:p>
          <w:p w14:paraId="2FF1CE36">
            <w:pPr>
              <w:spacing w:before="31" w:beforeLines="10" w:line="264" w:lineRule="auto"/>
              <w:jc w:val="center"/>
              <w:rPr>
                <w:color w:val="auto"/>
                <w:szCs w:val="21"/>
              </w:rPr>
            </w:pPr>
            <w:r>
              <w:rPr>
                <w:color w:val="auto"/>
                <w:szCs w:val="21"/>
              </w:rPr>
              <w:t>二级标准</w:t>
            </w:r>
          </w:p>
        </w:tc>
        <w:tc>
          <w:tcPr>
            <w:tcW w:w="429" w:type="pct"/>
            <w:tcBorders>
              <w:tl2br w:val="nil"/>
              <w:tr2bl w:val="nil"/>
            </w:tcBorders>
            <w:shd w:val="clear" w:color="auto" w:fill="auto"/>
            <w:noWrap w:val="0"/>
            <w:vAlign w:val="center"/>
          </w:tcPr>
          <w:p w14:paraId="676231A5">
            <w:pPr>
              <w:spacing w:before="31" w:beforeLines="10" w:line="264" w:lineRule="auto"/>
              <w:jc w:val="center"/>
              <w:rPr>
                <w:color w:val="auto"/>
                <w:szCs w:val="21"/>
              </w:rPr>
            </w:pPr>
            <w:r>
              <w:rPr>
                <w:color w:val="auto"/>
                <w:szCs w:val="21"/>
              </w:rPr>
              <w:t>＜6.5</w:t>
            </w:r>
          </w:p>
        </w:tc>
        <w:tc>
          <w:tcPr>
            <w:tcW w:w="370" w:type="pct"/>
            <w:tcBorders>
              <w:tl2br w:val="nil"/>
              <w:tr2bl w:val="nil"/>
            </w:tcBorders>
            <w:shd w:val="clear" w:color="auto" w:fill="auto"/>
            <w:noWrap w:val="0"/>
            <w:vAlign w:val="center"/>
          </w:tcPr>
          <w:p w14:paraId="0D5AB95D">
            <w:pPr>
              <w:spacing w:before="31" w:beforeLines="10" w:line="264" w:lineRule="auto"/>
              <w:jc w:val="center"/>
              <w:rPr>
                <w:color w:val="auto"/>
                <w:szCs w:val="21"/>
              </w:rPr>
            </w:pPr>
            <w:r>
              <w:rPr>
                <w:color w:val="auto"/>
                <w:szCs w:val="21"/>
              </w:rPr>
              <w:t>0.30</w:t>
            </w:r>
          </w:p>
        </w:tc>
        <w:tc>
          <w:tcPr>
            <w:tcW w:w="744" w:type="pct"/>
            <w:tcBorders>
              <w:tl2br w:val="nil"/>
              <w:tr2bl w:val="nil"/>
            </w:tcBorders>
            <w:shd w:val="clear" w:color="auto" w:fill="auto"/>
            <w:noWrap w:val="0"/>
            <w:vAlign w:val="center"/>
          </w:tcPr>
          <w:p w14:paraId="3744C7D9">
            <w:pPr>
              <w:spacing w:before="31" w:beforeLines="10" w:line="264" w:lineRule="auto"/>
              <w:jc w:val="center"/>
              <w:rPr>
                <w:color w:val="auto"/>
                <w:szCs w:val="21"/>
              </w:rPr>
            </w:pPr>
            <w:r>
              <w:rPr>
                <w:color w:val="auto"/>
                <w:szCs w:val="21"/>
              </w:rPr>
              <w:t>150（旱地）</w:t>
            </w:r>
          </w:p>
          <w:p w14:paraId="0CBEAF86">
            <w:pPr>
              <w:spacing w:before="31" w:beforeLines="10" w:line="264" w:lineRule="auto"/>
              <w:jc w:val="center"/>
              <w:rPr>
                <w:color w:val="auto"/>
                <w:szCs w:val="21"/>
              </w:rPr>
            </w:pPr>
            <w:r>
              <w:rPr>
                <w:color w:val="auto"/>
                <w:szCs w:val="21"/>
              </w:rPr>
              <w:t>250（水田）</w:t>
            </w:r>
          </w:p>
        </w:tc>
        <w:tc>
          <w:tcPr>
            <w:tcW w:w="669" w:type="pct"/>
            <w:tcBorders>
              <w:tl2br w:val="nil"/>
              <w:tr2bl w:val="nil"/>
            </w:tcBorders>
            <w:shd w:val="clear" w:color="auto" w:fill="auto"/>
            <w:noWrap w:val="0"/>
            <w:vAlign w:val="center"/>
          </w:tcPr>
          <w:p w14:paraId="68B32A18">
            <w:pPr>
              <w:spacing w:before="31" w:beforeLines="10" w:line="264" w:lineRule="auto"/>
              <w:jc w:val="center"/>
              <w:rPr>
                <w:color w:val="auto"/>
                <w:szCs w:val="21"/>
              </w:rPr>
            </w:pPr>
            <w:r>
              <w:rPr>
                <w:color w:val="auto"/>
                <w:szCs w:val="21"/>
              </w:rPr>
              <w:t>40（旱地）</w:t>
            </w:r>
          </w:p>
          <w:p w14:paraId="342B5FC0">
            <w:pPr>
              <w:spacing w:before="31" w:beforeLines="10" w:line="264" w:lineRule="auto"/>
              <w:jc w:val="center"/>
              <w:rPr>
                <w:color w:val="auto"/>
                <w:szCs w:val="21"/>
              </w:rPr>
            </w:pPr>
            <w:r>
              <w:rPr>
                <w:color w:val="auto"/>
                <w:szCs w:val="21"/>
              </w:rPr>
              <w:t>30（水田）</w:t>
            </w:r>
          </w:p>
        </w:tc>
        <w:tc>
          <w:tcPr>
            <w:tcW w:w="337" w:type="pct"/>
            <w:tcBorders>
              <w:tl2br w:val="nil"/>
              <w:tr2bl w:val="nil"/>
            </w:tcBorders>
            <w:shd w:val="clear" w:color="auto" w:fill="auto"/>
            <w:noWrap w:val="0"/>
            <w:vAlign w:val="center"/>
          </w:tcPr>
          <w:p w14:paraId="6087FF3E">
            <w:pPr>
              <w:spacing w:before="31" w:beforeLines="10" w:line="264" w:lineRule="auto"/>
              <w:jc w:val="center"/>
              <w:rPr>
                <w:color w:val="auto"/>
                <w:szCs w:val="21"/>
              </w:rPr>
            </w:pPr>
            <w:r>
              <w:rPr>
                <w:color w:val="auto"/>
                <w:szCs w:val="21"/>
              </w:rPr>
              <w:t>0.30</w:t>
            </w:r>
          </w:p>
        </w:tc>
        <w:tc>
          <w:tcPr>
            <w:tcW w:w="337" w:type="pct"/>
            <w:tcBorders>
              <w:tl2br w:val="nil"/>
              <w:tr2bl w:val="nil"/>
            </w:tcBorders>
            <w:shd w:val="clear" w:color="auto" w:fill="auto"/>
            <w:noWrap w:val="0"/>
            <w:vAlign w:val="center"/>
          </w:tcPr>
          <w:p w14:paraId="1F588245">
            <w:pPr>
              <w:spacing w:before="31" w:beforeLines="10" w:line="264" w:lineRule="auto"/>
              <w:jc w:val="center"/>
              <w:rPr>
                <w:color w:val="auto"/>
                <w:szCs w:val="21"/>
              </w:rPr>
            </w:pPr>
            <w:r>
              <w:rPr>
                <w:color w:val="auto"/>
                <w:szCs w:val="21"/>
              </w:rPr>
              <w:t>250</w:t>
            </w:r>
          </w:p>
        </w:tc>
        <w:tc>
          <w:tcPr>
            <w:tcW w:w="732" w:type="pct"/>
            <w:tcBorders>
              <w:tl2br w:val="nil"/>
              <w:tr2bl w:val="nil"/>
            </w:tcBorders>
            <w:shd w:val="clear" w:color="auto" w:fill="auto"/>
            <w:noWrap w:val="0"/>
            <w:vAlign w:val="center"/>
          </w:tcPr>
          <w:p w14:paraId="2264FF41">
            <w:pPr>
              <w:spacing w:before="31" w:beforeLines="10" w:line="264" w:lineRule="auto"/>
              <w:jc w:val="center"/>
              <w:rPr>
                <w:color w:val="auto"/>
                <w:szCs w:val="21"/>
              </w:rPr>
            </w:pPr>
            <w:r>
              <w:rPr>
                <w:color w:val="auto"/>
                <w:szCs w:val="21"/>
              </w:rPr>
              <w:t>50（农田等）</w:t>
            </w:r>
          </w:p>
        </w:tc>
        <w:tc>
          <w:tcPr>
            <w:tcW w:w="393" w:type="pct"/>
            <w:tcBorders>
              <w:tl2br w:val="nil"/>
              <w:tr2bl w:val="nil"/>
            </w:tcBorders>
            <w:shd w:val="clear" w:color="auto" w:fill="auto"/>
            <w:noWrap w:val="0"/>
            <w:vAlign w:val="center"/>
          </w:tcPr>
          <w:p w14:paraId="1B1DC0BD">
            <w:pPr>
              <w:spacing w:before="31" w:beforeLines="10" w:line="264" w:lineRule="auto"/>
              <w:jc w:val="center"/>
              <w:rPr>
                <w:color w:val="auto"/>
                <w:szCs w:val="21"/>
              </w:rPr>
            </w:pPr>
            <w:r>
              <w:rPr>
                <w:color w:val="auto"/>
                <w:szCs w:val="21"/>
              </w:rPr>
              <w:t>200</w:t>
            </w:r>
          </w:p>
        </w:tc>
        <w:tc>
          <w:tcPr>
            <w:tcW w:w="391" w:type="pct"/>
            <w:tcBorders>
              <w:tl2br w:val="nil"/>
              <w:tr2bl w:val="nil"/>
            </w:tcBorders>
            <w:shd w:val="clear" w:color="auto" w:fill="auto"/>
            <w:noWrap w:val="0"/>
            <w:vAlign w:val="center"/>
          </w:tcPr>
          <w:p w14:paraId="2C09D91A">
            <w:pPr>
              <w:spacing w:before="31" w:beforeLines="10" w:line="264" w:lineRule="auto"/>
              <w:jc w:val="center"/>
              <w:rPr>
                <w:color w:val="auto"/>
                <w:szCs w:val="21"/>
              </w:rPr>
            </w:pPr>
            <w:r>
              <w:rPr>
                <w:color w:val="auto"/>
                <w:szCs w:val="21"/>
              </w:rPr>
              <w:t>40</w:t>
            </w:r>
          </w:p>
        </w:tc>
      </w:tr>
      <w:tr w14:paraId="6506C418">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93" w:type="pct"/>
            <w:vMerge w:val="continue"/>
            <w:tcBorders>
              <w:tl2br w:val="nil"/>
              <w:tr2bl w:val="nil"/>
            </w:tcBorders>
            <w:shd w:val="clear" w:color="auto" w:fill="auto"/>
            <w:noWrap w:val="0"/>
            <w:vAlign w:val="center"/>
          </w:tcPr>
          <w:p w14:paraId="50902082">
            <w:pPr>
              <w:spacing w:before="31" w:beforeLines="10" w:line="264" w:lineRule="auto"/>
              <w:jc w:val="center"/>
              <w:rPr>
                <w:color w:val="auto"/>
                <w:szCs w:val="21"/>
              </w:rPr>
            </w:pPr>
          </w:p>
        </w:tc>
        <w:tc>
          <w:tcPr>
            <w:tcW w:w="429" w:type="pct"/>
            <w:tcBorders>
              <w:tl2br w:val="nil"/>
              <w:tr2bl w:val="nil"/>
            </w:tcBorders>
            <w:shd w:val="clear" w:color="auto" w:fill="auto"/>
            <w:noWrap w:val="0"/>
            <w:vAlign w:val="center"/>
          </w:tcPr>
          <w:p w14:paraId="656CF047">
            <w:pPr>
              <w:spacing w:before="31" w:beforeLines="10" w:line="264" w:lineRule="auto"/>
              <w:jc w:val="center"/>
              <w:rPr>
                <w:color w:val="auto"/>
                <w:szCs w:val="21"/>
              </w:rPr>
            </w:pPr>
            <w:r>
              <w:rPr>
                <w:color w:val="auto"/>
                <w:szCs w:val="21"/>
              </w:rPr>
              <w:t>6.5~7.5</w:t>
            </w:r>
          </w:p>
        </w:tc>
        <w:tc>
          <w:tcPr>
            <w:tcW w:w="370" w:type="pct"/>
            <w:tcBorders>
              <w:tl2br w:val="nil"/>
              <w:tr2bl w:val="nil"/>
            </w:tcBorders>
            <w:shd w:val="clear" w:color="auto" w:fill="auto"/>
            <w:noWrap w:val="0"/>
            <w:vAlign w:val="center"/>
          </w:tcPr>
          <w:p w14:paraId="7A9C415E">
            <w:pPr>
              <w:spacing w:before="31" w:beforeLines="10" w:line="264" w:lineRule="auto"/>
              <w:jc w:val="center"/>
              <w:rPr>
                <w:color w:val="auto"/>
                <w:szCs w:val="21"/>
              </w:rPr>
            </w:pPr>
            <w:r>
              <w:rPr>
                <w:color w:val="auto"/>
                <w:szCs w:val="21"/>
              </w:rPr>
              <w:t>0.30</w:t>
            </w:r>
          </w:p>
        </w:tc>
        <w:tc>
          <w:tcPr>
            <w:tcW w:w="744" w:type="pct"/>
            <w:tcBorders>
              <w:tl2br w:val="nil"/>
              <w:tr2bl w:val="nil"/>
            </w:tcBorders>
            <w:shd w:val="clear" w:color="auto" w:fill="auto"/>
            <w:noWrap w:val="0"/>
            <w:vAlign w:val="center"/>
          </w:tcPr>
          <w:p w14:paraId="677ABB1E">
            <w:pPr>
              <w:spacing w:before="31" w:beforeLines="10" w:line="264" w:lineRule="auto"/>
              <w:jc w:val="center"/>
              <w:rPr>
                <w:color w:val="auto"/>
                <w:szCs w:val="21"/>
              </w:rPr>
            </w:pPr>
            <w:r>
              <w:rPr>
                <w:color w:val="auto"/>
                <w:szCs w:val="21"/>
              </w:rPr>
              <w:t>200（旱地）</w:t>
            </w:r>
          </w:p>
          <w:p w14:paraId="69A857D6">
            <w:pPr>
              <w:spacing w:before="31" w:beforeLines="10" w:line="264" w:lineRule="auto"/>
              <w:jc w:val="center"/>
              <w:rPr>
                <w:color w:val="auto"/>
                <w:szCs w:val="21"/>
              </w:rPr>
            </w:pPr>
            <w:r>
              <w:rPr>
                <w:color w:val="auto"/>
                <w:szCs w:val="21"/>
              </w:rPr>
              <w:t>300（水田）</w:t>
            </w:r>
          </w:p>
        </w:tc>
        <w:tc>
          <w:tcPr>
            <w:tcW w:w="669" w:type="pct"/>
            <w:tcBorders>
              <w:tl2br w:val="nil"/>
              <w:tr2bl w:val="nil"/>
            </w:tcBorders>
            <w:shd w:val="clear" w:color="auto" w:fill="auto"/>
            <w:noWrap w:val="0"/>
            <w:vAlign w:val="center"/>
          </w:tcPr>
          <w:p w14:paraId="7EE5A7F6">
            <w:pPr>
              <w:spacing w:before="31" w:beforeLines="10" w:line="264" w:lineRule="auto"/>
              <w:jc w:val="center"/>
              <w:rPr>
                <w:color w:val="auto"/>
                <w:szCs w:val="21"/>
              </w:rPr>
            </w:pPr>
            <w:r>
              <w:rPr>
                <w:color w:val="auto"/>
                <w:szCs w:val="21"/>
              </w:rPr>
              <w:t>30（旱地）</w:t>
            </w:r>
          </w:p>
          <w:p w14:paraId="2FF0D2AF">
            <w:pPr>
              <w:spacing w:before="31" w:beforeLines="10" w:line="264" w:lineRule="auto"/>
              <w:jc w:val="center"/>
              <w:rPr>
                <w:color w:val="auto"/>
                <w:szCs w:val="21"/>
              </w:rPr>
            </w:pPr>
            <w:r>
              <w:rPr>
                <w:color w:val="auto"/>
                <w:szCs w:val="21"/>
              </w:rPr>
              <w:t>25（水田）</w:t>
            </w:r>
          </w:p>
        </w:tc>
        <w:tc>
          <w:tcPr>
            <w:tcW w:w="337" w:type="pct"/>
            <w:tcBorders>
              <w:tl2br w:val="nil"/>
              <w:tr2bl w:val="nil"/>
            </w:tcBorders>
            <w:shd w:val="clear" w:color="auto" w:fill="auto"/>
            <w:noWrap w:val="0"/>
            <w:vAlign w:val="center"/>
          </w:tcPr>
          <w:p w14:paraId="27C26B49">
            <w:pPr>
              <w:spacing w:before="31" w:beforeLines="10" w:line="264" w:lineRule="auto"/>
              <w:jc w:val="center"/>
              <w:rPr>
                <w:color w:val="auto"/>
                <w:szCs w:val="21"/>
              </w:rPr>
            </w:pPr>
            <w:r>
              <w:rPr>
                <w:color w:val="auto"/>
                <w:szCs w:val="21"/>
              </w:rPr>
              <w:t>0.50</w:t>
            </w:r>
          </w:p>
        </w:tc>
        <w:tc>
          <w:tcPr>
            <w:tcW w:w="337" w:type="pct"/>
            <w:tcBorders>
              <w:tl2br w:val="nil"/>
              <w:tr2bl w:val="nil"/>
            </w:tcBorders>
            <w:shd w:val="clear" w:color="auto" w:fill="auto"/>
            <w:noWrap w:val="0"/>
            <w:vAlign w:val="center"/>
          </w:tcPr>
          <w:p w14:paraId="44AA9FE0">
            <w:pPr>
              <w:spacing w:before="31" w:beforeLines="10" w:line="264" w:lineRule="auto"/>
              <w:jc w:val="center"/>
              <w:rPr>
                <w:color w:val="auto"/>
                <w:szCs w:val="21"/>
              </w:rPr>
            </w:pPr>
            <w:r>
              <w:rPr>
                <w:color w:val="auto"/>
                <w:szCs w:val="21"/>
              </w:rPr>
              <w:t>300</w:t>
            </w:r>
          </w:p>
        </w:tc>
        <w:tc>
          <w:tcPr>
            <w:tcW w:w="732" w:type="pct"/>
            <w:tcBorders>
              <w:tl2br w:val="nil"/>
              <w:tr2bl w:val="nil"/>
            </w:tcBorders>
            <w:shd w:val="clear" w:color="auto" w:fill="auto"/>
            <w:noWrap w:val="0"/>
            <w:vAlign w:val="center"/>
          </w:tcPr>
          <w:p w14:paraId="37E9AD8B">
            <w:pPr>
              <w:spacing w:before="31" w:beforeLines="10" w:line="264" w:lineRule="auto"/>
              <w:jc w:val="center"/>
              <w:rPr>
                <w:color w:val="auto"/>
                <w:szCs w:val="21"/>
              </w:rPr>
            </w:pPr>
            <w:r>
              <w:rPr>
                <w:color w:val="auto"/>
                <w:szCs w:val="21"/>
              </w:rPr>
              <w:t>100（农田等）</w:t>
            </w:r>
          </w:p>
        </w:tc>
        <w:tc>
          <w:tcPr>
            <w:tcW w:w="393" w:type="pct"/>
            <w:tcBorders>
              <w:tl2br w:val="nil"/>
              <w:tr2bl w:val="nil"/>
            </w:tcBorders>
            <w:shd w:val="clear" w:color="auto" w:fill="auto"/>
            <w:noWrap w:val="0"/>
            <w:vAlign w:val="center"/>
          </w:tcPr>
          <w:p w14:paraId="0488A148">
            <w:pPr>
              <w:spacing w:before="31" w:beforeLines="10" w:line="264" w:lineRule="auto"/>
              <w:jc w:val="center"/>
              <w:rPr>
                <w:color w:val="auto"/>
                <w:szCs w:val="21"/>
              </w:rPr>
            </w:pPr>
            <w:r>
              <w:rPr>
                <w:color w:val="auto"/>
                <w:szCs w:val="21"/>
              </w:rPr>
              <w:t>250</w:t>
            </w:r>
          </w:p>
        </w:tc>
        <w:tc>
          <w:tcPr>
            <w:tcW w:w="391" w:type="pct"/>
            <w:tcBorders>
              <w:tl2br w:val="nil"/>
              <w:tr2bl w:val="nil"/>
            </w:tcBorders>
            <w:shd w:val="clear" w:color="auto" w:fill="auto"/>
            <w:noWrap w:val="0"/>
            <w:vAlign w:val="center"/>
          </w:tcPr>
          <w:p w14:paraId="02A90506">
            <w:pPr>
              <w:spacing w:before="31" w:beforeLines="10" w:line="264" w:lineRule="auto"/>
              <w:jc w:val="center"/>
              <w:rPr>
                <w:color w:val="auto"/>
                <w:szCs w:val="21"/>
              </w:rPr>
            </w:pPr>
            <w:r>
              <w:rPr>
                <w:color w:val="auto"/>
                <w:szCs w:val="21"/>
              </w:rPr>
              <w:t>50</w:t>
            </w:r>
          </w:p>
        </w:tc>
      </w:tr>
      <w:tr w14:paraId="0196BCF9">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108" w:type="dxa"/>
            <w:bottom w:w="0" w:type="dxa"/>
            <w:right w:w="108" w:type="dxa"/>
          </w:tblCellMar>
        </w:tblPrEx>
        <w:tc>
          <w:tcPr>
            <w:tcW w:w="593" w:type="pct"/>
            <w:vMerge w:val="continue"/>
            <w:tcBorders>
              <w:tl2br w:val="nil"/>
              <w:tr2bl w:val="nil"/>
            </w:tcBorders>
            <w:shd w:val="clear" w:color="auto" w:fill="auto"/>
            <w:noWrap w:val="0"/>
            <w:vAlign w:val="center"/>
          </w:tcPr>
          <w:p w14:paraId="1A3C6623">
            <w:pPr>
              <w:spacing w:before="31" w:beforeLines="10" w:line="264" w:lineRule="auto"/>
              <w:jc w:val="center"/>
              <w:rPr>
                <w:color w:val="auto"/>
                <w:szCs w:val="21"/>
              </w:rPr>
            </w:pPr>
          </w:p>
        </w:tc>
        <w:tc>
          <w:tcPr>
            <w:tcW w:w="429" w:type="pct"/>
            <w:tcBorders>
              <w:tl2br w:val="nil"/>
              <w:tr2bl w:val="nil"/>
            </w:tcBorders>
            <w:shd w:val="clear" w:color="auto" w:fill="auto"/>
            <w:noWrap w:val="0"/>
            <w:vAlign w:val="center"/>
          </w:tcPr>
          <w:p w14:paraId="7EA3E349">
            <w:pPr>
              <w:spacing w:before="31" w:beforeLines="10" w:line="264" w:lineRule="auto"/>
              <w:jc w:val="center"/>
              <w:rPr>
                <w:color w:val="auto"/>
                <w:szCs w:val="21"/>
              </w:rPr>
            </w:pPr>
            <w:r>
              <w:rPr>
                <w:color w:val="auto"/>
                <w:szCs w:val="21"/>
              </w:rPr>
              <w:t>＞7.5</w:t>
            </w:r>
          </w:p>
        </w:tc>
        <w:tc>
          <w:tcPr>
            <w:tcW w:w="370" w:type="pct"/>
            <w:tcBorders>
              <w:tl2br w:val="nil"/>
              <w:tr2bl w:val="nil"/>
            </w:tcBorders>
            <w:shd w:val="clear" w:color="auto" w:fill="auto"/>
            <w:noWrap w:val="0"/>
            <w:vAlign w:val="center"/>
          </w:tcPr>
          <w:p w14:paraId="3EB5DF5A">
            <w:pPr>
              <w:spacing w:before="31" w:beforeLines="10" w:line="264" w:lineRule="auto"/>
              <w:jc w:val="center"/>
              <w:rPr>
                <w:color w:val="auto"/>
                <w:szCs w:val="21"/>
              </w:rPr>
            </w:pPr>
            <w:r>
              <w:rPr>
                <w:color w:val="auto"/>
                <w:szCs w:val="21"/>
              </w:rPr>
              <w:t>0.60</w:t>
            </w:r>
          </w:p>
        </w:tc>
        <w:tc>
          <w:tcPr>
            <w:tcW w:w="744" w:type="pct"/>
            <w:tcBorders>
              <w:tl2br w:val="nil"/>
              <w:tr2bl w:val="nil"/>
            </w:tcBorders>
            <w:shd w:val="clear" w:color="auto" w:fill="auto"/>
            <w:noWrap w:val="0"/>
            <w:vAlign w:val="center"/>
          </w:tcPr>
          <w:p w14:paraId="7F4E99B8">
            <w:pPr>
              <w:spacing w:before="31" w:beforeLines="10" w:line="264" w:lineRule="auto"/>
              <w:jc w:val="center"/>
              <w:rPr>
                <w:color w:val="auto"/>
                <w:szCs w:val="21"/>
              </w:rPr>
            </w:pPr>
            <w:r>
              <w:rPr>
                <w:color w:val="auto"/>
                <w:szCs w:val="21"/>
              </w:rPr>
              <w:t>250（旱地）</w:t>
            </w:r>
          </w:p>
          <w:p w14:paraId="677643B5">
            <w:pPr>
              <w:spacing w:before="31" w:beforeLines="10" w:line="264" w:lineRule="auto"/>
              <w:jc w:val="center"/>
              <w:rPr>
                <w:color w:val="auto"/>
                <w:szCs w:val="21"/>
              </w:rPr>
            </w:pPr>
            <w:r>
              <w:rPr>
                <w:color w:val="auto"/>
                <w:szCs w:val="21"/>
              </w:rPr>
              <w:t>350（水田）</w:t>
            </w:r>
          </w:p>
        </w:tc>
        <w:tc>
          <w:tcPr>
            <w:tcW w:w="669" w:type="pct"/>
            <w:tcBorders>
              <w:tl2br w:val="nil"/>
              <w:tr2bl w:val="nil"/>
            </w:tcBorders>
            <w:shd w:val="clear" w:color="auto" w:fill="auto"/>
            <w:noWrap w:val="0"/>
            <w:vAlign w:val="center"/>
          </w:tcPr>
          <w:p w14:paraId="0D0B0FDB">
            <w:pPr>
              <w:spacing w:before="31" w:beforeLines="10" w:line="264" w:lineRule="auto"/>
              <w:jc w:val="center"/>
              <w:rPr>
                <w:color w:val="auto"/>
                <w:szCs w:val="21"/>
              </w:rPr>
            </w:pPr>
            <w:r>
              <w:rPr>
                <w:color w:val="auto"/>
                <w:szCs w:val="21"/>
              </w:rPr>
              <w:t>25（旱地）</w:t>
            </w:r>
          </w:p>
          <w:p w14:paraId="200E8AC1">
            <w:pPr>
              <w:spacing w:before="31" w:beforeLines="10" w:line="264" w:lineRule="auto"/>
              <w:jc w:val="center"/>
              <w:rPr>
                <w:color w:val="auto"/>
                <w:szCs w:val="21"/>
              </w:rPr>
            </w:pPr>
            <w:r>
              <w:rPr>
                <w:color w:val="auto"/>
                <w:szCs w:val="21"/>
              </w:rPr>
              <w:t>20（水田）</w:t>
            </w:r>
          </w:p>
        </w:tc>
        <w:tc>
          <w:tcPr>
            <w:tcW w:w="337" w:type="pct"/>
            <w:tcBorders>
              <w:tl2br w:val="nil"/>
              <w:tr2bl w:val="nil"/>
            </w:tcBorders>
            <w:shd w:val="clear" w:color="auto" w:fill="auto"/>
            <w:noWrap w:val="0"/>
            <w:vAlign w:val="center"/>
          </w:tcPr>
          <w:p w14:paraId="35958B5E">
            <w:pPr>
              <w:spacing w:before="31" w:beforeLines="10" w:line="264" w:lineRule="auto"/>
              <w:jc w:val="center"/>
              <w:rPr>
                <w:color w:val="auto"/>
                <w:szCs w:val="21"/>
              </w:rPr>
            </w:pPr>
            <w:r>
              <w:rPr>
                <w:color w:val="auto"/>
                <w:szCs w:val="21"/>
              </w:rPr>
              <w:t>1.0</w:t>
            </w:r>
          </w:p>
        </w:tc>
        <w:tc>
          <w:tcPr>
            <w:tcW w:w="337" w:type="pct"/>
            <w:tcBorders>
              <w:tl2br w:val="nil"/>
              <w:tr2bl w:val="nil"/>
            </w:tcBorders>
            <w:shd w:val="clear" w:color="auto" w:fill="auto"/>
            <w:noWrap w:val="0"/>
            <w:vAlign w:val="center"/>
          </w:tcPr>
          <w:p w14:paraId="1A3BCD81">
            <w:pPr>
              <w:spacing w:before="31" w:beforeLines="10" w:line="264" w:lineRule="auto"/>
              <w:jc w:val="center"/>
              <w:rPr>
                <w:color w:val="auto"/>
                <w:szCs w:val="21"/>
              </w:rPr>
            </w:pPr>
            <w:r>
              <w:rPr>
                <w:color w:val="auto"/>
                <w:szCs w:val="21"/>
              </w:rPr>
              <w:t>350</w:t>
            </w:r>
          </w:p>
        </w:tc>
        <w:tc>
          <w:tcPr>
            <w:tcW w:w="732" w:type="pct"/>
            <w:tcBorders>
              <w:tl2br w:val="nil"/>
              <w:tr2bl w:val="nil"/>
            </w:tcBorders>
            <w:shd w:val="clear" w:color="auto" w:fill="auto"/>
            <w:noWrap w:val="0"/>
            <w:vAlign w:val="center"/>
          </w:tcPr>
          <w:p w14:paraId="6F9483CA">
            <w:pPr>
              <w:spacing w:before="31" w:beforeLines="10" w:line="264" w:lineRule="auto"/>
              <w:jc w:val="center"/>
              <w:rPr>
                <w:color w:val="auto"/>
                <w:szCs w:val="21"/>
              </w:rPr>
            </w:pPr>
            <w:r>
              <w:rPr>
                <w:color w:val="auto"/>
                <w:szCs w:val="21"/>
              </w:rPr>
              <w:t>100（农田等）</w:t>
            </w:r>
          </w:p>
        </w:tc>
        <w:tc>
          <w:tcPr>
            <w:tcW w:w="393" w:type="pct"/>
            <w:tcBorders>
              <w:tl2br w:val="nil"/>
              <w:tr2bl w:val="nil"/>
            </w:tcBorders>
            <w:shd w:val="clear" w:color="auto" w:fill="auto"/>
            <w:noWrap w:val="0"/>
            <w:vAlign w:val="center"/>
          </w:tcPr>
          <w:p w14:paraId="6B573354">
            <w:pPr>
              <w:spacing w:before="31" w:beforeLines="10" w:line="264" w:lineRule="auto"/>
              <w:jc w:val="center"/>
              <w:rPr>
                <w:color w:val="auto"/>
                <w:szCs w:val="21"/>
              </w:rPr>
            </w:pPr>
            <w:r>
              <w:rPr>
                <w:color w:val="auto"/>
                <w:szCs w:val="21"/>
              </w:rPr>
              <w:t>300</w:t>
            </w:r>
          </w:p>
        </w:tc>
        <w:tc>
          <w:tcPr>
            <w:tcW w:w="391" w:type="pct"/>
            <w:tcBorders>
              <w:tl2br w:val="nil"/>
              <w:tr2bl w:val="nil"/>
            </w:tcBorders>
            <w:shd w:val="clear" w:color="auto" w:fill="auto"/>
            <w:noWrap w:val="0"/>
            <w:vAlign w:val="center"/>
          </w:tcPr>
          <w:p w14:paraId="36DB3CBC">
            <w:pPr>
              <w:spacing w:before="31" w:beforeLines="10" w:line="264" w:lineRule="auto"/>
              <w:jc w:val="center"/>
              <w:rPr>
                <w:color w:val="auto"/>
                <w:szCs w:val="21"/>
              </w:rPr>
            </w:pPr>
            <w:r>
              <w:rPr>
                <w:color w:val="auto"/>
                <w:szCs w:val="21"/>
              </w:rPr>
              <w:t>60</w:t>
            </w:r>
          </w:p>
        </w:tc>
      </w:tr>
    </w:tbl>
    <w:p w14:paraId="10264F5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b w:val="0"/>
          <w:bCs w:val="0"/>
          <w:color w:val="auto"/>
          <w:sz w:val="24"/>
          <w:szCs w:val="32"/>
          <w:lang w:val="en-US" w:eastAsia="zh-CN"/>
        </w:rPr>
      </w:pPr>
    </w:p>
    <w:p w14:paraId="3384DB1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2"/>
        <w:rPr>
          <w:rFonts w:hint="eastAsia"/>
          <w:b w:val="0"/>
          <w:bCs w:val="0"/>
          <w:color w:val="auto"/>
          <w:sz w:val="24"/>
          <w:szCs w:val="32"/>
          <w:lang w:eastAsia="zh-CN"/>
        </w:rPr>
      </w:pPr>
      <w:r>
        <w:rPr>
          <w:rFonts w:hint="eastAsia"/>
          <w:b w:val="0"/>
          <w:bCs w:val="0"/>
          <w:color w:val="auto"/>
          <w:sz w:val="24"/>
          <w:szCs w:val="32"/>
          <w:lang w:eastAsia="zh-CN"/>
        </w:rPr>
        <w:t>（</w:t>
      </w:r>
      <w:r>
        <w:rPr>
          <w:rFonts w:hint="eastAsia"/>
          <w:b w:val="0"/>
          <w:bCs w:val="0"/>
          <w:color w:val="auto"/>
          <w:sz w:val="24"/>
          <w:szCs w:val="32"/>
          <w:lang w:val="en-US" w:eastAsia="zh-CN"/>
        </w:rPr>
        <w:t>2</w:t>
      </w:r>
      <w:r>
        <w:rPr>
          <w:rFonts w:hint="eastAsia"/>
          <w:b w:val="0"/>
          <w:bCs w:val="0"/>
          <w:color w:val="auto"/>
          <w:sz w:val="24"/>
          <w:szCs w:val="32"/>
          <w:lang w:eastAsia="zh-CN"/>
        </w:rPr>
        <w:t>）</w:t>
      </w:r>
      <w:r>
        <w:rPr>
          <w:rFonts w:hint="eastAsia"/>
          <w:b w:val="0"/>
          <w:bCs w:val="0"/>
          <w:color w:val="auto"/>
          <w:sz w:val="24"/>
          <w:szCs w:val="32"/>
          <w:lang w:val="en-US" w:eastAsia="zh-CN"/>
        </w:rPr>
        <w:t>监测结果</w:t>
      </w:r>
    </w:p>
    <w:p w14:paraId="0343E659">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rPr>
          <w:rFonts w:hint="eastAsia"/>
          <w:b/>
          <w:bCs/>
          <w:color w:val="auto"/>
          <w:sz w:val="24"/>
          <w:szCs w:val="32"/>
          <w:lang w:eastAsia="zh-CN"/>
        </w:rPr>
      </w:pPr>
      <w:r>
        <w:rPr>
          <w:rFonts w:hint="default" w:ascii="Times New Roman" w:hAnsi="Times New Roman" w:cs="Times New Roman"/>
          <w:b/>
          <w:bCs/>
          <w:color w:val="auto"/>
          <w:sz w:val="24"/>
          <w:szCs w:val="24"/>
        </w:rPr>
        <w:t>表</w:t>
      </w:r>
      <w:r>
        <w:rPr>
          <w:rFonts w:hint="eastAsia" w:ascii="Times New Roman" w:hAnsi="Times New Roman" w:cs="Times New Roman"/>
          <w:b/>
          <w:bCs/>
          <w:color w:val="auto"/>
          <w:sz w:val="24"/>
          <w:szCs w:val="24"/>
          <w:lang w:val="en-US" w:eastAsia="zh-CN"/>
        </w:rPr>
        <w:t>2-20</w:t>
      </w:r>
      <w:r>
        <w:rPr>
          <w:rFonts w:hint="default" w:ascii="Times New Roman" w:hAnsi="Times New Roman" w:cs="Times New Roman"/>
          <w:b/>
          <w:bCs/>
          <w:color w:val="auto"/>
          <w:sz w:val="24"/>
          <w:szCs w:val="24"/>
        </w:rPr>
        <w:t xml:space="preserve"> 土壤环境质量现状监测结果</w:t>
      </w:r>
      <w:r>
        <w:rPr>
          <w:rFonts w:hint="eastAsia" w:ascii="Times New Roman" w:hAnsi="Times New Roman" w:cs="Times New Roman"/>
          <w:b/>
          <w:bCs/>
          <w:color w:val="auto"/>
          <w:sz w:val="24"/>
          <w:szCs w:val="24"/>
          <w:lang w:val="en-US" w:eastAsia="zh-CN"/>
        </w:rPr>
        <w:t>及</w:t>
      </w:r>
      <w:r>
        <w:rPr>
          <w:rFonts w:hint="default" w:ascii="Times New Roman" w:hAnsi="Times New Roman" w:cs="Times New Roman"/>
          <w:b/>
          <w:bCs/>
          <w:color w:val="auto"/>
          <w:sz w:val="24"/>
          <w:szCs w:val="24"/>
        </w:rPr>
        <w:t>评价结果</w:t>
      </w:r>
      <w:r>
        <w:rPr>
          <w:rFonts w:hint="eastAsia" w:ascii="Times New Roman" w:hAnsi="Times New Roman" w:cs="Times New Roman"/>
          <w:b/>
          <w:bCs/>
          <w:color w:val="auto"/>
          <w:sz w:val="24"/>
          <w:szCs w:val="24"/>
          <w:lang w:val="en-US" w:eastAsia="zh-CN"/>
        </w:rPr>
        <w:t>一览</w:t>
      </w:r>
      <w:r>
        <w:rPr>
          <w:rFonts w:hint="default" w:ascii="Times New Roman" w:hAnsi="Times New Roman" w:cs="Times New Roman"/>
          <w:b/>
          <w:bCs/>
          <w:color w:val="auto"/>
          <w:sz w:val="24"/>
          <w:szCs w:val="24"/>
        </w:rPr>
        <w:t>表</w:t>
      </w:r>
      <w:r>
        <w:rPr>
          <w:rFonts w:hint="eastAsia" w:ascii="Times New Roman" w:hAnsi="Times New Roman" w:cs="Times New Roman"/>
          <w:b/>
          <w:bCs/>
          <w:color w:val="auto"/>
          <w:sz w:val="24"/>
          <w:szCs w:val="24"/>
          <w:lang w:val="en-US" w:eastAsia="zh-CN"/>
        </w:rPr>
        <w:t xml:space="preserve">   </w:t>
      </w:r>
      <w:r>
        <w:rPr>
          <w:rFonts w:hint="default" w:ascii="Times New Roman" w:hAnsi="Times New Roman" w:cs="Times New Roman"/>
          <w:b/>
          <w:bCs/>
          <w:color w:val="auto"/>
          <w:sz w:val="24"/>
          <w:szCs w:val="24"/>
        </w:rPr>
        <w:t>单位：mg/kg</w:t>
      </w:r>
    </w:p>
    <w:tbl>
      <w:tblPr>
        <w:tblStyle w:val="31"/>
        <w:tblW w:w="4997"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1786"/>
        <w:gridCol w:w="1332"/>
        <w:gridCol w:w="943"/>
        <w:gridCol w:w="943"/>
        <w:gridCol w:w="944"/>
        <w:gridCol w:w="944"/>
        <w:gridCol w:w="944"/>
        <w:gridCol w:w="946"/>
        <w:gridCol w:w="1174"/>
      </w:tblGrid>
      <w:tr w14:paraId="245DB0F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tcBorders>
              <w:tl2br w:val="nil"/>
              <w:tr2bl w:val="nil"/>
            </w:tcBorders>
            <w:shd w:val="clear" w:color="auto" w:fill="auto"/>
            <w:noWrap/>
            <w:vAlign w:val="center"/>
          </w:tcPr>
          <w:p w14:paraId="5CA6092A">
            <w:pPr>
              <w:spacing w:before="31" w:beforeLines="10" w:line="264" w:lineRule="auto"/>
              <w:jc w:val="center"/>
              <w:rPr>
                <w:b/>
                <w:color w:val="auto"/>
              </w:rPr>
            </w:pPr>
            <w:r>
              <w:rPr>
                <w:b/>
                <w:color w:val="auto"/>
              </w:rPr>
              <w:t>监测点名称</w:t>
            </w:r>
          </w:p>
        </w:tc>
        <w:tc>
          <w:tcPr>
            <w:tcW w:w="694" w:type="pct"/>
            <w:tcBorders>
              <w:tl2br w:val="nil"/>
              <w:tr2bl w:val="nil"/>
            </w:tcBorders>
            <w:shd w:val="clear" w:color="auto" w:fill="auto"/>
            <w:noWrap/>
            <w:vAlign w:val="center"/>
          </w:tcPr>
          <w:p w14:paraId="4BE44C05">
            <w:pPr>
              <w:spacing w:before="31" w:beforeLines="10" w:line="264" w:lineRule="auto"/>
              <w:jc w:val="center"/>
              <w:rPr>
                <w:b/>
                <w:color w:val="auto"/>
              </w:rPr>
            </w:pPr>
            <w:r>
              <w:rPr>
                <w:b/>
                <w:color w:val="auto"/>
              </w:rPr>
              <w:t>项目</w:t>
            </w:r>
          </w:p>
        </w:tc>
        <w:tc>
          <w:tcPr>
            <w:tcW w:w="499" w:type="pct"/>
            <w:tcBorders>
              <w:tl2br w:val="nil"/>
              <w:tr2bl w:val="nil"/>
            </w:tcBorders>
            <w:shd w:val="clear" w:color="auto" w:fill="auto"/>
            <w:noWrap/>
            <w:vAlign w:val="center"/>
          </w:tcPr>
          <w:p w14:paraId="4621D542">
            <w:pPr>
              <w:jc w:val="center"/>
              <w:rPr>
                <w:b/>
                <w:bCs/>
                <w:color w:val="auto"/>
                <w:szCs w:val="21"/>
              </w:rPr>
            </w:pPr>
            <w:r>
              <w:rPr>
                <w:b/>
                <w:bCs/>
                <w:color w:val="auto"/>
                <w:szCs w:val="21"/>
              </w:rPr>
              <w:t>pH</w:t>
            </w:r>
          </w:p>
        </w:tc>
        <w:tc>
          <w:tcPr>
            <w:tcW w:w="499" w:type="pct"/>
            <w:tcBorders>
              <w:tl2br w:val="nil"/>
              <w:tr2bl w:val="nil"/>
            </w:tcBorders>
            <w:shd w:val="clear" w:color="auto" w:fill="auto"/>
            <w:noWrap/>
            <w:vAlign w:val="center"/>
          </w:tcPr>
          <w:p w14:paraId="5696F0E4">
            <w:pPr>
              <w:jc w:val="center"/>
              <w:rPr>
                <w:b/>
                <w:bCs/>
                <w:color w:val="auto"/>
                <w:szCs w:val="21"/>
              </w:rPr>
            </w:pPr>
            <w:r>
              <w:rPr>
                <w:b/>
                <w:bCs/>
                <w:color w:val="auto"/>
                <w:szCs w:val="21"/>
              </w:rPr>
              <w:t>镉</w:t>
            </w:r>
          </w:p>
        </w:tc>
        <w:tc>
          <w:tcPr>
            <w:tcW w:w="499" w:type="pct"/>
            <w:tcBorders>
              <w:tl2br w:val="nil"/>
              <w:tr2bl w:val="nil"/>
            </w:tcBorders>
            <w:shd w:val="clear" w:color="auto" w:fill="auto"/>
            <w:noWrap/>
            <w:vAlign w:val="center"/>
          </w:tcPr>
          <w:p w14:paraId="73F127F9">
            <w:pPr>
              <w:jc w:val="center"/>
              <w:rPr>
                <w:b/>
                <w:bCs/>
                <w:color w:val="auto"/>
                <w:szCs w:val="21"/>
              </w:rPr>
            </w:pPr>
            <w:r>
              <w:rPr>
                <w:b/>
                <w:bCs/>
                <w:color w:val="auto"/>
                <w:szCs w:val="21"/>
              </w:rPr>
              <w:t>铅</w:t>
            </w:r>
          </w:p>
        </w:tc>
        <w:tc>
          <w:tcPr>
            <w:tcW w:w="499" w:type="pct"/>
            <w:tcBorders>
              <w:tl2br w:val="nil"/>
              <w:tr2bl w:val="nil"/>
            </w:tcBorders>
            <w:shd w:val="clear" w:color="auto" w:fill="auto"/>
            <w:noWrap/>
            <w:vAlign w:val="center"/>
          </w:tcPr>
          <w:p w14:paraId="03B2468E">
            <w:pPr>
              <w:jc w:val="center"/>
              <w:rPr>
                <w:b/>
                <w:bCs/>
                <w:color w:val="auto"/>
                <w:szCs w:val="21"/>
              </w:rPr>
            </w:pPr>
            <w:r>
              <w:rPr>
                <w:b/>
                <w:bCs/>
                <w:color w:val="auto"/>
                <w:szCs w:val="21"/>
              </w:rPr>
              <w:t>铬</w:t>
            </w:r>
          </w:p>
        </w:tc>
        <w:tc>
          <w:tcPr>
            <w:tcW w:w="499" w:type="pct"/>
            <w:tcBorders>
              <w:tl2br w:val="nil"/>
              <w:tr2bl w:val="nil"/>
            </w:tcBorders>
            <w:shd w:val="clear" w:color="auto" w:fill="auto"/>
            <w:noWrap/>
            <w:vAlign w:val="center"/>
          </w:tcPr>
          <w:p w14:paraId="35415DC7">
            <w:pPr>
              <w:jc w:val="center"/>
              <w:rPr>
                <w:b/>
                <w:bCs/>
                <w:color w:val="auto"/>
                <w:szCs w:val="21"/>
              </w:rPr>
            </w:pPr>
            <w:r>
              <w:rPr>
                <w:b/>
                <w:bCs/>
                <w:color w:val="auto"/>
                <w:szCs w:val="21"/>
              </w:rPr>
              <w:t>砷</w:t>
            </w:r>
          </w:p>
        </w:tc>
        <w:tc>
          <w:tcPr>
            <w:tcW w:w="500" w:type="pct"/>
            <w:tcBorders>
              <w:tl2br w:val="nil"/>
              <w:tr2bl w:val="nil"/>
            </w:tcBorders>
            <w:shd w:val="clear" w:color="auto" w:fill="auto"/>
            <w:noWrap w:val="0"/>
            <w:vAlign w:val="center"/>
          </w:tcPr>
          <w:p w14:paraId="702A299D">
            <w:pPr>
              <w:jc w:val="center"/>
              <w:rPr>
                <w:b/>
                <w:bCs/>
                <w:color w:val="auto"/>
                <w:szCs w:val="21"/>
              </w:rPr>
            </w:pPr>
            <w:r>
              <w:rPr>
                <w:b/>
                <w:bCs/>
                <w:color w:val="auto"/>
                <w:szCs w:val="21"/>
              </w:rPr>
              <w:t>汞</w:t>
            </w:r>
          </w:p>
        </w:tc>
        <w:tc>
          <w:tcPr>
            <w:tcW w:w="500" w:type="pct"/>
            <w:tcBorders>
              <w:tl2br w:val="nil"/>
              <w:tr2bl w:val="nil"/>
            </w:tcBorders>
            <w:shd w:val="clear" w:color="auto" w:fill="auto"/>
            <w:noWrap w:val="0"/>
            <w:vAlign w:val="center"/>
          </w:tcPr>
          <w:p w14:paraId="48CF6417">
            <w:pPr>
              <w:jc w:val="center"/>
              <w:rPr>
                <w:rFonts w:hint="eastAsia" w:eastAsia="宋体"/>
                <w:b/>
                <w:bCs/>
                <w:color w:val="auto"/>
                <w:szCs w:val="21"/>
                <w:lang w:val="en-US" w:eastAsia="zh-CN"/>
              </w:rPr>
            </w:pPr>
            <w:r>
              <w:rPr>
                <w:rFonts w:hint="eastAsia"/>
                <w:b/>
                <w:bCs/>
                <w:color w:val="auto"/>
                <w:szCs w:val="21"/>
                <w:lang w:val="en-US" w:eastAsia="zh-CN"/>
              </w:rPr>
              <w:t>二噁英</w:t>
            </w:r>
          </w:p>
        </w:tc>
      </w:tr>
      <w:tr w14:paraId="0527F55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restart"/>
            <w:tcBorders>
              <w:tl2br w:val="nil"/>
              <w:tr2bl w:val="nil"/>
            </w:tcBorders>
            <w:shd w:val="clear" w:color="auto" w:fill="auto"/>
            <w:noWrap/>
            <w:vAlign w:val="center"/>
          </w:tcPr>
          <w:p w14:paraId="6A7FBFCC">
            <w:pPr>
              <w:jc w:val="center"/>
              <w:rPr>
                <w:bCs/>
                <w:color w:val="auto"/>
                <w:szCs w:val="21"/>
              </w:rPr>
            </w:pPr>
            <w:r>
              <w:rPr>
                <w:bCs/>
                <w:color w:val="auto"/>
                <w:szCs w:val="21"/>
              </w:rPr>
              <w:t>G1星河花园小区</w:t>
            </w:r>
          </w:p>
        </w:tc>
        <w:tc>
          <w:tcPr>
            <w:tcW w:w="694" w:type="pct"/>
            <w:tcBorders>
              <w:tl2br w:val="nil"/>
              <w:tr2bl w:val="nil"/>
            </w:tcBorders>
            <w:shd w:val="clear" w:color="auto" w:fill="auto"/>
            <w:noWrap/>
            <w:vAlign w:val="center"/>
          </w:tcPr>
          <w:p w14:paraId="42B04C90">
            <w:pPr>
              <w:spacing w:before="31" w:beforeLines="10" w:line="264" w:lineRule="auto"/>
              <w:jc w:val="center"/>
              <w:rPr>
                <w:color w:val="auto"/>
              </w:rPr>
            </w:pPr>
            <w:r>
              <w:rPr>
                <w:color w:val="auto"/>
              </w:rPr>
              <w:t>监测值</w:t>
            </w:r>
          </w:p>
        </w:tc>
        <w:tc>
          <w:tcPr>
            <w:tcW w:w="499" w:type="pct"/>
            <w:tcBorders>
              <w:tl2br w:val="nil"/>
              <w:tr2bl w:val="nil"/>
            </w:tcBorders>
            <w:shd w:val="clear" w:color="auto" w:fill="auto"/>
            <w:noWrap/>
            <w:vAlign w:val="center"/>
          </w:tcPr>
          <w:p w14:paraId="38C1A09B">
            <w:pPr>
              <w:spacing w:before="31" w:beforeLines="10" w:line="264" w:lineRule="auto"/>
              <w:jc w:val="center"/>
              <w:rPr>
                <w:color w:val="auto"/>
              </w:rPr>
            </w:pPr>
            <w:r>
              <w:rPr>
                <w:color w:val="auto"/>
              </w:rPr>
              <w:t>8.14</w:t>
            </w:r>
          </w:p>
        </w:tc>
        <w:tc>
          <w:tcPr>
            <w:tcW w:w="499" w:type="pct"/>
            <w:tcBorders>
              <w:tl2br w:val="nil"/>
              <w:tr2bl w:val="nil"/>
            </w:tcBorders>
            <w:shd w:val="clear" w:color="auto" w:fill="auto"/>
            <w:noWrap/>
            <w:vAlign w:val="center"/>
          </w:tcPr>
          <w:p w14:paraId="4B9D3D49">
            <w:pPr>
              <w:spacing w:before="31" w:beforeLines="10" w:line="264" w:lineRule="auto"/>
              <w:jc w:val="center"/>
              <w:rPr>
                <w:color w:val="auto"/>
              </w:rPr>
            </w:pPr>
            <w:r>
              <w:rPr>
                <w:color w:val="auto"/>
              </w:rPr>
              <w:t>0.23</w:t>
            </w:r>
          </w:p>
        </w:tc>
        <w:tc>
          <w:tcPr>
            <w:tcW w:w="499" w:type="pct"/>
            <w:tcBorders>
              <w:tl2br w:val="nil"/>
              <w:tr2bl w:val="nil"/>
            </w:tcBorders>
            <w:shd w:val="clear" w:color="auto" w:fill="auto"/>
            <w:noWrap/>
            <w:vAlign w:val="center"/>
          </w:tcPr>
          <w:p w14:paraId="770A6792">
            <w:pPr>
              <w:spacing w:before="31" w:beforeLines="10" w:line="264" w:lineRule="auto"/>
              <w:jc w:val="center"/>
              <w:rPr>
                <w:color w:val="auto"/>
              </w:rPr>
            </w:pPr>
            <w:r>
              <w:rPr>
                <w:color w:val="auto"/>
              </w:rPr>
              <w:t>21.1</w:t>
            </w:r>
          </w:p>
        </w:tc>
        <w:tc>
          <w:tcPr>
            <w:tcW w:w="499" w:type="pct"/>
            <w:tcBorders>
              <w:tl2br w:val="nil"/>
              <w:tr2bl w:val="nil"/>
            </w:tcBorders>
            <w:shd w:val="clear" w:color="auto" w:fill="auto"/>
            <w:noWrap/>
            <w:vAlign w:val="center"/>
          </w:tcPr>
          <w:p w14:paraId="516C569D">
            <w:pPr>
              <w:spacing w:before="31" w:beforeLines="10" w:line="264" w:lineRule="auto"/>
              <w:jc w:val="center"/>
              <w:rPr>
                <w:color w:val="auto"/>
              </w:rPr>
            </w:pPr>
            <w:r>
              <w:rPr>
                <w:color w:val="auto"/>
              </w:rPr>
              <w:t>38</w:t>
            </w:r>
          </w:p>
        </w:tc>
        <w:tc>
          <w:tcPr>
            <w:tcW w:w="499" w:type="pct"/>
            <w:tcBorders>
              <w:tl2br w:val="nil"/>
              <w:tr2bl w:val="nil"/>
            </w:tcBorders>
            <w:shd w:val="clear" w:color="auto" w:fill="auto"/>
            <w:noWrap/>
            <w:vAlign w:val="center"/>
          </w:tcPr>
          <w:p w14:paraId="67A79CC3">
            <w:pPr>
              <w:spacing w:before="31" w:beforeLines="10" w:line="264" w:lineRule="auto"/>
              <w:jc w:val="center"/>
              <w:rPr>
                <w:color w:val="auto"/>
              </w:rPr>
            </w:pPr>
            <w:r>
              <w:rPr>
                <w:color w:val="auto"/>
              </w:rPr>
              <w:t>6.3</w:t>
            </w:r>
          </w:p>
        </w:tc>
        <w:tc>
          <w:tcPr>
            <w:tcW w:w="500" w:type="pct"/>
            <w:tcBorders>
              <w:tl2br w:val="nil"/>
              <w:tr2bl w:val="nil"/>
            </w:tcBorders>
            <w:shd w:val="clear" w:color="auto" w:fill="auto"/>
            <w:noWrap w:val="0"/>
            <w:vAlign w:val="center"/>
          </w:tcPr>
          <w:p w14:paraId="75981D72">
            <w:pPr>
              <w:spacing w:before="31" w:beforeLines="10" w:line="264" w:lineRule="auto"/>
              <w:jc w:val="center"/>
              <w:rPr>
                <w:color w:val="auto"/>
              </w:rPr>
            </w:pPr>
            <w:r>
              <w:rPr>
                <w:color w:val="auto"/>
              </w:rPr>
              <w:t>0.159</w:t>
            </w:r>
          </w:p>
        </w:tc>
        <w:tc>
          <w:tcPr>
            <w:tcW w:w="500" w:type="pct"/>
            <w:tcBorders>
              <w:tl2br w:val="nil"/>
              <w:tr2bl w:val="nil"/>
            </w:tcBorders>
            <w:shd w:val="clear" w:color="auto" w:fill="auto"/>
            <w:noWrap w:val="0"/>
            <w:vAlign w:val="center"/>
          </w:tcPr>
          <w:p w14:paraId="34AA14D5">
            <w:pPr>
              <w:spacing w:before="31" w:beforeLines="10" w:line="264" w:lineRule="auto"/>
              <w:jc w:val="center"/>
              <w:rPr>
                <w:rFonts w:hint="eastAsia" w:eastAsia="宋体"/>
                <w:color w:val="auto"/>
                <w:lang w:val="en-US" w:eastAsia="zh-CN"/>
              </w:rPr>
            </w:pPr>
            <w:r>
              <w:rPr>
                <w:rFonts w:hint="eastAsia"/>
                <w:color w:val="auto"/>
                <w:lang w:val="en-US" w:eastAsia="zh-CN"/>
              </w:rPr>
              <w:t>/</w:t>
            </w:r>
          </w:p>
        </w:tc>
      </w:tr>
      <w:tr w14:paraId="08E90A4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continue"/>
            <w:tcBorders>
              <w:tl2br w:val="nil"/>
              <w:tr2bl w:val="nil"/>
            </w:tcBorders>
            <w:shd w:val="clear" w:color="auto" w:fill="auto"/>
            <w:noWrap w:val="0"/>
            <w:vAlign w:val="center"/>
          </w:tcPr>
          <w:p w14:paraId="0DAE6CA0">
            <w:pPr>
              <w:spacing w:before="31" w:beforeLines="10" w:line="264" w:lineRule="auto"/>
              <w:jc w:val="center"/>
              <w:rPr>
                <w:color w:val="auto"/>
              </w:rPr>
            </w:pPr>
          </w:p>
        </w:tc>
        <w:tc>
          <w:tcPr>
            <w:tcW w:w="694" w:type="pct"/>
            <w:tcBorders>
              <w:tl2br w:val="nil"/>
              <w:tr2bl w:val="nil"/>
            </w:tcBorders>
            <w:shd w:val="clear" w:color="auto" w:fill="auto"/>
            <w:noWrap/>
            <w:vAlign w:val="center"/>
          </w:tcPr>
          <w:p w14:paraId="5C99D1CF">
            <w:pPr>
              <w:spacing w:before="31" w:beforeLines="10" w:line="264" w:lineRule="auto"/>
              <w:jc w:val="center"/>
              <w:rPr>
                <w:rFonts w:hint="default" w:eastAsia="宋体"/>
                <w:color w:val="auto"/>
                <w:lang w:val="en-US" w:eastAsia="zh-CN"/>
              </w:rPr>
            </w:pPr>
            <w:r>
              <w:rPr>
                <w:rFonts w:hint="eastAsia"/>
                <w:color w:val="auto"/>
                <w:lang w:val="en-US" w:eastAsia="zh-CN"/>
              </w:rPr>
              <w:t>标准限值</w:t>
            </w:r>
          </w:p>
        </w:tc>
        <w:tc>
          <w:tcPr>
            <w:tcW w:w="499" w:type="pct"/>
            <w:tcBorders>
              <w:tl2br w:val="nil"/>
              <w:tr2bl w:val="nil"/>
            </w:tcBorders>
            <w:shd w:val="clear" w:color="auto" w:fill="auto"/>
            <w:noWrap/>
            <w:vAlign w:val="center"/>
          </w:tcPr>
          <w:p w14:paraId="260C3E62">
            <w:pPr>
              <w:spacing w:before="31" w:beforeLines="10" w:line="264" w:lineRule="auto"/>
              <w:jc w:val="center"/>
              <w:rPr>
                <w:color w:val="auto"/>
              </w:rPr>
            </w:pPr>
            <w:r>
              <w:rPr>
                <w:color w:val="auto"/>
              </w:rPr>
              <w:t>/</w:t>
            </w:r>
          </w:p>
        </w:tc>
        <w:tc>
          <w:tcPr>
            <w:tcW w:w="499" w:type="pct"/>
            <w:tcBorders>
              <w:tl2br w:val="nil"/>
              <w:tr2bl w:val="nil"/>
            </w:tcBorders>
            <w:shd w:val="clear" w:color="auto" w:fill="auto"/>
            <w:noWrap/>
            <w:vAlign w:val="center"/>
          </w:tcPr>
          <w:p w14:paraId="7A8DD12A">
            <w:pPr>
              <w:spacing w:before="31" w:beforeLines="10" w:line="264" w:lineRule="auto"/>
              <w:jc w:val="center"/>
              <w:rPr>
                <w:rFonts w:hint="default" w:eastAsia="宋体"/>
                <w:color w:val="auto"/>
                <w:lang w:val="en-US" w:eastAsia="zh-CN"/>
              </w:rPr>
            </w:pPr>
            <w:r>
              <w:rPr>
                <w:rFonts w:hint="eastAsia"/>
                <w:color w:val="auto"/>
                <w:lang w:val="en-US" w:eastAsia="zh-CN"/>
              </w:rPr>
              <w:t>0.6</w:t>
            </w:r>
          </w:p>
        </w:tc>
        <w:tc>
          <w:tcPr>
            <w:tcW w:w="499" w:type="pct"/>
            <w:tcBorders>
              <w:tl2br w:val="nil"/>
              <w:tr2bl w:val="nil"/>
            </w:tcBorders>
            <w:shd w:val="clear" w:color="auto" w:fill="auto"/>
            <w:noWrap/>
            <w:vAlign w:val="center"/>
          </w:tcPr>
          <w:p w14:paraId="588E648E">
            <w:pPr>
              <w:spacing w:before="31" w:beforeLines="10" w:line="264" w:lineRule="auto"/>
              <w:jc w:val="center"/>
              <w:rPr>
                <w:rFonts w:hint="default" w:eastAsia="宋体"/>
                <w:color w:val="auto"/>
                <w:lang w:val="en-US" w:eastAsia="zh-CN"/>
              </w:rPr>
            </w:pPr>
            <w:r>
              <w:rPr>
                <w:rFonts w:hint="eastAsia"/>
                <w:color w:val="auto"/>
                <w:lang w:val="en-US" w:eastAsia="zh-CN"/>
              </w:rPr>
              <w:t>350</w:t>
            </w:r>
          </w:p>
        </w:tc>
        <w:tc>
          <w:tcPr>
            <w:tcW w:w="499" w:type="pct"/>
            <w:tcBorders>
              <w:tl2br w:val="nil"/>
              <w:tr2bl w:val="nil"/>
            </w:tcBorders>
            <w:shd w:val="clear" w:color="auto" w:fill="auto"/>
            <w:noWrap/>
            <w:vAlign w:val="center"/>
          </w:tcPr>
          <w:p w14:paraId="6CF70CED">
            <w:pPr>
              <w:spacing w:before="31" w:beforeLines="10" w:line="264" w:lineRule="auto"/>
              <w:jc w:val="center"/>
              <w:rPr>
                <w:rFonts w:hint="default" w:eastAsia="宋体"/>
                <w:color w:val="auto"/>
                <w:lang w:val="en-US" w:eastAsia="zh-CN"/>
              </w:rPr>
            </w:pPr>
            <w:r>
              <w:rPr>
                <w:rFonts w:hint="eastAsia"/>
                <w:color w:val="auto"/>
                <w:lang w:val="en-US" w:eastAsia="zh-CN"/>
              </w:rPr>
              <w:t>250</w:t>
            </w:r>
          </w:p>
        </w:tc>
        <w:tc>
          <w:tcPr>
            <w:tcW w:w="499" w:type="pct"/>
            <w:tcBorders>
              <w:tl2br w:val="nil"/>
              <w:tr2bl w:val="nil"/>
            </w:tcBorders>
            <w:shd w:val="clear" w:color="auto" w:fill="auto"/>
            <w:noWrap/>
            <w:vAlign w:val="center"/>
          </w:tcPr>
          <w:p w14:paraId="12123CAE">
            <w:pPr>
              <w:spacing w:before="31" w:beforeLines="10" w:line="264" w:lineRule="auto"/>
              <w:jc w:val="center"/>
              <w:rPr>
                <w:rFonts w:hint="default" w:eastAsia="宋体"/>
                <w:color w:val="auto"/>
                <w:lang w:val="en-US" w:eastAsia="zh-CN"/>
              </w:rPr>
            </w:pPr>
            <w:r>
              <w:rPr>
                <w:rFonts w:hint="eastAsia"/>
                <w:color w:val="auto"/>
                <w:lang w:val="en-US" w:eastAsia="zh-CN"/>
              </w:rPr>
              <w:t>25</w:t>
            </w:r>
          </w:p>
        </w:tc>
        <w:tc>
          <w:tcPr>
            <w:tcW w:w="500" w:type="pct"/>
            <w:tcBorders>
              <w:tl2br w:val="nil"/>
              <w:tr2bl w:val="nil"/>
            </w:tcBorders>
            <w:shd w:val="clear" w:color="auto" w:fill="auto"/>
            <w:noWrap w:val="0"/>
            <w:vAlign w:val="center"/>
          </w:tcPr>
          <w:p w14:paraId="49497DDB">
            <w:pPr>
              <w:spacing w:before="31" w:beforeLines="10" w:line="264" w:lineRule="auto"/>
              <w:jc w:val="center"/>
              <w:rPr>
                <w:rFonts w:hint="default" w:eastAsia="宋体"/>
                <w:color w:val="auto"/>
                <w:lang w:val="en-US" w:eastAsia="zh-CN"/>
              </w:rPr>
            </w:pPr>
            <w:r>
              <w:rPr>
                <w:rFonts w:hint="eastAsia"/>
                <w:color w:val="auto"/>
                <w:lang w:val="en-US" w:eastAsia="zh-CN"/>
              </w:rPr>
              <w:t>1.0</w:t>
            </w:r>
          </w:p>
        </w:tc>
        <w:tc>
          <w:tcPr>
            <w:tcW w:w="500" w:type="pct"/>
            <w:tcBorders>
              <w:tl2br w:val="nil"/>
              <w:tr2bl w:val="nil"/>
            </w:tcBorders>
            <w:shd w:val="clear" w:color="auto" w:fill="auto"/>
            <w:noWrap w:val="0"/>
            <w:vAlign w:val="center"/>
          </w:tcPr>
          <w:p w14:paraId="75D9913E">
            <w:pPr>
              <w:spacing w:before="31" w:beforeLines="10" w:line="264" w:lineRule="auto"/>
              <w:jc w:val="center"/>
              <w:rPr>
                <w:rFonts w:hint="default"/>
                <w:color w:val="auto"/>
                <w:lang w:val="en-US" w:eastAsia="zh-CN"/>
              </w:rPr>
            </w:pPr>
            <w:r>
              <w:rPr>
                <w:rFonts w:hint="eastAsia"/>
                <w:color w:val="auto"/>
                <w:lang w:val="en-US" w:eastAsia="zh-CN"/>
              </w:rPr>
              <w:t>/</w:t>
            </w:r>
          </w:p>
        </w:tc>
      </w:tr>
      <w:tr w14:paraId="55F3E74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continue"/>
            <w:tcBorders>
              <w:tl2br w:val="nil"/>
              <w:tr2bl w:val="nil"/>
            </w:tcBorders>
            <w:shd w:val="clear" w:color="auto" w:fill="auto"/>
            <w:noWrap w:val="0"/>
            <w:vAlign w:val="center"/>
          </w:tcPr>
          <w:p w14:paraId="58B3A7C2">
            <w:pPr>
              <w:spacing w:before="31" w:beforeLines="10" w:line="264" w:lineRule="auto"/>
              <w:jc w:val="center"/>
              <w:rPr>
                <w:color w:val="auto"/>
              </w:rPr>
            </w:pPr>
          </w:p>
        </w:tc>
        <w:tc>
          <w:tcPr>
            <w:tcW w:w="694" w:type="pct"/>
            <w:tcBorders>
              <w:tl2br w:val="nil"/>
              <w:tr2bl w:val="nil"/>
            </w:tcBorders>
            <w:shd w:val="clear" w:color="auto" w:fill="auto"/>
            <w:noWrap/>
            <w:vAlign w:val="center"/>
          </w:tcPr>
          <w:p w14:paraId="6E31E959">
            <w:pPr>
              <w:spacing w:before="31" w:beforeLines="10" w:line="264" w:lineRule="auto"/>
              <w:jc w:val="center"/>
              <w:rPr>
                <w:rFonts w:hint="eastAsia" w:eastAsia="宋体"/>
                <w:color w:val="auto"/>
                <w:lang w:eastAsia="zh-CN"/>
              </w:rPr>
            </w:pPr>
            <w:r>
              <w:rPr>
                <w:rFonts w:hint="eastAsia"/>
                <w:color w:val="auto"/>
                <w:lang w:val="en-US" w:eastAsia="zh-CN"/>
              </w:rPr>
              <w:t>是否达标</w:t>
            </w:r>
          </w:p>
        </w:tc>
        <w:tc>
          <w:tcPr>
            <w:tcW w:w="499" w:type="pct"/>
            <w:tcBorders>
              <w:tl2br w:val="nil"/>
              <w:tr2bl w:val="nil"/>
            </w:tcBorders>
            <w:shd w:val="clear" w:color="auto" w:fill="auto"/>
            <w:noWrap/>
            <w:vAlign w:val="center"/>
          </w:tcPr>
          <w:p w14:paraId="4A314150">
            <w:pPr>
              <w:spacing w:before="31" w:beforeLines="10" w:line="264" w:lineRule="auto"/>
              <w:jc w:val="center"/>
              <w:rPr>
                <w:color w:val="auto"/>
              </w:rPr>
            </w:pPr>
            <w:r>
              <w:rPr>
                <w:color w:val="auto"/>
              </w:rPr>
              <w:t>/</w:t>
            </w:r>
          </w:p>
        </w:tc>
        <w:tc>
          <w:tcPr>
            <w:tcW w:w="499" w:type="pct"/>
            <w:tcBorders>
              <w:tl2br w:val="nil"/>
              <w:tr2bl w:val="nil"/>
            </w:tcBorders>
            <w:shd w:val="clear" w:color="auto" w:fill="auto"/>
            <w:noWrap/>
            <w:vAlign w:val="center"/>
          </w:tcPr>
          <w:p w14:paraId="75B457F6">
            <w:pPr>
              <w:spacing w:before="31" w:beforeLines="10" w:line="264" w:lineRule="auto"/>
              <w:jc w:val="center"/>
              <w:rPr>
                <w:rFonts w:hint="eastAsia" w:eastAsia="宋体"/>
                <w:color w:val="auto"/>
                <w:lang w:val="en-US" w:eastAsia="zh-CN"/>
              </w:rPr>
            </w:pPr>
            <w:r>
              <w:rPr>
                <w:rFonts w:hint="eastAsia"/>
                <w:color w:val="auto"/>
                <w:lang w:val="en-US" w:eastAsia="zh-CN"/>
              </w:rPr>
              <w:t>达标</w:t>
            </w:r>
          </w:p>
        </w:tc>
        <w:tc>
          <w:tcPr>
            <w:tcW w:w="499" w:type="pct"/>
            <w:tcBorders>
              <w:tl2br w:val="nil"/>
              <w:tr2bl w:val="nil"/>
            </w:tcBorders>
            <w:shd w:val="clear" w:color="auto" w:fill="auto"/>
            <w:noWrap/>
            <w:vAlign w:val="center"/>
          </w:tcPr>
          <w:p w14:paraId="25B8769B">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0BBA4316">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76E8934A">
            <w:pPr>
              <w:spacing w:before="31" w:beforeLines="10" w:line="264" w:lineRule="auto"/>
              <w:jc w:val="center"/>
              <w:rPr>
                <w:color w:val="auto"/>
              </w:rPr>
            </w:pPr>
            <w:r>
              <w:rPr>
                <w:rFonts w:hint="eastAsia"/>
                <w:color w:val="auto"/>
                <w:lang w:val="en-US" w:eastAsia="zh-CN"/>
              </w:rPr>
              <w:t>达标</w:t>
            </w:r>
          </w:p>
        </w:tc>
        <w:tc>
          <w:tcPr>
            <w:tcW w:w="500" w:type="pct"/>
            <w:tcBorders>
              <w:tl2br w:val="nil"/>
              <w:tr2bl w:val="nil"/>
            </w:tcBorders>
            <w:shd w:val="clear" w:color="auto" w:fill="auto"/>
            <w:noWrap w:val="0"/>
            <w:vAlign w:val="center"/>
          </w:tcPr>
          <w:p w14:paraId="330ED0D0">
            <w:pPr>
              <w:spacing w:before="31" w:beforeLines="10" w:line="264" w:lineRule="auto"/>
              <w:jc w:val="center"/>
              <w:rPr>
                <w:color w:val="auto"/>
              </w:rPr>
            </w:pPr>
            <w:r>
              <w:rPr>
                <w:rFonts w:hint="eastAsia"/>
                <w:color w:val="auto"/>
                <w:lang w:val="en-US" w:eastAsia="zh-CN"/>
              </w:rPr>
              <w:t>达标</w:t>
            </w:r>
          </w:p>
        </w:tc>
        <w:tc>
          <w:tcPr>
            <w:tcW w:w="500" w:type="pct"/>
            <w:tcBorders>
              <w:tl2br w:val="nil"/>
              <w:tr2bl w:val="nil"/>
            </w:tcBorders>
            <w:shd w:val="clear" w:color="auto" w:fill="auto"/>
            <w:noWrap w:val="0"/>
            <w:vAlign w:val="center"/>
          </w:tcPr>
          <w:p w14:paraId="39C53C7F">
            <w:pPr>
              <w:spacing w:before="31" w:beforeLines="10" w:line="264" w:lineRule="auto"/>
              <w:jc w:val="center"/>
              <w:rPr>
                <w:rFonts w:hint="default"/>
                <w:color w:val="auto"/>
                <w:lang w:val="en-US" w:eastAsia="zh-CN"/>
              </w:rPr>
            </w:pPr>
            <w:r>
              <w:rPr>
                <w:rFonts w:hint="eastAsia"/>
                <w:color w:val="auto"/>
                <w:lang w:val="en-US" w:eastAsia="zh-CN"/>
              </w:rPr>
              <w:t>/</w:t>
            </w:r>
          </w:p>
        </w:tc>
      </w:tr>
      <w:tr w14:paraId="3E32839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restart"/>
            <w:tcBorders>
              <w:tl2br w:val="nil"/>
              <w:tr2bl w:val="nil"/>
            </w:tcBorders>
            <w:shd w:val="clear" w:color="auto" w:fill="auto"/>
            <w:noWrap/>
            <w:vAlign w:val="center"/>
          </w:tcPr>
          <w:p w14:paraId="04A0AB58">
            <w:pPr>
              <w:spacing w:before="31" w:beforeLines="10" w:line="264" w:lineRule="auto"/>
              <w:jc w:val="center"/>
              <w:rPr>
                <w:color w:val="auto"/>
              </w:rPr>
            </w:pPr>
            <w:r>
              <w:rPr>
                <w:color w:val="auto"/>
                <w:szCs w:val="21"/>
              </w:rPr>
              <w:t>G2项目地块</w:t>
            </w:r>
          </w:p>
        </w:tc>
        <w:tc>
          <w:tcPr>
            <w:tcW w:w="694" w:type="pct"/>
            <w:tcBorders>
              <w:tl2br w:val="nil"/>
              <w:tr2bl w:val="nil"/>
            </w:tcBorders>
            <w:shd w:val="clear" w:color="auto" w:fill="auto"/>
            <w:noWrap/>
            <w:vAlign w:val="center"/>
          </w:tcPr>
          <w:p w14:paraId="137142F2">
            <w:pPr>
              <w:spacing w:before="31" w:beforeLines="10" w:line="264" w:lineRule="auto"/>
              <w:jc w:val="center"/>
              <w:rPr>
                <w:color w:val="auto"/>
              </w:rPr>
            </w:pPr>
            <w:r>
              <w:rPr>
                <w:color w:val="auto"/>
              </w:rPr>
              <w:t>监测值</w:t>
            </w:r>
          </w:p>
        </w:tc>
        <w:tc>
          <w:tcPr>
            <w:tcW w:w="499" w:type="pct"/>
            <w:tcBorders>
              <w:tl2br w:val="nil"/>
              <w:tr2bl w:val="nil"/>
            </w:tcBorders>
            <w:shd w:val="clear" w:color="auto" w:fill="auto"/>
            <w:noWrap/>
            <w:vAlign w:val="center"/>
          </w:tcPr>
          <w:p w14:paraId="15F1B8FD">
            <w:pPr>
              <w:spacing w:before="31" w:beforeLines="10" w:line="264" w:lineRule="auto"/>
              <w:jc w:val="center"/>
              <w:rPr>
                <w:color w:val="auto"/>
              </w:rPr>
            </w:pPr>
            <w:r>
              <w:rPr>
                <w:color w:val="auto"/>
              </w:rPr>
              <w:t>8.45</w:t>
            </w:r>
          </w:p>
        </w:tc>
        <w:tc>
          <w:tcPr>
            <w:tcW w:w="499" w:type="pct"/>
            <w:tcBorders>
              <w:tl2br w:val="nil"/>
              <w:tr2bl w:val="nil"/>
            </w:tcBorders>
            <w:shd w:val="clear" w:color="auto" w:fill="auto"/>
            <w:noWrap/>
            <w:vAlign w:val="center"/>
          </w:tcPr>
          <w:p w14:paraId="48ED734F">
            <w:pPr>
              <w:spacing w:before="31" w:beforeLines="10" w:line="264" w:lineRule="auto"/>
              <w:jc w:val="center"/>
              <w:rPr>
                <w:color w:val="auto"/>
              </w:rPr>
            </w:pPr>
            <w:r>
              <w:rPr>
                <w:color w:val="auto"/>
              </w:rPr>
              <w:t>0.18</w:t>
            </w:r>
          </w:p>
        </w:tc>
        <w:tc>
          <w:tcPr>
            <w:tcW w:w="499" w:type="pct"/>
            <w:tcBorders>
              <w:tl2br w:val="nil"/>
              <w:tr2bl w:val="nil"/>
            </w:tcBorders>
            <w:shd w:val="clear" w:color="auto" w:fill="auto"/>
            <w:noWrap/>
            <w:vAlign w:val="center"/>
          </w:tcPr>
          <w:p w14:paraId="7593C758">
            <w:pPr>
              <w:spacing w:before="31" w:beforeLines="10" w:line="264" w:lineRule="auto"/>
              <w:jc w:val="center"/>
              <w:rPr>
                <w:color w:val="auto"/>
              </w:rPr>
            </w:pPr>
            <w:r>
              <w:rPr>
                <w:color w:val="auto"/>
              </w:rPr>
              <w:t>25.3</w:t>
            </w:r>
          </w:p>
        </w:tc>
        <w:tc>
          <w:tcPr>
            <w:tcW w:w="499" w:type="pct"/>
            <w:tcBorders>
              <w:tl2br w:val="nil"/>
              <w:tr2bl w:val="nil"/>
            </w:tcBorders>
            <w:shd w:val="clear" w:color="auto" w:fill="auto"/>
            <w:noWrap/>
            <w:vAlign w:val="center"/>
          </w:tcPr>
          <w:p w14:paraId="50782ED4">
            <w:pPr>
              <w:spacing w:before="31" w:beforeLines="10" w:line="264" w:lineRule="auto"/>
              <w:jc w:val="center"/>
              <w:rPr>
                <w:color w:val="auto"/>
              </w:rPr>
            </w:pPr>
            <w:r>
              <w:rPr>
                <w:color w:val="auto"/>
              </w:rPr>
              <w:t>42</w:t>
            </w:r>
          </w:p>
        </w:tc>
        <w:tc>
          <w:tcPr>
            <w:tcW w:w="499" w:type="pct"/>
            <w:tcBorders>
              <w:tl2br w:val="nil"/>
              <w:tr2bl w:val="nil"/>
            </w:tcBorders>
            <w:shd w:val="clear" w:color="auto" w:fill="auto"/>
            <w:noWrap/>
            <w:vAlign w:val="center"/>
          </w:tcPr>
          <w:p w14:paraId="3BA7FF48">
            <w:pPr>
              <w:spacing w:before="31" w:beforeLines="10" w:line="264" w:lineRule="auto"/>
              <w:jc w:val="center"/>
              <w:rPr>
                <w:color w:val="auto"/>
              </w:rPr>
            </w:pPr>
            <w:r>
              <w:rPr>
                <w:color w:val="auto"/>
              </w:rPr>
              <w:t>8.4</w:t>
            </w:r>
          </w:p>
        </w:tc>
        <w:tc>
          <w:tcPr>
            <w:tcW w:w="500" w:type="pct"/>
            <w:tcBorders>
              <w:tl2br w:val="nil"/>
              <w:tr2bl w:val="nil"/>
            </w:tcBorders>
            <w:shd w:val="clear" w:color="auto" w:fill="auto"/>
            <w:noWrap w:val="0"/>
            <w:vAlign w:val="center"/>
          </w:tcPr>
          <w:p w14:paraId="19B5B7BA">
            <w:pPr>
              <w:spacing w:before="31" w:beforeLines="10" w:line="264" w:lineRule="auto"/>
              <w:jc w:val="center"/>
              <w:rPr>
                <w:color w:val="auto"/>
              </w:rPr>
            </w:pPr>
            <w:r>
              <w:rPr>
                <w:color w:val="auto"/>
              </w:rPr>
              <w:t>0.113</w:t>
            </w:r>
          </w:p>
        </w:tc>
        <w:tc>
          <w:tcPr>
            <w:tcW w:w="500" w:type="pct"/>
            <w:tcBorders>
              <w:tl2br w:val="nil"/>
              <w:tr2bl w:val="nil"/>
            </w:tcBorders>
            <w:shd w:val="clear" w:color="auto" w:fill="auto"/>
            <w:noWrap w:val="0"/>
            <w:vAlign w:val="center"/>
          </w:tcPr>
          <w:p w14:paraId="23B7652D">
            <w:pPr>
              <w:spacing w:before="31" w:beforeLines="10" w:line="264" w:lineRule="auto"/>
              <w:jc w:val="center"/>
              <w:rPr>
                <w:rFonts w:hint="eastAsia"/>
                <w:color w:val="auto"/>
                <w:lang w:val="en-US" w:eastAsia="zh-CN"/>
              </w:rPr>
            </w:pPr>
            <w:r>
              <w:rPr>
                <w:rFonts w:hint="eastAsia"/>
                <w:color w:val="auto"/>
                <w:lang w:val="en-US" w:eastAsia="zh-CN"/>
              </w:rPr>
              <w:t>1.2~1.7</w:t>
            </w:r>
          </w:p>
          <w:p w14:paraId="54EB9D46">
            <w:pPr>
              <w:spacing w:before="31" w:beforeLines="10" w:line="264" w:lineRule="auto"/>
              <w:jc w:val="center"/>
              <w:rPr>
                <w:rFonts w:hint="default" w:eastAsia="宋体"/>
                <w:color w:val="auto"/>
                <w:lang w:val="en-US" w:eastAsia="zh-CN"/>
              </w:rPr>
            </w:pPr>
            <w:r>
              <w:rPr>
                <w:rFonts w:hint="eastAsia"/>
                <w:color w:val="auto"/>
                <w:lang w:val="en-US" w:eastAsia="zh-CN"/>
              </w:rPr>
              <w:t>ng-TEQ/kg</w:t>
            </w:r>
          </w:p>
        </w:tc>
      </w:tr>
      <w:tr w14:paraId="5524B09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continue"/>
            <w:tcBorders>
              <w:tl2br w:val="nil"/>
              <w:tr2bl w:val="nil"/>
            </w:tcBorders>
            <w:shd w:val="clear" w:color="auto" w:fill="auto"/>
            <w:noWrap w:val="0"/>
            <w:vAlign w:val="center"/>
          </w:tcPr>
          <w:p w14:paraId="19B85452">
            <w:pPr>
              <w:spacing w:before="31" w:beforeLines="10" w:line="264" w:lineRule="auto"/>
              <w:jc w:val="center"/>
              <w:rPr>
                <w:color w:val="auto"/>
              </w:rPr>
            </w:pPr>
          </w:p>
        </w:tc>
        <w:tc>
          <w:tcPr>
            <w:tcW w:w="694" w:type="pct"/>
            <w:tcBorders>
              <w:tl2br w:val="nil"/>
              <w:tr2bl w:val="nil"/>
            </w:tcBorders>
            <w:shd w:val="clear" w:color="auto" w:fill="auto"/>
            <w:noWrap/>
            <w:vAlign w:val="center"/>
          </w:tcPr>
          <w:p w14:paraId="1F51A4D7">
            <w:pPr>
              <w:spacing w:before="31" w:beforeLines="10" w:line="264" w:lineRule="auto"/>
              <w:jc w:val="center"/>
              <w:rPr>
                <w:color w:val="auto"/>
              </w:rPr>
            </w:pPr>
            <w:r>
              <w:rPr>
                <w:rFonts w:hint="eastAsia"/>
                <w:color w:val="auto"/>
                <w:lang w:val="en-US" w:eastAsia="zh-CN"/>
              </w:rPr>
              <w:t>标准限值</w:t>
            </w:r>
          </w:p>
        </w:tc>
        <w:tc>
          <w:tcPr>
            <w:tcW w:w="499" w:type="pct"/>
            <w:tcBorders>
              <w:tl2br w:val="nil"/>
              <w:tr2bl w:val="nil"/>
            </w:tcBorders>
            <w:shd w:val="clear" w:color="auto" w:fill="auto"/>
            <w:noWrap/>
            <w:vAlign w:val="center"/>
          </w:tcPr>
          <w:p w14:paraId="062FDD90">
            <w:pPr>
              <w:spacing w:before="31" w:beforeLines="10" w:line="264" w:lineRule="auto"/>
              <w:jc w:val="center"/>
              <w:rPr>
                <w:color w:val="auto"/>
              </w:rPr>
            </w:pPr>
            <w:r>
              <w:rPr>
                <w:color w:val="auto"/>
              </w:rPr>
              <w:t>/</w:t>
            </w:r>
          </w:p>
        </w:tc>
        <w:tc>
          <w:tcPr>
            <w:tcW w:w="499" w:type="pct"/>
            <w:tcBorders>
              <w:tl2br w:val="nil"/>
              <w:tr2bl w:val="nil"/>
            </w:tcBorders>
            <w:shd w:val="clear" w:color="auto" w:fill="auto"/>
            <w:noWrap/>
            <w:vAlign w:val="center"/>
          </w:tcPr>
          <w:p w14:paraId="3D616B5A">
            <w:pPr>
              <w:spacing w:before="31" w:beforeLines="10" w:line="264" w:lineRule="auto"/>
              <w:jc w:val="center"/>
              <w:rPr>
                <w:color w:val="auto"/>
              </w:rPr>
            </w:pPr>
            <w:r>
              <w:rPr>
                <w:rFonts w:hint="eastAsia"/>
                <w:color w:val="auto"/>
                <w:lang w:val="en-US" w:eastAsia="zh-CN"/>
              </w:rPr>
              <w:t>0.6</w:t>
            </w:r>
          </w:p>
        </w:tc>
        <w:tc>
          <w:tcPr>
            <w:tcW w:w="499" w:type="pct"/>
            <w:tcBorders>
              <w:tl2br w:val="nil"/>
              <w:tr2bl w:val="nil"/>
            </w:tcBorders>
            <w:shd w:val="clear" w:color="auto" w:fill="auto"/>
            <w:noWrap/>
            <w:vAlign w:val="center"/>
          </w:tcPr>
          <w:p w14:paraId="2DBB2B9C">
            <w:pPr>
              <w:spacing w:before="31" w:beforeLines="10" w:line="264" w:lineRule="auto"/>
              <w:jc w:val="center"/>
              <w:rPr>
                <w:color w:val="auto"/>
              </w:rPr>
            </w:pPr>
            <w:r>
              <w:rPr>
                <w:rFonts w:hint="eastAsia"/>
                <w:color w:val="auto"/>
                <w:lang w:val="en-US" w:eastAsia="zh-CN"/>
              </w:rPr>
              <w:t>350</w:t>
            </w:r>
          </w:p>
        </w:tc>
        <w:tc>
          <w:tcPr>
            <w:tcW w:w="499" w:type="pct"/>
            <w:tcBorders>
              <w:tl2br w:val="nil"/>
              <w:tr2bl w:val="nil"/>
            </w:tcBorders>
            <w:shd w:val="clear" w:color="auto" w:fill="auto"/>
            <w:noWrap/>
            <w:vAlign w:val="center"/>
          </w:tcPr>
          <w:p w14:paraId="065D3A9F">
            <w:pPr>
              <w:spacing w:before="31" w:beforeLines="10" w:line="264" w:lineRule="auto"/>
              <w:jc w:val="center"/>
              <w:rPr>
                <w:color w:val="auto"/>
              </w:rPr>
            </w:pPr>
            <w:r>
              <w:rPr>
                <w:rFonts w:hint="eastAsia"/>
                <w:color w:val="auto"/>
                <w:lang w:val="en-US" w:eastAsia="zh-CN"/>
              </w:rPr>
              <w:t>250</w:t>
            </w:r>
          </w:p>
        </w:tc>
        <w:tc>
          <w:tcPr>
            <w:tcW w:w="499" w:type="pct"/>
            <w:tcBorders>
              <w:tl2br w:val="nil"/>
              <w:tr2bl w:val="nil"/>
            </w:tcBorders>
            <w:shd w:val="clear" w:color="auto" w:fill="auto"/>
            <w:noWrap/>
            <w:vAlign w:val="center"/>
          </w:tcPr>
          <w:p w14:paraId="60F64500">
            <w:pPr>
              <w:spacing w:before="31" w:beforeLines="10" w:line="264" w:lineRule="auto"/>
              <w:jc w:val="center"/>
              <w:rPr>
                <w:color w:val="auto"/>
              </w:rPr>
            </w:pPr>
            <w:r>
              <w:rPr>
                <w:rFonts w:hint="eastAsia"/>
                <w:color w:val="auto"/>
                <w:lang w:val="en-US" w:eastAsia="zh-CN"/>
              </w:rPr>
              <w:t>25</w:t>
            </w:r>
          </w:p>
        </w:tc>
        <w:tc>
          <w:tcPr>
            <w:tcW w:w="500" w:type="pct"/>
            <w:tcBorders>
              <w:tl2br w:val="nil"/>
              <w:tr2bl w:val="nil"/>
            </w:tcBorders>
            <w:shd w:val="clear" w:color="auto" w:fill="auto"/>
            <w:noWrap w:val="0"/>
            <w:vAlign w:val="center"/>
          </w:tcPr>
          <w:p w14:paraId="4240305F">
            <w:pPr>
              <w:spacing w:before="31" w:beforeLines="10" w:line="264" w:lineRule="auto"/>
              <w:jc w:val="center"/>
              <w:rPr>
                <w:color w:val="auto"/>
              </w:rPr>
            </w:pPr>
            <w:r>
              <w:rPr>
                <w:rFonts w:hint="eastAsia"/>
                <w:color w:val="auto"/>
                <w:lang w:val="en-US" w:eastAsia="zh-CN"/>
              </w:rPr>
              <w:t>1.0</w:t>
            </w:r>
          </w:p>
        </w:tc>
        <w:tc>
          <w:tcPr>
            <w:tcW w:w="500" w:type="pct"/>
            <w:tcBorders>
              <w:tl2br w:val="nil"/>
              <w:tr2bl w:val="nil"/>
            </w:tcBorders>
            <w:shd w:val="clear" w:color="auto" w:fill="auto"/>
            <w:noWrap w:val="0"/>
            <w:vAlign w:val="center"/>
          </w:tcPr>
          <w:p w14:paraId="17E26D2F">
            <w:pPr>
              <w:spacing w:before="31" w:beforeLines="10" w:line="264" w:lineRule="auto"/>
              <w:jc w:val="center"/>
              <w:rPr>
                <w:rFonts w:hint="default"/>
                <w:color w:val="auto"/>
                <w:lang w:val="en-US" w:eastAsia="zh-CN"/>
              </w:rPr>
            </w:pPr>
            <w:r>
              <w:rPr>
                <w:rFonts w:hint="eastAsia"/>
                <w:color w:val="auto"/>
                <w:lang w:val="en-US" w:eastAsia="zh-CN"/>
              </w:rPr>
              <w:t>/</w:t>
            </w:r>
          </w:p>
        </w:tc>
      </w:tr>
      <w:tr w14:paraId="39A2F15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continue"/>
            <w:tcBorders>
              <w:tl2br w:val="nil"/>
              <w:tr2bl w:val="nil"/>
            </w:tcBorders>
            <w:shd w:val="clear" w:color="auto" w:fill="auto"/>
            <w:noWrap w:val="0"/>
            <w:vAlign w:val="center"/>
          </w:tcPr>
          <w:p w14:paraId="5BC98663">
            <w:pPr>
              <w:spacing w:before="31" w:beforeLines="10" w:line="264" w:lineRule="auto"/>
              <w:jc w:val="center"/>
              <w:rPr>
                <w:color w:val="auto"/>
              </w:rPr>
            </w:pPr>
          </w:p>
        </w:tc>
        <w:tc>
          <w:tcPr>
            <w:tcW w:w="694" w:type="pct"/>
            <w:tcBorders>
              <w:tl2br w:val="nil"/>
              <w:tr2bl w:val="nil"/>
            </w:tcBorders>
            <w:shd w:val="clear" w:color="auto" w:fill="auto"/>
            <w:noWrap/>
            <w:vAlign w:val="center"/>
          </w:tcPr>
          <w:p w14:paraId="3FBD3D2C">
            <w:pPr>
              <w:spacing w:before="31" w:beforeLines="10" w:line="264" w:lineRule="auto"/>
              <w:jc w:val="center"/>
              <w:rPr>
                <w:color w:val="auto"/>
              </w:rPr>
            </w:pPr>
            <w:r>
              <w:rPr>
                <w:rFonts w:hint="eastAsia"/>
                <w:color w:val="auto"/>
                <w:lang w:val="en-US" w:eastAsia="zh-CN"/>
              </w:rPr>
              <w:t>是否达标</w:t>
            </w:r>
          </w:p>
        </w:tc>
        <w:tc>
          <w:tcPr>
            <w:tcW w:w="499" w:type="pct"/>
            <w:tcBorders>
              <w:tl2br w:val="nil"/>
              <w:tr2bl w:val="nil"/>
            </w:tcBorders>
            <w:shd w:val="clear" w:color="auto" w:fill="auto"/>
            <w:noWrap/>
            <w:vAlign w:val="center"/>
          </w:tcPr>
          <w:p w14:paraId="3E42C523">
            <w:pPr>
              <w:spacing w:before="31" w:beforeLines="10" w:line="264" w:lineRule="auto"/>
              <w:jc w:val="center"/>
              <w:rPr>
                <w:color w:val="auto"/>
              </w:rPr>
            </w:pPr>
            <w:r>
              <w:rPr>
                <w:color w:val="auto"/>
              </w:rPr>
              <w:t>/</w:t>
            </w:r>
          </w:p>
        </w:tc>
        <w:tc>
          <w:tcPr>
            <w:tcW w:w="499" w:type="pct"/>
            <w:tcBorders>
              <w:tl2br w:val="nil"/>
              <w:tr2bl w:val="nil"/>
            </w:tcBorders>
            <w:shd w:val="clear" w:color="auto" w:fill="auto"/>
            <w:noWrap/>
            <w:vAlign w:val="center"/>
          </w:tcPr>
          <w:p w14:paraId="217D8DB1">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266E20F2">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0DDBEC41">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7B91A3AE">
            <w:pPr>
              <w:spacing w:before="31" w:beforeLines="10" w:line="264" w:lineRule="auto"/>
              <w:jc w:val="center"/>
              <w:rPr>
                <w:color w:val="auto"/>
              </w:rPr>
            </w:pPr>
            <w:r>
              <w:rPr>
                <w:rFonts w:hint="eastAsia"/>
                <w:color w:val="auto"/>
                <w:lang w:val="en-US" w:eastAsia="zh-CN"/>
              </w:rPr>
              <w:t>达标</w:t>
            </w:r>
          </w:p>
        </w:tc>
        <w:tc>
          <w:tcPr>
            <w:tcW w:w="500" w:type="pct"/>
            <w:tcBorders>
              <w:tl2br w:val="nil"/>
              <w:tr2bl w:val="nil"/>
            </w:tcBorders>
            <w:shd w:val="clear" w:color="auto" w:fill="auto"/>
            <w:noWrap w:val="0"/>
            <w:vAlign w:val="center"/>
          </w:tcPr>
          <w:p w14:paraId="178A8B4A">
            <w:pPr>
              <w:spacing w:before="31" w:beforeLines="10" w:line="264" w:lineRule="auto"/>
              <w:jc w:val="center"/>
              <w:rPr>
                <w:color w:val="auto"/>
              </w:rPr>
            </w:pPr>
            <w:r>
              <w:rPr>
                <w:rFonts w:hint="eastAsia"/>
                <w:color w:val="auto"/>
                <w:lang w:val="en-US" w:eastAsia="zh-CN"/>
              </w:rPr>
              <w:t>达标</w:t>
            </w:r>
          </w:p>
        </w:tc>
        <w:tc>
          <w:tcPr>
            <w:tcW w:w="500" w:type="pct"/>
            <w:tcBorders>
              <w:tl2br w:val="nil"/>
              <w:tr2bl w:val="nil"/>
            </w:tcBorders>
            <w:shd w:val="clear" w:color="auto" w:fill="auto"/>
            <w:noWrap w:val="0"/>
            <w:vAlign w:val="center"/>
          </w:tcPr>
          <w:p w14:paraId="3131D6C4">
            <w:pPr>
              <w:spacing w:before="31" w:beforeLines="10" w:line="264" w:lineRule="auto"/>
              <w:jc w:val="center"/>
              <w:rPr>
                <w:rFonts w:hint="default"/>
                <w:color w:val="auto"/>
                <w:lang w:val="en-US" w:eastAsia="zh-CN"/>
              </w:rPr>
            </w:pPr>
            <w:r>
              <w:rPr>
                <w:rFonts w:hint="eastAsia"/>
                <w:color w:val="auto"/>
                <w:lang w:val="en-US" w:eastAsia="zh-CN"/>
              </w:rPr>
              <w:t>/</w:t>
            </w:r>
          </w:p>
        </w:tc>
      </w:tr>
      <w:tr w14:paraId="1850BFB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restart"/>
            <w:tcBorders>
              <w:tl2br w:val="nil"/>
              <w:tr2bl w:val="nil"/>
            </w:tcBorders>
            <w:shd w:val="clear" w:color="auto" w:fill="auto"/>
            <w:noWrap w:val="0"/>
            <w:vAlign w:val="center"/>
          </w:tcPr>
          <w:p w14:paraId="799957DA">
            <w:pPr>
              <w:spacing w:before="31" w:beforeLines="10" w:line="264" w:lineRule="auto"/>
              <w:jc w:val="center"/>
              <w:rPr>
                <w:color w:val="auto"/>
              </w:rPr>
            </w:pPr>
            <w:r>
              <w:rPr>
                <w:color w:val="auto"/>
                <w:szCs w:val="21"/>
              </w:rPr>
              <w:t>G4公租房区</w:t>
            </w:r>
          </w:p>
        </w:tc>
        <w:tc>
          <w:tcPr>
            <w:tcW w:w="694" w:type="pct"/>
            <w:tcBorders>
              <w:tl2br w:val="nil"/>
              <w:tr2bl w:val="nil"/>
            </w:tcBorders>
            <w:shd w:val="clear" w:color="auto" w:fill="auto"/>
            <w:noWrap/>
            <w:vAlign w:val="center"/>
          </w:tcPr>
          <w:p w14:paraId="04B8C74A">
            <w:pPr>
              <w:spacing w:before="31" w:beforeLines="10" w:line="264" w:lineRule="auto"/>
              <w:jc w:val="center"/>
              <w:rPr>
                <w:color w:val="auto"/>
              </w:rPr>
            </w:pPr>
            <w:r>
              <w:rPr>
                <w:color w:val="auto"/>
              </w:rPr>
              <w:t>监测值</w:t>
            </w:r>
          </w:p>
        </w:tc>
        <w:tc>
          <w:tcPr>
            <w:tcW w:w="499" w:type="pct"/>
            <w:tcBorders>
              <w:tl2br w:val="nil"/>
              <w:tr2bl w:val="nil"/>
            </w:tcBorders>
            <w:shd w:val="clear" w:color="auto" w:fill="auto"/>
            <w:noWrap/>
            <w:vAlign w:val="center"/>
          </w:tcPr>
          <w:p w14:paraId="037B76D6">
            <w:pPr>
              <w:spacing w:before="31" w:beforeLines="10" w:line="264" w:lineRule="auto"/>
              <w:jc w:val="center"/>
              <w:rPr>
                <w:color w:val="auto"/>
              </w:rPr>
            </w:pPr>
            <w:r>
              <w:rPr>
                <w:color w:val="auto"/>
              </w:rPr>
              <w:t>8.34</w:t>
            </w:r>
          </w:p>
        </w:tc>
        <w:tc>
          <w:tcPr>
            <w:tcW w:w="499" w:type="pct"/>
            <w:tcBorders>
              <w:tl2br w:val="nil"/>
              <w:tr2bl w:val="nil"/>
            </w:tcBorders>
            <w:shd w:val="clear" w:color="auto" w:fill="auto"/>
            <w:noWrap/>
            <w:vAlign w:val="center"/>
          </w:tcPr>
          <w:p w14:paraId="547BAF48">
            <w:pPr>
              <w:spacing w:before="31" w:beforeLines="10" w:line="264" w:lineRule="auto"/>
              <w:jc w:val="center"/>
              <w:rPr>
                <w:color w:val="auto"/>
              </w:rPr>
            </w:pPr>
            <w:r>
              <w:rPr>
                <w:color w:val="auto"/>
              </w:rPr>
              <w:t>0.19</w:t>
            </w:r>
          </w:p>
        </w:tc>
        <w:tc>
          <w:tcPr>
            <w:tcW w:w="499" w:type="pct"/>
            <w:tcBorders>
              <w:tl2br w:val="nil"/>
              <w:tr2bl w:val="nil"/>
            </w:tcBorders>
            <w:shd w:val="clear" w:color="auto" w:fill="auto"/>
            <w:noWrap/>
            <w:vAlign w:val="center"/>
          </w:tcPr>
          <w:p w14:paraId="55937164">
            <w:pPr>
              <w:spacing w:before="31" w:beforeLines="10" w:line="264" w:lineRule="auto"/>
              <w:jc w:val="center"/>
              <w:rPr>
                <w:color w:val="auto"/>
              </w:rPr>
            </w:pPr>
            <w:r>
              <w:rPr>
                <w:color w:val="auto"/>
              </w:rPr>
              <w:t>24.6</w:t>
            </w:r>
          </w:p>
        </w:tc>
        <w:tc>
          <w:tcPr>
            <w:tcW w:w="499" w:type="pct"/>
            <w:tcBorders>
              <w:tl2br w:val="nil"/>
              <w:tr2bl w:val="nil"/>
            </w:tcBorders>
            <w:shd w:val="clear" w:color="auto" w:fill="auto"/>
            <w:noWrap/>
            <w:vAlign w:val="center"/>
          </w:tcPr>
          <w:p w14:paraId="19C3FDC1">
            <w:pPr>
              <w:spacing w:before="31" w:beforeLines="10" w:line="264" w:lineRule="auto"/>
              <w:jc w:val="center"/>
              <w:rPr>
                <w:color w:val="auto"/>
              </w:rPr>
            </w:pPr>
            <w:r>
              <w:rPr>
                <w:color w:val="auto"/>
              </w:rPr>
              <w:t>46</w:t>
            </w:r>
          </w:p>
        </w:tc>
        <w:tc>
          <w:tcPr>
            <w:tcW w:w="499" w:type="pct"/>
            <w:tcBorders>
              <w:tl2br w:val="nil"/>
              <w:tr2bl w:val="nil"/>
            </w:tcBorders>
            <w:shd w:val="clear" w:color="auto" w:fill="auto"/>
            <w:noWrap/>
            <w:vAlign w:val="center"/>
          </w:tcPr>
          <w:p w14:paraId="4F8669B4">
            <w:pPr>
              <w:spacing w:before="31" w:beforeLines="10" w:line="264" w:lineRule="auto"/>
              <w:jc w:val="center"/>
              <w:rPr>
                <w:color w:val="auto"/>
              </w:rPr>
            </w:pPr>
            <w:r>
              <w:rPr>
                <w:color w:val="auto"/>
              </w:rPr>
              <w:t>5.2</w:t>
            </w:r>
          </w:p>
        </w:tc>
        <w:tc>
          <w:tcPr>
            <w:tcW w:w="500" w:type="pct"/>
            <w:tcBorders>
              <w:tl2br w:val="nil"/>
              <w:tr2bl w:val="nil"/>
            </w:tcBorders>
            <w:shd w:val="clear" w:color="auto" w:fill="auto"/>
            <w:noWrap w:val="0"/>
            <w:vAlign w:val="center"/>
          </w:tcPr>
          <w:p w14:paraId="10A74E47">
            <w:pPr>
              <w:spacing w:before="31" w:beforeLines="10" w:line="264" w:lineRule="auto"/>
              <w:jc w:val="center"/>
              <w:rPr>
                <w:color w:val="auto"/>
              </w:rPr>
            </w:pPr>
            <w:r>
              <w:rPr>
                <w:color w:val="auto"/>
              </w:rPr>
              <w:t>0.097</w:t>
            </w:r>
          </w:p>
        </w:tc>
        <w:tc>
          <w:tcPr>
            <w:tcW w:w="500" w:type="pct"/>
            <w:tcBorders>
              <w:tl2br w:val="nil"/>
              <w:tr2bl w:val="nil"/>
            </w:tcBorders>
            <w:shd w:val="clear" w:color="auto" w:fill="auto"/>
            <w:noWrap w:val="0"/>
            <w:vAlign w:val="center"/>
          </w:tcPr>
          <w:p w14:paraId="55055CCB">
            <w:pPr>
              <w:spacing w:before="31" w:beforeLines="10" w:line="264" w:lineRule="auto"/>
              <w:jc w:val="center"/>
              <w:rPr>
                <w:rFonts w:hint="eastAsia" w:eastAsia="宋体"/>
                <w:color w:val="auto"/>
                <w:lang w:val="en-US" w:eastAsia="zh-CN"/>
              </w:rPr>
            </w:pPr>
            <w:r>
              <w:rPr>
                <w:rFonts w:hint="eastAsia"/>
                <w:color w:val="auto"/>
                <w:lang w:val="en-US" w:eastAsia="zh-CN"/>
              </w:rPr>
              <w:t>/</w:t>
            </w:r>
          </w:p>
        </w:tc>
      </w:tr>
      <w:tr w14:paraId="3162277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continue"/>
            <w:tcBorders>
              <w:tl2br w:val="nil"/>
              <w:tr2bl w:val="nil"/>
            </w:tcBorders>
            <w:shd w:val="clear" w:color="auto" w:fill="auto"/>
            <w:noWrap w:val="0"/>
            <w:vAlign w:val="center"/>
          </w:tcPr>
          <w:p w14:paraId="312C8691">
            <w:pPr>
              <w:spacing w:before="31" w:beforeLines="10" w:line="264" w:lineRule="auto"/>
              <w:jc w:val="center"/>
              <w:rPr>
                <w:color w:val="auto"/>
              </w:rPr>
            </w:pPr>
          </w:p>
        </w:tc>
        <w:tc>
          <w:tcPr>
            <w:tcW w:w="694" w:type="pct"/>
            <w:tcBorders>
              <w:tl2br w:val="nil"/>
              <w:tr2bl w:val="nil"/>
            </w:tcBorders>
            <w:shd w:val="clear" w:color="auto" w:fill="auto"/>
            <w:noWrap/>
            <w:vAlign w:val="center"/>
          </w:tcPr>
          <w:p w14:paraId="6795491C">
            <w:pPr>
              <w:spacing w:before="31" w:beforeLines="10" w:line="264" w:lineRule="auto"/>
              <w:jc w:val="center"/>
              <w:rPr>
                <w:color w:val="auto"/>
              </w:rPr>
            </w:pPr>
            <w:r>
              <w:rPr>
                <w:rFonts w:hint="eastAsia"/>
                <w:color w:val="auto"/>
                <w:lang w:val="en-US" w:eastAsia="zh-CN"/>
              </w:rPr>
              <w:t>标准限值</w:t>
            </w:r>
          </w:p>
        </w:tc>
        <w:tc>
          <w:tcPr>
            <w:tcW w:w="499" w:type="pct"/>
            <w:tcBorders>
              <w:tl2br w:val="nil"/>
              <w:tr2bl w:val="nil"/>
            </w:tcBorders>
            <w:shd w:val="clear" w:color="auto" w:fill="auto"/>
            <w:noWrap/>
            <w:vAlign w:val="center"/>
          </w:tcPr>
          <w:p w14:paraId="7C77163C">
            <w:pPr>
              <w:spacing w:before="31" w:beforeLines="10" w:line="264" w:lineRule="auto"/>
              <w:jc w:val="center"/>
              <w:rPr>
                <w:color w:val="auto"/>
              </w:rPr>
            </w:pPr>
            <w:r>
              <w:rPr>
                <w:color w:val="auto"/>
              </w:rPr>
              <w:t>/</w:t>
            </w:r>
          </w:p>
        </w:tc>
        <w:tc>
          <w:tcPr>
            <w:tcW w:w="499" w:type="pct"/>
            <w:tcBorders>
              <w:tl2br w:val="nil"/>
              <w:tr2bl w:val="nil"/>
            </w:tcBorders>
            <w:shd w:val="clear" w:color="auto" w:fill="auto"/>
            <w:noWrap/>
            <w:vAlign w:val="center"/>
          </w:tcPr>
          <w:p w14:paraId="71A9DBD5">
            <w:pPr>
              <w:spacing w:before="31" w:beforeLines="10" w:line="264" w:lineRule="auto"/>
              <w:jc w:val="center"/>
              <w:rPr>
                <w:color w:val="auto"/>
              </w:rPr>
            </w:pPr>
            <w:r>
              <w:rPr>
                <w:rFonts w:hint="eastAsia"/>
                <w:color w:val="auto"/>
                <w:lang w:val="en-US" w:eastAsia="zh-CN"/>
              </w:rPr>
              <w:t>0.6</w:t>
            </w:r>
          </w:p>
        </w:tc>
        <w:tc>
          <w:tcPr>
            <w:tcW w:w="499" w:type="pct"/>
            <w:tcBorders>
              <w:tl2br w:val="nil"/>
              <w:tr2bl w:val="nil"/>
            </w:tcBorders>
            <w:shd w:val="clear" w:color="auto" w:fill="auto"/>
            <w:noWrap/>
            <w:vAlign w:val="center"/>
          </w:tcPr>
          <w:p w14:paraId="30211FC2">
            <w:pPr>
              <w:spacing w:before="31" w:beforeLines="10" w:line="264" w:lineRule="auto"/>
              <w:jc w:val="center"/>
              <w:rPr>
                <w:color w:val="auto"/>
              </w:rPr>
            </w:pPr>
            <w:r>
              <w:rPr>
                <w:rFonts w:hint="eastAsia"/>
                <w:color w:val="auto"/>
                <w:lang w:val="en-US" w:eastAsia="zh-CN"/>
              </w:rPr>
              <w:t>350</w:t>
            </w:r>
          </w:p>
        </w:tc>
        <w:tc>
          <w:tcPr>
            <w:tcW w:w="499" w:type="pct"/>
            <w:tcBorders>
              <w:tl2br w:val="nil"/>
              <w:tr2bl w:val="nil"/>
            </w:tcBorders>
            <w:shd w:val="clear" w:color="auto" w:fill="auto"/>
            <w:noWrap/>
            <w:vAlign w:val="center"/>
          </w:tcPr>
          <w:p w14:paraId="72CF64AD">
            <w:pPr>
              <w:spacing w:before="31" w:beforeLines="10" w:line="264" w:lineRule="auto"/>
              <w:jc w:val="center"/>
              <w:rPr>
                <w:color w:val="auto"/>
              </w:rPr>
            </w:pPr>
            <w:r>
              <w:rPr>
                <w:rFonts w:hint="eastAsia"/>
                <w:color w:val="auto"/>
                <w:lang w:val="en-US" w:eastAsia="zh-CN"/>
              </w:rPr>
              <w:t>250</w:t>
            </w:r>
          </w:p>
        </w:tc>
        <w:tc>
          <w:tcPr>
            <w:tcW w:w="499" w:type="pct"/>
            <w:tcBorders>
              <w:tl2br w:val="nil"/>
              <w:tr2bl w:val="nil"/>
            </w:tcBorders>
            <w:shd w:val="clear" w:color="auto" w:fill="auto"/>
            <w:noWrap/>
            <w:vAlign w:val="center"/>
          </w:tcPr>
          <w:p w14:paraId="3D923D5D">
            <w:pPr>
              <w:spacing w:before="31" w:beforeLines="10" w:line="264" w:lineRule="auto"/>
              <w:jc w:val="center"/>
              <w:rPr>
                <w:color w:val="auto"/>
              </w:rPr>
            </w:pPr>
            <w:r>
              <w:rPr>
                <w:rFonts w:hint="eastAsia"/>
                <w:color w:val="auto"/>
                <w:lang w:val="en-US" w:eastAsia="zh-CN"/>
              </w:rPr>
              <w:t>25</w:t>
            </w:r>
          </w:p>
        </w:tc>
        <w:tc>
          <w:tcPr>
            <w:tcW w:w="500" w:type="pct"/>
            <w:tcBorders>
              <w:tl2br w:val="nil"/>
              <w:tr2bl w:val="nil"/>
            </w:tcBorders>
            <w:shd w:val="clear" w:color="auto" w:fill="auto"/>
            <w:noWrap w:val="0"/>
            <w:vAlign w:val="center"/>
          </w:tcPr>
          <w:p w14:paraId="792FF48A">
            <w:pPr>
              <w:spacing w:before="31" w:beforeLines="10" w:line="264" w:lineRule="auto"/>
              <w:jc w:val="center"/>
              <w:rPr>
                <w:color w:val="auto"/>
              </w:rPr>
            </w:pPr>
            <w:r>
              <w:rPr>
                <w:rFonts w:hint="eastAsia"/>
                <w:color w:val="auto"/>
                <w:lang w:val="en-US" w:eastAsia="zh-CN"/>
              </w:rPr>
              <w:t>1.0</w:t>
            </w:r>
          </w:p>
        </w:tc>
        <w:tc>
          <w:tcPr>
            <w:tcW w:w="500" w:type="pct"/>
            <w:tcBorders>
              <w:tl2br w:val="nil"/>
              <w:tr2bl w:val="nil"/>
            </w:tcBorders>
            <w:shd w:val="clear" w:color="auto" w:fill="auto"/>
            <w:noWrap w:val="0"/>
            <w:vAlign w:val="center"/>
          </w:tcPr>
          <w:p w14:paraId="15F84DFF">
            <w:pPr>
              <w:spacing w:before="31" w:beforeLines="10" w:line="264" w:lineRule="auto"/>
              <w:jc w:val="center"/>
              <w:rPr>
                <w:rFonts w:hint="default"/>
                <w:color w:val="auto"/>
                <w:lang w:val="en-US" w:eastAsia="zh-CN"/>
              </w:rPr>
            </w:pPr>
            <w:r>
              <w:rPr>
                <w:rFonts w:hint="eastAsia"/>
                <w:color w:val="auto"/>
                <w:lang w:val="en-US" w:eastAsia="zh-CN"/>
              </w:rPr>
              <w:t>/</w:t>
            </w:r>
          </w:p>
        </w:tc>
      </w:tr>
      <w:tr w14:paraId="5AB2C3B5">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continue"/>
            <w:tcBorders>
              <w:tl2br w:val="nil"/>
              <w:tr2bl w:val="nil"/>
            </w:tcBorders>
            <w:shd w:val="clear" w:color="auto" w:fill="auto"/>
            <w:noWrap w:val="0"/>
            <w:vAlign w:val="center"/>
          </w:tcPr>
          <w:p w14:paraId="58A77C83">
            <w:pPr>
              <w:spacing w:before="31" w:beforeLines="10" w:line="264" w:lineRule="auto"/>
              <w:jc w:val="center"/>
              <w:rPr>
                <w:color w:val="auto"/>
              </w:rPr>
            </w:pPr>
          </w:p>
        </w:tc>
        <w:tc>
          <w:tcPr>
            <w:tcW w:w="694" w:type="pct"/>
            <w:tcBorders>
              <w:tl2br w:val="nil"/>
              <w:tr2bl w:val="nil"/>
            </w:tcBorders>
            <w:shd w:val="clear" w:color="auto" w:fill="auto"/>
            <w:noWrap/>
            <w:vAlign w:val="center"/>
          </w:tcPr>
          <w:p w14:paraId="1CE5D6C0">
            <w:pPr>
              <w:spacing w:before="31" w:beforeLines="10" w:line="264" w:lineRule="auto"/>
              <w:jc w:val="center"/>
              <w:rPr>
                <w:color w:val="auto"/>
              </w:rPr>
            </w:pPr>
            <w:r>
              <w:rPr>
                <w:rFonts w:hint="eastAsia"/>
                <w:color w:val="auto"/>
                <w:lang w:val="en-US" w:eastAsia="zh-CN"/>
              </w:rPr>
              <w:t>是否达标</w:t>
            </w:r>
          </w:p>
        </w:tc>
        <w:tc>
          <w:tcPr>
            <w:tcW w:w="499" w:type="pct"/>
            <w:tcBorders>
              <w:tl2br w:val="nil"/>
              <w:tr2bl w:val="nil"/>
            </w:tcBorders>
            <w:shd w:val="clear" w:color="auto" w:fill="auto"/>
            <w:noWrap/>
            <w:vAlign w:val="center"/>
          </w:tcPr>
          <w:p w14:paraId="7B7C0FA4">
            <w:pPr>
              <w:spacing w:before="31" w:beforeLines="10" w:line="264" w:lineRule="auto"/>
              <w:jc w:val="center"/>
              <w:rPr>
                <w:color w:val="auto"/>
              </w:rPr>
            </w:pPr>
            <w:r>
              <w:rPr>
                <w:color w:val="auto"/>
              </w:rPr>
              <w:t>/</w:t>
            </w:r>
          </w:p>
        </w:tc>
        <w:tc>
          <w:tcPr>
            <w:tcW w:w="499" w:type="pct"/>
            <w:tcBorders>
              <w:tl2br w:val="nil"/>
              <w:tr2bl w:val="nil"/>
            </w:tcBorders>
            <w:shd w:val="clear" w:color="auto" w:fill="auto"/>
            <w:noWrap/>
            <w:vAlign w:val="center"/>
          </w:tcPr>
          <w:p w14:paraId="49CBEB24">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109D40E3">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053F0D5C">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5633F2FA">
            <w:pPr>
              <w:spacing w:before="31" w:beforeLines="10" w:line="264" w:lineRule="auto"/>
              <w:jc w:val="center"/>
              <w:rPr>
                <w:color w:val="auto"/>
              </w:rPr>
            </w:pPr>
            <w:r>
              <w:rPr>
                <w:rFonts w:hint="eastAsia"/>
                <w:color w:val="auto"/>
                <w:lang w:val="en-US" w:eastAsia="zh-CN"/>
              </w:rPr>
              <w:t>达标</w:t>
            </w:r>
          </w:p>
        </w:tc>
        <w:tc>
          <w:tcPr>
            <w:tcW w:w="500" w:type="pct"/>
            <w:tcBorders>
              <w:tl2br w:val="nil"/>
              <w:tr2bl w:val="nil"/>
            </w:tcBorders>
            <w:shd w:val="clear" w:color="auto" w:fill="auto"/>
            <w:noWrap w:val="0"/>
            <w:vAlign w:val="center"/>
          </w:tcPr>
          <w:p w14:paraId="6101E375">
            <w:pPr>
              <w:spacing w:before="31" w:beforeLines="10" w:line="264" w:lineRule="auto"/>
              <w:jc w:val="center"/>
              <w:rPr>
                <w:color w:val="auto"/>
              </w:rPr>
            </w:pPr>
            <w:r>
              <w:rPr>
                <w:rFonts w:hint="eastAsia"/>
                <w:color w:val="auto"/>
                <w:lang w:val="en-US" w:eastAsia="zh-CN"/>
              </w:rPr>
              <w:t>达标</w:t>
            </w:r>
          </w:p>
        </w:tc>
        <w:tc>
          <w:tcPr>
            <w:tcW w:w="500" w:type="pct"/>
            <w:tcBorders>
              <w:tl2br w:val="nil"/>
              <w:tr2bl w:val="nil"/>
            </w:tcBorders>
            <w:shd w:val="clear" w:color="auto" w:fill="auto"/>
            <w:noWrap w:val="0"/>
            <w:vAlign w:val="center"/>
          </w:tcPr>
          <w:p w14:paraId="2C62760B">
            <w:pPr>
              <w:spacing w:before="31" w:beforeLines="10" w:line="264" w:lineRule="auto"/>
              <w:jc w:val="center"/>
              <w:rPr>
                <w:rFonts w:hint="default"/>
                <w:color w:val="auto"/>
                <w:lang w:val="en-US" w:eastAsia="zh-CN"/>
              </w:rPr>
            </w:pPr>
            <w:r>
              <w:rPr>
                <w:rFonts w:hint="eastAsia"/>
                <w:color w:val="auto"/>
                <w:lang w:val="en-US" w:eastAsia="zh-CN"/>
              </w:rPr>
              <w:t>/</w:t>
            </w:r>
          </w:p>
        </w:tc>
      </w:tr>
      <w:tr w14:paraId="703FB2E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restart"/>
            <w:tcBorders>
              <w:tl2br w:val="nil"/>
              <w:tr2bl w:val="nil"/>
            </w:tcBorders>
            <w:shd w:val="clear" w:color="auto" w:fill="auto"/>
            <w:noWrap w:val="0"/>
            <w:vAlign w:val="center"/>
          </w:tcPr>
          <w:p w14:paraId="6D835D8E">
            <w:pPr>
              <w:spacing w:before="31" w:beforeLines="10" w:line="264" w:lineRule="auto"/>
              <w:jc w:val="center"/>
              <w:rPr>
                <w:color w:val="auto"/>
              </w:rPr>
            </w:pPr>
            <w:r>
              <w:rPr>
                <w:color w:val="auto"/>
                <w:szCs w:val="21"/>
              </w:rPr>
              <w:t>G5赵楼村</w:t>
            </w:r>
          </w:p>
        </w:tc>
        <w:tc>
          <w:tcPr>
            <w:tcW w:w="694" w:type="pct"/>
            <w:tcBorders>
              <w:tl2br w:val="nil"/>
              <w:tr2bl w:val="nil"/>
            </w:tcBorders>
            <w:shd w:val="clear" w:color="auto" w:fill="auto"/>
            <w:noWrap/>
            <w:vAlign w:val="center"/>
          </w:tcPr>
          <w:p w14:paraId="5A3D41A7">
            <w:pPr>
              <w:spacing w:before="31" w:beforeLines="10" w:line="264" w:lineRule="auto"/>
              <w:jc w:val="center"/>
              <w:rPr>
                <w:color w:val="auto"/>
              </w:rPr>
            </w:pPr>
            <w:r>
              <w:rPr>
                <w:color w:val="auto"/>
              </w:rPr>
              <w:t>监测值</w:t>
            </w:r>
          </w:p>
        </w:tc>
        <w:tc>
          <w:tcPr>
            <w:tcW w:w="499" w:type="pct"/>
            <w:tcBorders>
              <w:tl2br w:val="nil"/>
              <w:tr2bl w:val="nil"/>
            </w:tcBorders>
            <w:shd w:val="clear" w:color="auto" w:fill="auto"/>
            <w:noWrap/>
            <w:vAlign w:val="center"/>
          </w:tcPr>
          <w:p w14:paraId="04539B0B">
            <w:pPr>
              <w:spacing w:before="31" w:beforeLines="10" w:line="264" w:lineRule="auto"/>
              <w:jc w:val="center"/>
              <w:rPr>
                <w:color w:val="auto"/>
              </w:rPr>
            </w:pPr>
            <w:r>
              <w:rPr>
                <w:color w:val="auto"/>
              </w:rPr>
              <w:t>8.28</w:t>
            </w:r>
          </w:p>
        </w:tc>
        <w:tc>
          <w:tcPr>
            <w:tcW w:w="499" w:type="pct"/>
            <w:tcBorders>
              <w:tl2br w:val="nil"/>
              <w:tr2bl w:val="nil"/>
            </w:tcBorders>
            <w:shd w:val="clear" w:color="auto" w:fill="auto"/>
            <w:noWrap/>
            <w:vAlign w:val="center"/>
          </w:tcPr>
          <w:p w14:paraId="079192B8">
            <w:pPr>
              <w:spacing w:before="31" w:beforeLines="10" w:line="264" w:lineRule="auto"/>
              <w:jc w:val="center"/>
              <w:rPr>
                <w:color w:val="auto"/>
              </w:rPr>
            </w:pPr>
            <w:r>
              <w:rPr>
                <w:color w:val="auto"/>
              </w:rPr>
              <w:t>0.2</w:t>
            </w:r>
          </w:p>
        </w:tc>
        <w:tc>
          <w:tcPr>
            <w:tcW w:w="499" w:type="pct"/>
            <w:tcBorders>
              <w:tl2br w:val="nil"/>
              <w:tr2bl w:val="nil"/>
            </w:tcBorders>
            <w:shd w:val="clear" w:color="auto" w:fill="auto"/>
            <w:noWrap/>
            <w:vAlign w:val="center"/>
          </w:tcPr>
          <w:p w14:paraId="62B38FB3">
            <w:pPr>
              <w:spacing w:before="31" w:beforeLines="10" w:line="264" w:lineRule="auto"/>
              <w:jc w:val="center"/>
              <w:rPr>
                <w:color w:val="auto"/>
              </w:rPr>
            </w:pPr>
            <w:r>
              <w:rPr>
                <w:color w:val="auto"/>
              </w:rPr>
              <w:t>20.9</w:t>
            </w:r>
          </w:p>
        </w:tc>
        <w:tc>
          <w:tcPr>
            <w:tcW w:w="499" w:type="pct"/>
            <w:tcBorders>
              <w:tl2br w:val="nil"/>
              <w:tr2bl w:val="nil"/>
            </w:tcBorders>
            <w:shd w:val="clear" w:color="auto" w:fill="auto"/>
            <w:noWrap/>
            <w:vAlign w:val="center"/>
          </w:tcPr>
          <w:p w14:paraId="0DCA9D10">
            <w:pPr>
              <w:spacing w:before="31" w:beforeLines="10" w:line="264" w:lineRule="auto"/>
              <w:jc w:val="center"/>
              <w:rPr>
                <w:color w:val="auto"/>
              </w:rPr>
            </w:pPr>
            <w:r>
              <w:rPr>
                <w:color w:val="auto"/>
              </w:rPr>
              <w:t>40</w:t>
            </w:r>
          </w:p>
        </w:tc>
        <w:tc>
          <w:tcPr>
            <w:tcW w:w="499" w:type="pct"/>
            <w:tcBorders>
              <w:tl2br w:val="nil"/>
              <w:tr2bl w:val="nil"/>
            </w:tcBorders>
            <w:shd w:val="clear" w:color="auto" w:fill="auto"/>
            <w:noWrap/>
            <w:vAlign w:val="center"/>
          </w:tcPr>
          <w:p w14:paraId="3AF3804C">
            <w:pPr>
              <w:spacing w:before="31" w:beforeLines="10" w:line="264" w:lineRule="auto"/>
              <w:jc w:val="center"/>
              <w:rPr>
                <w:color w:val="auto"/>
              </w:rPr>
            </w:pPr>
            <w:r>
              <w:rPr>
                <w:color w:val="auto"/>
              </w:rPr>
              <w:t>5.7</w:t>
            </w:r>
          </w:p>
        </w:tc>
        <w:tc>
          <w:tcPr>
            <w:tcW w:w="500" w:type="pct"/>
            <w:tcBorders>
              <w:tl2br w:val="nil"/>
              <w:tr2bl w:val="nil"/>
            </w:tcBorders>
            <w:shd w:val="clear" w:color="auto" w:fill="auto"/>
            <w:noWrap w:val="0"/>
            <w:vAlign w:val="center"/>
          </w:tcPr>
          <w:p w14:paraId="3930CF6B">
            <w:pPr>
              <w:spacing w:before="31" w:beforeLines="10" w:line="264" w:lineRule="auto"/>
              <w:jc w:val="center"/>
              <w:rPr>
                <w:color w:val="auto"/>
              </w:rPr>
            </w:pPr>
            <w:r>
              <w:rPr>
                <w:color w:val="auto"/>
              </w:rPr>
              <w:t>0.12</w:t>
            </w:r>
          </w:p>
        </w:tc>
        <w:tc>
          <w:tcPr>
            <w:tcW w:w="500" w:type="pct"/>
            <w:tcBorders>
              <w:tl2br w:val="nil"/>
              <w:tr2bl w:val="nil"/>
            </w:tcBorders>
            <w:shd w:val="clear" w:color="auto" w:fill="auto"/>
            <w:noWrap w:val="0"/>
            <w:vAlign w:val="center"/>
          </w:tcPr>
          <w:p w14:paraId="01A50516">
            <w:pPr>
              <w:spacing w:before="31" w:beforeLines="10" w:line="264" w:lineRule="auto"/>
              <w:jc w:val="center"/>
              <w:rPr>
                <w:rFonts w:hint="eastAsia" w:eastAsia="宋体"/>
                <w:color w:val="auto"/>
                <w:lang w:val="en-US" w:eastAsia="zh-CN"/>
              </w:rPr>
            </w:pPr>
            <w:r>
              <w:rPr>
                <w:rFonts w:hint="eastAsia"/>
                <w:color w:val="auto"/>
                <w:lang w:val="en-US" w:eastAsia="zh-CN"/>
              </w:rPr>
              <w:t>/</w:t>
            </w:r>
          </w:p>
        </w:tc>
      </w:tr>
      <w:tr w14:paraId="498CA107">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continue"/>
            <w:tcBorders>
              <w:tl2br w:val="nil"/>
              <w:tr2bl w:val="nil"/>
            </w:tcBorders>
            <w:shd w:val="clear" w:color="auto" w:fill="auto"/>
            <w:noWrap w:val="0"/>
            <w:vAlign w:val="center"/>
          </w:tcPr>
          <w:p w14:paraId="28BD2463">
            <w:pPr>
              <w:spacing w:before="31" w:beforeLines="10" w:line="264" w:lineRule="auto"/>
              <w:jc w:val="center"/>
              <w:rPr>
                <w:color w:val="auto"/>
              </w:rPr>
            </w:pPr>
          </w:p>
        </w:tc>
        <w:tc>
          <w:tcPr>
            <w:tcW w:w="694" w:type="pct"/>
            <w:tcBorders>
              <w:tl2br w:val="nil"/>
              <w:tr2bl w:val="nil"/>
            </w:tcBorders>
            <w:shd w:val="clear" w:color="auto" w:fill="auto"/>
            <w:noWrap/>
            <w:vAlign w:val="center"/>
          </w:tcPr>
          <w:p w14:paraId="5179E9BF">
            <w:pPr>
              <w:spacing w:before="31" w:beforeLines="10" w:line="264" w:lineRule="auto"/>
              <w:jc w:val="center"/>
              <w:rPr>
                <w:color w:val="auto"/>
              </w:rPr>
            </w:pPr>
            <w:r>
              <w:rPr>
                <w:rFonts w:hint="eastAsia"/>
                <w:color w:val="auto"/>
                <w:lang w:val="en-US" w:eastAsia="zh-CN"/>
              </w:rPr>
              <w:t>标准限值</w:t>
            </w:r>
          </w:p>
        </w:tc>
        <w:tc>
          <w:tcPr>
            <w:tcW w:w="499" w:type="pct"/>
            <w:tcBorders>
              <w:tl2br w:val="nil"/>
              <w:tr2bl w:val="nil"/>
            </w:tcBorders>
            <w:shd w:val="clear" w:color="auto" w:fill="auto"/>
            <w:noWrap/>
            <w:vAlign w:val="center"/>
          </w:tcPr>
          <w:p w14:paraId="4D570AB8">
            <w:pPr>
              <w:spacing w:before="31" w:beforeLines="10" w:line="264" w:lineRule="auto"/>
              <w:jc w:val="center"/>
              <w:rPr>
                <w:color w:val="auto"/>
              </w:rPr>
            </w:pPr>
            <w:r>
              <w:rPr>
                <w:color w:val="auto"/>
              </w:rPr>
              <w:t>/</w:t>
            </w:r>
          </w:p>
        </w:tc>
        <w:tc>
          <w:tcPr>
            <w:tcW w:w="499" w:type="pct"/>
            <w:tcBorders>
              <w:tl2br w:val="nil"/>
              <w:tr2bl w:val="nil"/>
            </w:tcBorders>
            <w:shd w:val="clear" w:color="auto" w:fill="auto"/>
            <w:noWrap/>
            <w:vAlign w:val="center"/>
          </w:tcPr>
          <w:p w14:paraId="182ED74C">
            <w:pPr>
              <w:spacing w:before="31" w:beforeLines="10" w:line="264" w:lineRule="auto"/>
              <w:jc w:val="center"/>
              <w:rPr>
                <w:color w:val="auto"/>
              </w:rPr>
            </w:pPr>
            <w:r>
              <w:rPr>
                <w:rFonts w:hint="eastAsia"/>
                <w:color w:val="auto"/>
                <w:lang w:val="en-US" w:eastAsia="zh-CN"/>
              </w:rPr>
              <w:t>0.6</w:t>
            </w:r>
          </w:p>
        </w:tc>
        <w:tc>
          <w:tcPr>
            <w:tcW w:w="499" w:type="pct"/>
            <w:tcBorders>
              <w:tl2br w:val="nil"/>
              <w:tr2bl w:val="nil"/>
            </w:tcBorders>
            <w:shd w:val="clear" w:color="auto" w:fill="auto"/>
            <w:noWrap/>
            <w:vAlign w:val="center"/>
          </w:tcPr>
          <w:p w14:paraId="72A76BF8">
            <w:pPr>
              <w:spacing w:before="31" w:beforeLines="10" w:line="264" w:lineRule="auto"/>
              <w:jc w:val="center"/>
              <w:rPr>
                <w:color w:val="auto"/>
              </w:rPr>
            </w:pPr>
            <w:r>
              <w:rPr>
                <w:rFonts w:hint="eastAsia"/>
                <w:color w:val="auto"/>
                <w:lang w:val="en-US" w:eastAsia="zh-CN"/>
              </w:rPr>
              <w:t>350</w:t>
            </w:r>
          </w:p>
        </w:tc>
        <w:tc>
          <w:tcPr>
            <w:tcW w:w="499" w:type="pct"/>
            <w:tcBorders>
              <w:tl2br w:val="nil"/>
              <w:tr2bl w:val="nil"/>
            </w:tcBorders>
            <w:shd w:val="clear" w:color="auto" w:fill="auto"/>
            <w:noWrap/>
            <w:vAlign w:val="center"/>
          </w:tcPr>
          <w:p w14:paraId="2C4687C7">
            <w:pPr>
              <w:spacing w:before="31" w:beforeLines="10" w:line="264" w:lineRule="auto"/>
              <w:jc w:val="center"/>
              <w:rPr>
                <w:color w:val="auto"/>
              </w:rPr>
            </w:pPr>
            <w:r>
              <w:rPr>
                <w:rFonts w:hint="eastAsia"/>
                <w:color w:val="auto"/>
                <w:lang w:val="en-US" w:eastAsia="zh-CN"/>
              </w:rPr>
              <w:t>250</w:t>
            </w:r>
          </w:p>
        </w:tc>
        <w:tc>
          <w:tcPr>
            <w:tcW w:w="499" w:type="pct"/>
            <w:tcBorders>
              <w:tl2br w:val="nil"/>
              <w:tr2bl w:val="nil"/>
            </w:tcBorders>
            <w:shd w:val="clear" w:color="auto" w:fill="auto"/>
            <w:noWrap/>
            <w:vAlign w:val="center"/>
          </w:tcPr>
          <w:p w14:paraId="7ECCED1B">
            <w:pPr>
              <w:spacing w:before="31" w:beforeLines="10" w:line="264" w:lineRule="auto"/>
              <w:jc w:val="center"/>
              <w:rPr>
                <w:color w:val="auto"/>
              </w:rPr>
            </w:pPr>
            <w:r>
              <w:rPr>
                <w:rFonts w:hint="eastAsia"/>
                <w:color w:val="auto"/>
                <w:lang w:val="en-US" w:eastAsia="zh-CN"/>
              </w:rPr>
              <w:t>25</w:t>
            </w:r>
          </w:p>
        </w:tc>
        <w:tc>
          <w:tcPr>
            <w:tcW w:w="500" w:type="pct"/>
            <w:tcBorders>
              <w:tl2br w:val="nil"/>
              <w:tr2bl w:val="nil"/>
            </w:tcBorders>
            <w:shd w:val="clear" w:color="auto" w:fill="auto"/>
            <w:noWrap w:val="0"/>
            <w:vAlign w:val="center"/>
          </w:tcPr>
          <w:p w14:paraId="326730D5">
            <w:pPr>
              <w:spacing w:before="31" w:beforeLines="10" w:line="264" w:lineRule="auto"/>
              <w:jc w:val="center"/>
              <w:rPr>
                <w:color w:val="auto"/>
              </w:rPr>
            </w:pPr>
            <w:r>
              <w:rPr>
                <w:rFonts w:hint="eastAsia"/>
                <w:color w:val="auto"/>
                <w:lang w:val="en-US" w:eastAsia="zh-CN"/>
              </w:rPr>
              <w:t>1.0</w:t>
            </w:r>
          </w:p>
        </w:tc>
        <w:tc>
          <w:tcPr>
            <w:tcW w:w="500" w:type="pct"/>
            <w:tcBorders>
              <w:tl2br w:val="nil"/>
              <w:tr2bl w:val="nil"/>
            </w:tcBorders>
            <w:shd w:val="clear" w:color="auto" w:fill="auto"/>
            <w:noWrap w:val="0"/>
            <w:vAlign w:val="center"/>
          </w:tcPr>
          <w:p w14:paraId="67DD689D">
            <w:pPr>
              <w:spacing w:before="31" w:beforeLines="10" w:line="264" w:lineRule="auto"/>
              <w:jc w:val="center"/>
              <w:rPr>
                <w:rFonts w:hint="default"/>
                <w:color w:val="auto"/>
                <w:lang w:val="en-US" w:eastAsia="zh-CN"/>
              </w:rPr>
            </w:pPr>
            <w:r>
              <w:rPr>
                <w:rFonts w:hint="eastAsia"/>
                <w:color w:val="auto"/>
                <w:lang w:val="en-US" w:eastAsia="zh-CN"/>
              </w:rPr>
              <w:t>/</w:t>
            </w:r>
          </w:p>
        </w:tc>
      </w:tr>
      <w:tr w14:paraId="6661039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c>
          <w:tcPr>
            <w:tcW w:w="807" w:type="pct"/>
            <w:vMerge w:val="continue"/>
            <w:tcBorders>
              <w:tl2br w:val="nil"/>
              <w:tr2bl w:val="nil"/>
            </w:tcBorders>
            <w:shd w:val="clear" w:color="auto" w:fill="auto"/>
            <w:noWrap w:val="0"/>
            <w:vAlign w:val="center"/>
          </w:tcPr>
          <w:p w14:paraId="13E3380C">
            <w:pPr>
              <w:spacing w:before="31" w:beforeLines="10" w:line="264" w:lineRule="auto"/>
              <w:jc w:val="center"/>
              <w:rPr>
                <w:color w:val="auto"/>
              </w:rPr>
            </w:pPr>
          </w:p>
        </w:tc>
        <w:tc>
          <w:tcPr>
            <w:tcW w:w="694" w:type="pct"/>
            <w:tcBorders>
              <w:tl2br w:val="nil"/>
              <w:tr2bl w:val="nil"/>
            </w:tcBorders>
            <w:shd w:val="clear" w:color="auto" w:fill="auto"/>
            <w:noWrap/>
            <w:vAlign w:val="center"/>
          </w:tcPr>
          <w:p w14:paraId="746B7631">
            <w:pPr>
              <w:spacing w:before="31" w:beforeLines="10" w:line="264" w:lineRule="auto"/>
              <w:jc w:val="center"/>
              <w:rPr>
                <w:color w:val="auto"/>
              </w:rPr>
            </w:pPr>
            <w:r>
              <w:rPr>
                <w:rFonts w:hint="eastAsia"/>
                <w:color w:val="auto"/>
                <w:lang w:val="en-US" w:eastAsia="zh-CN"/>
              </w:rPr>
              <w:t>是否达标</w:t>
            </w:r>
          </w:p>
        </w:tc>
        <w:tc>
          <w:tcPr>
            <w:tcW w:w="499" w:type="pct"/>
            <w:tcBorders>
              <w:tl2br w:val="nil"/>
              <w:tr2bl w:val="nil"/>
            </w:tcBorders>
            <w:shd w:val="clear" w:color="auto" w:fill="auto"/>
            <w:noWrap/>
            <w:vAlign w:val="center"/>
          </w:tcPr>
          <w:p w14:paraId="7EA8B248">
            <w:pPr>
              <w:spacing w:before="31" w:beforeLines="10" w:line="264" w:lineRule="auto"/>
              <w:jc w:val="center"/>
              <w:rPr>
                <w:color w:val="auto"/>
              </w:rPr>
            </w:pPr>
            <w:r>
              <w:rPr>
                <w:color w:val="auto"/>
              </w:rPr>
              <w:t>/</w:t>
            </w:r>
          </w:p>
        </w:tc>
        <w:tc>
          <w:tcPr>
            <w:tcW w:w="499" w:type="pct"/>
            <w:tcBorders>
              <w:tl2br w:val="nil"/>
              <w:tr2bl w:val="nil"/>
            </w:tcBorders>
            <w:shd w:val="clear" w:color="auto" w:fill="auto"/>
            <w:noWrap/>
            <w:vAlign w:val="center"/>
          </w:tcPr>
          <w:p w14:paraId="0112909B">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1B4109A8">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74EF72FB">
            <w:pPr>
              <w:spacing w:before="31" w:beforeLines="10" w:line="264" w:lineRule="auto"/>
              <w:jc w:val="center"/>
              <w:rPr>
                <w:color w:val="auto"/>
              </w:rPr>
            </w:pPr>
            <w:r>
              <w:rPr>
                <w:rFonts w:hint="eastAsia"/>
                <w:color w:val="auto"/>
                <w:lang w:val="en-US" w:eastAsia="zh-CN"/>
              </w:rPr>
              <w:t>达标</w:t>
            </w:r>
          </w:p>
        </w:tc>
        <w:tc>
          <w:tcPr>
            <w:tcW w:w="499" w:type="pct"/>
            <w:tcBorders>
              <w:tl2br w:val="nil"/>
              <w:tr2bl w:val="nil"/>
            </w:tcBorders>
            <w:shd w:val="clear" w:color="auto" w:fill="auto"/>
            <w:noWrap/>
            <w:vAlign w:val="center"/>
          </w:tcPr>
          <w:p w14:paraId="689DE6DF">
            <w:pPr>
              <w:spacing w:before="31" w:beforeLines="10" w:line="264" w:lineRule="auto"/>
              <w:jc w:val="center"/>
              <w:rPr>
                <w:color w:val="auto"/>
              </w:rPr>
            </w:pPr>
            <w:r>
              <w:rPr>
                <w:rFonts w:hint="eastAsia"/>
                <w:color w:val="auto"/>
                <w:lang w:val="en-US" w:eastAsia="zh-CN"/>
              </w:rPr>
              <w:t>达标</w:t>
            </w:r>
          </w:p>
        </w:tc>
        <w:tc>
          <w:tcPr>
            <w:tcW w:w="500" w:type="pct"/>
            <w:tcBorders>
              <w:tl2br w:val="nil"/>
              <w:tr2bl w:val="nil"/>
            </w:tcBorders>
            <w:shd w:val="clear" w:color="auto" w:fill="auto"/>
            <w:noWrap w:val="0"/>
            <w:vAlign w:val="center"/>
          </w:tcPr>
          <w:p w14:paraId="0A341C55">
            <w:pPr>
              <w:spacing w:before="31" w:beforeLines="10" w:line="264" w:lineRule="auto"/>
              <w:jc w:val="center"/>
              <w:rPr>
                <w:color w:val="auto"/>
              </w:rPr>
            </w:pPr>
            <w:r>
              <w:rPr>
                <w:rFonts w:hint="eastAsia"/>
                <w:color w:val="auto"/>
                <w:lang w:val="en-US" w:eastAsia="zh-CN"/>
              </w:rPr>
              <w:t>达标</w:t>
            </w:r>
          </w:p>
        </w:tc>
        <w:tc>
          <w:tcPr>
            <w:tcW w:w="500" w:type="pct"/>
            <w:tcBorders>
              <w:tl2br w:val="nil"/>
              <w:tr2bl w:val="nil"/>
            </w:tcBorders>
            <w:shd w:val="clear" w:color="auto" w:fill="auto"/>
            <w:noWrap w:val="0"/>
            <w:vAlign w:val="center"/>
          </w:tcPr>
          <w:p w14:paraId="223E870B">
            <w:pPr>
              <w:spacing w:before="31" w:beforeLines="10" w:line="264" w:lineRule="auto"/>
              <w:jc w:val="center"/>
              <w:rPr>
                <w:rFonts w:hint="default"/>
                <w:color w:val="auto"/>
                <w:lang w:val="en-US" w:eastAsia="zh-CN"/>
              </w:rPr>
            </w:pPr>
            <w:r>
              <w:rPr>
                <w:rFonts w:hint="eastAsia"/>
                <w:color w:val="auto"/>
                <w:lang w:val="en-US" w:eastAsia="zh-CN"/>
              </w:rPr>
              <w:t>/</w:t>
            </w:r>
          </w:p>
        </w:tc>
      </w:tr>
    </w:tbl>
    <w:p w14:paraId="7E3E922E">
      <w:pPr>
        <w:spacing w:line="360" w:lineRule="auto"/>
        <w:ind w:firstLine="480" w:firstLineChars="200"/>
        <w:rPr>
          <w:color w:val="auto"/>
          <w:sz w:val="24"/>
        </w:rPr>
      </w:pPr>
    </w:p>
    <w:p w14:paraId="06AC6597">
      <w:pPr>
        <w:spacing w:line="360" w:lineRule="auto"/>
        <w:ind w:firstLine="480" w:firstLineChars="200"/>
        <w:rPr>
          <w:rFonts w:hint="eastAsia"/>
          <w:b w:val="0"/>
          <w:bCs w:val="0"/>
          <w:color w:val="auto"/>
          <w:sz w:val="24"/>
          <w:szCs w:val="32"/>
          <w:lang w:eastAsia="zh-CN"/>
        </w:rPr>
      </w:pPr>
      <w:r>
        <w:rPr>
          <w:color w:val="auto"/>
          <w:sz w:val="24"/>
        </w:rPr>
        <w:t>由上表可看出，各监测点各监测因子均可满足《土壤环境质量标准》（GB15618-1995）中二级标准要求，表明区域土壤</w:t>
      </w:r>
      <w:r>
        <w:rPr>
          <w:rFonts w:hint="eastAsia"/>
          <w:color w:val="auto"/>
          <w:sz w:val="24"/>
        </w:rPr>
        <w:t>环境</w:t>
      </w:r>
      <w:r>
        <w:rPr>
          <w:color w:val="auto"/>
          <w:sz w:val="24"/>
        </w:rPr>
        <w:t>质量较好。此外，根据现场监测，项目所在地的二噁英类背景值为1.2～1.7ng-TEQ</w:t>
      </w:r>
      <w:r>
        <w:rPr>
          <w:rFonts w:hint="eastAsia"/>
          <w:color w:val="auto"/>
          <w:sz w:val="24"/>
        </w:rPr>
        <w:t>/</w:t>
      </w:r>
      <w:r>
        <w:rPr>
          <w:color w:val="auto"/>
          <w:sz w:val="24"/>
        </w:rPr>
        <w:t>kg。</w:t>
      </w:r>
    </w:p>
    <w:p w14:paraId="43AA7EE0">
      <w:pPr>
        <w:keepNext w:val="0"/>
        <w:keepLines w:val="0"/>
        <w:pageBreakBefore w:val="0"/>
        <w:widowControl w:val="0"/>
        <w:kinsoku/>
        <w:wordWrap/>
        <w:overflowPunct/>
        <w:topLinePunct w:val="0"/>
        <w:autoSpaceDE/>
        <w:autoSpaceDN/>
        <w:bidi w:val="0"/>
        <w:adjustRightInd/>
        <w:snapToGrid/>
        <w:spacing w:line="360" w:lineRule="auto"/>
        <w:textAlignment w:val="auto"/>
        <w:outlineLvl w:val="2"/>
        <w:rPr>
          <w:b/>
          <w:bCs/>
          <w:color w:val="auto"/>
          <w:sz w:val="24"/>
          <w:szCs w:val="32"/>
        </w:rPr>
      </w:pPr>
      <w:r>
        <w:rPr>
          <w:b/>
          <w:bCs/>
          <w:color w:val="auto"/>
          <w:sz w:val="24"/>
          <w:szCs w:val="32"/>
        </w:rPr>
        <w:t>2.</w:t>
      </w:r>
      <w:r>
        <w:rPr>
          <w:rFonts w:hint="eastAsia"/>
          <w:b/>
          <w:bCs/>
          <w:color w:val="auto"/>
          <w:sz w:val="24"/>
          <w:szCs w:val="32"/>
          <w:lang w:val="en-US" w:eastAsia="zh-CN"/>
        </w:rPr>
        <w:t>3</w:t>
      </w:r>
      <w:r>
        <w:rPr>
          <w:b/>
          <w:bCs/>
          <w:color w:val="auto"/>
          <w:sz w:val="24"/>
          <w:szCs w:val="32"/>
        </w:rPr>
        <w:t>.2 监测计划执行情况</w:t>
      </w:r>
      <w:bookmarkEnd w:id="268"/>
      <w:bookmarkEnd w:id="269"/>
    </w:p>
    <w:p w14:paraId="132EAA7B">
      <w:pPr>
        <w:spacing w:line="360" w:lineRule="auto"/>
        <w:ind w:firstLine="480" w:firstLineChars="200"/>
        <w:rPr>
          <w:color w:val="auto"/>
          <w:sz w:val="24"/>
          <w:szCs w:val="32"/>
        </w:rPr>
      </w:pPr>
      <w:r>
        <w:rPr>
          <w:rFonts w:hint="eastAsia"/>
          <w:color w:val="auto"/>
          <w:sz w:val="24"/>
          <w:szCs w:val="32"/>
          <w:lang w:val="en-US" w:eastAsia="zh-CN"/>
        </w:rPr>
        <w:t>项目</w:t>
      </w:r>
      <w:r>
        <w:rPr>
          <w:color w:val="auto"/>
          <w:sz w:val="24"/>
          <w:szCs w:val="32"/>
        </w:rPr>
        <w:t>验收期间由</w:t>
      </w:r>
      <w:r>
        <w:rPr>
          <w:rFonts w:hint="eastAsia"/>
          <w:color w:val="auto"/>
          <w:sz w:val="24"/>
          <w:szCs w:val="32"/>
        </w:rPr>
        <w:t>安徽靖风环境检测有限公司</w:t>
      </w:r>
      <w:r>
        <w:rPr>
          <w:color w:val="auto"/>
          <w:sz w:val="24"/>
          <w:szCs w:val="32"/>
        </w:rPr>
        <w:t>对环保设施进行了监测；后期生产期间委托</w:t>
      </w:r>
      <w:r>
        <w:rPr>
          <w:rFonts w:hint="eastAsia"/>
          <w:color w:val="auto"/>
          <w:sz w:val="24"/>
          <w:szCs w:val="32"/>
        </w:rPr>
        <w:t>安徽阿尔发环境工程有限公司</w:t>
      </w:r>
      <w:r>
        <w:rPr>
          <w:color w:val="auto"/>
          <w:sz w:val="24"/>
          <w:szCs w:val="32"/>
        </w:rPr>
        <w:t>等有资质单位进行定期监测。自项目运行以来，企业对生产中各项污染排放情况开展了季度例行监测，各季度例行监测结果均能满足环评中相应标准要求。</w:t>
      </w:r>
    </w:p>
    <w:p w14:paraId="70700230">
      <w:pPr>
        <w:spacing w:line="360" w:lineRule="auto"/>
        <w:outlineLvl w:val="1"/>
        <w:rPr>
          <w:b/>
          <w:bCs/>
          <w:color w:val="auto"/>
          <w:sz w:val="28"/>
          <w:szCs w:val="36"/>
        </w:rPr>
      </w:pPr>
      <w:bookmarkStart w:id="270" w:name="_Toc3022"/>
      <w:r>
        <w:rPr>
          <w:b/>
          <w:bCs/>
          <w:color w:val="auto"/>
          <w:sz w:val="28"/>
          <w:szCs w:val="36"/>
        </w:rPr>
        <w:t>2.</w:t>
      </w:r>
      <w:r>
        <w:rPr>
          <w:rFonts w:hint="eastAsia"/>
          <w:b/>
          <w:bCs/>
          <w:color w:val="auto"/>
          <w:sz w:val="28"/>
          <w:szCs w:val="36"/>
          <w:lang w:val="en-US" w:eastAsia="zh-CN"/>
        </w:rPr>
        <w:t>4</w:t>
      </w:r>
      <w:r>
        <w:rPr>
          <w:b/>
          <w:bCs/>
          <w:color w:val="auto"/>
          <w:sz w:val="28"/>
          <w:szCs w:val="36"/>
        </w:rPr>
        <w:t xml:space="preserve"> 公众意见收集调查回顾</w:t>
      </w:r>
      <w:bookmarkEnd w:id="270"/>
    </w:p>
    <w:p w14:paraId="6883210A">
      <w:pPr>
        <w:adjustRightInd w:val="0"/>
        <w:spacing w:line="360" w:lineRule="auto"/>
        <w:jc w:val="left"/>
        <w:textAlignment w:val="baseline"/>
        <w:outlineLvl w:val="2"/>
        <w:rPr>
          <w:b/>
          <w:bCs/>
          <w:color w:val="auto"/>
          <w:sz w:val="24"/>
        </w:rPr>
      </w:pPr>
      <w:bookmarkStart w:id="271" w:name="_Toc9415"/>
      <w:r>
        <w:rPr>
          <w:b/>
          <w:bCs/>
          <w:color w:val="auto"/>
          <w:sz w:val="24"/>
        </w:rPr>
        <w:t>2.</w:t>
      </w:r>
      <w:r>
        <w:rPr>
          <w:rFonts w:hint="eastAsia"/>
          <w:b/>
          <w:bCs/>
          <w:color w:val="auto"/>
          <w:sz w:val="24"/>
          <w:lang w:val="en-US" w:eastAsia="zh-CN"/>
        </w:rPr>
        <w:t>4</w:t>
      </w:r>
      <w:r>
        <w:rPr>
          <w:b/>
          <w:bCs/>
          <w:color w:val="auto"/>
          <w:sz w:val="24"/>
        </w:rPr>
        <w:t>.1环评文件公众参与调查情况回顾</w:t>
      </w:r>
      <w:bookmarkEnd w:id="271"/>
    </w:p>
    <w:p w14:paraId="5BA3EF5F">
      <w:pPr>
        <w:spacing w:line="360" w:lineRule="auto"/>
        <w:ind w:firstLine="480" w:firstLineChars="200"/>
        <w:rPr>
          <w:color w:val="auto"/>
          <w:sz w:val="24"/>
          <w:szCs w:val="32"/>
        </w:rPr>
      </w:pPr>
      <w:r>
        <w:rPr>
          <w:rFonts w:hint="eastAsia"/>
          <w:color w:val="auto"/>
          <w:sz w:val="24"/>
          <w:szCs w:val="32"/>
          <w:lang w:val="en-US" w:eastAsia="zh-CN"/>
        </w:rPr>
        <w:t>环评</w:t>
      </w:r>
      <w:r>
        <w:rPr>
          <w:color w:val="auto"/>
          <w:sz w:val="24"/>
          <w:szCs w:val="32"/>
        </w:rPr>
        <w:t>阶段对项目同步进行网站、现场张贴和发放调查问卷三种方式征询公众对于本项目的意见。</w:t>
      </w:r>
    </w:p>
    <w:p w14:paraId="790E988E">
      <w:pPr>
        <w:spacing w:line="360" w:lineRule="auto"/>
        <w:ind w:firstLine="480" w:firstLineChars="200"/>
        <w:rPr>
          <w:color w:val="auto"/>
          <w:sz w:val="24"/>
          <w:szCs w:val="32"/>
        </w:rPr>
      </w:pPr>
      <w:r>
        <w:rPr>
          <w:rFonts w:hint="eastAsia"/>
          <w:color w:val="auto"/>
          <w:kern w:val="24"/>
          <w:sz w:val="24"/>
          <w:lang w:val="en-US" w:eastAsia="zh-CN"/>
        </w:rPr>
        <w:t>原</w:t>
      </w:r>
      <w:r>
        <w:rPr>
          <w:rFonts w:hint="eastAsia"/>
          <w:color w:val="auto"/>
          <w:kern w:val="24"/>
          <w:sz w:val="24"/>
        </w:rPr>
        <w:t>安徽华中天力铝业有限公司</w:t>
      </w:r>
      <w:r>
        <w:rPr>
          <w:color w:val="auto"/>
          <w:sz w:val="24"/>
          <w:szCs w:val="32"/>
        </w:rPr>
        <w:t>于</w:t>
      </w:r>
      <w:r>
        <w:rPr>
          <w:rFonts w:hint="eastAsia"/>
          <w:color w:val="auto"/>
          <w:sz w:val="24"/>
          <w:szCs w:val="32"/>
        </w:rPr>
        <w:t>2015年4月9日～4月22日</w:t>
      </w:r>
      <w:r>
        <w:rPr>
          <w:color w:val="auto"/>
          <w:sz w:val="24"/>
          <w:szCs w:val="32"/>
        </w:rPr>
        <w:t>对该项目的环境影响评价进行第一次信息公告。于</w:t>
      </w:r>
      <w:r>
        <w:rPr>
          <w:rFonts w:hint="eastAsia"/>
          <w:color w:val="auto"/>
          <w:sz w:val="24"/>
          <w:szCs w:val="32"/>
        </w:rPr>
        <w:t>2015年5月29日～6月4日</w:t>
      </w:r>
      <w:r>
        <w:rPr>
          <w:color w:val="auto"/>
          <w:sz w:val="24"/>
          <w:szCs w:val="32"/>
        </w:rPr>
        <w:t>进行了环境影响评价的</w:t>
      </w:r>
      <w:r>
        <w:rPr>
          <w:rFonts w:hint="eastAsia"/>
          <w:color w:val="auto"/>
          <w:sz w:val="24"/>
          <w:szCs w:val="32"/>
          <w:lang w:val="en-US" w:eastAsia="zh-CN"/>
        </w:rPr>
        <w:t>第</w:t>
      </w:r>
      <w:r>
        <w:rPr>
          <w:color w:val="auto"/>
          <w:sz w:val="24"/>
          <w:szCs w:val="32"/>
        </w:rPr>
        <w:t>二次公</w:t>
      </w:r>
      <w:r>
        <w:rPr>
          <w:rFonts w:hint="eastAsia"/>
          <w:color w:val="auto"/>
          <w:sz w:val="24"/>
          <w:szCs w:val="32"/>
          <w:lang w:val="en-US" w:eastAsia="zh-CN"/>
        </w:rPr>
        <w:t>示，并对</w:t>
      </w:r>
      <w:r>
        <w:rPr>
          <w:color w:val="auto"/>
          <w:sz w:val="24"/>
          <w:szCs w:val="32"/>
        </w:rPr>
        <w:t>所在区域进行公众参与问卷调查。公示期间，没有收到有关人士函件及电子邮件等反馈意见，说明了当地的公众对本项目建设基本上认可。</w:t>
      </w:r>
    </w:p>
    <w:p w14:paraId="61718E5D">
      <w:pPr>
        <w:adjustRightInd w:val="0"/>
        <w:spacing w:line="360" w:lineRule="auto"/>
        <w:jc w:val="left"/>
        <w:textAlignment w:val="baseline"/>
        <w:outlineLvl w:val="2"/>
        <w:rPr>
          <w:b/>
          <w:bCs/>
          <w:color w:val="auto"/>
          <w:sz w:val="24"/>
        </w:rPr>
      </w:pPr>
      <w:bookmarkStart w:id="272" w:name="_Toc32351"/>
      <w:r>
        <w:rPr>
          <w:b/>
          <w:bCs/>
          <w:color w:val="auto"/>
          <w:sz w:val="24"/>
        </w:rPr>
        <w:t>2.</w:t>
      </w:r>
      <w:r>
        <w:rPr>
          <w:rFonts w:hint="eastAsia"/>
          <w:b/>
          <w:bCs/>
          <w:color w:val="auto"/>
          <w:sz w:val="24"/>
          <w:lang w:val="en-US" w:eastAsia="zh-CN"/>
        </w:rPr>
        <w:t>4</w:t>
      </w:r>
      <w:r>
        <w:rPr>
          <w:b/>
          <w:bCs/>
          <w:color w:val="auto"/>
          <w:sz w:val="24"/>
        </w:rPr>
        <w:t>.2运营过程中公众意见反馈</w:t>
      </w:r>
      <w:bookmarkEnd w:id="272"/>
    </w:p>
    <w:p w14:paraId="6661528E">
      <w:pPr>
        <w:spacing w:line="360" w:lineRule="auto"/>
        <w:ind w:firstLine="480" w:firstLineChars="200"/>
        <w:rPr>
          <w:color w:val="auto"/>
          <w:sz w:val="24"/>
          <w:szCs w:val="32"/>
        </w:rPr>
      </w:pPr>
      <w:r>
        <w:rPr>
          <w:color w:val="auto"/>
          <w:sz w:val="24"/>
          <w:szCs w:val="32"/>
        </w:rPr>
        <w:t>项目运营至今，未收到公众函件及电子邮件等反馈意见。</w:t>
      </w:r>
    </w:p>
    <w:p w14:paraId="42DA0059">
      <w:pPr>
        <w:spacing w:line="360" w:lineRule="auto"/>
        <w:outlineLvl w:val="1"/>
        <w:rPr>
          <w:b/>
          <w:bCs/>
          <w:color w:val="auto"/>
          <w:sz w:val="28"/>
          <w:szCs w:val="36"/>
        </w:rPr>
      </w:pPr>
      <w:bookmarkStart w:id="273" w:name="_Toc21635"/>
      <w:bookmarkStart w:id="274" w:name="_Toc153956985"/>
      <w:r>
        <w:rPr>
          <w:b/>
          <w:bCs/>
          <w:color w:val="auto"/>
          <w:sz w:val="28"/>
          <w:szCs w:val="36"/>
        </w:rPr>
        <w:t>2.</w:t>
      </w:r>
      <w:r>
        <w:rPr>
          <w:rFonts w:hint="eastAsia"/>
          <w:b/>
          <w:bCs/>
          <w:color w:val="auto"/>
          <w:sz w:val="28"/>
          <w:szCs w:val="36"/>
          <w:lang w:val="en-US" w:eastAsia="zh-CN"/>
        </w:rPr>
        <w:t>5</w:t>
      </w:r>
      <w:r>
        <w:rPr>
          <w:b/>
          <w:bCs/>
          <w:color w:val="auto"/>
          <w:sz w:val="28"/>
          <w:szCs w:val="36"/>
        </w:rPr>
        <w:t xml:space="preserve"> 项目运营期环境污染事故、投诉、处罚等调查</w:t>
      </w:r>
      <w:bookmarkEnd w:id="273"/>
      <w:bookmarkEnd w:id="274"/>
    </w:p>
    <w:p w14:paraId="1702DD53">
      <w:pPr>
        <w:spacing w:line="360" w:lineRule="auto"/>
        <w:ind w:firstLine="480" w:firstLineChars="200"/>
        <w:rPr>
          <w:color w:val="auto"/>
          <w:sz w:val="24"/>
          <w:szCs w:val="32"/>
        </w:rPr>
      </w:pPr>
      <w:r>
        <w:rPr>
          <w:color w:val="auto"/>
          <w:sz w:val="24"/>
          <w:szCs w:val="32"/>
        </w:rPr>
        <w:t>经调查，</w:t>
      </w:r>
      <w:r>
        <w:rPr>
          <w:rFonts w:hint="eastAsia"/>
          <w:color w:val="auto"/>
          <w:sz w:val="24"/>
          <w:szCs w:val="32"/>
          <w:lang w:val="en-US" w:eastAsia="zh-CN"/>
        </w:rPr>
        <w:t>该项目由</w:t>
      </w:r>
      <w:r>
        <w:rPr>
          <w:rFonts w:hint="eastAsia"/>
          <w:color w:val="auto"/>
          <w:kern w:val="24"/>
          <w:sz w:val="24"/>
          <w:lang w:val="en-US" w:eastAsia="zh-CN"/>
        </w:rPr>
        <w:t>安徽省裕康铝业有限公司经营期间因不正常运行污染防治设施和稀释排放污染物，受到淮北市生态环境局行政处罚（【皖淮北环（濉）罚〔2025〕13号】）。</w:t>
      </w:r>
      <w:r>
        <w:rPr>
          <w:rFonts w:hint="eastAsia"/>
          <w:color w:val="auto"/>
          <w:sz w:val="24"/>
          <w:szCs w:val="32"/>
          <w:lang w:val="en-US" w:eastAsia="zh-CN"/>
        </w:rPr>
        <w:t>该项目</w:t>
      </w:r>
      <w:r>
        <w:rPr>
          <w:color w:val="auto"/>
          <w:sz w:val="24"/>
          <w:szCs w:val="32"/>
        </w:rPr>
        <w:t>装置运营期间未发生环境污染事故、未收到周边居民投诉意见等。</w:t>
      </w:r>
    </w:p>
    <w:p w14:paraId="4DD16FBE">
      <w:pPr>
        <w:spacing w:line="360" w:lineRule="auto"/>
        <w:outlineLvl w:val="1"/>
        <w:rPr>
          <w:b/>
          <w:bCs/>
          <w:color w:val="auto"/>
          <w:sz w:val="28"/>
          <w:szCs w:val="36"/>
        </w:rPr>
      </w:pPr>
      <w:bookmarkStart w:id="275" w:name="_Toc153956986"/>
      <w:bookmarkStart w:id="276" w:name="_Toc26971"/>
      <w:r>
        <w:rPr>
          <w:b/>
          <w:bCs/>
          <w:color w:val="auto"/>
          <w:sz w:val="28"/>
          <w:szCs w:val="36"/>
        </w:rPr>
        <w:t>2.</w:t>
      </w:r>
      <w:r>
        <w:rPr>
          <w:rFonts w:hint="eastAsia"/>
          <w:b/>
          <w:bCs/>
          <w:color w:val="auto"/>
          <w:sz w:val="28"/>
          <w:szCs w:val="36"/>
          <w:lang w:val="en-US" w:eastAsia="zh-CN"/>
        </w:rPr>
        <w:t>6</w:t>
      </w:r>
      <w:r>
        <w:rPr>
          <w:b/>
          <w:bCs/>
          <w:color w:val="auto"/>
          <w:sz w:val="28"/>
          <w:szCs w:val="36"/>
        </w:rPr>
        <w:t xml:space="preserve"> 项目排污许可证申请和排污许可制度执行情况</w:t>
      </w:r>
      <w:bookmarkEnd w:id="275"/>
      <w:bookmarkEnd w:id="276"/>
    </w:p>
    <w:p w14:paraId="40E9C7D0">
      <w:pPr>
        <w:spacing w:line="360" w:lineRule="auto"/>
        <w:outlineLvl w:val="2"/>
        <w:rPr>
          <w:b/>
          <w:bCs/>
          <w:color w:val="auto"/>
          <w:sz w:val="24"/>
          <w:szCs w:val="32"/>
        </w:rPr>
      </w:pPr>
      <w:r>
        <w:rPr>
          <w:b/>
          <w:bCs/>
          <w:color w:val="auto"/>
          <w:sz w:val="24"/>
          <w:szCs w:val="32"/>
        </w:rPr>
        <w:t>2.</w:t>
      </w:r>
      <w:r>
        <w:rPr>
          <w:rFonts w:hint="eastAsia"/>
          <w:b/>
          <w:bCs/>
          <w:color w:val="auto"/>
          <w:sz w:val="24"/>
          <w:szCs w:val="32"/>
          <w:lang w:val="en-US" w:eastAsia="zh-CN"/>
        </w:rPr>
        <w:t>6</w:t>
      </w:r>
      <w:r>
        <w:rPr>
          <w:b/>
          <w:bCs/>
          <w:color w:val="auto"/>
          <w:sz w:val="24"/>
          <w:szCs w:val="32"/>
        </w:rPr>
        <w:t>.1 项目排污总量说明</w:t>
      </w:r>
    </w:p>
    <w:p w14:paraId="4398E4D9">
      <w:pPr>
        <w:adjustRightInd w:val="0"/>
        <w:snapToGrid w:val="0"/>
        <w:spacing w:line="360" w:lineRule="auto"/>
        <w:ind w:firstLine="480" w:firstLineChars="200"/>
        <w:rPr>
          <w:color w:val="auto"/>
          <w:sz w:val="24"/>
          <w:szCs w:val="32"/>
        </w:rPr>
      </w:pPr>
      <w:r>
        <w:rPr>
          <w:rFonts w:hint="eastAsia"/>
          <w:color w:val="auto"/>
          <w:sz w:val="24"/>
          <w:szCs w:val="32"/>
        </w:rPr>
        <w:t>1、废气</w:t>
      </w:r>
    </w:p>
    <w:p w14:paraId="7778951D">
      <w:pPr>
        <w:adjustRightInd w:val="0"/>
        <w:snapToGrid w:val="0"/>
        <w:spacing w:line="360" w:lineRule="auto"/>
        <w:ind w:firstLine="480" w:firstLineChars="200"/>
        <w:rPr>
          <w:color w:val="auto"/>
          <w:sz w:val="24"/>
          <w:szCs w:val="32"/>
        </w:rPr>
      </w:pPr>
      <w:r>
        <w:rPr>
          <w:rFonts w:hint="eastAsia"/>
          <w:color w:val="auto"/>
          <w:sz w:val="24"/>
          <w:szCs w:val="32"/>
          <w:lang w:val="en-US" w:eastAsia="zh-CN"/>
        </w:rPr>
        <w:t>根据</w:t>
      </w:r>
      <w:r>
        <w:rPr>
          <w:color w:val="auto"/>
          <w:sz w:val="24"/>
          <w:szCs w:val="32"/>
        </w:rPr>
        <w:t>《</w:t>
      </w:r>
      <w:r>
        <w:rPr>
          <w:rFonts w:hint="eastAsia"/>
          <w:color w:val="auto"/>
          <w:kern w:val="24"/>
          <w:sz w:val="24"/>
        </w:rPr>
        <w:t>安徽华中天力铝业有限公司年产11万吨再生铝建设项目环境影响报告书</w:t>
      </w:r>
      <w:r>
        <w:rPr>
          <w:color w:val="auto"/>
          <w:sz w:val="24"/>
          <w:szCs w:val="32"/>
        </w:rPr>
        <w:t>》环评批复（</w:t>
      </w:r>
      <w:r>
        <w:rPr>
          <w:rFonts w:hint="eastAsia"/>
          <w:color w:val="auto"/>
          <w:sz w:val="24"/>
          <w:szCs w:val="32"/>
          <w:lang w:val="en-US" w:eastAsia="zh-CN"/>
        </w:rPr>
        <w:t>淮环行【2016】27号</w:t>
      </w:r>
      <w:r>
        <w:rPr>
          <w:color w:val="auto"/>
          <w:sz w:val="24"/>
          <w:szCs w:val="32"/>
        </w:rPr>
        <w:t>）</w:t>
      </w:r>
      <w:r>
        <w:rPr>
          <w:rFonts w:hint="eastAsia"/>
          <w:color w:val="auto"/>
          <w:sz w:val="24"/>
          <w:szCs w:val="32"/>
          <w:lang w:val="en-US" w:eastAsia="zh-CN"/>
        </w:rPr>
        <w:t>和</w:t>
      </w:r>
      <w:r>
        <w:rPr>
          <w:rFonts w:hint="eastAsia" w:cs="Times New Roman"/>
          <w:color w:val="auto"/>
          <w:sz w:val="24"/>
          <w:szCs w:val="24"/>
          <w:lang w:val="en-US" w:eastAsia="zh-CN"/>
        </w:rPr>
        <w:t>安徽瑞瑟科金属材料有限公司（原安徽华中天力铝业有限公司年产11万吨再生铝建设项目）主要排放口二氧化硫、氨氧化物许可排放量核算报告》可知</w:t>
      </w:r>
      <w:r>
        <w:rPr>
          <w:color w:val="auto"/>
          <w:sz w:val="24"/>
          <w:szCs w:val="32"/>
        </w:rPr>
        <w:t>，</w:t>
      </w:r>
      <w:r>
        <w:rPr>
          <w:rFonts w:hint="eastAsia"/>
          <w:color w:val="auto"/>
          <w:sz w:val="24"/>
          <w:szCs w:val="32"/>
          <w:lang w:val="en-US" w:eastAsia="zh-CN"/>
        </w:rPr>
        <w:t>现有一期工程</w:t>
      </w:r>
      <w:r>
        <w:rPr>
          <w:rFonts w:hint="eastAsia"/>
          <w:color w:val="auto"/>
          <w:sz w:val="24"/>
          <w:szCs w:val="32"/>
        </w:rPr>
        <w:t>总量控制指标为</w:t>
      </w:r>
      <w:r>
        <w:rPr>
          <w:rFonts w:hint="eastAsia"/>
          <w:color w:val="auto"/>
          <w:sz w:val="24"/>
          <w:szCs w:val="32"/>
          <w:lang w:val="en-US" w:eastAsia="zh-CN"/>
        </w:rPr>
        <w:t>颗粒物6.8</w:t>
      </w:r>
      <w:r>
        <w:rPr>
          <w:color w:val="auto"/>
          <w:sz w:val="24"/>
          <w:szCs w:val="32"/>
        </w:rPr>
        <w:t>t/a</w:t>
      </w:r>
      <w:r>
        <w:rPr>
          <w:rFonts w:hint="eastAsia"/>
          <w:color w:val="auto"/>
          <w:sz w:val="24"/>
          <w:szCs w:val="32"/>
        </w:rPr>
        <w:t>、</w:t>
      </w:r>
      <w:r>
        <w:rPr>
          <w:rFonts w:hint="eastAsia"/>
          <w:color w:val="auto"/>
          <w:sz w:val="24"/>
          <w:szCs w:val="32"/>
          <w:lang w:val="en-US" w:eastAsia="zh-CN"/>
        </w:rPr>
        <w:t>二氧化硫12.635</w:t>
      </w:r>
      <w:r>
        <w:rPr>
          <w:rFonts w:hint="eastAsia"/>
          <w:color w:val="auto"/>
          <w:sz w:val="24"/>
          <w:szCs w:val="32"/>
        </w:rPr>
        <w:t>t/a</w:t>
      </w:r>
      <w:r>
        <w:rPr>
          <w:rFonts w:hint="eastAsia"/>
          <w:color w:val="auto"/>
          <w:sz w:val="24"/>
          <w:szCs w:val="32"/>
          <w:lang w:eastAsia="zh-CN"/>
        </w:rPr>
        <w:t>、</w:t>
      </w:r>
      <w:r>
        <w:rPr>
          <w:rFonts w:hint="eastAsia"/>
          <w:color w:val="auto"/>
          <w:sz w:val="24"/>
          <w:szCs w:val="32"/>
          <w:lang w:val="en-US" w:eastAsia="zh-CN"/>
        </w:rPr>
        <w:t>氮氧化物19.454</w:t>
      </w:r>
      <w:r>
        <w:rPr>
          <w:rFonts w:hint="eastAsia"/>
          <w:color w:val="auto"/>
          <w:sz w:val="24"/>
          <w:szCs w:val="32"/>
        </w:rPr>
        <w:t>t/a</w:t>
      </w:r>
      <w:r>
        <w:rPr>
          <w:color w:val="auto"/>
          <w:sz w:val="24"/>
          <w:szCs w:val="32"/>
        </w:rPr>
        <w:t>。</w:t>
      </w:r>
    </w:p>
    <w:p w14:paraId="0B81E039">
      <w:pPr>
        <w:spacing w:line="360" w:lineRule="auto"/>
        <w:ind w:firstLine="480" w:firstLineChars="200"/>
        <w:rPr>
          <w:color w:val="auto"/>
          <w:sz w:val="24"/>
        </w:rPr>
      </w:pPr>
      <w:bookmarkStart w:id="277" w:name="_Toc19065"/>
      <w:r>
        <w:rPr>
          <w:rFonts w:hint="eastAsia"/>
          <w:color w:val="auto"/>
          <w:sz w:val="24"/>
        </w:rPr>
        <w:t>根据企业</w:t>
      </w:r>
      <w:r>
        <w:rPr>
          <w:rFonts w:hint="eastAsia"/>
          <w:color w:val="auto"/>
          <w:sz w:val="24"/>
          <w:lang w:val="en-US" w:eastAsia="zh-CN"/>
        </w:rPr>
        <w:t>2024年在线监测</w:t>
      </w:r>
      <w:r>
        <w:rPr>
          <w:rFonts w:hint="eastAsia"/>
          <w:color w:val="auto"/>
          <w:sz w:val="24"/>
        </w:rPr>
        <w:t>结果可知：一期</w:t>
      </w:r>
      <w:r>
        <w:rPr>
          <w:rFonts w:hint="eastAsia"/>
          <w:color w:val="auto"/>
          <w:sz w:val="24"/>
          <w:lang w:val="en-US" w:eastAsia="zh-CN"/>
        </w:rPr>
        <w:t>工程</w:t>
      </w:r>
      <w:r>
        <w:rPr>
          <w:rFonts w:hint="eastAsia"/>
          <w:color w:val="auto"/>
          <w:sz w:val="24"/>
        </w:rPr>
        <w:t>颗粒物排放量为</w:t>
      </w:r>
      <w:r>
        <w:rPr>
          <w:rFonts w:hint="eastAsia"/>
          <w:color w:val="auto"/>
          <w:sz w:val="24"/>
          <w:lang w:val="en-US" w:eastAsia="zh-CN"/>
        </w:rPr>
        <w:t>2.44</w:t>
      </w:r>
      <w:r>
        <w:rPr>
          <w:rFonts w:hint="eastAsia"/>
          <w:color w:val="auto"/>
          <w:sz w:val="24"/>
        </w:rPr>
        <w:t>t/a，</w:t>
      </w:r>
      <w:r>
        <w:rPr>
          <w:rFonts w:hint="eastAsia"/>
          <w:color w:val="auto"/>
          <w:sz w:val="24"/>
          <w:szCs w:val="32"/>
          <w:lang w:val="en-US" w:eastAsia="zh-CN"/>
        </w:rPr>
        <w:t>二氧化硫</w:t>
      </w:r>
      <w:r>
        <w:rPr>
          <w:rFonts w:hint="eastAsia"/>
          <w:color w:val="auto"/>
          <w:sz w:val="24"/>
        </w:rPr>
        <w:t>排放量为</w:t>
      </w:r>
      <w:r>
        <w:rPr>
          <w:rFonts w:hint="eastAsia"/>
          <w:color w:val="auto"/>
          <w:sz w:val="24"/>
          <w:lang w:val="en-US" w:eastAsia="zh-CN"/>
        </w:rPr>
        <w:t>3.99</w:t>
      </w:r>
      <w:r>
        <w:rPr>
          <w:rFonts w:hint="eastAsia"/>
          <w:color w:val="auto"/>
          <w:sz w:val="24"/>
        </w:rPr>
        <w:t>t/a</w:t>
      </w:r>
      <w:r>
        <w:rPr>
          <w:rFonts w:hint="eastAsia"/>
          <w:color w:val="auto"/>
          <w:sz w:val="24"/>
          <w:szCs w:val="32"/>
          <w:lang w:val="en-US" w:eastAsia="zh-CN"/>
        </w:rPr>
        <w:t>，氮氧化物</w:t>
      </w:r>
      <w:r>
        <w:rPr>
          <w:rFonts w:hint="eastAsia"/>
          <w:color w:val="auto"/>
          <w:sz w:val="24"/>
        </w:rPr>
        <w:t>排放量为</w:t>
      </w:r>
      <w:r>
        <w:rPr>
          <w:rFonts w:hint="eastAsia"/>
          <w:color w:val="auto"/>
          <w:sz w:val="24"/>
          <w:lang w:val="en-US" w:eastAsia="zh-CN"/>
        </w:rPr>
        <w:t>8.55</w:t>
      </w:r>
      <w:r>
        <w:rPr>
          <w:rFonts w:hint="eastAsia"/>
          <w:color w:val="auto"/>
          <w:sz w:val="24"/>
        </w:rPr>
        <w:t>t/a，满足</w:t>
      </w:r>
      <w:r>
        <w:rPr>
          <w:rFonts w:hint="eastAsia"/>
          <w:color w:val="auto"/>
          <w:sz w:val="24"/>
          <w:lang w:val="en-US" w:eastAsia="zh-CN"/>
        </w:rPr>
        <w:t>现有</w:t>
      </w:r>
      <w:r>
        <w:rPr>
          <w:rFonts w:hint="eastAsia"/>
          <w:color w:val="auto"/>
          <w:sz w:val="24"/>
        </w:rPr>
        <w:t>总量</w:t>
      </w:r>
      <w:r>
        <w:rPr>
          <w:rFonts w:hint="eastAsia"/>
          <w:color w:val="auto"/>
          <w:sz w:val="24"/>
          <w:lang w:val="en-US" w:eastAsia="zh-CN"/>
        </w:rPr>
        <w:t>控制指标</w:t>
      </w:r>
      <w:r>
        <w:rPr>
          <w:rFonts w:hint="eastAsia"/>
          <w:color w:val="auto"/>
          <w:sz w:val="24"/>
        </w:rPr>
        <w:t>要求。</w:t>
      </w:r>
    </w:p>
    <w:p w14:paraId="721DAFC2">
      <w:pPr>
        <w:spacing w:line="360" w:lineRule="auto"/>
        <w:ind w:firstLine="480" w:firstLineChars="200"/>
        <w:rPr>
          <w:color w:val="auto"/>
          <w:sz w:val="24"/>
          <w:szCs w:val="32"/>
        </w:rPr>
      </w:pPr>
      <w:r>
        <w:rPr>
          <w:rFonts w:hint="eastAsia"/>
          <w:color w:val="auto"/>
          <w:sz w:val="24"/>
          <w:szCs w:val="32"/>
        </w:rPr>
        <w:t>2、废水</w:t>
      </w:r>
    </w:p>
    <w:bookmarkEnd w:id="277"/>
    <w:p w14:paraId="6EAC4D1A">
      <w:pPr>
        <w:spacing w:line="360" w:lineRule="auto"/>
        <w:ind w:firstLine="480" w:firstLineChars="200"/>
        <w:rPr>
          <w:color w:val="auto"/>
        </w:rPr>
      </w:pPr>
      <w:r>
        <w:rPr>
          <w:rFonts w:hint="eastAsia"/>
          <w:color w:val="auto"/>
          <w:sz w:val="24"/>
          <w:lang w:val="en-US" w:eastAsia="zh-CN"/>
        </w:rPr>
        <w:t>项目无生产废水外排，项目采用“雨污分流、清污分流”系统。循环冷却水回用于生产，不外排；生活污水经化粪池处理后排入开发区污水管网</w:t>
      </w:r>
      <w:r>
        <w:rPr>
          <w:rFonts w:hint="eastAsia"/>
          <w:color w:val="auto"/>
          <w:sz w:val="24"/>
        </w:rPr>
        <w:t>进入滩溪县第二污水处理厂集中处理</w:t>
      </w:r>
      <w:r>
        <w:rPr>
          <w:color w:val="auto"/>
          <w:sz w:val="24"/>
        </w:rPr>
        <w:t>，</w:t>
      </w:r>
      <w:r>
        <w:rPr>
          <w:color w:val="auto"/>
          <w:sz w:val="24"/>
          <w:szCs w:val="32"/>
        </w:rPr>
        <w:t>故</w:t>
      </w:r>
      <w:r>
        <w:rPr>
          <w:rFonts w:hint="eastAsia"/>
          <w:color w:val="auto"/>
          <w:sz w:val="24"/>
          <w:szCs w:val="32"/>
        </w:rPr>
        <w:t>废水无总量控制指标</w:t>
      </w:r>
      <w:r>
        <w:rPr>
          <w:color w:val="auto"/>
          <w:sz w:val="24"/>
          <w:szCs w:val="32"/>
        </w:rPr>
        <w:t>。</w:t>
      </w:r>
    </w:p>
    <w:p w14:paraId="026F39A7">
      <w:pPr>
        <w:spacing w:line="360" w:lineRule="auto"/>
        <w:ind w:firstLine="480" w:firstLineChars="200"/>
        <w:rPr>
          <w:color w:val="auto"/>
          <w:sz w:val="24"/>
          <w:szCs w:val="32"/>
        </w:rPr>
      </w:pPr>
      <w:bookmarkStart w:id="278" w:name="_Toc27997"/>
      <w:r>
        <w:rPr>
          <w:rFonts w:hint="eastAsia"/>
          <w:color w:val="auto"/>
          <w:sz w:val="24"/>
          <w:szCs w:val="32"/>
        </w:rPr>
        <w:t>3</w:t>
      </w:r>
      <w:r>
        <w:rPr>
          <w:color w:val="auto"/>
          <w:sz w:val="24"/>
          <w:szCs w:val="32"/>
        </w:rPr>
        <w:t>、</w:t>
      </w:r>
      <w:r>
        <w:rPr>
          <w:rFonts w:hint="eastAsia"/>
          <w:color w:val="auto"/>
          <w:sz w:val="24"/>
          <w:szCs w:val="32"/>
        </w:rPr>
        <w:t>总量控制</w:t>
      </w:r>
      <w:r>
        <w:rPr>
          <w:color w:val="auto"/>
          <w:sz w:val="24"/>
          <w:szCs w:val="32"/>
        </w:rPr>
        <w:t>汇总表</w:t>
      </w:r>
      <w:bookmarkEnd w:id="278"/>
    </w:p>
    <w:p w14:paraId="10E61BBE">
      <w:pPr>
        <w:pStyle w:val="9"/>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b/>
          <w:bCs/>
          <w:color w:val="auto"/>
          <w:spacing w:val="-1"/>
          <w:sz w:val="24"/>
        </w:rPr>
      </w:pPr>
      <w:r>
        <w:rPr>
          <w:b/>
          <w:bCs/>
          <w:color w:val="auto"/>
          <w:spacing w:val="-1"/>
          <w:sz w:val="24"/>
        </w:rPr>
        <w:t>表2-</w:t>
      </w:r>
      <w:r>
        <w:rPr>
          <w:rFonts w:hint="eastAsia"/>
          <w:b/>
          <w:bCs/>
          <w:color w:val="auto"/>
          <w:spacing w:val="-1"/>
          <w:sz w:val="24"/>
          <w:lang w:val="en-US" w:eastAsia="zh-CN"/>
        </w:rPr>
        <w:t>21</w:t>
      </w:r>
      <w:r>
        <w:rPr>
          <w:b/>
          <w:bCs/>
          <w:color w:val="auto"/>
          <w:spacing w:val="-1"/>
          <w:sz w:val="24"/>
        </w:rPr>
        <w:t xml:space="preserve"> </w:t>
      </w:r>
      <w:r>
        <w:rPr>
          <w:rFonts w:hint="eastAsia"/>
          <w:b/>
          <w:bCs/>
          <w:color w:val="auto"/>
          <w:spacing w:val="-1"/>
          <w:sz w:val="24"/>
          <w:lang w:val="en-US" w:eastAsia="zh-CN"/>
        </w:rPr>
        <w:t>现有一期工程</w:t>
      </w:r>
      <w:r>
        <w:rPr>
          <w:rFonts w:hint="eastAsia"/>
          <w:b/>
          <w:bCs/>
          <w:color w:val="auto"/>
          <w:spacing w:val="-1"/>
          <w:sz w:val="24"/>
        </w:rPr>
        <w:t>总量控制</w:t>
      </w:r>
      <w:r>
        <w:rPr>
          <w:rFonts w:hint="eastAsia"/>
          <w:b/>
          <w:bCs/>
          <w:color w:val="auto"/>
          <w:spacing w:val="-1"/>
          <w:sz w:val="24"/>
          <w:lang w:val="en-US" w:eastAsia="zh-CN"/>
        </w:rPr>
        <w:t>指标一览表  单位：t/a</w:t>
      </w:r>
    </w:p>
    <w:p w14:paraId="5105E01F">
      <w:pPr>
        <w:spacing w:line="68" w:lineRule="exact"/>
        <w:rPr>
          <w:color w:val="auto"/>
        </w:rPr>
      </w:pPr>
    </w:p>
    <w:tbl>
      <w:tblPr>
        <w:tblStyle w:val="123"/>
        <w:tblW w:w="4996"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0" w:type="dxa"/>
          <w:bottom w:w="0" w:type="dxa"/>
          <w:right w:w="0" w:type="dxa"/>
        </w:tblCellMar>
      </w:tblPr>
      <w:tblGrid>
        <w:gridCol w:w="1669"/>
        <w:gridCol w:w="2017"/>
        <w:gridCol w:w="2017"/>
        <w:gridCol w:w="2017"/>
        <w:gridCol w:w="2018"/>
      </w:tblGrid>
      <w:tr w14:paraId="5008257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56" w:type="pct"/>
            <w:tcBorders>
              <w:tl2br w:val="nil"/>
              <w:tr2bl w:val="nil"/>
            </w:tcBorders>
            <w:vAlign w:val="center"/>
          </w:tcPr>
          <w:p w14:paraId="3D50E711">
            <w:pPr>
              <w:jc w:val="center"/>
              <w:rPr>
                <w:b/>
                <w:bCs/>
                <w:color w:val="auto"/>
              </w:rPr>
            </w:pPr>
            <w:r>
              <w:rPr>
                <w:b/>
                <w:bCs/>
                <w:color w:val="auto"/>
              </w:rPr>
              <w:t>项目</w:t>
            </w:r>
          </w:p>
        </w:tc>
        <w:tc>
          <w:tcPr>
            <w:tcW w:w="1035" w:type="pct"/>
            <w:tcBorders>
              <w:tl2br w:val="nil"/>
              <w:tr2bl w:val="nil"/>
            </w:tcBorders>
            <w:vAlign w:val="center"/>
          </w:tcPr>
          <w:p w14:paraId="0320F2C9">
            <w:pPr>
              <w:jc w:val="center"/>
              <w:rPr>
                <w:rFonts w:hint="eastAsia"/>
                <w:b/>
                <w:bCs/>
                <w:color w:val="auto"/>
              </w:rPr>
            </w:pPr>
            <w:r>
              <w:rPr>
                <w:b/>
                <w:bCs/>
                <w:color w:val="auto"/>
              </w:rPr>
              <w:t>环评批复</w:t>
            </w:r>
            <w:r>
              <w:rPr>
                <w:rFonts w:hint="eastAsia"/>
                <w:b/>
                <w:bCs/>
                <w:color w:val="auto"/>
              </w:rPr>
              <w:t>总量</w:t>
            </w:r>
          </w:p>
          <w:p w14:paraId="3190E70A">
            <w:pPr>
              <w:jc w:val="center"/>
              <w:rPr>
                <w:b/>
                <w:bCs/>
                <w:color w:val="auto"/>
              </w:rPr>
            </w:pPr>
            <w:r>
              <w:rPr>
                <w:rFonts w:hint="eastAsia"/>
                <w:b/>
                <w:bCs/>
                <w:color w:val="auto"/>
                <w:lang w:eastAsia="zh-CN"/>
              </w:rPr>
              <w:t>（</w:t>
            </w:r>
            <w:r>
              <w:rPr>
                <w:rFonts w:hint="eastAsia"/>
                <w:b/>
                <w:bCs/>
                <w:color w:val="auto"/>
                <w:lang w:val="en-US" w:eastAsia="zh-CN"/>
              </w:rPr>
              <w:t>一期工程</w:t>
            </w:r>
            <w:r>
              <w:rPr>
                <w:rFonts w:hint="eastAsia"/>
                <w:b/>
                <w:bCs/>
                <w:color w:val="auto"/>
                <w:lang w:eastAsia="zh-CN"/>
              </w:rPr>
              <w:t>）</w:t>
            </w:r>
          </w:p>
        </w:tc>
        <w:tc>
          <w:tcPr>
            <w:tcW w:w="1035" w:type="pct"/>
            <w:tcBorders>
              <w:tl2br w:val="nil"/>
              <w:tr2bl w:val="nil"/>
            </w:tcBorders>
            <w:vAlign w:val="center"/>
          </w:tcPr>
          <w:p w14:paraId="3741831F">
            <w:pPr>
              <w:jc w:val="center"/>
              <w:rPr>
                <w:rFonts w:hint="default"/>
                <w:b/>
                <w:bCs/>
                <w:color w:val="auto"/>
                <w:lang w:val="en-US"/>
              </w:rPr>
            </w:pPr>
            <w:r>
              <w:rPr>
                <w:rFonts w:hint="eastAsia"/>
                <w:b/>
                <w:bCs/>
                <w:color w:val="auto"/>
                <w:lang w:val="en-US" w:eastAsia="zh-CN"/>
              </w:rPr>
              <w:t>许可排放量核算报告批复总量</w:t>
            </w:r>
          </w:p>
        </w:tc>
        <w:tc>
          <w:tcPr>
            <w:tcW w:w="1035" w:type="pct"/>
            <w:tcBorders>
              <w:tl2br w:val="nil"/>
              <w:tr2bl w:val="nil"/>
            </w:tcBorders>
            <w:vAlign w:val="center"/>
          </w:tcPr>
          <w:p w14:paraId="5647AA1E">
            <w:pPr>
              <w:jc w:val="center"/>
              <w:rPr>
                <w:rFonts w:hint="default"/>
                <w:b/>
                <w:bCs/>
                <w:color w:val="auto"/>
                <w:lang w:val="en-US" w:eastAsia="zh-CN"/>
              </w:rPr>
            </w:pPr>
            <w:r>
              <w:rPr>
                <w:rFonts w:hint="eastAsia"/>
                <w:b/>
                <w:bCs/>
                <w:color w:val="auto"/>
                <w:lang w:val="en-US" w:eastAsia="zh-CN"/>
              </w:rPr>
              <w:t>一期工程许可排放量</w:t>
            </w:r>
          </w:p>
        </w:tc>
        <w:tc>
          <w:tcPr>
            <w:tcW w:w="1035" w:type="pct"/>
            <w:tcBorders>
              <w:tl2br w:val="nil"/>
              <w:tr2bl w:val="nil"/>
            </w:tcBorders>
            <w:vAlign w:val="center"/>
          </w:tcPr>
          <w:p w14:paraId="095BE9DC">
            <w:pPr>
              <w:jc w:val="center"/>
              <w:rPr>
                <w:b/>
                <w:bCs/>
                <w:color w:val="auto"/>
              </w:rPr>
            </w:pPr>
            <w:r>
              <w:rPr>
                <w:rFonts w:hint="eastAsia"/>
                <w:b/>
                <w:bCs/>
                <w:color w:val="auto"/>
              </w:rPr>
              <w:t>一期项目实际排放量</w:t>
            </w:r>
          </w:p>
        </w:tc>
      </w:tr>
      <w:tr w14:paraId="6CC7F31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56" w:type="pct"/>
            <w:tcBorders>
              <w:tl2br w:val="nil"/>
              <w:tr2bl w:val="nil"/>
            </w:tcBorders>
            <w:vAlign w:val="center"/>
          </w:tcPr>
          <w:p w14:paraId="3BEE2EC9">
            <w:pPr>
              <w:jc w:val="center"/>
              <w:rPr>
                <w:color w:val="auto"/>
              </w:rPr>
            </w:pPr>
            <w:r>
              <w:rPr>
                <w:color w:val="auto"/>
              </w:rPr>
              <w:t>颗粒物</w:t>
            </w:r>
          </w:p>
        </w:tc>
        <w:tc>
          <w:tcPr>
            <w:tcW w:w="1035" w:type="pct"/>
            <w:tcBorders>
              <w:tl2br w:val="nil"/>
              <w:tr2bl w:val="nil"/>
            </w:tcBorders>
            <w:vAlign w:val="center"/>
          </w:tcPr>
          <w:p w14:paraId="2E06F7B3">
            <w:pPr>
              <w:jc w:val="center"/>
              <w:rPr>
                <w:rFonts w:hint="default" w:eastAsia="宋体"/>
                <w:color w:val="auto"/>
                <w:szCs w:val="21"/>
                <w:lang w:val="en-US" w:eastAsia="zh-CN"/>
              </w:rPr>
            </w:pPr>
            <w:r>
              <w:rPr>
                <w:rFonts w:hint="eastAsia"/>
                <w:color w:val="auto"/>
                <w:szCs w:val="21"/>
                <w:lang w:val="en-US" w:eastAsia="zh-CN"/>
              </w:rPr>
              <w:t>7.63</w:t>
            </w:r>
          </w:p>
        </w:tc>
        <w:tc>
          <w:tcPr>
            <w:tcW w:w="1035" w:type="pct"/>
            <w:tcBorders>
              <w:tl2br w:val="nil"/>
              <w:tr2bl w:val="nil"/>
            </w:tcBorders>
            <w:vAlign w:val="center"/>
          </w:tcPr>
          <w:p w14:paraId="4F11EC3B">
            <w:pPr>
              <w:jc w:val="center"/>
              <w:rPr>
                <w:rFonts w:hint="eastAsia" w:eastAsia="宋体"/>
                <w:color w:val="auto"/>
                <w:lang w:eastAsia="zh-CN"/>
              </w:rPr>
            </w:pPr>
            <w:r>
              <w:rPr>
                <w:rFonts w:hint="eastAsia"/>
                <w:color w:val="auto"/>
                <w:lang w:val="en-US" w:eastAsia="zh-CN"/>
              </w:rPr>
              <w:t>/</w:t>
            </w:r>
          </w:p>
        </w:tc>
        <w:tc>
          <w:tcPr>
            <w:tcW w:w="1035" w:type="pct"/>
            <w:tcBorders>
              <w:tl2br w:val="nil"/>
              <w:tr2bl w:val="nil"/>
            </w:tcBorders>
            <w:vAlign w:val="center"/>
          </w:tcPr>
          <w:p w14:paraId="71C61011">
            <w:pPr>
              <w:jc w:val="center"/>
              <w:rPr>
                <w:rFonts w:hint="default" w:eastAsia="宋体"/>
                <w:color w:val="auto"/>
                <w:lang w:val="en-US" w:eastAsia="zh-CN"/>
              </w:rPr>
            </w:pPr>
            <w:r>
              <w:rPr>
                <w:rFonts w:hint="eastAsia"/>
                <w:color w:val="auto"/>
                <w:lang w:val="en-US" w:eastAsia="zh-CN"/>
              </w:rPr>
              <w:t>7.63</w:t>
            </w:r>
          </w:p>
        </w:tc>
        <w:tc>
          <w:tcPr>
            <w:tcW w:w="1035" w:type="pct"/>
            <w:tcBorders>
              <w:tl2br w:val="nil"/>
              <w:tr2bl w:val="nil"/>
            </w:tcBorders>
            <w:vAlign w:val="center"/>
          </w:tcPr>
          <w:p w14:paraId="7AFF5954">
            <w:pPr>
              <w:jc w:val="center"/>
              <w:rPr>
                <w:color w:val="auto"/>
              </w:rPr>
            </w:pPr>
            <w:r>
              <w:rPr>
                <w:rFonts w:hint="eastAsia"/>
                <w:color w:val="auto"/>
                <w:lang w:val="en-US" w:eastAsia="zh-CN"/>
              </w:rPr>
              <w:t>2.44</w:t>
            </w:r>
            <w:r>
              <w:rPr>
                <w:rFonts w:hint="eastAsia"/>
                <w:color w:val="auto"/>
              </w:rPr>
              <w:t>t/a</w:t>
            </w:r>
          </w:p>
        </w:tc>
      </w:tr>
      <w:tr w14:paraId="38605EB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56" w:type="pct"/>
            <w:tcBorders>
              <w:tl2br w:val="nil"/>
              <w:tr2bl w:val="nil"/>
            </w:tcBorders>
            <w:vAlign w:val="center"/>
          </w:tcPr>
          <w:p w14:paraId="1E78A65A">
            <w:pPr>
              <w:jc w:val="center"/>
              <w:rPr>
                <w:rFonts w:hint="eastAsia" w:eastAsia="宋体"/>
                <w:color w:val="auto"/>
                <w:lang w:val="en-US" w:eastAsia="zh-CN"/>
              </w:rPr>
            </w:pPr>
            <w:r>
              <w:rPr>
                <w:rFonts w:hint="eastAsia"/>
                <w:color w:val="auto"/>
                <w:lang w:val="en-US" w:eastAsia="zh-CN"/>
              </w:rPr>
              <w:t>二氧化硫</w:t>
            </w:r>
          </w:p>
        </w:tc>
        <w:tc>
          <w:tcPr>
            <w:tcW w:w="1035" w:type="pct"/>
            <w:tcBorders>
              <w:tl2br w:val="nil"/>
              <w:tr2bl w:val="nil"/>
            </w:tcBorders>
            <w:vAlign w:val="center"/>
          </w:tcPr>
          <w:p w14:paraId="55D6882D">
            <w:pPr>
              <w:jc w:val="center"/>
              <w:rPr>
                <w:rFonts w:hint="default" w:eastAsia="宋体"/>
                <w:color w:val="auto"/>
                <w:szCs w:val="21"/>
                <w:lang w:val="en-US" w:eastAsia="zh-CN"/>
              </w:rPr>
            </w:pPr>
            <w:r>
              <w:rPr>
                <w:rFonts w:hint="eastAsia"/>
                <w:color w:val="auto"/>
                <w:szCs w:val="21"/>
                <w:lang w:val="en-US" w:eastAsia="zh-CN"/>
              </w:rPr>
              <w:t>0.18</w:t>
            </w:r>
          </w:p>
        </w:tc>
        <w:tc>
          <w:tcPr>
            <w:tcW w:w="1035" w:type="pct"/>
            <w:tcBorders>
              <w:tl2br w:val="nil"/>
              <w:tr2bl w:val="nil"/>
            </w:tcBorders>
            <w:vAlign w:val="center"/>
          </w:tcPr>
          <w:p w14:paraId="3BCEFE4C">
            <w:pPr>
              <w:jc w:val="center"/>
              <w:rPr>
                <w:rFonts w:hint="default" w:eastAsia="宋体"/>
                <w:color w:val="auto"/>
                <w:lang w:val="en-US" w:eastAsia="zh-CN"/>
              </w:rPr>
            </w:pPr>
            <w:r>
              <w:rPr>
                <w:rFonts w:hint="eastAsia"/>
                <w:color w:val="auto"/>
                <w:lang w:val="en-US" w:eastAsia="zh-CN"/>
              </w:rPr>
              <w:t>12.635</w:t>
            </w:r>
          </w:p>
        </w:tc>
        <w:tc>
          <w:tcPr>
            <w:tcW w:w="1035" w:type="pct"/>
            <w:tcBorders>
              <w:tl2br w:val="nil"/>
              <w:tr2bl w:val="nil"/>
            </w:tcBorders>
            <w:vAlign w:val="center"/>
          </w:tcPr>
          <w:p w14:paraId="5598CD5E">
            <w:pPr>
              <w:jc w:val="center"/>
              <w:rPr>
                <w:rFonts w:hint="default" w:eastAsia="宋体"/>
                <w:color w:val="auto"/>
                <w:lang w:val="en-US" w:eastAsia="zh-CN"/>
              </w:rPr>
            </w:pPr>
            <w:r>
              <w:rPr>
                <w:rFonts w:hint="eastAsia"/>
                <w:color w:val="auto"/>
                <w:lang w:val="en-US" w:eastAsia="zh-CN"/>
              </w:rPr>
              <w:t>12.635</w:t>
            </w:r>
          </w:p>
        </w:tc>
        <w:tc>
          <w:tcPr>
            <w:tcW w:w="1035" w:type="pct"/>
            <w:tcBorders>
              <w:tl2br w:val="nil"/>
              <w:tr2bl w:val="nil"/>
            </w:tcBorders>
            <w:vAlign w:val="center"/>
          </w:tcPr>
          <w:p w14:paraId="6D8678A6">
            <w:pPr>
              <w:jc w:val="center"/>
              <w:rPr>
                <w:color w:val="auto"/>
              </w:rPr>
            </w:pPr>
            <w:r>
              <w:rPr>
                <w:rFonts w:hint="eastAsia"/>
                <w:color w:val="auto"/>
                <w:lang w:val="en-US" w:eastAsia="zh-CN"/>
              </w:rPr>
              <w:t>3.99</w:t>
            </w:r>
            <w:r>
              <w:rPr>
                <w:rFonts w:hint="eastAsia"/>
                <w:color w:val="auto"/>
              </w:rPr>
              <w:t>t/a</w:t>
            </w:r>
          </w:p>
        </w:tc>
      </w:tr>
      <w:tr w14:paraId="0447B08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56" w:type="pct"/>
            <w:tcBorders>
              <w:tl2br w:val="nil"/>
              <w:tr2bl w:val="nil"/>
            </w:tcBorders>
            <w:vAlign w:val="center"/>
          </w:tcPr>
          <w:p w14:paraId="564871D6">
            <w:pPr>
              <w:jc w:val="center"/>
              <w:rPr>
                <w:rFonts w:hint="default"/>
                <w:color w:val="auto"/>
                <w:lang w:val="en-US" w:eastAsia="zh-CN"/>
              </w:rPr>
            </w:pPr>
            <w:r>
              <w:rPr>
                <w:rFonts w:hint="eastAsia"/>
                <w:color w:val="auto"/>
                <w:lang w:val="en-US" w:eastAsia="zh-CN"/>
              </w:rPr>
              <w:t>氮氧化物</w:t>
            </w:r>
          </w:p>
        </w:tc>
        <w:tc>
          <w:tcPr>
            <w:tcW w:w="1035" w:type="pct"/>
            <w:tcBorders>
              <w:tl2br w:val="nil"/>
              <w:tr2bl w:val="nil"/>
            </w:tcBorders>
            <w:vAlign w:val="center"/>
          </w:tcPr>
          <w:p w14:paraId="5C92F124">
            <w:pPr>
              <w:jc w:val="center"/>
              <w:rPr>
                <w:rFonts w:hint="default" w:eastAsia="宋体"/>
                <w:color w:val="auto"/>
                <w:szCs w:val="21"/>
                <w:lang w:val="en-US" w:eastAsia="zh-CN"/>
              </w:rPr>
            </w:pPr>
            <w:r>
              <w:rPr>
                <w:rFonts w:hint="eastAsia"/>
                <w:color w:val="auto"/>
                <w:szCs w:val="21"/>
                <w:lang w:val="en-US" w:eastAsia="zh-CN"/>
              </w:rPr>
              <w:t>6.8</w:t>
            </w:r>
          </w:p>
        </w:tc>
        <w:tc>
          <w:tcPr>
            <w:tcW w:w="1035" w:type="pct"/>
            <w:tcBorders>
              <w:tl2br w:val="nil"/>
              <w:tr2bl w:val="nil"/>
            </w:tcBorders>
            <w:vAlign w:val="center"/>
          </w:tcPr>
          <w:p w14:paraId="16A11AB2">
            <w:pPr>
              <w:jc w:val="center"/>
              <w:rPr>
                <w:rFonts w:hint="default" w:eastAsia="宋体"/>
                <w:color w:val="auto"/>
                <w:lang w:val="en-US" w:eastAsia="zh-CN"/>
              </w:rPr>
            </w:pPr>
            <w:r>
              <w:rPr>
                <w:rFonts w:hint="eastAsia"/>
                <w:color w:val="auto"/>
                <w:lang w:val="en-US" w:eastAsia="zh-CN"/>
              </w:rPr>
              <w:t>19.454</w:t>
            </w:r>
          </w:p>
        </w:tc>
        <w:tc>
          <w:tcPr>
            <w:tcW w:w="1035" w:type="pct"/>
            <w:tcBorders>
              <w:tl2br w:val="nil"/>
              <w:tr2bl w:val="nil"/>
            </w:tcBorders>
            <w:vAlign w:val="center"/>
          </w:tcPr>
          <w:p w14:paraId="0B873631">
            <w:pPr>
              <w:jc w:val="center"/>
              <w:rPr>
                <w:rFonts w:hint="default" w:eastAsia="宋体"/>
                <w:color w:val="auto"/>
                <w:lang w:val="en-US" w:eastAsia="zh-CN"/>
              </w:rPr>
            </w:pPr>
            <w:r>
              <w:rPr>
                <w:rFonts w:hint="eastAsia"/>
                <w:color w:val="auto"/>
                <w:lang w:val="en-US" w:eastAsia="zh-CN"/>
              </w:rPr>
              <w:t>19.454</w:t>
            </w:r>
          </w:p>
        </w:tc>
        <w:tc>
          <w:tcPr>
            <w:tcW w:w="1035" w:type="pct"/>
            <w:tcBorders>
              <w:tl2br w:val="nil"/>
              <w:tr2bl w:val="nil"/>
            </w:tcBorders>
            <w:vAlign w:val="center"/>
          </w:tcPr>
          <w:p w14:paraId="7C232CFC">
            <w:pPr>
              <w:jc w:val="center"/>
              <w:rPr>
                <w:rFonts w:hint="default" w:eastAsia="宋体"/>
                <w:color w:val="auto"/>
                <w:lang w:val="en-US" w:eastAsia="zh-CN"/>
              </w:rPr>
            </w:pPr>
            <w:r>
              <w:rPr>
                <w:rFonts w:hint="eastAsia"/>
                <w:color w:val="auto"/>
                <w:lang w:val="en-US" w:eastAsia="zh-CN"/>
              </w:rPr>
              <w:t>8.55</w:t>
            </w:r>
            <w:r>
              <w:rPr>
                <w:rFonts w:hint="eastAsia"/>
                <w:color w:val="auto"/>
              </w:rPr>
              <w:t>t/a</w:t>
            </w:r>
          </w:p>
        </w:tc>
      </w:tr>
    </w:tbl>
    <w:p w14:paraId="06516F8B">
      <w:pPr>
        <w:spacing w:line="360" w:lineRule="auto"/>
        <w:ind w:firstLine="480" w:firstLineChars="200"/>
        <w:rPr>
          <w:color w:val="auto"/>
          <w:sz w:val="24"/>
          <w:szCs w:val="32"/>
        </w:rPr>
      </w:pPr>
    </w:p>
    <w:p w14:paraId="49D982F9">
      <w:pPr>
        <w:spacing w:line="360" w:lineRule="auto"/>
        <w:ind w:firstLine="480" w:firstLineChars="200"/>
        <w:rPr>
          <w:color w:val="auto"/>
          <w:sz w:val="24"/>
          <w:szCs w:val="32"/>
        </w:rPr>
      </w:pPr>
      <w:r>
        <w:rPr>
          <w:color w:val="auto"/>
          <w:sz w:val="24"/>
          <w:szCs w:val="32"/>
        </w:rPr>
        <w:t>综上可知</w:t>
      </w:r>
      <w:r>
        <w:rPr>
          <w:rFonts w:hint="eastAsia"/>
          <w:color w:val="auto"/>
          <w:sz w:val="24"/>
          <w:szCs w:val="32"/>
          <w:lang w:eastAsia="zh-CN"/>
        </w:rPr>
        <w:t>，</w:t>
      </w:r>
      <w:r>
        <w:rPr>
          <w:rFonts w:hint="eastAsia"/>
          <w:color w:val="auto"/>
          <w:sz w:val="24"/>
          <w:szCs w:val="32"/>
          <w:lang w:val="en-US" w:eastAsia="zh-CN"/>
        </w:rPr>
        <w:t>安徽瑞瑟科金属材料有限公司</w:t>
      </w:r>
      <w:r>
        <w:rPr>
          <w:rFonts w:hint="eastAsia"/>
          <w:color w:val="auto"/>
          <w:sz w:val="24"/>
          <w:szCs w:val="32"/>
        </w:rPr>
        <w:t>实际排污量能够满足</w:t>
      </w:r>
      <w:r>
        <w:rPr>
          <w:rFonts w:hint="eastAsia"/>
          <w:color w:val="auto"/>
          <w:sz w:val="24"/>
          <w:szCs w:val="32"/>
          <w:lang w:val="en-US" w:eastAsia="zh-CN"/>
        </w:rPr>
        <w:t>现行</w:t>
      </w:r>
      <w:r>
        <w:rPr>
          <w:rFonts w:hint="eastAsia"/>
          <w:color w:val="auto"/>
          <w:sz w:val="24"/>
          <w:szCs w:val="32"/>
        </w:rPr>
        <w:t>总量控制</w:t>
      </w:r>
      <w:r>
        <w:rPr>
          <w:rFonts w:hint="eastAsia"/>
          <w:color w:val="auto"/>
          <w:sz w:val="24"/>
          <w:szCs w:val="32"/>
          <w:lang w:val="en-US" w:eastAsia="zh-CN"/>
        </w:rPr>
        <w:t>指标的</w:t>
      </w:r>
      <w:r>
        <w:rPr>
          <w:rFonts w:hint="eastAsia"/>
          <w:color w:val="auto"/>
          <w:sz w:val="24"/>
          <w:szCs w:val="32"/>
        </w:rPr>
        <w:t>要求。</w:t>
      </w:r>
    </w:p>
    <w:p w14:paraId="286D576E">
      <w:pPr>
        <w:spacing w:line="360" w:lineRule="auto"/>
        <w:outlineLvl w:val="2"/>
        <w:rPr>
          <w:b/>
          <w:bCs/>
          <w:color w:val="auto"/>
          <w:sz w:val="24"/>
          <w:szCs w:val="32"/>
        </w:rPr>
      </w:pPr>
      <w:bookmarkStart w:id="279" w:name="_Toc22888"/>
      <w:r>
        <w:rPr>
          <w:b/>
          <w:bCs/>
          <w:color w:val="auto"/>
          <w:sz w:val="24"/>
          <w:szCs w:val="32"/>
        </w:rPr>
        <w:t>2.</w:t>
      </w:r>
      <w:r>
        <w:rPr>
          <w:rFonts w:hint="eastAsia"/>
          <w:b/>
          <w:bCs/>
          <w:color w:val="auto"/>
          <w:sz w:val="24"/>
          <w:szCs w:val="32"/>
          <w:lang w:val="en-US" w:eastAsia="zh-CN"/>
        </w:rPr>
        <w:t>6</w:t>
      </w:r>
      <w:r>
        <w:rPr>
          <w:b/>
          <w:bCs/>
          <w:color w:val="auto"/>
          <w:sz w:val="24"/>
          <w:szCs w:val="32"/>
        </w:rPr>
        <w:t>.2项目排污许可制度执行情况</w:t>
      </w:r>
      <w:bookmarkEnd w:id="279"/>
    </w:p>
    <w:p w14:paraId="049AB9F1">
      <w:pPr>
        <w:spacing w:line="360" w:lineRule="auto"/>
        <w:ind w:firstLine="480" w:firstLineChars="200"/>
        <w:rPr>
          <w:rFonts w:hint="eastAsia"/>
          <w:color w:val="auto"/>
          <w:kern w:val="24"/>
          <w:sz w:val="24"/>
          <w:lang w:val="en-US" w:eastAsia="zh-CN"/>
        </w:rPr>
      </w:pPr>
      <w:r>
        <w:rPr>
          <w:rFonts w:hint="eastAsia"/>
          <w:color w:val="auto"/>
          <w:kern w:val="24"/>
          <w:sz w:val="24"/>
          <w:lang w:val="en-US" w:eastAsia="zh-CN"/>
        </w:rPr>
        <w:t>原安徽华中天力铝业有限公司于2020年4月25日完成对年产11万吨再生铝建设项目的排污许可证申请，排污许可证编号为91340621050197606E002V。由于2022年12月原安徽华中天力铝业有限公司破产，该排污许可证于2023年8月29日注销。</w:t>
      </w:r>
    </w:p>
    <w:p w14:paraId="3F51E579">
      <w:pPr>
        <w:spacing w:line="360" w:lineRule="auto"/>
        <w:ind w:firstLine="480" w:firstLineChars="200"/>
        <w:rPr>
          <w:color w:val="auto"/>
          <w:sz w:val="24"/>
          <w:szCs w:val="32"/>
        </w:rPr>
      </w:pPr>
      <w:r>
        <w:rPr>
          <w:rFonts w:hint="eastAsia"/>
          <w:color w:val="auto"/>
          <w:kern w:val="24"/>
          <w:sz w:val="24"/>
          <w:lang w:val="en-US" w:eastAsia="zh-CN"/>
        </w:rPr>
        <w:t>安徽省裕康铝业有限公司租赁年产11万吨再生铝建设项目厂房、设备及配套物资后，于2024年6月20日完成对年产11万吨再生铝建设项目的排污许可证申请，排污许可证编号为91340621MA2TC70P61001P。由于经营问题该项目于2025年7月12日开始停产，该排污许可证于2026年1月14日注销。</w:t>
      </w:r>
    </w:p>
    <w:p w14:paraId="722992D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9"/>
        <w:rPr>
          <w:rFonts w:hint="eastAsia"/>
          <w:b/>
          <w:bCs/>
          <w:color w:val="auto"/>
          <w:sz w:val="28"/>
          <w:szCs w:val="36"/>
        </w:rPr>
      </w:pPr>
      <w:r>
        <w:rPr>
          <w:rFonts w:hint="eastAsia"/>
          <w:color w:val="auto"/>
          <w:sz w:val="24"/>
          <w:szCs w:val="32"/>
          <w:lang w:val="en-US" w:eastAsia="zh-CN"/>
        </w:rPr>
        <w:t>安徽瑞瑟科金属材料有限公司将</w:t>
      </w:r>
      <w:r>
        <w:rPr>
          <w:color w:val="auto"/>
          <w:sz w:val="24"/>
          <w:szCs w:val="32"/>
        </w:rPr>
        <w:t>根据《排污许可管理条例》的要求，</w:t>
      </w:r>
      <w:r>
        <w:rPr>
          <w:rFonts w:hint="eastAsia"/>
          <w:color w:val="auto"/>
          <w:sz w:val="24"/>
          <w:szCs w:val="32"/>
          <w:lang w:val="en-US" w:eastAsia="zh-CN"/>
        </w:rPr>
        <w:t>重新申请</w:t>
      </w:r>
      <w:r>
        <w:rPr>
          <w:rFonts w:hint="eastAsia"/>
          <w:color w:val="auto"/>
          <w:kern w:val="24"/>
          <w:sz w:val="24"/>
          <w:lang w:val="en-US" w:eastAsia="zh-CN"/>
        </w:rPr>
        <w:t>排污许可证</w:t>
      </w:r>
      <w:r>
        <w:rPr>
          <w:color w:val="auto"/>
          <w:sz w:val="24"/>
          <w:szCs w:val="32"/>
        </w:rPr>
        <w:t>。</w:t>
      </w:r>
    </w:p>
    <w:p w14:paraId="57A5D3DA">
      <w:pPr>
        <w:rPr>
          <w:b/>
          <w:bCs/>
          <w:color w:val="auto"/>
          <w:sz w:val="32"/>
          <w:szCs w:val="40"/>
        </w:rPr>
      </w:pPr>
      <w:r>
        <w:rPr>
          <w:b/>
          <w:bCs/>
          <w:color w:val="auto"/>
          <w:sz w:val="32"/>
          <w:szCs w:val="40"/>
        </w:rPr>
        <w:br w:type="page"/>
      </w:r>
    </w:p>
    <w:p w14:paraId="65445B9D">
      <w:pPr>
        <w:spacing w:line="360" w:lineRule="auto"/>
        <w:jc w:val="center"/>
        <w:outlineLvl w:val="0"/>
        <w:rPr>
          <w:b/>
          <w:bCs/>
          <w:color w:val="auto"/>
          <w:sz w:val="24"/>
          <w:szCs w:val="32"/>
        </w:rPr>
      </w:pPr>
      <w:bookmarkStart w:id="280" w:name="_Toc2462"/>
      <w:r>
        <w:rPr>
          <w:b/>
          <w:bCs/>
          <w:color w:val="auto"/>
          <w:sz w:val="32"/>
          <w:szCs w:val="40"/>
        </w:rPr>
        <w:t>3 建设项目工程评价</w:t>
      </w:r>
      <w:bookmarkEnd w:id="280"/>
    </w:p>
    <w:p w14:paraId="0A7B707A">
      <w:pPr>
        <w:spacing w:line="360" w:lineRule="auto"/>
        <w:rPr>
          <w:color w:val="auto"/>
          <w:sz w:val="24"/>
          <w:szCs w:val="32"/>
        </w:rPr>
      </w:pPr>
    </w:p>
    <w:p w14:paraId="3C96B503">
      <w:pPr>
        <w:spacing w:line="360" w:lineRule="auto"/>
        <w:outlineLvl w:val="1"/>
        <w:rPr>
          <w:b/>
          <w:bCs/>
          <w:color w:val="auto"/>
          <w:sz w:val="28"/>
          <w:szCs w:val="36"/>
        </w:rPr>
      </w:pPr>
      <w:bookmarkStart w:id="281" w:name="_Toc18789"/>
      <w:r>
        <w:rPr>
          <w:b/>
          <w:bCs/>
          <w:color w:val="auto"/>
          <w:sz w:val="28"/>
          <w:szCs w:val="36"/>
        </w:rPr>
        <w:t>3.1 工程建设情况</w:t>
      </w:r>
      <w:bookmarkEnd w:id="281"/>
    </w:p>
    <w:p w14:paraId="7CAB12DF">
      <w:pPr>
        <w:spacing w:line="360" w:lineRule="auto"/>
        <w:outlineLvl w:val="2"/>
        <w:rPr>
          <w:b/>
          <w:bCs/>
          <w:color w:val="auto"/>
          <w:sz w:val="24"/>
          <w:szCs w:val="32"/>
        </w:rPr>
      </w:pPr>
      <w:r>
        <w:rPr>
          <w:b/>
          <w:bCs/>
          <w:color w:val="auto"/>
          <w:sz w:val="24"/>
          <w:szCs w:val="32"/>
        </w:rPr>
        <w:t>3.1.1 工程概况</w:t>
      </w:r>
    </w:p>
    <w:p w14:paraId="6C0CF0C1">
      <w:pPr>
        <w:adjustRightInd w:val="0"/>
        <w:snapToGrid w:val="0"/>
        <w:spacing w:line="360" w:lineRule="auto"/>
        <w:ind w:firstLine="480" w:firstLineChars="200"/>
        <w:rPr>
          <w:rFonts w:hint="eastAsia"/>
          <w:color w:val="auto"/>
          <w:kern w:val="24"/>
          <w:sz w:val="24"/>
          <w:lang w:val="en-US" w:eastAsia="zh-CN"/>
        </w:rPr>
      </w:pPr>
      <w:r>
        <w:rPr>
          <w:rFonts w:hint="eastAsia"/>
          <w:color w:val="auto"/>
          <w:kern w:val="24"/>
          <w:sz w:val="24"/>
        </w:rPr>
        <w:t>《安徽华中天力铝业有限公司年产11万吨再生铝建设项目环境影响报告书》于2016年6月30日取得原淮北市环境保护局环评批复，批复文号</w:t>
      </w:r>
      <w:r>
        <w:rPr>
          <w:rFonts w:hint="eastAsia"/>
          <w:color w:val="auto"/>
          <w:kern w:val="24"/>
          <w:sz w:val="24"/>
          <w:lang w:eastAsia="zh-CN"/>
        </w:rPr>
        <w:t>：</w:t>
      </w:r>
      <w:r>
        <w:rPr>
          <w:rFonts w:hint="eastAsia"/>
          <w:color w:val="auto"/>
          <w:kern w:val="24"/>
          <w:sz w:val="24"/>
          <w:lang w:val="en-US" w:eastAsia="zh-CN"/>
        </w:rPr>
        <w:t>淮环行【2016】27号，项目分两期建设，其中一期产能5.05万吨/年，二期产能5.95万吨/年。</w:t>
      </w:r>
      <w:r>
        <w:rPr>
          <w:rFonts w:hint="eastAsia"/>
          <w:color w:val="auto"/>
          <w:sz w:val="24"/>
          <w:szCs w:val="32"/>
          <w:lang w:val="en-US" w:eastAsia="zh-CN"/>
        </w:rPr>
        <w:t>该项目一期工程</w:t>
      </w:r>
      <w:r>
        <w:rPr>
          <w:rFonts w:hint="eastAsia"/>
          <w:color w:val="auto"/>
          <w:kern w:val="24"/>
          <w:sz w:val="24"/>
          <w:lang w:val="en-US" w:eastAsia="zh-CN"/>
        </w:rPr>
        <w:t>于2018年建成，主要生产设备为</w:t>
      </w:r>
      <w:r>
        <w:rPr>
          <w:rFonts w:hint="eastAsia"/>
          <w:color w:val="auto"/>
          <w:kern w:val="24"/>
          <w:sz w:val="24"/>
          <w:highlight w:val="none"/>
          <w:lang w:val="en-US" w:eastAsia="zh-CN"/>
        </w:rPr>
        <w:t>1台40t熔炼炉、1台30t熔炼炉、1台10t熔炼精炼两用炉、1台30t精炼炉、1台20t精炼炉及2条260模铸锭叠锭生产线，</w:t>
      </w:r>
      <w:r>
        <w:rPr>
          <w:rFonts w:hint="eastAsia"/>
          <w:color w:val="auto"/>
          <w:kern w:val="24"/>
          <w:sz w:val="24"/>
          <w:lang w:val="en-US" w:eastAsia="zh-CN"/>
        </w:rPr>
        <w:t>由于项目资金问题一期一直处于停产状态，2020年10月开始进行设备调试工作，于2021年9月通过自主竣工环境保护验收。</w:t>
      </w:r>
    </w:p>
    <w:p w14:paraId="5B9F9AC7">
      <w:pPr>
        <w:spacing w:line="360" w:lineRule="auto"/>
        <w:ind w:firstLine="480" w:firstLineChars="200"/>
        <w:rPr>
          <w:color w:val="auto"/>
          <w:sz w:val="24"/>
          <w:szCs w:val="32"/>
        </w:rPr>
      </w:pPr>
      <w:r>
        <w:rPr>
          <w:rFonts w:hint="eastAsia"/>
          <w:color w:val="auto"/>
          <w:sz w:val="24"/>
          <w:szCs w:val="32"/>
          <w:lang w:val="en-US" w:eastAsia="zh-CN"/>
        </w:rPr>
        <w:t>该项目暂未建设完成，</w:t>
      </w:r>
      <w:r>
        <w:rPr>
          <w:rFonts w:hint="eastAsia"/>
          <w:color w:val="auto"/>
          <w:sz w:val="24"/>
          <w:szCs w:val="32"/>
        </w:rPr>
        <w:t>本次环境影响后评价以</w:t>
      </w:r>
      <w:r>
        <w:rPr>
          <w:rFonts w:hint="eastAsia"/>
          <w:color w:val="auto"/>
          <w:kern w:val="24"/>
          <w:sz w:val="24"/>
        </w:rPr>
        <w:t>年产11万吨再生铝建设项目</w:t>
      </w:r>
      <w:r>
        <w:rPr>
          <w:rFonts w:hint="eastAsia"/>
          <w:color w:val="auto"/>
          <w:sz w:val="24"/>
          <w:szCs w:val="32"/>
        </w:rPr>
        <w:t>一期工程为评价对象。</w:t>
      </w:r>
    </w:p>
    <w:p w14:paraId="7619A1E7">
      <w:pPr>
        <w:spacing w:line="360" w:lineRule="auto"/>
        <w:ind w:firstLine="480" w:firstLineChars="200"/>
        <w:rPr>
          <w:color w:val="auto"/>
          <w:sz w:val="24"/>
          <w:szCs w:val="32"/>
        </w:rPr>
        <w:sectPr>
          <w:pgSz w:w="11906" w:h="16838"/>
          <w:pgMar w:top="1440" w:right="1080" w:bottom="1440" w:left="1080" w:header="708" w:footer="709" w:gutter="0"/>
          <w:pgBorders>
            <w:top w:val="none" w:sz="0" w:space="0"/>
            <w:left w:val="none" w:sz="0" w:space="0"/>
            <w:bottom w:val="none" w:sz="0" w:space="0"/>
            <w:right w:val="none" w:sz="0" w:space="0"/>
          </w:pgBorders>
          <w:pgNumType w:fmt="numberInDash"/>
          <w:cols w:space="0" w:num="1"/>
          <w:docGrid w:linePitch="360" w:charSpace="0"/>
        </w:sectPr>
      </w:pPr>
      <w:r>
        <w:rPr>
          <w:rFonts w:hint="eastAsia"/>
          <w:color w:val="auto"/>
          <w:sz w:val="24"/>
          <w:szCs w:val="32"/>
          <w:lang w:val="en-US" w:eastAsia="zh-CN"/>
        </w:rPr>
        <w:t>目前工程基本情况与环评及验收阶段情况对比见下表：</w:t>
      </w:r>
    </w:p>
    <w:p w14:paraId="5065229D">
      <w:pPr>
        <w:spacing w:line="360" w:lineRule="auto"/>
        <w:jc w:val="center"/>
        <w:rPr>
          <w:b/>
          <w:bCs/>
          <w:color w:val="auto"/>
          <w:sz w:val="24"/>
          <w:szCs w:val="32"/>
        </w:rPr>
      </w:pPr>
      <w:r>
        <w:rPr>
          <w:b/>
          <w:bCs/>
          <w:color w:val="auto"/>
          <w:sz w:val="24"/>
          <w:szCs w:val="32"/>
        </w:rPr>
        <w:t xml:space="preserve">表3-1 </w:t>
      </w:r>
      <w:r>
        <w:rPr>
          <w:rFonts w:hint="eastAsia"/>
          <w:b/>
          <w:bCs/>
          <w:color w:val="auto"/>
          <w:sz w:val="24"/>
          <w:szCs w:val="32"/>
          <w:lang w:val="en-US" w:eastAsia="zh-CN"/>
        </w:rPr>
        <w:t>项目</w:t>
      </w:r>
      <w:r>
        <w:rPr>
          <w:rFonts w:hint="eastAsia"/>
          <w:b/>
          <w:bCs/>
          <w:color w:val="auto"/>
          <w:sz w:val="24"/>
          <w:szCs w:val="32"/>
        </w:rPr>
        <w:t>一期</w:t>
      </w:r>
      <w:r>
        <w:rPr>
          <w:rFonts w:hint="eastAsia"/>
          <w:b/>
          <w:bCs/>
          <w:color w:val="auto"/>
          <w:sz w:val="24"/>
          <w:szCs w:val="32"/>
          <w:lang w:val="en-US" w:eastAsia="zh-CN"/>
        </w:rPr>
        <w:t>工程内容</w:t>
      </w:r>
      <w:r>
        <w:rPr>
          <w:rFonts w:hint="eastAsia"/>
          <w:b/>
          <w:bCs/>
          <w:color w:val="auto"/>
          <w:sz w:val="24"/>
          <w:szCs w:val="32"/>
        </w:rPr>
        <w:t>与后评价阶段</w:t>
      </w:r>
      <w:r>
        <w:rPr>
          <w:rFonts w:hint="eastAsia"/>
          <w:b/>
          <w:bCs/>
          <w:color w:val="auto"/>
          <w:sz w:val="24"/>
          <w:szCs w:val="32"/>
          <w:lang w:val="en-US" w:eastAsia="zh-CN"/>
        </w:rPr>
        <w:t>一期</w:t>
      </w:r>
      <w:r>
        <w:rPr>
          <w:b/>
          <w:bCs/>
          <w:color w:val="auto"/>
          <w:sz w:val="24"/>
          <w:szCs w:val="32"/>
        </w:rPr>
        <w:t>工程组成</w:t>
      </w:r>
      <w:r>
        <w:rPr>
          <w:rFonts w:hint="eastAsia"/>
          <w:b/>
          <w:bCs/>
          <w:color w:val="auto"/>
          <w:sz w:val="24"/>
          <w:szCs w:val="32"/>
          <w:lang w:val="en-US" w:eastAsia="zh-CN"/>
        </w:rPr>
        <w:t>变化</w:t>
      </w:r>
      <w:r>
        <w:rPr>
          <w:b/>
          <w:bCs/>
          <w:color w:val="auto"/>
          <w:sz w:val="24"/>
          <w:szCs w:val="32"/>
        </w:rPr>
        <w:t>情况一览表</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Layout w:type="fixed"/>
        <w:tblCellMar>
          <w:top w:w="15" w:type="dxa"/>
          <w:left w:w="15" w:type="dxa"/>
          <w:bottom w:w="15" w:type="dxa"/>
          <w:right w:w="15" w:type="dxa"/>
        </w:tblCellMar>
      </w:tblPr>
      <w:tblGrid>
        <w:gridCol w:w="424"/>
        <w:gridCol w:w="623"/>
        <w:gridCol w:w="1050"/>
        <w:gridCol w:w="2134"/>
        <w:gridCol w:w="3184"/>
        <w:gridCol w:w="3186"/>
        <w:gridCol w:w="3387"/>
      </w:tblGrid>
      <w:tr w14:paraId="535830A0">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tcBorders>
              <w:tl2br w:val="nil"/>
              <w:tr2bl w:val="nil"/>
            </w:tcBorders>
            <w:noWrap/>
            <w:vAlign w:val="center"/>
          </w:tcPr>
          <w:p w14:paraId="52EDB913">
            <w:pPr>
              <w:widowControl/>
              <w:jc w:val="center"/>
              <w:textAlignment w:val="center"/>
              <w:rPr>
                <w:rFonts w:hint="default" w:eastAsia="宋体"/>
                <w:b/>
                <w:bCs/>
                <w:color w:val="auto"/>
                <w:szCs w:val="21"/>
                <w:lang w:val="en-US" w:eastAsia="zh-CN"/>
              </w:rPr>
            </w:pPr>
            <w:r>
              <w:rPr>
                <w:rFonts w:hint="eastAsia"/>
                <w:b/>
                <w:bCs/>
                <w:color w:val="auto"/>
                <w:kern w:val="0"/>
                <w:szCs w:val="21"/>
                <w:lang w:val="en-US" w:eastAsia="zh-CN" w:bidi="ar"/>
              </w:rPr>
              <w:t>工程类别</w:t>
            </w:r>
          </w:p>
        </w:tc>
        <w:tc>
          <w:tcPr>
            <w:tcW w:w="222" w:type="pct"/>
            <w:tcBorders>
              <w:tl2br w:val="nil"/>
              <w:tr2bl w:val="nil"/>
            </w:tcBorders>
            <w:noWrap/>
            <w:vAlign w:val="center"/>
          </w:tcPr>
          <w:p w14:paraId="04E1F828">
            <w:pPr>
              <w:widowControl/>
              <w:jc w:val="center"/>
              <w:textAlignment w:val="center"/>
              <w:rPr>
                <w:b/>
                <w:bCs/>
                <w:color w:val="auto"/>
                <w:szCs w:val="21"/>
              </w:rPr>
            </w:pPr>
            <w:r>
              <w:rPr>
                <w:b/>
                <w:bCs/>
                <w:color w:val="auto"/>
                <w:kern w:val="0"/>
                <w:szCs w:val="21"/>
                <w:lang w:bidi="ar"/>
              </w:rPr>
              <w:t>单项工程名称</w:t>
            </w:r>
          </w:p>
        </w:tc>
        <w:tc>
          <w:tcPr>
            <w:tcW w:w="1138" w:type="pct"/>
            <w:gridSpan w:val="2"/>
            <w:tcBorders>
              <w:tl2br w:val="nil"/>
              <w:tr2bl w:val="nil"/>
            </w:tcBorders>
            <w:noWrap/>
            <w:vAlign w:val="center"/>
          </w:tcPr>
          <w:p w14:paraId="6BF9B95F">
            <w:pPr>
              <w:widowControl/>
              <w:jc w:val="center"/>
              <w:textAlignment w:val="center"/>
              <w:rPr>
                <w:b/>
                <w:bCs/>
                <w:color w:val="auto"/>
                <w:szCs w:val="21"/>
              </w:rPr>
            </w:pPr>
            <w:r>
              <w:rPr>
                <w:b/>
                <w:bCs/>
                <w:color w:val="auto"/>
                <w:kern w:val="0"/>
                <w:szCs w:val="21"/>
                <w:lang w:bidi="ar"/>
              </w:rPr>
              <w:t>环评阶段</w:t>
            </w:r>
            <w:r>
              <w:rPr>
                <w:rFonts w:hint="eastAsia"/>
                <w:b/>
                <w:bCs/>
                <w:color w:val="auto"/>
                <w:kern w:val="0"/>
                <w:szCs w:val="21"/>
                <w:lang w:val="en-US" w:eastAsia="zh-CN" w:bidi="ar"/>
              </w:rPr>
              <w:t>项目</w:t>
            </w:r>
            <w:r>
              <w:rPr>
                <w:b/>
                <w:bCs/>
                <w:color w:val="auto"/>
                <w:kern w:val="0"/>
                <w:szCs w:val="21"/>
                <w:lang w:bidi="ar"/>
              </w:rPr>
              <w:t>工程内容及规模</w:t>
            </w:r>
          </w:p>
        </w:tc>
        <w:tc>
          <w:tcPr>
            <w:tcW w:w="1138" w:type="pct"/>
            <w:tcBorders>
              <w:tl2br w:val="nil"/>
              <w:tr2bl w:val="nil"/>
            </w:tcBorders>
            <w:noWrap/>
            <w:vAlign w:val="center"/>
          </w:tcPr>
          <w:p w14:paraId="12614F31">
            <w:pPr>
              <w:widowControl/>
              <w:jc w:val="center"/>
              <w:textAlignment w:val="center"/>
              <w:rPr>
                <w:rFonts w:hint="default" w:eastAsia="宋体"/>
                <w:b/>
                <w:bCs/>
                <w:color w:val="auto"/>
                <w:kern w:val="0"/>
                <w:szCs w:val="21"/>
                <w:lang w:val="en-US" w:eastAsia="zh-CN" w:bidi="ar"/>
              </w:rPr>
            </w:pPr>
            <w:r>
              <w:rPr>
                <w:rFonts w:hint="eastAsia"/>
                <w:b/>
                <w:bCs/>
                <w:color w:val="auto"/>
                <w:kern w:val="0"/>
                <w:szCs w:val="21"/>
                <w:lang w:val="en-US" w:eastAsia="zh-CN" w:bidi="ar"/>
              </w:rPr>
              <w:t>阶段性环保验收工程内容及规模</w:t>
            </w:r>
          </w:p>
        </w:tc>
        <w:tc>
          <w:tcPr>
            <w:tcW w:w="1138" w:type="pct"/>
            <w:tcBorders>
              <w:tl2br w:val="nil"/>
              <w:tr2bl w:val="nil"/>
            </w:tcBorders>
            <w:noWrap/>
            <w:vAlign w:val="center"/>
          </w:tcPr>
          <w:p w14:paraId="66495D1B">
            <w:pPr>
              <w:widowControl/>
              <w:jc w:val="center"/>
              <w:textAlignment w:val="center"/>
              <w:rPr>
                <w:b/>
                <w:bCs/>
                <w:color w:val="auto"/>
                <w:kern w:val="0"/>
                <w:szCs w:val="21"/>
                <w:lang w:bidi="ar"/>
              </w:rPr>
            </w:pPr>
            <w:r>
              <w:rPr>
                <w:rFonts w:hint="eastAsia"/>
                <w:b/>
                <w:bCs/>
                <w:color w:val="auto"/>
                <w:kern w:val="0"/>
                <w:szCs w:val="21"/>
                <w:lang w:val="en-US" w:eastAsia="zh-CN" w:bidi="ar"/>
              </w:rPr>
              <w:t>后评价阶段项目</w:t>
            </w:r>
            <w:r>
              <w:rPr>
                <w:b/>
                <w:bCs/>
                <w:color w:val="auto"/>
                <w:kern w:val="0"/>
                <w:szCs w:val="21"/>
                <w:lang w:bidi="ar"/>
              </w:rPr>
              <w:t>工程内容及规模</w:t>
            </w:r>
          </w:p>
        </w:tc>
        <w:tc>
          <w:tcPr>
            <w:tcW w:w="1210" w:type="pct"/>
            <w:tcBorders>
              <w:tl2br w:val="nil"/>
              <w:tr2bl w:val="nil"/>
            </w:tcBorders>
            <w:noWrap/>
            <w:vAlign w:val="center"/>
          </w:tcPr>
          <w:p w14:paraId="2785CEB8">
            <w:pPr>
              <w:widowControl/>
              <w:jc w:val="center"/>
              <w:textAlignment w:val="center"/>
              <w:rPr>
                <w:rFonts w:hint="default" w:eastAsia="宋体"/>
                <w:b/>
                <w:bCs/>
                <w:color w:val="auto"/>
                <w:kern w:val="0"/>
                <w:szCs w:val="21"/>
                <w:lang w:val="en-US" w:eastAsia="zh-CN" w:bidi="ar"/>
              </w:rPr>
            </w:pPr>
            <w:r>
              <w:rPr>
                <w:rFonts w:hint="eastAsia"/>
                <w:b/>
                <w:bCs/>
                <w:color w:val="auto"/>
                <w:kern w:val="0"/>
                <w:szCs w:val="21"/>
                <w:lang w:val="en-US" w:eastAsia="zh-CN" w:bidi="ar"/>
              </w:rPr>
              <w:t>变化说明</w:t>
            </w:r>
          </w:p>
        </w:tc>
      </w:tr>
      <w:tr w14:paraId="400795DA">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224" w:hRule="atLeast"/>
        </w:trPr>
        <w:tc>
          <w:tcPr>
            <w:tcW w:w="151" w:type="pct"/>
            <w:vMerge w:val="restart"/>
            <w:tcBorders>
              <w:tl2br w:val="nil"/>
              <w:tr2bl w:val="nil"/>
            </w:tcBorders>
            <w:noWrap/>
            <w:vAlign w:val="center"/>
          </w:tcPr>
          <w:p w14:paraId="794E4469">
            <w:pPr>
              <w:widowControl/>
              <w:jc w:val="center"/>
              <w:textAlignment w:val="center"/>
              <w:rPr>
                <w:color w:val="auto"/>
                <w:szCs w:val="21"/>
              </w:rPr>
            </w:pPr>
            <w:r>
              <w:rPr>
                <w:color w:val="auto"/>
                <w:kern w:val="0"/>
                <w:szCs w:val="21"/>
                <w:lang w:bidi="ar"/>
              </w:rPr>
              <w:t>主体工程</w:t>
            </w:r>
          </w:p>
        </w:tc>
        <w:tc>
          <w:tcPr>
            <w:tcW w:w="222" w:type="pct"/>
            <w:tcBorders>
              <w:tl2br w:val="nil"/>
              <w:tr2bl w:val="nil"/>
            </w:tcBorders>
            <w:noWrap/>
            <w:vAlign w:val="center"/>
          </w:tcPr>
          <w:p w14:paraId="4AA36BA0">
            <w:pPr>
              <w:widowControl/>
              <w:jc w:val="center"/>
              <w:textAlignment w:val="center"/>
              <w:rPr>
                <w:rFonts w:hint="default" w:eastAsia="宋体"/>
                <w:color w:val="auto"/>
                <w:szCs w:val="21"/>
                <w:lang w:val="en-US" w:eastAsia="zh-CN"/>
              </w:rPr>
            </w:pPr>
            <w:r>
              <w:rPr>
                <w:rFonts w:hint="eastAsia"/>
                <w:color w:val="auto"/>
                <w:szCs w:val="21"/>
                <w:lang w:val="en-US" w:eastAsia="zh-CN"/>
              </w:rPr>
              <w:t>预处理设备</w:t>
            </w:r>
          </w:p>
        </w:tc>
        <w:tc>
          <w:tcPr>
            <w:tcW w:w="1138" w:type="pct"/>
            <w:gridSpan w:val="2"/>
            <w:tcBorders>
              <w:tl2br w:val="nil"/>
              <w:tr2bl w:val="nil"/>
            </w:tcBorders>
            <w:shd w:val="clear" w:color="auto" w:fill="auto"/>
            <w:noWrap/>
            <w:vAlign w:val="center"/>
          </w:tcPr>
          <w:p w14:paraId="7A64C026">
            <w:pPr>
              <w:keepNext w:val="0"/>
              <w:keepLines w:val="0"/>
              <w:pageBreakBefore w:val="0"/>
              <w:widowControl/>
              <w:kinsoku/>
              <w:wordWrap/>
              <w:overflowPunct/>
              <w:topLinePunct w:val="0"/>
              <w:autoSpaceDE/>
              <w:autoSpaceDN/>
              <w:bidi w:val="0"/>
              <w:adjustRightInd/>
              <w:snapToGrid/>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设</w:t>
            </w:r>
            <w:r>
              <w:rPr>
                <w:rFonts w:hint="eastAsia"/>
                <w:color w:val="auto"/>
                <w:lang w:val="en-US" w:eastAsia="zh-CN"/>
              </w:rPr>
              <w:t>置</w:t>
            </w:r>
            <w:r>
              <w:rPr>
                <w:color w:val="auto"/>
              </w:rPr>
              <w:t>1台磁选机</w:t>
            </w:r>
          </w:p>
        </w:tc>
        <w:tc>
          <w:tcPr>
            <w:tcW w:w="1138" w:type="pct"/>
            <w:tcBorders>
              <w:tl2br w:val="nil"/>
              <w:tr2bl w:val="nil"/>
            </w:tcBorders>
            <w:noWrap/>
            <w:vAlign w:val="center"/>
          </w:tcPr>
          <w:p w14:paraId="15C152FF">
            <w:pPr>
              <w:keepNext w:val="0"/>
              <w:keepLines w:val="0"/>
              <w:pageBreakBefore w:val="0"/>
              <w:widowControl/>
              <w:kinsoku/>
              <w:wordWrap/>
              <w:overflowPunct/>
              <w:topLinePunct w:val="0"/>
              <w:autoSpaceDE/>
              <w:autoSpaceDN/>
              <w:bidi w:val="0"/>
              <w:adjustRightInd/>
              <w:snapToGrid/>
              <w:jc w:val="center"/>
              <w:textAlignment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设</w:t>
            </w:r>
            <w:r>
              <w:rPr>
                <w:rFonts w:hint="eastAsia"/>
                <w:color w:val="auto"/>
                <w:lang w:val="en-US" w:eastAsia="zh-CN"/>
              </w:rPr>
              <w:t>置</w:t>
            </w:r>
            <w:r>
              <w:rPr>
                <w:color w:val="auto"/>
              </w:rPr>
              <w:t>1台磁选机</w:t>
            </w:r>
          </w:p>
        </w:tc>
        <w:tc>
          <w:tcPr>
            <w:tcW w:w="1138" w:type="pct"/>
            <w:tcBorders>
              <w:tl2br w:val="nil"/>
              <w:tr2bl w:val="nil"/>
            </w:tcBorders>
            <w:noWrap/>
            <w:vAlign w:val="center"/>
          </w:tcPr>
          <w:p w14:paraId="062C68A5">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已建1台磁选机</w:t>
            </w:r>
          </w:p>
        </w:tc>
        <w:tc>
          <w:tcPr>
            <w:tcW w:w="1210" w:type="pct"/>
            <w:tcBorders>
              <w:tl2br w:val="nil"/>
              <w:tr2bl w:val="nil"/>
            </w:tcBorders>
            <w:noWrap/>
            <w:vAlign w:val="center"/>
          </w:tcPr>
          <w:p w14:paraId="70B738B6">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不变</w:t>
            </w:r>
          </w:p>
        </w:tc>
      </w:tr>
      <w:tr w14:paraId="20EB52DF">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7E0CB039">
            <w:pPr>
              <w:jc w:val="center"/>
              <w:rPr>
                <w:color w:val="auto"/>
                <w:szCs w:val="21"/>
              </w:rPr>
            </w:pPr>
          </w:p>
        </w:tc>
        <w:tc>
          <w:tcPr>
            <w:tcW w:w="222" w:type="pct"/>
            <w:tcBorders>
              <w:tl2br w:val="nil"/>
              <w:tr2bl w:val="nil"/>
            </w:tcBorders>
            <w:noWrap/>
            <w:vAlign w:val="center"/>
          </w:tcPr>
          <w:p w14:paraId="47D1675A">
            <w:pPr>
              <w:widowControl/>
              <w:jc w:val="center"/>
              <w:textAlignment w:val="center"/>
              <w:rPr>
                <w:color w:val="auto"/>
                <w:szCs w:val="21"/>
              </w:rPr>
            </w:pPr>
            <w:r>
              <w:rPr>
                <w:color w:val="auto"/>
                <w:szCs w:val="21"/>
              </w:rPr>
              <w:t>蓄热式</w:t>
            </w:r>
            <w:r>
              <w:rPr>
                <w:rFonts w:hint="eastAsia"/>
                <w:color w:val="auto"/>
                <w:szCs w:val="21"/>
              </w:rPr>
              <w:t>熔炼及</w:t>
            </w:r>
            <w:r>
              <w:rPr>
                <w:color w:val="auto"/>
                <w:szCs w:val="21"/>
              </w:rPr>
              <w:t>精炼炉</w:t>
            </w:r>
          </w:p>
        </w:tc>
        <w:tc>
          <w:tcPr>
            <w:tcW w:w="1138" w:type="pct"/>
            <w:gridSpan w:val="2"/>
            <w:tcBorders>
              <w:tl2br w:val="nil"/>
              <w:tr2bl w:val="nil"/>
            </w:tcBorders>
            <w:shd w:val="clear" w:color="auto" w:fill="auto"/>
            <w:noWrap/>
            <w:vAlign w:val="center"/>
          </w:tcPr>
          <w:p w14:paraId="4776D038">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3组（ 30t熔炼炉配20t精炼炉一组，40t熔炼炉配30t精炼炉一组，10t熔炼精炼两用炉1座）</w:t>
            </w:r>
          </w:p>
        </w:tc>
        <w:tc>
          <w:tcPr>
            <w:tcW w:w="1138" w:type="pct"/>
            <w:tcBorders>
              <w:tl2br w:val="nil"/>
              <w:tr2bl w:val="nil"/>
            </w:tcBorders>
            <w:noWrap/>
            <w:vAlign w:val="center"/>
          </w:tcPr>
          <w:p w14:paraId="59F528FE">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3组（ 30t熔炼炉配20t精炼炉一组，40t熔炼炉配30t精炼炉一组，10t熔炼精炼两用炉1座）</w:t>
            </w:r>
          </w:p>
        </w:tc>
        <w:tc>
          <w:tcPr>
            <w:tcW w:w="1138" w:type="pct"/>
            <w:tcBorders>
              <w:tl2br w:val="nil"/>
              <w:tr2bl w:val="nil"/>
            </w:tcBorders>
            <w:noWrap/>
            <w:vAlign w:val="center"/>
          </w:tcPr>
          <w:p w14:paraId="1F14B903">
            <w:pPr>
              <w:widowControl/>
              <w:jc w:val="center"/>
              <w:textAlignment w:val="center"/>
              <w:rPr>
                <w:color w:val="auto"/>
                <w:kern w:val="0"/>
                <w:szCs w:val="21"/>
                <w:lang w:bidi="ar"/>
              </w:rPr>
            </w:pPr>
            <w:r>
              <w:rPr>
                <w:rFonts w:hint="eastAsia" w:cs="Times New Roman"/>
                <w:color w:val="auto"/>
                <w:kern w:val="2"/>
                <w:sz w:val="21"/>
                <w:szCs w:val="21"/>
                <w:lang w:val="en-US" w:eastAsia="zh-CN" w:bidi="ar-SA"/>
              </w:rPr>
              <w:t>项目拆除1座</w:t>
            </w:r>
            <w:r>
              <w:rPr>
                <w:rFonts w:hint="eastAsia" w:ascii="Times New Roman" w:hAnsi="Times New Roman" w:eastAsia="宋体" w:cs="Times New Roman"/>
                <w:color w:val="auto"/>
                <w:kern w:val="2"/>
                <w:sz w:val="21"/>
                <w:szCs w:val="21"/>
                <w:lang w:val="en-US" w:eastAsia="zh-CN" w:bidi="ar-SA"/>
              </w:rPr>
              <w:t>10t熔炼精炼两用炉</w:t>
            </w:r>
            <w:r>
              <w:rPr>
                <w:rFonts w:hint="eastAsia" w:cs="Times New Roman"/>
                <w:color w:val="auto"/>
                <w:kern w:val="2"/>
                <w:sz w:val="21"/>
                <w:szCs w:val="21"/>
                <w:lang w:val="en-US" w:eastAsia="zh-CN" w:bidi="ar-SA"/>
              </w:rPr>
              <w:t>及一座20t精炼炉，仅保留1台</w:t>
            </w:r>
            <w:r>
              <w:rPr>
                <w:rFonts w:hint="eastAsia" w:ascii="Times New Roman" w:hAnsi="Times New Roman" w:eastAsia="宋体" w:cs="Times New Roman"/>
                <w:color w:val="auto"/>
                <w:kern w:val="2"/>
                <w:sz w:val="21"/>
                <w:szCs w:val="21"/>
                <w:lang w:val="en-US" w:eastAsia="zh-CN" w:bidi="ar-SA"/>
              </w:rPr>
              <w:t>40t熔炼炉</w:t>
            </w:r>
            <w:r>
              <w:rPr>
                <w:rFonts w:hint="eastAsia" w:cs="Times New Roman"/>
                <w:color w:val="auto"/>
                <w:kern w:val="2"/>
                <w:sz w:val="21"/>
                <w:szCs w:val="21"/>
                <w:lang w:val="en-US" w:eastAsia="zh-CN" w:bidi="ar-SA"/>
              </w:rPr>
              <w:t>、1台</w:t>
            </w:r>
            <w:r>
              <w:rPr>
                <w:rFonts w:hint="eastAsia" w:ascii="Times New Roman" w:hAnsi="Times New Roman" w:eastAsia="宋体" w:cs="Times New Roman"/>
                <w:color w:val="auto"/>
                <w:kern w:val="2"/>
                <w:sz w:val="21"/>
                <w:szCs w:val="21"/>
                <w:lang w:val="en-US" w:eastAsia="zh-CN" w:bidi="ar-SA"/>
              </w:rPr>
              <w:t>30t熔炼炉</w:t>
            </w:r>
            <w:r>
              <w:rPr>
                <w:rFonts w:hint="eastAsia" w:cs="Times New Roman"/>
                <w:color w:val="auto"/>
                <w:kern w:val="2"/>
                <w:sz w:val="21"/>
                <w:szCs w:val="21"/>
                <w:lang w:val="en-US" w:eastAsia="zh-CN" w:bidi="ar-SA"/>
              </w:rPr>
              <w:t>和1台30t</w:t>
            </w:r>
            <w:r>
              <w:rPr>
                <w:rFonts w:hint="eastAsia" w:ascii="Times New Roman" w:hAnsi="Times New Roman" w:eastAsia="宋体" w:cs="Times New Roman"/>
                <w:color w:val="auto"/>
                <w:kern w:val="2"/>
                <w:sz w:val="21"/>
                <w:szCs w:val="21"/>
                <w:lang w:val="en-US" w:eastAsia="zh-CN" w:bidi="ar-SA"/>
              </w:rPr>
              <w:t>精炼炉</w:t>
            </w:r>
          </w:p>
        </w:tc>
        <w:tc>
          <w:tcPr>
            <w:tcW w:w="1210" w:type="pct"/>
            <w:tcBorders>
              <w:tl2br w:val="nil"/>
              <w:tr2bl w:val="nil"/>
            </w:tcBorders>
            <w:noWrap/>
            <w:vAlign w:val="center"/>
          </w:tcPr>
          <w:p w14:paraId="790A7304">
            <w:pPr>
              <w:widowControl/>
              <w:jc w:val="center"/>
              <w:textAlignment w:val="center"/>
              <w:rPr>
                <w:rFonts w:hint="default" w:eastAsia="宋体"/>
                <w:color w:val="auto"/>
                <w:kern w:val="0"/>
                <w:szCs w:val="21"/>
                <w:lang w:val="en-US" w:eastAsia="zh-CN" w:bidi="ar"/>
              </w:rPr>
            </w:pPr>
            <w:r>
              <w:rPr>
                <w:rFonts w:hint="eastAsia" w:eastAsia="宋体"/>
                <w:color w:val="auto"/>
                <w:kern w:val="0"/>
                <w:szCs w:val="21"/>
                <w:lang w:val="en-US" w:eastAsia="zh-CN" w:bidi="ar"/>
              </w:rPr>
              <w:t>根据《产业结构调整指导目录（2024年本）》“第三类淘汰类”中“一、落后生产工艺装备”（六）有色金属第18条“15吨以下再生铝用熔炼炉”的规定，同时企业为优化生产布局、提升装备水平、降低能耗与污染物排放，将淘汰并拆除现有1台10吨再生铝用熔炼精炼两用炉、1台20吨</w:t>
            </w:r>
            <w:r>
              <w:rPr>
                <w:rFonts w:hint="eastAsia"/>
                <w:color w:val="auto"/>
                <w:kern w:val="0"/>
                <w:szCs w:val="21"/>
                <w:lang w:val="en-US" w:eastAsia="zh-CN" w:bidi="ar"/>
              </w:rPr>
              <w:t>精炼</w:t>
            </w:r>
            <w:r>
              <w:rPr>
                <w:rFonts w:hint="eastAsia" w:eastAsia="宋体"/>
                <w:color w:val="auto"/>
                <w:kern w:val="0"/>
                <w:szCs w:val="21"/>
                <w:lang w:val="en-US" w:eastAsia="zh-CN" w:bidi="ar"/>
              </w:rPr>
              <w:t>炉</w:t>
            </w:r>
            <w:r>
              <w:rPr>
                <w:rFonts w:hint="eastAsia"/>
                <w:color w:val="auto"/>
                <w:kern w:val="0"/>
                <w:szCs w:val="21"/>
                <w:lang w:val="en-US" w:eastAsia="zh-CN" w:bidi="ar"/>
              </w:rPr>
              <w:t>。对现有1台40吨熔炼炉、1台30吨熔炼炉和1台30t精炼炉实施设备更新与升级，</w:t>
            </w:r>
            <w:r>
              <w:rPr>
                <w:rFonts w:hint="eastAsia" w:cs="Times New Roman"/>
                <w:color w:val="auto"/>
                <w:kern w:val="2"/>
                <w:sz w:val="21"/>
                <w:szCs w:val="21"/>
                <w:lang w:val="en-US" w:eastAsia="zh-CN" w:bidi="ar-SA"/>
              </w:rPr>
              <w:t>通过熔炼炉与精炼炉之间协同运行，可满足年产能5.05万吨再生铝合金锭项目的生产需求</w:t>
            </w:r>
          </w:p>
        </w:tc>
      </w:tr>
      <w:tr w14:paraId="4637CE50">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54E0C90A">
            <w:pPr>
              <w:jc w:val="center"/>
              <w:rPr>
                <w:color w:val="auto"/>
                <w:szCs w:val="21"/>
              </w:rPr>
            </w:pPr>
          </w:p>
        </w:tc>
        <w:tc>
          <w:tcPr>
            <w:tcW w:w="222" w:type="pct"/>
            <w:tcBorders>
              <w:tl2br w:val="nil"/>
              <w:tr2bl w:val="nil"/>
            </w:tcBorders>
            <w:noWrap/>
            <w:vAlign w:val="center"/>
          </w:tcPr>
          <w:p w14:paraId="687C03E0">
            <w:pPr>
              <w:widowControl/>
              <w:jc w:val="center"/>
              <w:textAlignment w:val="center"/>
              <w:rPr>
                <w:rFonts w:hint="eastAsia" w:eastAsia="宋体"/>
                <w:color w:val="auto"/>
                <w:szCs w:val="21"/>
                <w:lang w:val="en-US" w:eastAsia="zh-CN"/>
              </w:rPr>
            </w:pPr>
            <w:r>
              <w:rPr>
                <w:rFonts w:hint="eastAsia"/>
                <w:color w:val="auto"/>
                <w:szCs w:val="21"/>
                <w:lang w:val="en-US" w:eastAsia="zh-CN"/>
              </w:rPr>
              <w:t>回转炉</w:t>
            </w:r>
          </w:p>
        </w:tc>
        <w:tc>
          <w:tcPr>
            <w:tcW w:w="1138" w:type="pct"/>
            <w:gridSpan w:val="2"/>
            <w:tcBorders>
              <w:tl2br w:val="nil"/>
              <w:tr2bl w:val="nil"/>
            </w:tcBorders>
            <w:shd w:val="clear" w:color="auto" w:fill="auto"/>
            <w:noWrap/>
            <w:vAlign w:val="center"/>
          </w:tcPr>
          <w:p w14:paraId="471B7AEF">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设置</w:t>
            </w:r>
            <w:r>
              <w:rPr>
                <w:rFonts w:hint="eastAsia" w:ascii="Times New Roman" w:hAnsi="Times New Roman" w:eastAsia="宋体" w:cs="Times New Roman"/>
                <w:color w:val="auto"/>
                <w:kern w:val="2"/>
                <w:sz w:val="21"/>
                <w:szCs w:val="21"/>
                <w:lang w:val="en-US" w:eastAsia="zh-CN" w:bidi="ar-SA"/>
              </w:rPr>
              <w:t>1台5t回转炉</w:t>
            </w:r>
          </w:p>
        </w:tc>
        <w:tc>
          <w:tcPr>
            <w:tcW w:w="3184" w:type="dxa"/>
            <w:tcBorders>
              <w:tl2br w:val="nil"/>
              <w:tr2bl w:val="nil"/>
            </w:tcBorders>
            <w:noWrap/>
            <w:vAlign w:val="center"/>
          </w:tcPr>
          <w:p w14:paraId="1FAA0D0D">
            <w:pPr>
              <w:widowControl/>
              <w:jc w:val="center"/>
              <w:textAlignment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设置</w:t>
            </w:r>
            <w:r>
              <w:rPr>
                <w:rFonts w:hint="eastAsia" w:ascii="Times New Roman" w:hAnsi="Times New Roman" w:eastAsia="宋体" w:cs="Times New Roman"/>
                <w:color w:val="auto"/>
                <w:kern w:val="2"/>
                <w:sz w:val="21"/>
                <w:szCs w:val="21"/>
                <w:lang w:val="en-US" w:eastAsia="zh-CN" w:bidi="ar-SA"/>
              </w:rPr>
              <w:t>1台5t回转炉</w:t>
            </w:r>
          </w:p>
        </w:tc>
        <w:tc>
          <w:tcPr>
            <w:tcW w:w="1138" w:type="pct"/>
            <w:tcBorders>
              <w:tl2br w:val="nil"/>
              <w:tr2bl w:val="nil"/>
            </w:tcBorders>
            <w:noWrap/>
            <w:vAlign w:val="center"/>
          </w:tcPr>
          <w:p w14:paraId="432A9543">
            <w:pPr>
              <w:widowControl/>
              <w:jc w:val="center"/>
              <w:textAlignment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已建</w:t>
            </w:r>
            <w:r>
              <w:rPr>
                <w:rFonts w:hint="eastAsia" w:ascii="Times New Roman" w:hAnsi="Times New Roman" w:eastAsia="宋体" w:cs="Times New Roman"/>
                <w:color w:val="auto"/>
                <w:kern w:val="2"/>
                <w:sz w:val="21"/>
                <w:szCs w:val="21"/>
                <w:lang w:val="en-US" w:eastAsia="zh-CN" w:bidi="ar-SA"/>
              </w:rPr>
              <w:t>1台5t回转炉</w:t>
            </w:r>
          </w:p>
        </w:tc>
        <w:tc>
          <w:tcPr>
            <w:tcW w:w="1210" w:type="pct"/>
            <w:tcBorders>
              <w:tl2br w:val="nil"/>
              <w:tr2bl w:val="nil"/>
            </w:tcBorders>
            <w:noWrap/>
            <w:vAlign w:val="center"/>
          </w:tcPr>
          <w:p w14:paraId="27BC772C">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不变</w:t>
            </w:r>
          </w:p>
        </w:tc>
      </w:tr>
      <w:tr w14:paraId="7A02F91E">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211252B9">
            <w:pPr>
              <w:jc w:val="center"/>
              <w:rPr>
                <w:color w:val="auto"/>
                <w:szCs w:val="21"/>
              </w:rPr>
            </w:pPr>
          </w:p>
        </w:tc>
        <w:tc>
          <w:tcPr>
            <w:tcW w:w="222" w:type="pct"/>
            <w:tcBorders>
              <w:tl2br w:val="nil"/>
              <w:tr2bl w:val="nil"/>
            </w:tcBorders>
            <w:noWrap/>
            <w:vAlign w:val="center"/>
          </w:tcPr>
          <w:p w14:paraId="0D2C00BB">
            <w:pPr>
              <w:widowControl/>
              <w:jc w:val="center"/>
              <w:textAlignment w:val="center"/>
              <w:rPr>
                <w:rFonts w:hint="eastAsia"/>
                <w:color w:val="auto"/>
                <w:szCs w:val="21"/>
                <w:lang w:val="en-US" w:eastAsia="zh-CN"/>
              </w:rPr>
            </w:pPr>
            <w:r>
              <w:rPr>
                <w:rFonts w:hint="eastAsia"/>
                <w:color w:val="auto"/>
                <w:szCs w:val="21"/>
                <w:lang w:val="en-US" w:eastAsia="zh-CN"/>
              </w:rPr>
              <w:t>冷灰桶</w:t>
            </w:r>
          </w:p>
        </w:tc>
        <w:tc>
          <w:tcPr>
            <w:tcW w:w="1138" w:type="pct"/>
            <w:gridSpan w:val="2"/>
            <w:tcBorders>
              <w:tl2br w:val="nil"/>
              <w:tr2bl w:val="nil"/>
            </w:tcBorders>
            <w:shd w:val="clear" w:color="auto" w:fill="auto"/>
            <w:noWrap/>
            <w:vAlign w:val="center"/>
          </w:tcPr>
          <w:p w14:paraId="494CECE2">
            <w:pPr>
              <w:widowControl/>
              <w:jc w:val="center"/>
              <w:textAlignment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设置1台16M筛选式冷灰桶</w:t>
            </w:r>
          </w:p>
        </w:tc>
        <w:tc>
          <w:tcPr>
            <w:tcW w:w="3184" w:type="dxa"/>
            <w:tcBorders>
              <w:tl2br w:val="nil"/>
              <w:tr2bl w:val="nil"/>
            </w:tcBorders>
            <w:noWrap/>
            <w:vAlign w:val="center"/>
          </w:tcPr>
          <w:p w14:paraId="3DD7DF99">
            <w:pPr>
              <w:widowControl/>
              <w:jc w:val="center"/>
              <w:textAlignment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设置1台16M筛选式冷灰桶</w:t>
            </w:r>
          </w:p>
        </w:tc>
        <w:tc>
          <w:tcPr>
            <w:tcW w:w="1138" w:type="pct"/>
            <w:tcBorders>
              <w:tl2br w:val="nil"/>
              <w:tr2bl w:val="nil"/>
            </w:tcBorders>
            <w:noWrap/>
            <w:vAlign w:val="center"/>
          </w:tcPr>
          <w:p w14:paraId="5428CB16">
            <w:pPr>
              <w:widowControl/>
              <w:jc w:val="center"/>
              <w:textAlignment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已建1台16M筛选式冷灰桶</w:t>
            </w:r>
          </w:p>
        </w:tc>
        <w:tc>
          <w:tcPr>
            <w:tcW w:w="1210" w:type="pct"/>
            <w:tcBorders>
              <w:tl2br w:val="nil"/>
              <w:tr2bl w:val="nil"/>
            </w:tcBorders>
            <w:noWrap/>
            <w:vAlign w:val="center"/>
          </w:tcPr>
          <w:p w14:paraId="5044A6E2">
            <w:pPr>
              <w:widowControl/>
              <w:jc w:val="center"/>
              <w:textAlignment w:val="center"/>
              <w:rPr>
                <w:rFonts w:hint="default"/>
                <w:color w:val="auto"/>
                <w:kern w:val="0"/>
                <w:szCs w:val="21"/>
                <w:lang w:val="en-US" w:eastAsia="zh-CN" w:bidi="ar"/>
              </w:rPr>
            </w:pPr>
            <w:r>
              <w:rPr>
                <w:rFonts w:hint="eastAsia"/>
                <w:color w:val="auto"/>
                <w:kern w:val="0"/>
                <w:szCs w:val="21"/>
                <w:lang w:val="en-US" w:eastAsia="zh-CN" w:bidi="ar"/>
              </w:rPr>
              <w:t>不变</w:t>
            </w:r>
          </w:p>
        </w:tc>
      </w:tr>
      <w:tr w14:paraId="473BFC71">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120B6C14">
            <w:pPr>
              <w:jc w:val="center"/>
              <w:rPr>
                <w:color w:val="auto"/>
                <w:szCs w:val="21"/>
              </w:rPr>
            </w:pPr>
          </w:p>
        </w:tc>
        <w:tc>
          <w:tcPr>
            <w:tcW w:w="222" w:type="pct"/>
            <w:tcBorders>
              <w:tl2br w:val="nil"/>
              <w:tr2bl w:val="nil"/>
            </w:tcBorders>
            <w:noWrap/>
            <w:vAlign w:val="center"/>
          </w:tcPr>
          <w:p w14:paraId="67CBE40A">
            <w:pPr>
              <w:widowControl/>
              <w:jc w:val="center"/>
              <w:textAlignment w:val="center"/>
              <w:rPr>
                <w:rFonts w:hint="eastAsia"/>
                <w:color w:val="auto"/>
                <w:szCs w:val="21"/>
                <w:lang w:val="en-US" w:eastAsia="zh-CN"/>
              </w:rPr>
            </w:pPr>
            <w:r>
              <w:rPr>
                <w:color w:val="auto"/>
              </w:rPr>
              <w:t>铸锭叠锭</w:t>
            </w:r>
          </w:p>
        </w:tc>
        <w:tc>
          <w:tcPr>
            <w:tcW w:w="1138" w:type="pct"/>
            <w:gridSpan w:val="2"/>
            <w:tcBorders>
              <w:tl2br w:val="nil"/>
              <w:tr2bl w:val="nil"/>
            </w:tcBorders>
            <w:shd w:val="clear" w:color="auto" w:fill="auto"/>
            <w:noWrap/>
            <w:vAlign w:val="center"/>
          </w:tcPr>
          <w:p w14:paraId="4A71264A">
            <w:pPr>
              <w:widowControl/>
              <w:jc w:val="center"/>
              <w:textAlignment w:val="center"/>
              <w:rPr>
                <w:rFonts w:hint="default" w:cs="Times New Roman"/>
                <w:color w:val="auto"/>
                <w:kern w:val="2"/>
                <w:sz w:val="21"/>
                <w:szCs w:val="21"/>
                <w:lang w:val="en-US" w:eastAsia="zh-CN" w:bidi="ar-SA"/>
              </w:rPr>
            </w:pPr>
            <w:r>
              <w:rPr>
                <w:rFonts w:hint="eastAsia" w:cs="Times New Roman"/>
                <w:color w:val="auto"/>
                <w:kern w:val="2"/>
                <w:sz w:val="21"/>
                <w:szCs w:val="21"/>
                <w:lang w:val="en-US" w:eastAsia="zh-CN" w:bidi="ar-SA"/>
              </w:rPr>
              <w:t>设置</w:t>
            </w:r>
            <w:r>
              <w:rPr>
                <w:color w:val="auto"/>
              </w:rPr>
              <w:t>2条260模铸锭叠锭线</w:t>
            </w:r>
          </w:p>
        </w:tc>
        <w:tc>
          <w:tcPr>
            <w:tcW w:w="3184" w:type="dxa"/>
            <w:tcBorders>
              <w:tl2br w:val="nil"/>
              <w:tr2bl w:val="nil"/>
            </w:tcBorders>
            <w:noWrap/>
            <w:vAlign w:val="center"/>
          </w:tcPr>
          <w:p w14:paraId="1A1C34A6">
            <w:pPr>
              <w:widowControl/>
              <w:jc w:val="center"/>
              <w:textAlignment w:val="center"/>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设置</w:t>
            </w:r>
            <w:r>
              <w:rPr>
                <w:color w:val="auto"/>
              </w:rPr>
              <w:t>2条260模铸锭叠锭线</w:t>
            </w:r>
          </w:p>
        </w:tc>
        <w:tc>
          <w:tcPr>
            <w:tcW w:w="1138" w:type="pct"/>
            <w:tcBorders>
              <w:tl2br w:val="nil"/>
              <w:tr2bl w:val="nil"/>
            </w:tcBorders>
            <w:noWrap/>
            <w:vAlign w:val="center"/>
          </w:tcPr>
          <w:p w14:paraId="390D9F55">
            <w:pPr>
              <w:widowControl/>
              <w:jc w:val="center"/>
              <w:textAlignment w:val="center"/>
              <w:rPr>
                <w:rFonts w:hint="default" w:cs="Times New Roman"/>
                <w:color w:val="0000FF"/>
                <w:kern w:val="2"/>
                <w:sz w:val="21"/>
                <w:szCs w:val="21"/>
                <w:lang w:val="en-US" w:eastAsia="zh-CN" w:bidi="ar-SA"/>
              </w:rPr>
            </w:pPr>
            <w:r>
              <w:rPr>
                <w:rFonts w:hint="eastAsia" w:cs="Times New Roman"/>
                <w:color w:val="0000FF"/>
                <w:kern w:val="2"/>
                <w:sz w:val="21"/>
                <w:szCs w:val="21"/>
                <w:lang w:val="en-US" w:eastAsia="zh-CN" w:bidi="ar-SA"/>
              </w:rPr>
              <w:t>已建</w:t>
            </w:r>
            <w:r>
              <w:rPr>
                <w:color w:val="0000FF"/>
              </w:rPr>
              <w:t>2条</w:t>
            </w:r>
            <w:r>
              <w:rPr>
                <w:rFonts w:hint="eastAsia"/>
                <w:color w:val="0000FF"/>
                <w:lang w:val="en-US" w:eastAsia="zh-CN"/>
              </w:rPr>
              <w:t>500</w:t>
            </w:r>
            <w:r>
              <w:rPr>
                <w:color w:val="0000FF"/>
              </w:rPr>
              <w:t>模铸锭叠锭线</w:t>
            </w:r>
          </w:p>
        </w:tc>
        <w:tc>
          <w:tcPr>
            <w:tcW w:w="1210" w:type="pct"/>
            <w:tcBorders>
              <w:tl2br w:val="nil"/>
              <w:tr2bl w:val="nil"/>
            </w:tcBorders>
            <w:noWrap/>
            <w:vAlign w:val="center"/>
          </w:tcPr>
          <w:p w14:paraId="0189F684">
            <w:pPr>
              <w:widowControl/>
              <w:jc w:val="center"/>
              <w:textAlignment w:val="center"/>
              <w:rPr>
                <w:rFonts w:hint="default"/>
                <w:color w:val="0000FF"/>
                <w:kern w:val="0"/>
                <w:szCs w:val="21"/>
                <w:lang w:val="en-US" w:eastAsia="zh-CN" w:bidi="ar"/>
              </w:rPr>
            </w:pPr>
            <w:r>
              <w:rPr>
                <w:rFonts w:hint="eastAsia"/>
                <w:color w:val="0000FF"/>
                <w:kern w:val="0"/>
                <w:szCs w:val="21"/>
                <w:lang w:val="en-US" w:eastAsia="zh-CN" w:bidi="ar"/>
              </w:rPr>
              <w:t>为满足市场高端化、高效铸锭的生产需求，</w:t>
            </w:r>
            <w:r>
              <w:rPr>
                <w:rFonts w:hint="default"/>
                <w:color w:val="0000FF"/>
                <w:kern w:val="0"/>
                <w:szCs w:val="21"/>
                <w:lang w:val="en-US" w:eastAsia="zh-CN" w:bidi="ar"/>
              </w:rPr>
              <w:t>原有叠锭线额定载荷不够</w:t>
            </w:r>
            <w:r>
              <w:rPr>
                <w:rFonts w:hint="eastAsia"/>
                <w:color w:val="0000FF"/>
                <w:kern w:val="0"/>
                <w:szCs w:val="21"/>
                <w:lang w:val="en-US" w:eastAsia="zh-CN" w:bidi="ar"/>
              </w:rPr>
              <w:t>，故设备升级为</w:t>
            </w:r>
            <w:r>
              <w:rPr>
                <w:color w:val="0000FF"/>
              </w:rPr>
              <w:t>2条</w:t>
            </w:r>
            <w:r>
              <w:rPr>
                <w:rFonts w:hint="eastAsia"/>
                <w:color w:val="0000FF"/>
                <w:lang w:val="en-US" w:eastAsia="zh-CN"/>
              </w:rPr>
              <w:t>500</w:t>
            </w:r>
            <w:r>
              <w:rPr>
                <w:color w:val="0000FF"/>
              </w:rPr>
              <w:t>模铸锭叠锭线</w:t>
            </w:r>
          </w:p>
        </w:tc>
      </w:tr>
      <w:tr w14:paraId="0BF3D476">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restart"/>
            <w:tcBorders>
              <w:tl2br w:val="nil"/>
              <w:tr2bl w:val="nil"/>
            </w:tcBorders>
            <w:noWrap/>
            <w:vAlign w:val="center"/>
          </w:tcPr>
          <w:p w14:paraId="21B04168">
            <w:pPr>
              <w:jc w:val="center"/>
              <w:rPr>
                <w:rFonts w:hint="eastAsia" w:eastAsia="宋体"/>
                <w:color w:val="auto"/>
                <w:szCs w:val="21"/>
                <w:lang w:val="en-US" w:eastAsia="zh-CN"/>
              </w:rPr>
            </w:pPr>
            <w:r>
              <w:rPr>
                <w:rFonts w:hint="eastAsia"/>
                <w:color w:val="auto"/>
                <w:szCs w:val="21"/>
                <w:lang w:val="en-US" w:eastAsia="zh-CN"/>
              </w:rPr>
              <w:t>公辅工程</w:t>
            </w:r>
          </w:p>
        </w:tc>
        <w:tc>
          <w:tcPr>
            <w:tcW w:w="222" w:type="pct"/>
            <w:tcBorders>
              <w:tl2br w:val="nil"/>
              <w:tr2bl w:val="nil"/>
            </w:tcBorders>
            <w:noWrap/>
            <w:vAlign w:val="center"/>
          </w:tcPr>
          <w:p w14:paraId="59FA0D77">
            <w:pPr>
              <w:widowControl/>
              <w:jc w:val="center"/>
              <w:textAlignment w:val="center"/>
              <w:rPr>
                <w:rFonts w:hint="default" w:eastAsia="宋体"/>
                <w:color w:val="auto"/>
                <w:lang w:val="en-US" w:eastAsia="zh-CN"/>
              </w:rPr>
            </w:pPr>
            <w:r>
              <w:rPr>
                <w:rFonts w:hint="eastAsia"/>
                <w:color w:val="auto"/>
                <w:lang w:val="en-US" w:eastAsia="zh-CN"/>
              </w:rPr>
              <w:t>质检分析室</w:t>
            </w:r>
          </w:p>
        </w:tc>
        <w:tc>
          <w:tcPr>
            <w:tcW w:w="1138" w:type="pct"/>
            <w:gridSpan w:val="2"/>
            <w:tcBorders>
              <w:tl2br w:val="nil"/>
              <w:tr2bl w:val="nil"/>
            </w:tcBorders>
            <w:shd w:val="clear" w:color="auto" w:fill="auto"/>
            <w:noWrap/>
            <w:vAlign w:val="center"/>
          </w:tcPr>
          <w:p w14:paraId="5165FF09">
            <w:pPr>
              <w:widowControl/>
              <w:jc w:val="center"/>
              <w:textAlignment w:val="center"/>
              <w:rPr>
                <w:rFonts w:hint="eastAsia" w:eastAsia="宋体"/>
                <w:color w:val="auto"/>
                <w:lang w:val="en-US" w:eastAsia="zh-CN"/>
              </w:rPr>
            </w:pPr>
            <w:r>
              <w:rPr>
                <w:rFonts w:hint="eastAsia"/>
                <w:color w:val="auto"/>
                <w:lang w:val="en-US" w:eastAsia="zh-CN"/>
              </w:rPr>
              <w:t>/</w:t>
            </w:r>
          </w:p>
        </w:tc>
        <w:tc>
          <w:tcPr>
            <w:tcW w:w="1138" w:type="pct"/>
            <w:tcBorders>
              <w:tl2br w:val="nil"/>
              <w:tr2bl w:val="nil"/>
            </w:tcBorders>
            <w:noWrap/>
            <w:vAlign w:val="center"/>
          </w:tcPr>
          <w:p w14:paraId="1B400FE7">
            <w:pPr>
              <w:widowControl/>
              <w:jc w:val="center"/>
              <w:textAlignment w:val="center"/>
              <w:rPr>
                <w:rFonts w:hint="default"/>
                <w:color w:val="auto"/>
                <w:lang w:val="en-US" w:eastAsia="zh-CN"/>
              </w:rPr>
            </w:pPr>
            <w:r>
              <w:rPr>
                <w:rFonts w:hint="eastAsia"/>
                <w:color w:val="auto"/>
                <w:lang w:val="en-US" w:eastAsia="zh-CN"/>
              </w:rPr>
              <w:t>/</w:t>
            </w:r>
          </w:p>
        </w:tc>
        <w:tc>
          <w:tcPr>
            <w:tcW w:w="1138" w:type="pct"/>
            <w:tcBorders>
              <w:tl2br w:val="nil"/>
              <w:tr2bl w:val="nil"/>
            </w:tcBorders>
            <w:noWrap/>
            <w:vAlign w:val="center"/>
          </w:tcPr>
          <w:p w14:paraId="4723F0E8">
            <w:pPr>
              <w:widowControl/>
              <w:jc w:val="center"/>
              <w:textAlignment w:val="center"/>
              <w:rPr>
                <w:rFonts w:hint="default" w:eastAsia="宋体"/>
                <w:color w:val="0000FF"/>
                <w:lang w:val="en-US" w:eastAsia="zh-CN"/>
              </w:rPr>
            </w:pPr>
            <w:r>
              <w:rPr>
                <w:rFonts w:hint="eastAsia"/>
                <w:color w:val="0000FF"/>
                <w:lang w:val="en-US" w:eastAsia="zh-CN"/>
              </w:rPr>
              <w:t>新增质检分析室位于办公楼内，布设1台</w:t>
            </w:r>
            <w:r>
              <w:rPr>
                <w:rFonts w:hint="eastAsia"/>
                <w:color w:val="0000FF"/>
              </w:rPr>
              <w:t>纯度检测设备、</w:t>
            </w:r>
            <w:r>
              <w:rPr>
                <w:rFonts w:hint="eastAsia"/>
                <w:color w:val="0000FF"/>
                <w:lang w:val="en-US" w:eastAsia="zh-CN"/>
              </w:rPr>
              <w:t>1台</w:t>
            </w:r>
            <w:r>
              <w:rPr>
                <w:rFonts w:hint="eastAsia"/>
                <w:color w:val="0000FF"/>
              </w:rPr>
              <w:t>成分检测设备、</w:t>
            </w:r>
            <w:r>
              <w:rPr>
                <w:rFonts w:hint="eastAsia"/>
                <w:color w:val="0000FF"/>
                <w:lang w:val="en-US" w:eastAsia="zh-CN"/>
              </w:rPr>
              <w:t>1台</w:t>
            </w:r>
            <w:r>
              <w:rPr>
                <w:rFonts w:hint="eastAsia"/>
                <w:color w:val="0000FF"/>
              </w:rPr>
              <w:t>辐射检测设备</w:t>
            </w:r>
            <w:r>
              <w:rPr>
                <w:rFonts w:hint="eastAsia"/>
                <w:color w:val="0000FF"/>
                <w:lang w:eastAsia="zh-CN"/>
              </w:rPr>
              <w:t>，</w:t>
            </w:r>
            <w:r>
              <w:rPr>
                <w:rFonts w:hint="eastAsia"/>
                <w:color w:val="0000FF"/>
                <w:lang w:val="en-US" w:eastAsia="zh-CN"/>
              </w:rPr>
              <w:t>用于原料废铝入厂前检测。</w:t>
            </w:r>
          </w:p>
        </w:tc>
        <w:tc>
          <w:tcPr>
            <w:tcW w:w="1210" w:type="pct"/>
            <w:tcBorders>
              <w:tl2br w:val="nil"/>
              <w:tr2bl w:val="nil"/>
            </w:tcBorders>
            <w:noWrap/>
            <w:vAlign w:val="center"/>
          </w:tcPr>
          <w:p w14:paraId="76FA14DD">
            <w:pPr>
              <w:widowControl/>
              <w:jc w:val="center"/>
              <w:textAlignment w:val="center"/>
              <w:rPr>
                <w:rFonts w:hint="eastAsia" w:eastAsia="宋体"/>
                <w:color w:val="0000FF"/>
                <w:kern w:val="0"/>
                <w:szCs w:val="21"/>
                <w:lang w:val="en-US" w:eastAsia="zh-CN" w:bidi="ar"/>
              </w:rPr>
            </w:pPr>
            <w:r>
              <w:rPr>
                <w:rFonts w:hint="eastAsia"/>
                <w:color w:val="0000FF"/>
                <w:lang w:val="en-US" w:eastAsia="zh-CN"/>
              </w:rPr>
              <w:t>新增1台</w:t>
            </w:r>
            <w:r>
              <w:rPr>
                <w:rFonts w:hint="eastAsia"/>
                <w:color w:val="0000FF"/>
              </w:rPr>
              <w:t>纯度检测设备、</w:t>
            </w:r>
            <w:r>
              <w:rPr>
                <w:rFonts w:hint="eastAsia"/>
                <w:color w:val="0000FF"/>
                <w:lang w:val="en-US" w:eastAsia="zh-CN"/>
              </w:rPr>
              <w:t>1台</w:t>
            </w:r>
            <w:r>
              <w:rPr>
                <w:rFonts w:hint="eastAsia"/>
                <w:color w:val="0000FF"/>
              </w:rPr>
              <w:t>成分检测设备、</w:t>
            </w:r>
            <w:r>
              <w:rPr>
                <w:rFonts w:hint="eastAsia"/>
                <w:color w:val="0000FF"/>
                <w:lang w:val="en-US" w:eastAsia="zh-CN"/>
              </w:rPr>
              <w:t>1台</w:t>
            </w:r>
            <w:r>
              <w:rPr>
                <w:rFonts w:hint="eastAsia"/>
                <w:color w:val="0000FF"/>
              </w:rPr>
              <w:t>辐射检测设备</w:t>
            </w:r>
            <w:r>
              <w:rPr>
                <w:rFonts w:hint="eastAsia"/>
                <w:color w:val="0000FF"/>
                <w:lang w:eastAsia="zh-CN"/>
              </w:rPr>
              <w:t>，</w:t>
            </w:r>
            <w:r>
              <w:rPr>
                <w:rFonts w:hint="eastAsia"/>
                <w:color w:val="0000FF"/>
                <w:lang w:val="en-US" w:eastAsia="zh-CN"/>
              </w:rPr>
              <w:t>用于原料废铝入厂前检测及成品检测。</w:t>
            </w:r>
          </w:p>
        </w:tc>
      </w:tr>
      <w:tr w14:paraId="710CEE77">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413C657B">
            <w:pPr>
              <w:jc w:val="center"/>
              <w:rPr>
                <w:rFonts w:hint="eastAsia" w:eastAsia="宋体"/>
                <w:color w:val="auto"/>
                <w:szCs w:val="21"/>
                <w:lang w:val="en-US" w:eastAsia="zh-CN"/>
              </w:rPr>
            </w:pPr>
          </w:p>
        </w:tc>
        <w:tc>
          <w:tcPr>
            <w:tcW w:w="222" w:type="pct"/>
            <w:tcBorders>
              <w:tl2br w:val="nil"/>
              <w:tr2bl w:val="nil"/>
            </w:tcBorders>
            <w:noWrap/>
            <w:vAlign w:val="center"/>
          </w:tcPr>
          <w:p w14:paraId="5335C968">
            <w:pPr>
              <w:widowControl/>
              <w:jc w:val="center"/>
              <w:textAlignment w:val="center"/>
              <w:rPr>
                <w:color w:val="auto"/>
              </w:rPr>
            </w:pPr>
            <w:r>
              <w:rPr>
                <w:color w:val="auto"/>
              </w:rPr>
              <w:t>给水系统</w:t>
            </w:r>
          </w:p>
        </w:tc>
        <w:tc>
          <w:tcPr>
            <w:tcW w:w="1138" w:type="pct"/>
            <w:gridSpan w:val="2"/>
            <w:tcBorders>
              <w:tl2br w:val="nil"/>
              <w:tr2bl w:val="nil"/>
            </w:tcBorders>
            <w:shd w:val="clear" w:color="auto" w:fill="auto"/>
            <w:noWrap/>
            <w:vAlign w:val="center"/>
          </w:tcPr>
          <w:p w14:paraId="117DF9D2">
            <w:pPr>
              <w:widowControl/>
              <w:jc w:val="center"/>
              <w:textAlignment w:val="center"/>
              <w:rPr>
                <w:rFonts w:hint="eastAsia" w:cs="Times New Roman"/>
                <w:color w:val="auto"/>
                <w:kern w:val="2"/>
                <w:sz w:val="21"/>
                <w:szCs w:val="21"/>
                <w:lang w:val="en-US" w:eastAsia="zh-CN" w:bidi="ar-SA"/>
              </w:rPr>
            </w:pPr>
            <w:r>
              <w:rPr>
                <w:color w:val="auto"/>
              </w:rPr>
              <w:t>包括生产给水系统、消防给水系统、生活给水系统、循环水系统等。新鲜水来自市政管网。</w:t>
            </w:r>
          </w:p>
        </w:tc>
        <w:tc>
          <w:tcPr>
            <w:tcW w:w="3184" w:type="dxa"/>
            <w:tcBorders>
              <w:tl2br w:val="nil"/>
              <w:tr2bl w:val="nil"/>
            </w:tcBorders>
            <w:noWrap/>
            <w:vAlign w:val="center"/>
          </w:tcPr>
          <w:p w14:paraId="545B78D5">
            <w:pPr>
              <w:widowControl/>
              <w:jc w:val="center"/>
              <w:textAlignment w:val="center"/>
              <w:rPr>
                <w:color w:val="auto"/>
              </w:rPr>
            </w:pPr>
            <w:r>
              <w:rPr>
                <w:color w:val="auto"/>
              </w:rPr>
              <w:t>包括生产给水系统、消防给水系统、生活给水系统、循环水系统等。新鲜水来自市政管网。</w:t>
            </w:r>
          </w:p>
        </w:tc>
        <w:tc>
          <w:tcPr>
            <w:tcW w:w="1138" w:type="pct"/>
            <w:tcBorders>
              <w:tl2br w:val="nil"/>
              <w:tr2bl w:val="nil"/>
            </w:tcBorders>
            <w:noWrap/>
            <w:vAlign w:val="center"/>
          </w:tcPr>
          <w:p w14:paraId="74670AAB">
            <w:pPr>
              <w:widowControl/>
              <w:jc w:val="center"/>
              <w:textAlignment w:val="center"/>
              <w:rPr>
                <w:rFonts w:hint="eastAsia" w:cs="Times New Roman"/>
                <w:color w:val="auto"/>
                <w:kern w:val="2"/>
                <w:sz w:val="21"/>
                <w:szCs w:val="21"/>
                <w:lang w:val="en-US" w:eastAsia="zh-CN" w:bidi="ar-SA"/>
              </w:rPr>
            </w:pPr>
            <w:r>
              <w:rPr>
                <w:color w:val="auto"/>
              </w:rPr>
              <w:t>括生产给水系统、消防给水系统、生活给水系统、循环水系统等。新鲜水来自市政管网。</w:t>
            </w:r>
          </w:p>
        </w:tc>
        <w:tc>
          <w:tcPr>
            <w:tcW w:w="1210" w:type="pct"/>
            <w:tcBorders>
              <w:tl2br w:val="nil"/>
              <w:tr2bl w:val="nil"/>
            </w:tcBorders>
            <w:noWrap/>
            <w:vAlign w:val="center"/>
          </w:tcPr>
          <w:p w14:paraId="24B761AC">
            <w:pPr>
              <w:widowControl/>
              <w:jc w:val="center"/>
              <w:textAlignment w:val="center"/>
              <w:rPr>
                <w:rFonts w:hint="default"/>
                <w:color w:val="auto"/>
                <w:kern w:val="0"/>
                <w:szCs w:val="21"/>
                <w:lang w:val="en-US" w:eastAsia="zh-CN" w:bidi="ar"/>
              </w:rPr>
            </w:pPr>
            <w:r>
              <w:rPr>
                <w:rFonts w:hint="eastAsia"/>
                <w:color w:val="auto"/>
                <w:kern w:val="0"/>
                <w:szCs w:val="21"/>
                <w:lang w:val="en-US" w:eastAsia="zh-CN" w:bidi="ar"/>
              </w:rPr>
              <w:t>不变</w:t>
            </w:r>
          </w:p>
        </w:tc>
      </w:tr>
      <w:tr w14:paraId="23A5BEAB">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33626DCA">
            <w:pPr>
              <w:jc w:val="center"/>
              <w:rPr>
                <w:rFonts w:hint="eastAsia"/>
                <w:color w:val="auto"/>
                <w:szCs w:val="21"/>
                <w:lang w:val="en-US" w:eastAsia="zh-CN"/>
              </w:rPr>
            </w:pPr>
          </w:p>
        </w:tc>
        <w:tc>
          <w:tcPr>
            <w:tcW w:w="222" w:type="pct"/>
            <w:tcBorders>
              <w:tl2br w:val="nil"/>
              <w:tr2bl w:val="nil"/>
            </w:tcBorders>
            <w:noWrap/>
            <w:vAlign w:val="center"/>
          </w:tcPr>
          <w:p w14:paraId="0B9CCF2E">
            <w:pPr>
              <w:widowControl/>
              <w:jc w:val="center"/>
              <w:textAlignment w:val="center"/>
              <w:rPr>
                <w:color w:val="auto"/>
              </w:rPr>
            </w:pPr>
            <w:r>
              <w:rPr>
                <w:color w:val="auto"/>
              </w:rPr>
              <w:t>排水系统</w:t>
            </w:r>
          </w:p>
        </w:tc>
        <w:tc>
          <w:tcPr>
            <w:tcW w:w="1138" w:type="pct"/>
            <w:gridSpan w:val="2"/>
            <w:tcBorders>
              <w:tl2br w:val="nil"/>
              <w:tr2bl w:val="nil"/>
            </w:tcBorders>
            <w:shd w:val="clear" w:color="auto" w:fill="auto"/>
            <w:noWrap/>
            <w:vAlign w:val="center"/>
          </w:tcPr>
          <w:p w14:paraId="738DF9C0">
            <w:pPr>
              <w:widowControl/>
              <w:jc w:val="center"/>
              <w:textAlignment w:val="center"/>
              <w:rPr>
                <w:color w:val="auto"/>
                <w:highlight w:val="none"/>
              </w:rPr>
            </w:pPr>
            <w:r>
              <w:rPr>
                <w:color w:val="auto"/>
                <w:highlight w:val="none"/>
              </w:rPr>
              <w:t>采用</w:t>
            </w:r>
            <w:r>
              <w:rPr>
                <w:rFonts w:hint="eastAsia" w:ascii="宋体" w:hAnsi="宋体" w:eastAsia="宋体" w:cs="宋体"/>
                <w:color w:val="auto"/>
                <w:highlight w:val="none"/>
              </w:rPr>
              <w:t>“</w:t>
            </w:r>
            <w:r>
              <w:rPr>
                <w:color w:val="auto"/>
                <w:highlight w:val="none"/>
              </w:rPr>
              <w:t>雨污分流、清污分流</w:t>
            </w:r>
            <w:r>
              <w:rPr>
                <w:rFonts w:hint="eastAsia" w:ascii="宋体" w:hAnsi="宋体" w:eastAsia="宋体" w:cs="宋体"/>
                <w:color w:val="auto"/>
                <w:highlight w:val="none"/>
              </w:rPr>
              <w:t>”</w:t>
            </w:r>
            <w:r>
              <w:rPr>
                <w:color w:val="auto"/>
                <w:highlight w:val="none"/>
              </w:rPr>
              <w:t>系统。生活污水经预处理后排入开发区污水管网；生产</w:t>
            </w:r>
            <w:r>
              <w:rPr>
                <w:rFonts w:hint="eastAsia"/>
                <w:color w:val="auto"/>
                <w:highlight w:val="none"/>
              </w:rPr>
              <w:t>废</w:t>
            </w:r>
            <w:r>
              <w:rPr>
                <w:color w:val="auto"/>
                <w:highlight w:val="none"/>
              </w:rPr>
              <w:t>水循环利用</w:t>
            </w:r>
            <w:r>
              <w:rPr>
                <w:rFonts w:hint="eastAsia"/>
                <w:color w:val="auto"/>
                <w:highlight w:val="none"/>
              </w:rPr>
              <w:t>和全部回用</w:t>
            </w:r>
            <w:r>
              <w:rPr>
                <w:color w:val="auto"/>
                <w:highlight w:val="none"/>
              </w:rPr>
              <w:t>，不外排；雨水在厂内汇入初期雨水收集池，前15分钟雨水切换进入污水管网，15分钟后雨水经溢流排入附近自然水体。</w:t>
            </w:r>
          </w:p>
        </w:tc>
        <w:tc>
          <w:tcPr>
            <w:tcW w:w="3184" w:type="dxa"/>
            <w:tcBorders>
              <w:tl2br w:val="nil"/>
              <w:tr2bl w:val="nil"/>
            </w:tcBorders>
            <w:noWrap/>
            <w:vAlign w:val="center"/>
          </w:tcPr>
          <w:p w14:paraId="03B3DC14">
            <w:pPr>
              <w:widowControl/>
              <w:jc w:val="center"/>
              <w:textAlignment w:val="center"/>
              <w:rPr>
                <w:color w:val="auto"/>
                <w:highlight w:val="none"/>
              </w:rPr>
            </w:pPr>
            <w:r>
              <w:rPr>
                <w:color w:val="auto"/>
                <w:highlight w:val="none"/>
              </w:rPr>
              <w:t>采用</w:t>
            </w:r>
            <w:r>
              <w:rPr>
                <w:rFonts w:hint="eastAsia" w:ascii="宋体" w:hAnsi="宋体" w:eastAsia="宋体" w:cs="宋体"/>
                <w:color w:val="auto"/>
                <w:highlight w:val="none"/>
              </w:rPr>
              <w:t>“</w:t>
            </w:r>
            <w:r>
              <w:rPr>
                <w:color w:val="auto"/>
                <w:highlight w:val="none"/>
              </w:rPr>
              <w:t>雨污分流、清污分流</w:t>
            </w:r>
            <w:r>
              <w:rPr>
                <w:rFonts w:hint="eastAsia" w:ascii="宋体" w:hAnsi="宋体" w:eastAsia="宋体" w:cs="宋体"/>
                <w:color w:val="auto"/>
                <w:highlight w:val="none"/>
              </w:rPr>
              <w:t>”</w:t>
            </w:r>
            <w:r>
              <w:rPr>
                <w:color w:val="auto"/>
                <w:highlight w:val="none"/>
              </w:rPr>
              <w:t>系统。生活污水经预处理后排入开发区污水管网；生产</w:t>
            </w:r>
            <w:r>
              <w:rPr>
                <w:rFonts w:hint="eastAsia"/>
                <w:color w:val="auto"/>
                <w:highlight w:val="none"/>
              </w:rPr>
              <w:t>废</w:t>
            </w:r>
            <w:r>
              <w:rPr>
                <w:color w:val="auto"/>
                <w:highlight w:val="none"/>
              </w:rPr>
              <w:t>水循环利用</w:t>
            </w:r>
            <w:r>
              <w:rPr>
                <w:rFonts w:hint="eastAsia"/>
                <w:color w:val="auto"/>
                <w:highlight w:val="none"/>
              </w:rPr>
              <w:t>和全部回用</w:t>
            </w:r>
            <w:r>
              <w:rPr>
                <w:color w:val="auto"/>
                <w:highlight w:val="none"/>
              </w:rPr>
              <w:t>，不外排；雨水在厂内汇入初期雨水收集池，前15分钟雨水切换进入污水管网，15分钟后雨水经溢流排入附近自然水体。</w:t>
            </w:r>
          </w:p>
        </w:tc>
        <w:tc>
          <w:tcPr>
            <w:tcW w:w="1138" w:type="pct"/>
            <w:tcBorders>
              <w:tl2br w:val="nil"/>
              <w:tr2bl w:val="nil"/>
            </w:tcBorders>
            <w:noWrap/>
            <w:vAlign w:val="center"/>
          </w:tcPr>
          <w:p w14:paraId="5B6E292B">
            <w:pPr>
              <w:widowControl/>
              <w:jc w:val="center"/>
              <w:textAlignment w:val="center"/>
              <w:rPr>
                <w:color w:val="auto"/>
                <w:highlight w:val="none"/>
              </w:rPr>
            </w:pPr>
            <w:r>
              <w:rPr>
                <w:rFonts w:hint="eastAsia"/>
                <w:color w:val="auto"/>
                <w:highlight w:val="none"/>
              </w:rPr>
              <w:t>采用“雨污分流、清污分流”系统。生活污水经预处理后排入开发区污水管网</w:t>
            </w:r>
            <w:r>
              <w:rPr>
                <w:rFonts w:hint="eastAsia"/>
                <w:color w:val="auto"/>
                <w:highlight w:val="none"/>
                <w:lang w:eastAsia="zh-CN"/>
              </w:rPr>
              <w:t>；</w:t>
            </w:r>
            <w:r>
              <w:rPr>
                <w:rFonts w:hint="eastAsia"/>
                <w:color w:val="auto"/>
                <w:highlight w:val="none"/>
              </w:rPr>
              <w:t>生产废水循环利用和全部回用，不外排</w:t>
            </w:r>
            <w:r>
              <w:rPr>
                <w:rFonts w:hint="eastAsia"/>
                <w:color w:val="auto"/>
                <w:highlight w:val="none"/>
                <w:lang w:eastAsia="zh-CN"/>
              </w:rPr>
              <w:t>；</w:t>
            </w:r>
            <w:r>
              <w:rPr>
                <w:rFonts w:hint="eastAsia"/>
                <w:color w:val="auto"/>
                <w:highlight w:val="none"/>
              </w:rPr>
              <w:t>雨水经厂区雨水管网排入市政雨水管网。</w:t>
            </w:r>
          </w:p>
        </w:tc>
        <w:tc>
          <w:tcPr>
            <w:tcW w:w="1210" w:type="pct"/>
            <w:tcBorders>
              <w:tl2br w:val="nil"/>
              <w:tr2bl w:val="nil"/>
            </w:tcBorders>
            <w:noWrap/>
            <w:vAlign w:val="center"/>
          </w:tcPr>
          <w:p w14:paraId="2F891183">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不变</w:t>
            </w:r>
          </w:p>
        </w:tc>
      </w:tr>
      <w:tr w14:paraId="125A45E8">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024A80F3">
            <w:pPr>
              <w:jc w:val="center"/>
              <w:rPr>
                <w:rFonts w:hint="eastAsia"/>
                <w:color w:val="auto"/>
                <w:szCs w:val="21"/>
                <w:lang w:val="en-US" w:eastAsia="zh-CN"/>
              </w:rPr>
            </w:pPr>
          </w:p>
        </w:tc>
        <w:tc>
          <w:tcPr>
            <w:tcW w:w="222" w:type="pct"/>
            <w:tcBorders>
              <w:tl2br w:val="nil"/>
              <w:tr2bl w:val="nil"/>
            </w:tcBorders>
            <w:noWrap/>
            <w:vAlign w:val="center"/>
          </w:tcPr>
          <w:p w14:paraId="37B86181">
            <w:pPr>
              <w:widowControl/>
              <w:jc w:val="center"/>
              <w:textAlignment w:val="center"/>
              <w:rPr>
                <w:color w:val="auto"/>
              </w:rPr>
            </w:pPr>
            <w:r>
              <w:rPr>
                <w:color w:val="auto"/>
                <w:szCs w:val="21"/>
              </w:rPr>
              <w:t>循环水池</w:t>
            </w:r>
          </w:p>
        </w:tc>
        <w:tc>
          <w:tcPr>
            <w:tcW w:w="1138" w:type="pct"/>
            <w:gridSpan w:val="2"/>
            <w:tcBorders>
              <w:tl2br w:val="nil"/>
              <w:tr2bl w:val="nil"/>
            </w:tcBorders>
            <w:shd w:val="clear" w:color="auto" w:fill="auto"/>
            <w:noWrap/>
            <w:vAlign w:val="center"/>
          </w:tcPr>
          <w:p w14:paraId="073B152F">
            <w:pPr>
              <w:widowControl/>
              <w:jc w:val="center"/>
              <w:textAlignment w:val="center"/>
              <w:rPr>
                <w:color w:val="auto"/>
              </w:rPr>
            </w:pPr>
            <w:r>
              <w:rPr>
                <w:color w:val="auto"/>
                <w:szCs w:val="21"/>
              </w:rPr>
              <w:t>12 m×3m×2.5m，容积90m</w:t>
            </w:r>
            <w:r>
              <w:rPr>
                <w:color w:val="auto"/>
                <w:szCs w:val="21"/>
                <w:vertAlign w:val="superscript"/>
              </w:rPr>
              <w:t>3</w:t>
            </w:r>
            <w:r>
              <w:rPr>
                <w:color w:val="auto"/>
                <w:szCs w:val="21"/>
              </w:rPr>
              <w:t>。</w:t>
            </w:r>
          </w:p>
        </w:tc>
        <w:tc>
          <w:tcPr>
            <w:tcW w:w="3184" w:type="dxa"/>
            <w:tcBorders>
              <w:tl2br w:val="nil"/>
              <w:tr2bl w:val="nil"/>
            </w:tcBorders>
            <w:noWrap/>
            <w:vAlign w:val="center"/>
          </w:tcPr>
          <w:p w14:paraId="6541E919">
            <w:pPr>
              <w:widowControl/>
              <w:jc w:val="center"/>
              <w:textAlignment w:val="center"/>
              <w:rPr>
                <w:color w:val="auto"/>
                <w:szCs w:val="21"/>
              </w:rPr>
            </w:pPr>
            <w:r>
              <w:rPr>
                <w:color w:val="auto"/>
                <w:szCs w:val="21"/>
              </w:rPr>
              <w:t>12 m×3m×2.5m，容积90m</w:t>
            </w:r>
            <w:r>
              <w:rPr>
                <w:color w:val="auto"/>
                <w:szCs w:val="21"/>
                <w:vertAlign w:val="superscript"/>
              </w:rPr>
              <w:t>3</w:t>
            </w:r>
            <w:r>
              <w:rPr>
                <w:color w:val="auto"/>
                <w:szCs w:val="21"/>
              </w:rPr>
              <w:t>。</w:t>
            </w:r>
          </w:p>
        </w:tc>
        <w:tc>
          <w:tcPr>
            <w:tcW w:w="1138" w:type="pct"/>
            <w:tcBorders>
              <w:tl2br w:val="nil"/>
              <w:tr2bl w:val="nil"/>
            </w:tcBorders>
            <w:noWrap/>
            <w:vAlign w:val="center"/>
          </w:tcPr>
          <w:p w14:paraId="74C8A321">
            <w:pPr>
              <w:widowControl/>
              <w:jc w:val="center"/>
              <w:textAlignment w:val="center"/>
              <w:rPr>
                <w:color w:val="auto"/>
              </w:rPr>
            </w:pPr>
            <w:r>
              <w:rPr>
                <w:rFonts w:hint="eastAsia"/>
                <w:color w:val="auto"/>
                <w:szCs w:val="21"/>
                <w:lang w:val="en-US" w:eastAsia="zh-CN"/>
              </w:rPr>
              <w:t>78</w:t>
            </w:r>
            <w:r>
              <w:rPr>
                <w:color w:val="auto"/>
                <w:szCs w:val="21"/>
              </w:rPr>
              <w:t>m×</w:t>
            </w:r>
            <w:r>
              <w:rPr>
                <w:rFonts w:hint="eastAsia"/>
                <w:color w:val="auto"/>
                <w:szCs w:val="21"/>
                <w:lang w:val="en-US" w:eastAsia="zh-CN"/>
              </w:rPr>
              <w:t>5.8</w:t>
            </w:r>
            <w:r>
              <w:rPr>
                <w:color w:val="auto"/>
                <w:szCs w:val="21"/>
              </w:rPr>
              <w:t>m×</w:t>
            </w:r>
            <w:r>
              <w:rPr>
                <w:rFonts w:hint="eastAsia"/>
                <w:color w:val="auto"/>
                <w:szCs w:val="21"/>
                <w:lang w:val="en-US" w:eastAsia="zh-CN"/>
              </w:rPr>
              <w:t>4.5</w:t>
            </w:r>
            <w:r>
              <w:rPr>
                <w:color w:val="auto"/>
                <w:szCs w:val="21"/>
              </w:rPr>
              <w:t>m，容积</w:t>
            </w:r>
            <w:r>
              <w:rPr>
                <w:rFonts w:hint="eastAsia"/>
                <w:color w:val="auto"/>
                <w:szCs w:val="21"/>
                <w:lang w:val="en-US" w:eastAsia="zh-CN"/>
              </w:rPr>
              <w:t>2000</w:t>
            </w:r>
            <w:r>
              <w:rPr>
                <w:color w:val="auto"/>
                <w:szCs w:val="21"/>
              </w:rPr>
              <w:t>m</w:t>
            </w:r>
            <w:r>
              <w:rPr>
                <w:color w:val="auto"/>
                <w:szCs w:val="21"/>
                <w:vertAlign w:val="superscript"/>
              </w:rPr>
              <w:t>3</w:t>
            </w:r>
            <w:r>
              <w:rPr>
                <w:color w:val="auto"/>
                <w:szCs w:val="21"/>
              </w:rPr>
              <w:t>。</w:t>
            </w:r>
          </w:p>
        </w:tc>
        <w:tc>
          <w:tcPr>
            <w:tcW w:w="1210" w:type="pct"/>
            <w:tcBorders>
              <w:tl2br w:val="nil"/>
              <w:tr2bl w:val="nil"/>
            </w:tcBorders>
            <w:noWrap/>
            <w:vAlign w:val="center"/>
          </w:tcPr>
          <w:p w14:paraId="46C51D2A">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260模铸锭改500模铸锭，单锭重量、冷却强度、间歇用水峰值都变大，水池需要更大容积来削峰填谷，避免水泵频繁启停、水压不稳</w:t>
            </w:r>
          </w:p>
        </w:tc>
      </w:tr>
      <w:tr w14:paraId="1D6C93A3">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316F414E">
            <w:pPr>
              <w:jc w:val="center"/>
              <w:rPr>
                <w:rFonts w:hint="eastAsia"/>
                <w:color w:val="auto"/>
                <w:szCs w:val="21"/>
                <w:lang w:val="en-US" w:eastAsia="zh-CN"/>
              </w:rPr>
            </w:pPr>
          </w:p>
        </w:tc>
        <w:tc>
          <w:tcPr>
            <w:tcW w:w="222" w:type="pct"/>
            <w:tcBorders>
              <w:tl2br w:val="nil"/>
              <w:tr2bl w:val="nil"/>
            </w:tcBorders>
            <w:noWrap/>
            <w:vAlign w:val="center"/>
          </w:tcPr>
          <w:p w14:paraId="402C8D14">
            <w:pPr>
              <w:widowControl/>
              <w:jc w:val="center"/>
              <w:textAlignment w:val="center"/>
              <w:rPr>
                <w:color w:val="auto"/>
                <w:szCs w:val="21"/>
              </w:rPr>
            </w:pPr>
            <w:r>
              <w:rPr>
                <w:color w:val="auto"/>
              </w:rPr>
              <w:t>氮气机</w:t>
            </w:r>
          </w:p>
        </w:tc>
        <w:tc>
          <w:tcPr>
            <w:tcW w:w="1138" w:type="pct"/>
            <w:gridSpan w:val="2"/>
            <w:tcBorders>
              <w:tl2br w:val="nil"/>
              <w:tr2bl w:val="nil"/>
            </w:tcBorders>
            <w:shd w:val="clear" w:color="auto" w:fill="auto"/>
            <w:noWrap/>
            <w:vAlign w:val="center"/>
          </w:tcPr>
          <w:p w14:paraId="25C5567F">
            <w:pPr>
              <w:widowControl/>
              <w:jc w:val="center"/>
              <w:textAlignment w:val="center"/>
              <w:rPr>
                <w:color w:val="auto"/>
                <w:szCs w:val="21"/>
                <w:highlight w:val="none"/>
              </w:rPr>
            </w:pPr>
            <w:r>
              <w:rPr>
                <w:color w:val="auto"/>
                <w:szCs w:val="21"/>
                <w:highlight w:val="none"/>
              </w:rPr>
              <w:t>1套制氮机</w:t>
            </w:r>
          </w:p>
        </w:tc>
        <w:tc>
          <w:tcPr>
            <w:tcW w:w="3184" w:type="dxa"/>
            <w:tcBorders>
              <w:tl2br w:val="nil"/>
              <w:tr2bl w:val="nil"/>
            </w:tcBorders>
            <w:noWrap/>
            <w:vAlign w:val="center"/>
          </w:tcPr>
          <w:p w14:paraId="44C1F75A">
            <w:pPr>
              <w:widowControl/>
              <w:jc w:val="center"/>
              <w:textAlignment w:val="center"/>
              <w:rPr>
                <w:color w:val="auto"/>
                <w:szCs w:val="21"/>
                <w:highlight w:val="none"/>
              </w:rPr>
            </w:pPr>
            <w:r>
              <w:rPr>
                <w:color w:val="auto"/>
                <w:szCs w:val="21"/>
                <w:highlight w:val="none"/>
              </w:rPr>
              <w:t>1套制氮机</w:t>
            </w:r>
          </w:p>
        </w:tc>
        <w:tc>
          <w:tcPr>
            <w:tcW w:w="1138" w:type="pct"/>
            <w:tcBorders>
              <w:tl2br w:val="nil"/>
              <w:tr2bl w:val="nil"/>
            </w:tcBorders>
            <w:noWrap/>
            <w:vAlign w:val="center"/>
          </w:tcPr>
          <w:p w14:paraId="730D6259">
            <w:pPr>
              <w:widowControl/>
              <w:jc w:val="center"/>
              <w:textAlignment w:val="center"/>
              <w:rPr>
                <w:rFonts w:hint="default" w:eastAsia="宋体"/>
                <w:color w:val="auto"/>
                <w:szCs w:val="21"/>
                <w:highlight w:val="none"/>
                <w:lang w:val="en-US" w:eastAsia="zh-CN"/>
              </w:rPr>
            </w:pPr>
            <w:r>
              <w:rPr>
                <w:rFonts w:hint="eastAsia"/>
                <w:color w:val="auto"/>
                <w:szCs w:val="21"/>
                <w:highlight w:val="none"/>
                <w:lang w:val="en-US" w:eastAsia="zh-CN"/>
              </w:rPr>
              <w:t>购置液氮</w:t>
            </w:r>
          </w:p>
        </w:tc>
        <w:tc>
          <w:tcPr>
            <w:tcW w:w="1210" w:type="pct"/>
            <w:tcBorders>
              <w:tl2br w:val="nil"/>
              <w:tr2bl w:val="nil"/>
            </w:tcBorders>
            <w:noWrap/>
            <w:vAlign w:val="center"/>
          </w:tcPr>
          <w:p w14:paraId="5044E41F">
            <w:pPr>
              <w:widowControl/>
              <w:jc w:val="center"/>
              <w:textAlignment w:val="center"/>
              <w:rPr>
                <w:rFonts w:hint="default"/>
                <w:color w:val="auto"/>
                <w:kern w:val="0"/>
                <w:szCs w:val="21"/>
                <w:highlight w:val="yellow"/>
                <w:lang w:val="en-US" w:eastAsia="zh-CN" w:bidi="ar"/>
              </w:rPr>
            </w:pPr>
            <w:r>
              <w:rPr>
                <w:rFonts w:hint="eastAsia"/>
                <w:color w:val="auto"/>
                <w:kern w:val="0"/>
                <w:szCs w:val="21"/>
                <w:highlight w:val="none"/>
                <w:lang w:val="en-US" w:eastAsia="zh-CN" w:bidi="ar"/>
              </w:rPr>
              <w:t>不变</w:t>
            </w:r>
          </w:p>
        </w:tc>
      </w:tr>
      <w:tr w14:paraId="548E14CF">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166D3E57">
            <w:pPr>
              <w:jc w:val="center"/>
              <w:rPr>
                <w:rFonts w:hint="eastAsia"/>
                <w:color w:val="auto"/>
                <w:szCs w:val="21"/>
                <w:lang w:val="en-US" w:eastAsia="zh-CN"/>
              </w:rPr>
            </w:pPr>
          </w:p>
        </w:tc>
        <w:tc>
          <w:tcPr>
            <w:tcW w:w="222" w:type="pct"/>
            <w:tcBorders>
              <w:tl2br w:val="nil"/>
              <w:tr2bl w:val="nil"/>
            </w:tcBorders>
            <w:noWrap/>
            <w:vAlign w:val="center"/>
          </w:tcPr>
          <w:p w14:paraId="17C43CDF">
            <w:pPr>
              <w:widowControl/>
              <w:jc w:val="center"/>
              <w:textAlignment w:val="center"/>
              <w:rPr>
                <w:rFonts w:hint="eastAsia" w:eastAsia="宋体"/>
                <w:color w:val="auto"/>
                <w:lang w:val="en-US" w:eastAsia="zh-CN"/>
              </w:rPr>
            </w:pPr>
            <w:r>
              <w:rPr>
                <w:rFonts w:hint="eastAsia"/>
                <w:color w:val="auto"/>
                <w:lang w:val="en-US" w:eastAsia="zh-CN"/>
              </w:rPr>
              <w:t>空压机</w:t>
            </w:r>
          </w:p>
        </w:tc>
        <w:tc>
          <w:tcPr>
            <w:tcW w:w="1138" w:type="pct"/>
            <w:gridSpan w:val="2"/>
            <w:tcBorders>
              <w:tl2br w:val="nil"/>
              <w:tr2bl w:val="nil"/>
            </w:tcBorders>
            <w:shd w:val="clear" w:color="auto" w:fill="auto"/>
            <w:noWrap/>
            <w:vAlign w:val="center"/>
          </w:tcPr>
          <w:p w14:paraId="7F04BCCC">
            <w:pPr>
              <w:widowControl/>
              <w:jc w:val="center"/>
              <w:textAlignment w:val="center"/>
              <w:rPr>
                <w:color w:val="auto"/>
                <w:szCs w:val="21"/>
                <w:highlight w:val="none"/>
              </w:rPr>
            </w:pPr>
            <w:r>
              <w:rPr>
                <w:rFonts w:hint="eastAsia"/>
                <w:color w:val="auto"/>
                <w:szCs w:val="21"/>
                <w:highlight w:val="none"/>
              </w:rPr>
              <w:t>1台螺杆式空压机</w:t>
            </w:r>
          </w:p>
        </w:tc>
        <w:tc>
          <w:tcPr>
            <w:tcW w:w="3184" w:type="dxa"/>
            <w:tcBorders>
              <w:tl2br w:val="nil"/>
              <w:tr2bl w:val="nil"/>
            </w:tcBorders>
            <w:noWrap/>
            <w:vAlign w:val="center"/>
          </w:tcPr>
          <w:p w14:paraId="40278485">
            <w:pPr>
              <w:widowControl/>
              <w:jc w:val="center"/>
              <w:textAlignment w:val="center"/>
              <w:rPr>
                <w:rFonts w:hint="eastAsia"/>
                <w:color w:val="auto"/>
                <w:szCs w:val="21"/>
                <w:highlight w:val="none"/>
              </w:rPr>
            </w:pPr>
            <w:r>
              <w:rPr>
                <w:rFonts w:hint="eastAsia"/>
                <w:color w:val="auto"/>
                <w:szCs w:val="21"/>
                <w:highlight w:val="none"/>
              </w:rPr>
              <w:t>1台螺杆式空压机</w:t>
            </w:r>
          </w:p>
        </w:tc>
        <w:tc>
          <w:tcPr>
            <w:tcW w:w="1138" w:type="pct"/>
            <w:tcBorders>
              <w:tl2br w:val="nil"/>
              <w:tr2bl w:val="nil"/>
            </w:tcBorders>
            <w:noWrap/>
            <w:vAlign w:val="center"/>
          </w:tcPr>
          <w:p w14:paraId="2679CA7E">
            <w:pPr>
              <w:widowControl/>
              <w:jc w:val="center"/>
              <w:textAlignment w:val="center"/>
              <w:rPr>
                <w:rFonts w:hint="eastAsia"/>
                <w:color w:val="auto"/>
                <w:szCs w:val="21"/>
                <w:highlight w:val="none"/>
                <w:lang w:val="en-US" w:eastAsia="zh-CN"/>
              </w:rPr>
            </w:pPr>
            <w:r>
              <w:rPr>
                <w:rFonts w:hint="eastAsia"/>
                <w:color w:val="auto"/>
                <w:szCs w:val="21"/>
                <w:highlight w:val="none"/>
                <w:lang w:val="en-US" w:eastAsia="zh-CN"/>
              </w:rPr>
              <w:t>1台螺杆式空压机</w:t>
            </w:r>
          </w:p>
        </w:tc>
        <w:tc>
          <w:tcPr>
            <w:tcW w:w="1210" w:type="pct"/>
            <w:tcBorders>
              <w:tl2br w:val="nil"/>
              <w:tr2bl w:val="nil"/>
            </w:tcBorders>
            <w:noWrap/>
            <w:vAlign w:val="center"/>
          </w:tcPr>
          <w:p w14:paraId="7883D301">
            <w:pPr>
              <w:widowControl/>
              <w:jc w:val="center"/>
              <w:textAlignment w:val="center"/>
              <w:rPr>
                <w:rFonts w:hint="eastAsia"/>
                <w:color w:val="auto"/>
                <w:kern w:val="0"/>
                <w:szCs w:val="21"/>
                <w:highlight w:val="yellow"/>
                <w:lang w:val="en-US" w:eastAsia="zh-CN" w:bidi="ar"/>
              </w:rPr>
            </w:pPr>
            <w:r>
              <w:rPr>
                <w:rFonts w:hint="eastAsia"/>
                <w:color w:val="auto"/>
                <w:kern w:val="0"/>
                <w:szCs w:val="21"/>
                <w:lang w:val="en-US" w:eastAsia="zh-CN" w:bidi="ar"/>
              </w:rPr>
              <w:t>不变</w:t>
            </w:r>
          </w:p>
        </w:tc>
      </w:tr>
      <w:tr w14:paraId="2CF9D247">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06244FE5">
            <w:pPr>
              <w:jc w:val="center"/>
              <w:rPr>
                <w:rFonts w:hint="eastAsia"/>
                <w:color w:val="auto"/>
                <w:szCs w:val="21"/>
                <w:lang w:val="en-US" w:eastAsia="zh-CN"/>
              </w:rPr>
            </w:pPr>
          </w:p>
        </w:tc>
        <w:tc>
          <w:tcPr>
            <w:tcW w:w="222" w:type="pct"/>
            <w:tcBorders>
              <w:tl2br w:val="nil"/>
              <w:tr2bl w:val="nil"/>
            </w:tcBorders>
            <w:noWrap/>
            <w:vAlign w:val="center"/>
          </w:tcPr>
          <w:p w14:paraId="7302B5DB">
            <w:pPr>
              <w:widowControl/>
              <w:jc w:val="center"/>
              <w:textAlignment w:val="center"/>
              <w:rPr>
                <w:rFonts w:hint="default"/>
                <w:color w:val="auto"/>
                <w:lang w:val="en-US" w:eastAsia="zh-CN"/>
              </w:rPr>
            </w:pPr>
            <w:r>
              <w:rPr>
                <w:rFonts w:hint="eastAsia"/>
                <w:color w:val="auto"/>
                <w:lang w:val="en-US" w:eastAsia="zh-CN"/>
              </w:rPr>
              <w:t>供气</w:t>
            </w:r>
          </w:p>
        </w:tc>
        <w:tc>
          <w:tcPr>
            <w:tcW w:w="1138" w:type="pct"/>
            <w:gridSpan w:val="2"/>
            <w:tcBorders>
              <w:tl2br w:val="nil"/>
              <w:tr2bl w:val="nil"/>
            </w:tcBorders>
            <w:shd w:val="clear" w:color="auto" w:fill="auto"/>
            <w:noWrap/>
            <w:vAlign w:val="center"/>
          </w:tcPr>
          <w:p w14:paraId="60F512B7">
            <w:pPr>
              <w:widowControl/>
              <w:jc w:val="center"/>
              <w:textAlignment w:val="center"/>
              <w:rPr>
                <w:rFonts w:hint="eastAsia" w:eastAsia="宋体"/>
                <w:color w:val="auto"/>
                <w:szCs w:val="21"/>
                <w:highlight w:val="none"/>
                <w:lang w:eastAsia="zh-CN"/>
              </w:rPr>
            </w:pPr>
            <w:r>
              <w:rPr>
                <w:color w:val="auto"/>
                <w:szCs w:val="21"/>
                <w:highlight w:val="none"/>
              </w:rPr>
              <w:t>使用市政天然气作为燃料</w:t>
            </w:r>
            <w:r>
              <w:rPr>
                <w:rFonts w:hint="eastAsia"/>
                <w:color w:val="auto"/>
                <w:szCs w:val="21"/>
                <w:highlight w:val="none"/>
                <w:lang w:eastAsia="zh-CN"/>
              </w:rPr>
              <w:t>（</w:t>
            </w:r>
            <w:r>
              <w:rPr>
                <w:rFonts w:hint="eastAsia"/>
                <w:color w:val="auto"/>
                <w:szCs w:val="21"/>
                <w:highlight w:val="none"/>
                <w:lang w:val="en-US" w:eastAsia="zh-CN"/>
              </w:rPr>
              <w:t>404万m</w:t>
            </w:r>
            <w:r>
              <w:rPr>
                <w:rFonts w:hint="eastAsia"/>
                <w:color w:val="auto"/>
                <w:szCs w:val="21"/>
                <w:highlight w:val="none"/>
                <w:vertAlign w:val="superscript"/>
                <w:lang w:val="en-US" w:eastAsia="zh-CN"/>
              </w:rPr>
              <w:t>3</w:t>
            </w:r>
            <w:r>
              <w:rPr>
                <w:rFonts w:hint="eastAsia"/>
                <w:color w:val="auto"/>
                <w:szCs w:val="21"/>
                <w:highlight w:val="none"/>
                <w:lang w:val="en-US" w:eastAsia="zh-CN"/>
              </w:rPr>
              <w:t>/a</w:t>
            </w:r>
            <w:r>
              <w:rPr>
                <w:rFonts w:hint="eastAsia"/>
                <w:color w:val="auto"/>
                <w:szCs w:val="21"/>
                <w:highlight w:val="none"/>
                <w:lang w:eastAsia="zh-CN"/>
              </w:rPr>
              <w:t>）</w:t>
            </w:r>
          </w:p>
        </w:tc>
        <w:tc>
          <w:tcPr>
            <w:tcW w:w="3184" w:type="dxa"/>
            <w:tcBorders>
              <w:tl2br w:val="nil"/>
              <w:tr2bl w:val="nil"/>
            </w:tcBorders>
            <w:noWrap/>
            <w:vAlign w:val="center"/>
          </w:tcPr>
          <w:p w14:paraId="757734C3">
            <w:pPr>
              <w:widowControl/>
              <w:jc w:val="center"/>
              <w:textAlignment w:val="center"/>
              <w:rPr>
                <w:color w:val="auto"/>
                <w:szCs w:val="21"/>
                <w:highlight w:val="none"/>
              </w:rPr>
            </w:pPr>
            <w:r>
              <w:rPr>
                <w:color w:val="auto"/>
                <w:szCs w:val="21"/>
                <w:highlight w:val="none"/>
              </w:rPr>
              <w:t>使用市政天然气作为燃料</w:t>
            </w:r>
            <w:r>
              <w:rPr>
                <w:rFonts w:hint="eastAsia"/>
                <w:color w:val="auto"/>
                <w:szCs w:val="21"/>
                <w:highlight w:val="none"/>
                <w:lang w:eastAsia="zh-CN"/>
              </w:rPr>
              <w:t>（</w:t>
            </w:r>
            <w:r>
              <w:rPr>
                <w:rFonts w:hint="eastAsia"/>
                <w:color w:val="auto"/>
                <w:szCs w:val="21"/>
                <w:highlight w:val="none"/>
                <w:lang w:val="en-US" w:eastAsia="zh-CN"/>
              </w:rPr>
              <w:t>404万m</w:t>
            </w:r>
            <w:r>
              <w:rPr>
                <w:rFonts w:hint="eastAsia"/>
                <w:color w:val="auto"/>
                <w:szCs w:val="21"/>
                <w:highlight w:val="none"/>
                <w:vertAlign w:val="superscript"/>
                <w:lang w:val="en-US" w:eastAsia="zh-CN"/>
              </w:rPr>
              <w:t>3</w:t>
            </w:r>
            <w:r>
              <w:rPr>
                <w:rFonts w:hint="eastAsia"/>
                <w:color w:val="auto"/>
                <w:szCs w:val="21"/>
                <w:highlight w:val="none"/>
                <w:lang w:val="en-US" w:eastAsia="zh-CN"/>
              </w:rPr>
              <w:t>/a</w:t>
            </w:r>
            <w:r>
              <w:rPr>
                <w:rFonts w:hint="eastAsia"/>
                <w:color w:val="auto"/>
                <w:szCs w:val="21"/>
                <w:highlight w:val="none"/>
                <w:lang w:eastAsia="zh-CN"/>
              </w:rPr>
              <w:t>）</w:t>
            </w:r>
          </w:p>
        </w:tc>
        <w:tc>
          <w:tcPr>
            <w:tcW w:w="1138" w:type="pct"/>
            <w:tcBorders>
              <w:tl2br w:val="nil"/>
              <w:tr2bl w:val="nil"/>
            </w:tcBorders>
            <w:noWrap/>
            <w:vAlign w:val="center"/>
          </w:tcPr>
          <w:p w14:paraId="62B84FC9">
            <w:pPr>
              <w:widowControl/>
              <w:jc w:val="center"/>
              <w:textAlignment w:val="center"/>
              <w:rPr>
                <w:rFonts w:hint="eastAsia"/>
                <w:color w:val="auto"/>
                <w:szCs w:val="21"/>
                <w:highlight w:val="none"/>
                <w:lang w:val="en-US" w:eastAsia="zh-CN"/>
              </w:rPr>
            </w:pPr>
            <w:r>
              <w:rPr>
                <w:color w:val="auto"/>
                <w:szCs w:val="21"/>
                <w:highlight w:val="none"/>
              </w:rPr>
              <w:t>使用市政天然气作为燃料</w:t>
            </w:r>
            <w:r>
              <w:rPr>
                <w:rFonts w:hint="eastAsia"/>
                <w:color w:val="auto"/>
                <w:szCs w:val="21"/>
                <w:highlight w:val="none"/>
                <w:lang w:eastAsia="zh-CN"/>
              </w:rPr>
              <w:t>（</w:t>
            </w:r>
            <w:r>
              <w:rPr>
                <w:rFonts w:hint="eastAsia"/>
                <w:color w:val="auto"/>
                <w:szCs w:val="21"/>
                <w:highlight w:val="none"/>
                <w:lang w:val="en-US" w:eastAsia="zh-CN"/>
              </w:rPr>
              <w:t>404万m</w:t>
            </w:r>
            <w:r>
              <w:rPr>
                <w:rFonts w:hint="eastAsia"/>
                <w:color w:val="auto"/>
                <w:szCs w:val="21"/>
                <w:highlight w:val="none"/>
                <w:vertAlign w:val="superscript"/>
                <w:lang w:val="en-US" w:eastAsia="zh-CN"/>
              </w:rPr>
              <w:t>3</w:t>
            </w:r>
            <w:r>
              <w:rPr>
                <w:rFonts w:hint="eastAsia"/>
                <w:color w:val="auto"/>
                <w:szCs w:val="21"/>
                <w:highlight w:val="none"/>
                <w:lang w:val="en-US" w:eastAsia="zh-CN"/>
              </w:rPr>
              <w:t>/a</w:t>
            </w:r>
            <w:r>
              <w:rPr>
                <w:rFonts w:hint="eastAsia"/>
                <w:color w:val="auto"/>
                <w:szCs w:val="21"/>
                <w:highlight w:val="none"/>
                <w:lang w:eastAsia="zh-CN"/>
              </w:rPr>
              <w:t>）</w:t>
            </w:r>
          </w:p>
        </w:tc>
        <w:tc>
          <w:tcPr>
            <w:tcW w:w="1210" w:type="pct"/>
            <w:tcBorders>
              <w:tl2br w:val="nil"/>
              <w:tr2bl w:val="nil"/>
            </w:tcBorders>
            <w:noWrap/>
            <w:vAlign w:val="center"/>
          </w:tcPr>
          <w:p w14:paraId="0B57320F">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不变</w:t>
            </w:r>
          </w:p>
        </w:tc>
      </w:tr>
      <w:tr w14:paraId="1F7D5B5B">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tcBorders>
              <w:tl2br w:val="nil"/>
              <w:tr2bl w:val="nil"/>
            </w:tcBorders>
            <w:noWrap/>
            <w:vAlign w:val="center"/>
          </w:tcPr>
          <w:p w14:paraId="4782D014">
            <w:pPr>
              <w:jc w:val="center"/>
              <w:rPr>
                <w:rFonts w:hint="eastAsia"/>
                <w:color w:val="auto"/>
                <w:szCs w:val="21"/>
                <w:lang w:val="en-US" w:eastAsia="zh-CN"/>
              </w:rPr>
            </w:pPr>
          </w:p>
        </w:tc>
        <w:tc>
          <w:tcPr>
            <w:tcW w:w="222" w:type="pct"/>
            <w:tcBorders>
              <w:tl2br w:val="nil"/>
              <w:tr2bl w:val="nil"/>
            </w:tcBorders>
            <w:noWrap/>
            <w:vAlign w:val="center"/>
          </w:tcPr>
          <w:p w14:paraId="3CEF9B52">
            <w:pPr>
              <w:widowControl/>
              <w:jc w:val="center"/>
              <w:textAlignment w:val="center"/>
              <w:rPr>
                <w:rFonts w:hint="default"/>
                <w:color w:val="auto"/>
                <w:lang w:val="en-US" w:eastAsia="zh-CN"/>
              </w:rPr>
            </w:pPr>
            <w:r>
              <w:rPr>
                <w:rFonts w:hint="eastAsia"/>
                <w:color w:val="auto"/>
                <w:lang w:val="en-US" w:eastAsia="zh-CN"/>
              </w:rPr>
              <w:t>供电</w:t>
            </w:r>
          </w:p>
        </w:tc>
        <w:tc>
          <w:tcPr>
            <w:tcW w:w="1138" w:type="pct"/>
            <w:gridSpan w:val="2"/>
            <w:tcBorders>
              <w:tl2br w:val="nil"/>
              <w:tr2bl w:val="nil"/>
            </w:tcBorders>
            <w:shd w:val="clear" w:color="auto" w:fill="auto"/>
            <w:noWrap/>
            <w:vAlign w:val="center"/>
          </w:tcPr>
          <w:p w14:paraId="3CBA43A5">
            <w:pPr>
              <w:widowControl/>
              <w:jc w:val="center"/>
              <w:textAlignment w:val="center"/>
              <w:rPr>
                <w:color w:val="auto"/>
                <w:szCs w:val="21"/>
              </w:rPr>
            </w:pPr>
            <w:r>
              <w:rPr>
                <w:color w:val="auto"/>
                <w:szCs w:val="21"/>
              </w:rPr>
              <w:t>来自</w:t>
            </w:r>
            <w:r>
              <w:rPr>
                <w:color w:val="auto"/>
              </w:rPr>
              <w:t>淮北供电公司濉溪经济开发区变电所</w:t>
            </w:r>
          </w:p>
        </w:tc>
        <w:tc>
          <w:tcPr>
            <w:tcW w:w="3184" w:type="dxa"/>
            <w:tcBorders>
              <w:tl2br w:val="nil"/>
              <w:tr2bl w:val="nil"/>
            </w:tcBorders>
            <w:noWrap/>
            <w:vAlign w:val="center"/>
          </w:tcPr>
          <w:p w14:paraId="2EC2C73D">
            <w:pPr>
              <w:widowControl/>
              <w:jc w:val="center"/>
              <w:textAlignment w:val="center"/>
              <w:rPr>
                <w:color w:val="auto"/>
                <w:szCs w:val="21"/>
              </w:rPr>
            </w:pPr>
            <w:r>
              <w:rPr>
                <w:color w:val="auto"/>
                <w:szCs w:val="21"/>
              </w:rPr>
              <w:t>来自</w:t>
            </w:r>
            <w:r>
              <w:rPr>
                <w:color w:val="auto"/>
              </w:rPr>
              <w:t>淮北供电公司濉溪经济开发区变电所</w:t>
            </w:r>
          </w:p>
        </w:tc>
        <w:tc>
          <w:tcPr>
            <w:tcW w:w="1138" w:type="pct"/>
            <w:tcBorders>
              <w:tl2br w:val="nil"/>
              <w:tr2bl w:val="nil"/>
            </w:tcBorders>
            <w:noWrap/>
            <w:vAlign w:val="center"/>
          </w:tcPr>
          <w:p w14:paraId="0D5E62A2">
            <w:pPr>
              <w:widowControl/>
              <w:jc w:val="center"/>
              <w:textAlignment w:val="center"/>
              <w:rPr>
                <w:color w:val="auto"/>
                <w:szCs w:val="21"/>
              </w:rPr>
            </w:pPr>
            <w:r>
              <w:rPr>
                <w:rFonts w:hint="eastAsia"/>
                <w:color w:val="auto"/>
                <w:szCs w:val="21"/>
              </w:rPr>
              <w:t>由濉溪经济开发区供电网供给</w:t>
            </w:r>
          </w:p>
        </w:tc>
        <w:tc>
          <w:tcPr>
            <w:tcW w:w="1210" w:type="pct"/>
            <w:tcBorders>
              <w:tl2br w:val="nil"/>
              <w:tr2bl w:val="nil"/>
            </w:tcBorders>
            <w:noWrap/>
            <w:vAlign w:val="center"/>
          </w:tcPr>
          <w:p w14:paraId="63428227">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不变</w:t>
            </w:r>
          </w:p>
        </w:tc>
      </w:tr>
      <w:tr w14:paraId="46439464">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restart"/>
            <w:tcBorders>
              <w:tl2br w:val="nil"/>
              <w:tr2bl w:val="nil"/>
            </w:tcBorders>
            <w:noWrap/>
            <w:vAlign w:val="center"/>
          </w:tcPr>
          <w:p w14:paraId="52579BA6">
            <w:pPr>
              <w:widowControl/>
              <w:jc w:val="center"/>
              <w:textAlignment w:val="center"/>
              <w:rPr>
                <w:color w:val="auto"/>
                <w:szCs w:val="21"/>
              </w:rPr>
            </w:pPr>
            <w:r>
              <w:rPr>
                <w:color w:val="auto"/>
                <w:kern w:val="0"/>
                <w:szCs w:val="21"/>
                <w:lang w:bidi="ar"/>
              </w:rPr>
              <w:t>储运工程</w:t>
            </w:r>
          </w:p>
        </w:tc>
        <w:tc>
          <w:tcPr>
            <w:tcW w:w="222" w:type="pct"/>
            <w:tcBorders>
              <w:tl2br w:val="nil"/>
              <w:tr2bl w:val="nil"/>
            </w:tcBorders>
            <w:noWrap/>
            <w:vAlign w:val="center"/>
          </w:tcPr>
          <w:p w14:paraId="05FB1FC7">
            <w:pPr>
              <w:widowControl/>
              <w:jc w:val="center"/>
              <w:textAlignment w:val="center"/>
              <w:rPr>
                <w:color w:val="auto"/>
                <w:szCs w:val="21"/>
              </w:rPr>
            </w:pPr>
            <w:r>
              <w:rPr>
                <w:color w:val="auto"/>
              </w:rPr>
              <w:t>原料库</w:t>
            </w:r>
          </w:p>
        </w:tc>
        <w:tc>
          <w:tcPr>
            <w:tcW w:w="1138" w:type="pct"/>
            <w:gridSpan w:val="2"/>
            <w:tcBorders>
              <w:tl2br w:val="nil"/>
              <w:tr2bl w:val="nil"/>
            </w:tcBorders>
            <w:shd w:val="clear" w:color="auto" w:fill="auto"/>
            <w:noWrap/>
            <w:vAlign w:val="center"/>
          </w:tcPr>
          <w:p w14:paraId="51479B66">
            <w:pPr>
              <w:widowControl/>
              <w:jc w:val="center"/>
              <w:textAlignment w:val="center"/>
              <w:rPr>
                <w:rFonts w:hint="eastAsia" w:ascii="Times New Roman" w:hAnsi="Times New Roman" w:eastAsia="宋体" w:cs="Times New Roman"/>
                <w:color w:val="auto"/>
                <w:kern w:val="2"/>
                <w:sz w:val="21"/>
                <w:szCs w:val="21"/>
                <w:lang w:val="en-US" w:eastAsia="zh-CN" w:bidi="ar-SA"/>
              </w:rPr>
            </w:pPr>
            <w:r>
              <w:rPr>
                <w:color w:val="auto"/>
                <w:kern w:val="0"/>
                <w:szCs w:val="21"/>
                <w:lang w:bidi="ar"/>
              </w:rPr>
              <w:t>1F，</w:t>
            </w:r>
            <w:r>
              <w:rPr>
                <w:color w:val="auto"/>
              </w:rPr>
              <w:t>层高6m，面积</w:t>
            </w:r>
            <w:r>
              <w:rPr>
                <w:rFonts w:hint="eastAsia"/>
                <w:color w:val="auto"/>
              </w:rPr>
              <w:t>6800</w:t>
            </w:r>
            <w:r>
              <w:rPr>
                <w:color w:val="auto"/>
                <w:szCs w:val="21"/>
              </w:rPr>
              <w:t xml:space="preserve"> m</w:t>
            </w:r>
            <w:r>
              <w:rPr>
                <w:color w:val="auto"/>
                <w:szCs w:val="21"/>
                <w:vertAlign w:val="superscript"/>
              </w:rPr>
              <w:t>2</w:t>
            </w:r>
          </w:p>
        </w:tc>
        <w:tc>
          <w:tcPr>
            <w:tcW w:w="3184" w:type="dxa"/>
            <w:tcBorders>
              <w:tl2br w:val="nil"/>
              <w:tr2bl w:val="nil"/>
            </w:tcBorders>
            <w:shd w:val="clear" w:color="auto" w:fill="auto"/>
            <w:noWrap/>
            <w:vAlign w:val="center"/>
          </w:tcPr>
          <w:p w14:paraId="3176DDB2">
            <w:pPr>
              <w:widowControl/>
              <w:jc w:val="center"/>
              <w:textAlignment w:val="center"/>
              <w:rPr>
                <w:color w:val="auto"/>
                <w:kern w:val="0"/>
                <w:szCs w:val="21"/>
                <w:lang w:bidi="ar"/>
              </w:rPr>
            </w:pPr>
            <w:r>
              <w:rPr>
                <w:color w:val="auto"/>
                <w:kern w:val="0"/>
                <w:szCs w:val="21"/>
                <w:lang w:bidi="ar"/>
              </w:rPr>
              <w:t>1F，</w:t>
            </w:r>
            <w:r>
              <w:rPr>
                <w:color w:val="auto"/>
              </w:rPr>
              <w:t>层高6m，面积</w:t>
            </w:r>
            <w:r>
              <w:rPr>
                <w:rFonts w:hint="eastAsia"/>
                <w:color w:val="auto"/>
              </w:rPr>
              <w:t>6800</w:t>
            </w:r>
            <w:r>
              <w:rPr>
                <w:color w:val="auto"/>
                <w:szCs w:val="21"/>
              </w:rPr>
              <w:t xml:space="preserve"> m</w:t>
            </w:r>
            <w:r>
              <w:rPr>
                <w:color w:val="auto"/>
                <w:szCs w:val="21"/>
                <w:vertAlign w:val="superscript"/>
              </w:rPr>
              <w:t>2</w:t>
            </w:r>
          </w:p>
        </w:tc>
        <w:tc>
          <w:tcPr>
            <w:tcW w:w="1138" w:type="pct"/>
            <w:tcBorders>
              <w:tl2br w:val="nil"/>
              <w:tr2bl w:val="nil"/>
            </w:tcBorders>
            <w:shd w:val="clear" w:color="auto" w:fill="auto"/>
            <w:noWrap/>
            <w:vAlign w:val="center"/>
          </w:tcPr>
          <w:p w14:paraId="37605634">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kern w:val="0"/>
                <w:szCs w:val="21"/>
                <w:lang w:bidi="ar"/>
              </w:rPr>
              <w:t>1F，原料库建筑面积6800</w:t>
            </w:r>
            <w:r>
              <w:rPr>
                <w:color w:val="auto"/>
                <w:szCs w:val="21"/>
              </w:rPr>
              <w:t>m</w:t>
            </w:r>
            <w:r>
              <w:rPr>
                <w:color w:val="auto"/>
                <w:szCs w:val="21"/>
                <w:vertAlign w:val="superscript"/>
              </w:rPr>
              <w:t>2</w:t>
            </w:r>
            <w:r>
              <w:rPr>
                <w:rFonts w:hint="eastAsia"/>
                <w:color w:val="auto"/>
                <w:kern w:val="0"/>
                <w:szCs w:val="21"/>
                <w:lang w:bidi="ar"/>
              </w:rPr>
              <w:t>，用于储存废铝、工业硅、金属铜、精炼剂等原料</w:t>
            </w:r>
            <w:r>
              <w:rPr>
                <w:rFonts w:hint="eastAsia"/>
                <w:color w:val="auto"/>
                <w:kern w:val="0"/>
                <w:szCs w:val="21"/>
                <w:lang w:eastAsia="zh-CN" w:bidi="ar"/>
              </w:rPr>
              <w:t>。</w:t>
            </w:r>
          </w:p>
        </w:tc>
        <w:tc>
          <w:tcPr>
            <w:tcW w:w="1210" w:type="pct"/>
            <w:vMerge w:val="restart"/>
            <w:tcBorders>
              <w:tl2br w:val="nil"/>
              <w:tr2bl w:val="nil"/>
            </w:tcBorders>
            <w:noWrap/>
            <w:vAlign w:val="center"/>
          </w:tcPr>
          <w:p w14:paraId="31766DF3">
            <w:pPr>
              <w:widowControl/>
              <w:jc w:val="center"/>
              <w:textAlignment w:val="center"/>
              <w:rPr>
                <w:color w:val="auto"/>
              </w:rPr>
            </w:pPr>
            <w:r>
              <w:rPr>
                <w:rFonts w:hint="eastAsia"/>
                <w:color w:val="auto"/>
                <w:kern w:val="0"/>
                <w:szCs w:val="21"/>
                <w:lang w:val="en-US" w:eastAsia="zh-CN" w:bidi="ar"/>
              </w:rPr>
              <w:t>不变</w:t>
            </w:r>
          </w:p>
        </w:tc>
      </w:tr>
      <w:tr w14:paraId="0200F701">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29A092AD">
            <w:pPr>
              <w:jc w:val="center"/>
              <w:rPr>
                <w:color w:val="auto"/>
                <w:szCs w:val="21"/>
              </w:rPr>
            </w:pPr>
          </w:p>
        </w:tc>
        <w:tc>
          <w:tcPr>
            <w:tcW w:w="222" w:type="pct"/>
            <w:tcBorders>
              <w:tl2br w:val="nil"/>
              <w:tr2bl w:val="nil"/>
            </w:tcBorders>
            <w:noWrap/>
            <w:vAlign w:val="center"/>
          </w:tcPr>
          <w:p w14:paraId="1027C23B">
            <w:pPr>
              <w:widowControl/>
              <w:jc w:val="center"/>
              <w:textAlignment w:val="center"/>
              <w:rPr>
                <w:rFonts w:hint="default" w:eastAsia="宋体"/>
                <w:color w:val="auto"/>
                <w:szCs w:val="21"/>
                <w:lang w:val="en-US" w:eastAsia="zh-CN"/>
              </w:rPr>
            </w:pPr>
            <w:r>
              <w:rPr>
                <w:rFonts w:hint="eastAsia"/>
                <w:color w:val="auto"/>
                <w:szCs w:val="21"/>
                <w:lang w:val="en-US" w:eastAsia="zh-CN"/>
              </w:rPr>
              <w:t>成品库</w:t>
            </w:r>
          </w:p>
        </w:tc>
        <w:tc>
          <w:tcPr>
            <w:tcW w:w="1138" w:type="pct"/>
            <w:gridSpan w:val="2"/>
            <w:tcBorders>
              <w:tl2br w:val="nil"/>
              <w:tr2bl w:val="nil"/>
            </w:tcBorders>
            <w:shd w:val="clear" w:color="auto" w:fill="auto"/>
            <w:noWrap/>
            <w:vAlign w:val="center"/>
          </w:tcPr>
          <w:p w14:paraId="058341E0">
            <w:pPr>
              <w:widowControl/>
              <w:jc w:val="center"/>
              <w:textAlignment w:val="center"/>
              <w:rPr>
                <w:rFonts w:hint="eastAsia" w:ascii="Times New Roman" w:hAnsi="Times New Roman" w:eastAsia="宋体" w:cs="Times New Roman"/>
                <w:color w:val="auto"/>
                <w:kern w:val="2"/>
                <w:sz w:val="21"/>
                <w:szCs w:val="21"/>
                <w:lang w:val="en-US" w:eastAsia="zh-CN" w:bidi="ar-SA"/>
              </w:rPr>
            </w:pPr>
            <w:r>
              <w:rPr>
                <w:color w:val="auto"/>
                <w:kern w:val="0"/>
                <w:szCs w:val="21"/>
                <w:lang w:bidi="ar"/>
              </w:rPr>
              <w:t>1F，</w:t>
            </w:r>
            <w:r>
              <w:rPr>
                <w:color w:val="auto"/>
              </w:rPr>
              <w:t>层高9m，面积</w:t>
            </w:r>
            <w:r>
              <w:rPr>
                <w:rFonts w:hint="eastAsia"/>
                <w:color w:val="auto"/>
              </w:rPr>
              <w:t>2900</w:t>
            </w:r>
            <w:r>
              <w:rPr>
                <w:color w:val="auto"/>
              </w:rPr>
              <w:t xml:space="preserve"> </w:t>
            </w:r>
            <w:r>
              <w:rPr>
                <w:color w:val="auto"/>
                <w:szCs w:val="21"/>
              </w:rPr>
              <w:t>m</w:t>
            </w:r>
            <w:r>
              <w:rPr>
                <w:color w:val="auto"/>
                <w:szCs w:val="21"/>
                <w:vertAlign w:val="superscript"/>
              </w:rPr>
              <w:t>2</w:t>
            </w:r>
            <w:r>
              <w:rPr>
                <w:rFonts w:hint="eastAsia"/>
                <w:color w:val="auto"/>
                <w:kern w:val="0"/>
                <w:szCs w:val="21"/>
                <w:lang w:eastAsia="zh-CN" w:bidi="ar"/>
              </w:rPr>
              <w:t>。</w:t>
            </w:r>
          </w:p>
        </w:tc>
        <w:tc>
          <w:tcPr>
            <w:tcW w:w="3184" w:type="dxa"/>
            <w:tcBorders>
              <w:tl2br w:val="nil"/>
              <w:tr2bl w:val="nil"/>
            </w:tcBorders>
            <w:shd w:val="clear" w:color="auto" w:fill="auto"/>
            <w:noWrap/>
            <w:vAlign w:val="center"/>
          </w:tcPr>
          <w:p w14:paraId="033A05A0">
            <w:pPr>
              <w:widowControl/>
              <w:jc w:val="center"/>
              <w:textAlignment w:val="center"/>
              <w:rPr>
                <w:color w:val="auto"/>
                <w:kern w:val="0"/>
                <w:szCs w:val="21"/>
                <w:lang w:bidi="ar"/>
              </w:rPr>
            </w:pPr>
            <w:r>
              <w:rPr>
                <w:color w:val="auto"/>
                <w:kern w:val="0"/>
                <w:szCs w:val="21"/>
                <w:lang w:bidi="ar"/>
              </w:rPr>
              <w:t>1F，</w:t>
            </w:r>
            <w:r>
              <w:rPr>
                <w:color w:val="auto"/>
              </w:rPr>
              <w:t>层高9m，面积</w:t>
            </w:r>
            <w:r>
              <w:rPr>
                <w:rFonts w:hint="eastAsia"/>
                <w:color w:val="auto"/>
              </w:rPr>
              <w:t>2900</w:t>
            </w:r>
            <w:r>
              <w:rPr>
                <w:color w:val="auto"/>
              </w:rPr>
              <w:t xml:space="preserve"> </w:t>
            </w:r>
            <w:r>
              <w:rPr>
                <w:color w:val="auto"/>
                <w:szCs w:val="21"/>
              </w:rPr>
              <w:t>m</w:t>
            </w:r>
            <w:r>
              <w:rPr>
                <w:color w:val="auto"/>
                <w:szCs w:val="21"/>
                <w:vertAlign w:val="superscript"/>
              </w:rPr>
              <w:t>2</w:t>
            </w:r>
            <w:r>
              <w:rPr>
                <w:rFonts w:hint="eastAsia"/>
                <w:color w:val="auto"/>
                <w:kern w:val="0"/>
                <w:szCs w:val="21"/>
                <w:lang w:eastAsia="zh-CN" w:bidi="ar"/>
              </w:rPr>
              <w:t>。</w:t>
            </w:r>
          </w:p>
        </w:tc>
        <w:tc>
          <w:tcPr>
            <w:tcW w:w="1138" w:type="pct"/>
            <w:tcBorders>
              <w:tl2br w:val="nil"/>
              <w:tr2bl w:val="nil"/>
            </w:tcBorders>
            <w:shd w:val="clear" w:color="auto" w:fill="auto"/>
            <w:noWrap/>
            <w:vAlign w:val="center"/>
          </w:tcPr>
          <w:p w14:paraId="06161844">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kern w:val="0"/>
                <w:szCs w:val="21"/>
                <w:lang w:bidi="ar"/>
              </w:rPr>
              <w:t>1F，成品库建筑面积2900</w:t>
            </w:r>
            <w:r>
              <w:rPr>
                <w:color w:val="auto"/>
                <w:szCs w:val="21"/>
              </w:rPr>
              <w:t>m</w:t>
            </w:r>
            <w:r>
              <w:rPr>
                <w:color w:val="auto"/>
                <w:szCs w:val="21"/>
                <w:vertAlign w:val="superscript"/>
              </w:rPr>
              <w:t>2</w:t>
            </w:r>
            <w:r>
              <w:rPr>
                <w:rFonts w:hint="eastAsia"/>
                <w:color w:val="auto"/>
                <w:kern w:val="0"/>
                <w:szCs w:val="21"/>
                <w:lang w:bidi="ar"/>
              </w:rPr>
              <w:t>，用于储存成品再生铝合金锭</w:t>
            </w:r>
            <w:r>
              <w:rPr>
                <w:rFonts w:hint="eastAsia"/>
                <w:color w:val="auto"/>
                <w:kern w:val="0"/>
                <w:szCs w:val="21"/>
                <w:lang w:eastAsia="zh-CN" w:bidi="ar"/>
              </w:rPr>
              <w:t>。</w:t>
            </w:r>
          </w:p>
        </w:tc>
        <w:tc>
          <w:tcPr>
            <w:tcW w:w="1210" w:type="pct"/>
            <w:vMerge w:val="continue"/>
            <w:tcBorders>
              <w:tl2br w:val="nil"/>
              <w:tr2bl w:val="nil"/>
            </w:tcBorders>
            <w:noWrap/>
            <w:vAlign w:val="center"/>
          </w:tcPr>
          <w:p w14:paraId="448A202B">
            <w:pPr>
              <w:widowControl/>
              <w:jc w:val="center"/>
              <w:textAlignment w:val="center"/>
              <w:rPr>
                <w:color w:val="auto"/>
                <w:kern w:val="0"/>
                <w:szCs w:val="21"/>
                <w:lang w:bidi="ar"/>
              </w:rPr>
            </w:pPr>
          </w:p>
        </w:tc>
      </w:tr>
      <w:tr w14:paraId="3575603A">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1053" w:hRule="atLeast"/>
        </w:trPr>
        <w:tc>
          <w:tcPr>
            <w:tcW w:w="151" w:type="pct"/>
            <w:vMerge w:val="restart"/>
            <w:tcBorders>
              <w:tl2br w:val="nil"/>
              <w:tr2bl w:val="nil"/>
            </w:tcBorders>
            <w:noWrap/>
            <w:vAlign w:val="center"/>
          </w:tcPr>
          <w:p w14:paraId="377C2335">
            <w:pPr>
              <w:jc w:val="center"/>
              <w:rPr>
                <w:color w:val="auto"/>
                <w:szCs w:val="21"/>
              </w:rPr>
            </w:pPr>
            <w:r>
              <w:rPr>
                <w:color w:val="auto"/>
              </w:rPr>
              <w:t>环保工程</w:t>
            </w:r>
          </w:p>
        </w:tc>
        <w:tc>
          <w:tcPr>
            <w:tcW w:w="222" w:type="pct"/>
            <w:vMerge w:val="restart"/>
            <w:tcBorders>
              <w:tl2br w:val="nil"/>
              <w:tr2bl w:val="nil"/>
            </w:tcBorders>
            <w:noWrap/>
            <w:vAlign w:val="center"/>
          </w:tcPr>
          <w:p w14:paraId="305F6F96">
            <w:pPr>
              <w:widowControl/>
              <w:jc w:val="center"/>
              <w:textAlignment w:val="center"/>
              <w:rPr>
                <w:color w:val="auto"/>
                <w:szCs w:val="21"/>
              </w:rPr>
            </w:pPr>
            <w:r>
              <w:rPr>
                <w:color w:val="auto"/>
                <w:kern w:val="0"/>
                <w:szCs w:val="21"/>
                <w:lang w:bidi="ar"/>
              </w:rPr>
              <w:t>废气治理</w:t>
            </w:r>
          </w:p>
        </w:tc>
        <w:tc>
          <w:tcPr>
            <w:tcW w:w="375" w:type="pct"/>
            <w:tcBorders>
              <w:right w:val="single" w:color="000000" w:sz="2" w:space="0"/>
              <w:tl2br w:val="nil"/>
              <w:tr2bl w:val="nil"/>
            </w:tcBorders>
            <w:shd w:val="clear" w:color="auto" w:fill="auto"/>
            <w:noWrap/>
            <w:vAlign w:val="center"/>
          </w:tcPr>
          <w:p w14:paraId="5848A455">
            <w:pPr>
              <w:widowControl/>
              <w:jc w:val="center"/>
              <w:textAlignment w:val="center"/>
              <w:rPr>
                <w:rFonts w:hint="eastAsia" w:ascii="Times New Roman" w:hAnsi="Times New Roman" w:eastAsia="宋体" w:cs="Times New Roman"/>
                <w:color w:val="auto"/>
                <w:kern w:val="2"/>
                <w:sz w:val="21"/>
                <w:szCs w:val="21"/>
                <w:lang w:val="en-US" w:eastAsia="zh-CN" w:bidi="ar-SA"/>
              </w:rPr>
            </w:pPr>
            <w:r>
              <w:rPr>
                <w:color w:val="auto"/>
              </w:rPr>
              <w:t>熔炼烟气净化系统</w:t>
            </w:r>
          </w:p>
        </w:tc>
        <w:tc>
          <w:tcPr>
            <w:tcW w:w="762" w:type="pct"/>
            <w:vMerge w:val="restart"/>
            <w:tcBorders>
              <w:left w:val="single" w:color="000000" w:sz="2" w:space="0"/>
              <w:tl2br w:val="nil"/>
              <w:tr2bl w:val="nil"/>
            </w:tcBorders>
            <w:shd w:val="clear" w:color="auto" w:fill="auto"/>
            <w:noWrap/>
            <w:vAlign w:val="center"/>
          </w:tcPr>
          <w:p w14:paraId="297F3906">
            <w:pPr>
              <w:widowControl/>
              <w:jc w:val="center"/>
              <w:textAlignment w:val="center"/>
              <w:rPr>
                <w:color w:val="auto"/>
              </w:rPr>
            </w:pPr>
            <w:r>
              <w:rPr>
                <w:color w:val="auto"/>
              </w:rPr>
              <w:t>2套</w:t>
            </w:r>
            <w:r>
              <w:rPr>
                <w:rFonts w:hint="eastAsia"/>
                <w:color w:val="auto"/>
              </w:rPr>
              <w:t>旋风除尘+</w:t>
            </w:r>
            <w:r>
              <w:rPr>
                <w:color w:val="auto"/>
              </w:rPr>
              <w:t>布袋除尘器</w:t>
            </w:r>
            <w:r>
              <w:rPr>
                <w:rFonts w:hint="eastAsia"/>
                <w:color w:val="auto"/>
              </w:rPr>
              <w:t>+碱喷淋</w:t>
            </w:r>
          </w:p>
        </w:tc>
        <w:tc>
          <w:tcPr>
            <w:tcW w:w="1138" w:type="pct"/>
            <w:vMerge w:val="restart"/>
            <w:tcBorders>
              <w:tl2br w:val="nil"/>
              <w:tr2bl w:val="nil"/>
            </w:tcBorders>
            <w:shd w:val="clear" w:color="auto" w:fill="auto"/>
            <w:noWrap/>
            <w:vAlign w:val="center"/>
          </w:tcPr>
          <w:p w14:paraId="1623857A">
            <w:pPr>
              <w:widowControl/>
              <w:jc w:val="center"/>
              <w:textAlignment w:val="center"/>
              <w:rPr>
                <w:color w:val="auto"/>
              </w:rPr>
            </w:pPr>
            <w:r>
              <w:rPr>
                <w:color w:val="auto"/>
              </w:rPr>
              <w:t>2套</w:t>
            </w:r>
            <w:r>
              <w:rPr>
                <w:rFonts w:hint="eastAsia"/>
                <w:color w:val="auto"/>
              </w:rPr>
              <w:t>旋风除尘+</w:t>
            </w:r>
            <w:r>
              <w:rPr>
                <w:color w:val="auto"/>
              </w:rPr>
              <w:t>布袋除尘器</w:t>
            </w:r>
            <w:r>
              <w:rPr>
                <w:rFonts w:hint="eastAsia"/>
                <w:color w:val="auto"/>
              </w:rPr>
              <w:t>+碱喷淋</w:t>
            </w:r>
          </w:p>
        </w:tc>
        <w:tc>
          <w:tcPr>
            <w:tcW w:w="1138" w:type="pct"/>
            <w:vMerge w:val="restart"/>
            <w:tcBorders>
              <w:tl2br w:val="nil"/>
              <w:tr2bl w:val="nil"/>
            </w:tcBorders>
            <w:shd w:val="clear" w:color="auto" w:fill="auto"/>
            <w:noWrap/>
            <w:vAlign w:val="center"/>
          </w:tcPr>
          <w:p w14:paraId="0D873D13">
            <w:pPr>
              <w:ind w:firstLine="444" w:firstLineChars="200"/>
              <w:jc w:val="both"/>
              <w:rPr>
                <w:rFonts w:hint="eastAsia"/>
                <w:color w:val="auto"/>
                <w:szCs w:val="21"/>
                <w:lang w:val="en-US" w:eastAsia="zh-CN"/>
              </w:rPr>
            </w:pPr>
            <w:r>
              <w:rPr>
                <w:rFonts w:hint="eastAsia"/>
                <w:bCs/>
                <w:color w:val="auto"/>
                <w:spacing w:val="6"/>
                <w:szCs w:val="21"/>
                <w:lang w:val="en-US" w:eastAsia="zh-CN"/>
              </w:rPr>
              <w:t>项目生产过程中产生的</w:t>
            </w:r>
            <w:r>
              <w:rPr>
                <w:rFonts w:hint="eastAsia" w:eastAsia="宋体"/>
                <w:bCs/>
                <w:color w:val="auto"/>
                <w:spacing w:val="6"/>
                <w:szCs w:val="21"/>
                <w:lang w:val="en-US" w:eastAsia="zh-CN"/>
              </w:rPr>
              <w:t>熔炼烟气（含天然气燃烧废气）和铝渣处理粉尘</w:t>
            </w:r>
            <w:r>
              <w:rPr>
                <w:rFonts w:hint="eastAsia"/>
                <w:bCs/>
                <w:color w:val="auto"/>
                <w:spacing w:val="6"/>
                <w:szCs w:val="21"/>
                <w:lang w:val="en-US" w:eastAsia="zh-CN"/>
              </w:rPr>
              <w:t>废气收集后统一采用“SNCR+烟气急冷+活性炭喷粉+重力沉降</w:t>
            </w:r>
            <w:r>
              <w:rPr>
                <w:color w:val="auto"/>
                <w:szCs w:val="21"/>
              </w:rPr>
              <w:t>除尘器</w:t>
            </w:r>
            <w:r>
              <w:rPr>
                <w:rFonts w:hint="eastAsia"/>
                <w:color w:val="auto"/>
                <w:szCs w:val="21"/>
              </w:rPr>
              <w:t>+</w:t>
            </w:r>
            <w:r>
              <w:rPr>
                <w:color w:val="auto"/>
                <w:szCs w:val="21"/>
              </w:rPr>
              <w:t>布袋除尘器</w:t>
            </w:r>
            <w:r>
              <w:rPr>
                <w:rFonts w:hint="eastAsia"/>
                <w:color w:val="auto"/>
                <w:szCs w:val="21"/>
              </w:rPr>
              <w:t>+碱喷淋</w:t>
            </w:r>
            <w:r>
              <w:rPr>
                <w:rFonts w:hint="eastAsia"/>
                <w:color w:val="auto"/>
                <w:szCs w:val="21"/>
                <w:lang w:eastAsia="zh-CN"/>
              </w:rPr>
              <w:t>”</w:t>
            </w:r>
            <w:r>
              <w:rPr>
                <w:rFonts w:hint="eastAsia"/>
                <w:color w:val="auto"/>
                <w:szCs w:val="21"/>
                <w:lang w:val="en-US" w:eastAsia="zh-CN"/>
              </w:rPr>
              <w:t>处理，处理后由1根24.5m高（DA001）排气筒排放；</w:t>
            </w:r>
          </w:p>
          <w:p w14:paraId="7484A1AE">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szCs w:val="21"/>
                <w:lang w:val="en-US" w:eastAsia="zh-CN"/>
              </w:rPr>
              <w:t>项目危废库铝灰暂存时产生氨气经收集后采用一级水喷淋装置处理，处理后由1根15m高（DA002）排气筒排放</w:t>
            </w:r>
            <w:r>
              <w:rPr>
                <w:rFonts w:hint="eastAsia" w:eastAsia="宋体"/>
                <w:bCs/>
                <w:color w:val="auto"/>
                <w:spacing w:val="6"/>
                <w:szCs w:val="21"/>
                <w:lang w:val="en-US" w:eastAsia="zh-CN"/>
              </w:rPr>
              <w:t>。</w:t>
            </w:r>
          </w:p>
        </w:tc>
        <w:tc>
          <w:tcPr>
            <w:tcW w:w="1210" w:type="pct"/>
            <w:vMerge w:val="restart"/>
            <w:tcBorders>
              <w:tl2br w:val="nil"/>
              <w:tr2bl w:val="nil"/>
            </w:tcBorders>
            <w:noWrap/>
            <w:vAlign w:val="center"/>
          </w:tcPr>
          <w:p w14:paraId="257BE95C">
            <w:pPr>
              <w:widowControl/>
              <w:jc w:val="center"/>
              <w:textAlignment w:val="center"/>
              <w:rPr>
                <w:color w:val="auto"/>
                <w:kern w:val="0"/>
                <w:szCs w:val="21"/>
                <w:lang w:bidi="ar"/>
              </w:rPr>
            </w:pPr>
            <w:r>
              <w:rPr>
                <w:rFonts w:hint="eastAsia"/>
                <w:color w:val="0000FF"/>
                <w:szCs w:val="21"/>
                <w:lang w:val="en-US" w:eastAsia="zh-CN"/>
              </w:rPr>
              <w:t>对原项目的污染防治措施进行升级更新，将两套独立“旋风+布袋+碱喷淋”装置整合为一套分质预处理+集中后处理装置，处理工艺为“SNCR+烟气急冷+活性炭喷粉+重力沉降</w:t>
            </w:r>
            <w:r>
              <w:rPr>
                <w:color w:val="0000FF"/>
                <w:szCs w:val="21"/>
              </w:rPr>
              <w:t>除尘器</w:t>
            </w:r>
            <w:r>
              <w:rPr>
                <w:rFonts w:hint="eastAsia"/>
                <w:color w:val="0000FF"/>
                <w:szCs w:val="21"/>
              </w:rPr>
              <w:t>+</w:t>
            </w:r>
            <w:r>
              <w:rPr>
                <w:color w:val="0000FF"/>
                <w:szCs w:val="21"/>
              </w:rPr>
              <w:t>布袋除尘器</w:t>
            </w:r>
            <w:r>
              <w:rPr>
                <w:rFonts w:hint="eastAsia"/>
                <w:color w:val="0000FF"/>
                <w:szCs w:val="21"/>
              </w:rPr>
              <w:t>+碱喷淋</w:t>
            </w:r>
            <w:r>
              <w:rPr>
                <w:rFonts w:hint="eastAsia"/>
                <w:color w:val="0000FF"/>
                <w:szCs w:val="21"/>
                <w:lang w:val="en-US" w:eastAsia="zh-CN"/>
              </w:rPr>
              <w:t>”</w:t>
            </w:r>
            <w:r>
              <w:rPr>
                <w:rFonts w:hint="eastAsia"/>
                <w:bCs/>
                <w:color w:val="0000FF"/>
                <w:spacing w:val="6"/>
                <w:szCs w:val="21"/>
                <w:lang w:val="en-US" w:eastAsia="zh-CN"/>
              </w:rPr>
              <w:t>；</w:t>
            </w:r>
            <w:r>
              <w:rPr>
                <w:rFonts w:hint="eastAsia"/>
                <w:color w:val="0000FF"/>
                <w:szCs w:val="21"/>
                <w:lang w:val="en-US" w:eastAsia="zh-CN"/>
              </w:rPr>
              <w:t>铝灰暂存库废气由无组织排放改为有组织排放，治理措施为“一级水喷淋”。</w:t>
            </w:r>
          </w:p>
        </w:tc>
      </w:tr>
      <w:tr w14:paraId="586837BF">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72F95733">
            <w:pPr>
              <w:jc w:val="center"/>
              <w:rPr>
                <w:color w:val="auto"/>
                <w:szCs w:val="21"/>
              </w:rPr>
            </w:pPr>
          </w:p>
        </w:tc>
        <w:tc>
          <w:tcPr>
            <w:tcW w:w="222" w:type="pct"/>
            <w:vMerge w:val="continue"/>
            <w:tcBorders>
              <w:tl2br w:val="nil"/>
              <w:tr2bl w:val="nil"/>
            </w:tcBorders>
            <w:noWrap/>
            <w:vAlign w:val="center"/>
          </w:tcPr>
          <w:p w14:paraId="62934054">
            <w:pPr>
              <w:widowControl/>
              <w:jc w:val="center"/>
              <w:textAlignment w:val="center"/>
              <w:rPr>
                <w:color w:val="auto"/>
                <w:kern w:val="0"/>
                <w:szCs w:val="21"/>
                <w:lang w:bidi="ar"/>
              </w:rPr>
            </w:pPr>
          </w:p>
        </w:tc>
        <w:tc>
          <w:tcPr>
            <w:tcW w:w="375" w:type="pct"/>
            <w:tcBorders>
              <w:right w:val="single" w:color="000000" w:sz="2" w:space="0"/>
              <w:tl2br w:val="nil"/>
              <w:tr2bl w:val="nil"/>
            </w:tcBorders>
            <w:shd w:val="clear" w:color="auto" w:fill="auto"/>
            <w:noWrap/>
            <w:vAlign w:val="center"/>
          </w:tcPr>
          <w:p w14:paraId="4617B9A5">
            <w:pPr>
              <w:widowControl/>
              <w:jc w:val="center"/>
              <w:textAlignment w:val="center"/>
              <w:rPr>
                <w:rFonts w:hint="eastAsia" w:ascii="Times New Roman" w:hAnsi="Times New Roman" w:eastAsia="宋体" w:cs="Times New Roman"/>
                <w:color w:val="auto"/>
                <w:kern w:val="0"/>
                <w:sz w:val="21"/>
                <w:szCs w:val="21"/>
                <w:lang w:val="en-US" w:eastAsia="zh-CN" w:bidi="ar"/>
              </w:rPr>
            </w:pPr>
            <w:r>
              <w:rPr>
                <w:color w:val="auto"/>
              </w:rPr>
              <w:t>铝渣处理系统</w:t>
            </w:r>
          </w:p>
        </w:tc>
        <w:tc>
          <w:tcPr>
            <w:tcW w:w="762" w:type="pct"/>
            <w:vMerge w:val="continue"/>
            <w:tcBorders>
              <w:left w:val="single" w:color="000000" w:sz="2" w:space="0"/>
              <w:tl2br w:val="nil"/>
              <w:tr2bl w:val="nil"/>
            </w:tcBorders>
            <w:shd w:val="clear" w:color="auto" w:fill="auto"/>
            <w:noWrap/>
            <w:vAlign w:val="center"/>
          </w:tcPr>
          <w:p w14:paraId="187B9F21">
            <w:pPr>
              <w:widowControl/>
              <w:jc w:val="center"/>
              <w:textAlignment w:val="center"/>
              <w:rPr>
                <w:color w:val="auto"/>
                <w:kern w:val="0"/>
                <w:szCs w:val="21"/>
                <w:lang w:bidi="ar"/>
              </w:rPr>
            </w:pPr>
          </w:p>
        </w:tc>
        <w:tc>
          <w:tcPr>
            <w:tcW w:w="1138" w:type="pct"/>
            <w:vMerge w:val="continue"/>
            <w:tcBorders>
              <w:tl2br w:val="nil"/>
              <w:tr2bl w:val="nil"/>
            </w:tcBorders>
            <w:shd w:val="clear" w:color="auto" w:fill="auto"/>
            <w:noWrap/>
            <w:vAlign w:val="center"/>
          </w:tcPr>
          <w:p w14:paraId="6F3D8AAD">
            <w:pPr>
              <w:widowControl/>
              <w:jc w:val="center"/>
              <w:textAlignment w:val="center"/>
              <w:rPr>
                <w:color w:val="auto"/>
                <w:kern w:val="0"/>
                <w:szCs w:val="21"/>
                <w:lang w:bidi="ar"/>
              </w:rPr>
            </w:pPr>
          </w:p>
        </w:tc>
        <w:tc>
          <w:tcPr>
            <w:tcW w:w="1138" w:type="pct"/>
            <w:vMerge w:val="continue"/>
            <w:tcBorders>
              <w:tl2br w:val="nil"/>
              <w:tr2bl w:val="nil"/>
            </w:tcBorders>
            <w:shd w:val="clear" w:color="auto" w:fill="auto"/>
            <w:noWrap/>
            <w:vAlign w:val="center"/>
          </w:tcPr>
          <w:p w14:paraId="66E153D8">
            <w:pPr>
              <w:widowControl/>
              <w:jc w:val="center"/>
              <w:textAlignment w:val="center"/>
              <w:rPr>
                <w:rFonts w:hint="eastAsia" w:ascii="Times New Roman" w:hAnsi="Times New Roman" w:eastAsia="宋体" w:cs="Times New Roman"/>
                <w:color w:val="auto"/>
                <w:kern w:val="0"/>
                <w:sz w:val="21"/>
                <w:szCs w:val="21"/>
                <w:lang w:val="en-US" w:eastAsia="zh-CN" w:bidi="ar"/>
              </w:rPr>
            </w:pPr>
          </w:p>
        </w:tc>
        <w:tc>
          <w:tcPr>
            <w:tcW w:w="1210" w:type="pct"/>
            <w:vMerge w:val="continue"/>
            <w:tcBorders>
              <w:tl2br w:val="nil"/>
              <w:tr2bl w:val="nil"/>
            </w:tcBorders>
            <w:noWrap/>
            <w:vAlign w:val="center"/>
          </w:tcPr>
          <w:p w14:paraId="6E629E85">
            <w:pPr>
              <w:widowControl/>
              <w:jc w:val="center"/>
              <w:textAlignment w:val="center"/>
              <w:rPr>
                <w:color w:val="auto"/>
                <w:kern w:val="0"/>
                <w:szCs w:val="21"/>
                <w:lang w:bidi="ar"/>
              </w:rPr>
            </w:pPr>
          </w:p>
        </w:tc>
      </w:tr>
      <w:tr w14:paraId="231E094A">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56E00373">
            <w:pPr>
              <w:jc w:val="center"/>
              <w:rPr>
                <w:color w:val="auto"/>
                <w:szCs w:val="21"/>
              </w:rPr>
            </w:pPr>
          </w:p>
        </w:tc>
        <w:tc>
          <w:tcPr>
            <w:tcW w:w="222" w:type="pct"/>
            <w:tcBorders>
              <w:tl2br w:val="nil"/>
              <w:tr2bl w:val="nil"/>
            </w:tcBorders>
            <w:noWrap/>
            <w:vAlign w:val="center"/>
          </w:tcPr>
          <w:p w14:paraId="6AF136A8">
            <w:pPr>
              <w:widowControl/>
              <w:jc w:val="center"/>
              <w:textAlignment w:val="center"/>
              <w:rPr>
                <w:color w:val="auto"/>
                <w:kern w:val="0"/>
                <w:szCs w:val="21"/>
                <w:lang w:bidi="ar"/>
              </w:rPr>
            </w:pPr>
            <w:r>
              <w:rPr>
                <w:color w:val="auto"/>
                <w:kern w:val="0"/>
                <w:szCs w:val="21"/>
                <w:lang w:bidi="ar"/>
              </w:rPr>
              <w:t>噪声治理</w:t>
            </w:r>
          </w:p>
        </w:tc>
        <w:tc>
          <w:tcPr>
            <w:tcW w:w="1138" w:type="pct"/>
            <w:gridSpan w:val="2"/>
            <w:tcBorders>
              <w:tl2br w:val="nil"/>
              <w:tr2bl w:val="nil"/>
            </w:tcBorders>
            <w:shd w:val="clear" w:color="auto" w:fill="auto"/>
            <w:noWrap/>
            <w:vAlign w:val="center"/>
          </w:tcPr>
          <w:p w14:paraId="42CAA9BE">
            <w:pPr>
              <w:widowControl/>
              <w:jc w:val="center"/>
              <w:textAlignment w:val="center"/>
              <w:rPr>
                <w:rFonts w:hint="eastAsia" w:ascii="Times New Roman" w:hAnsi="Times New Roman" w:eastAsia="宋体" w:cs="Times New Roman"/>
                <w:color w:val="auto"/>
                <w:kern w:val="0"/>
                <w:sz w:val="21"/>
                <w:szCs w:val="21"/>
                <w:lang w:val="en-US" w:eastAsia="zh-CN" w:bidi="ar"/>
              </w:rPr>
            </w:pPr>
            <w:r>
              <w:rPr>
                <w:color w:val="auto"/>
              </w:rPr>
              <w:t>合理布局、安装消声器、隔声等</w:t>
            </w:r>
          </w:p>
        </w:tc>
        <w:tc>
          <w:tcPr>
            <w:tcW w:w="3184" w:type="dxa"/>
            <w:tcBorders>
              <w:tl2br w:val="nil"/>
              <w:tr2bl w:val="nil"/>
            </w:tcBorders>
            <w:shd w:val="clear" w:color="auto" w:fill="auto"/>
            <w:noWrap/>
            <w:vAlign w:val="center"/>
          </w:tcPr>
          <w:p w14:paraId="794C59E7">
            <w:pPr>
              <w:widowControl/>
              <w:jc w:val="center"/>
              <w:textAlignment w:val="center"/>
              <w:rPr>
                <w:color w:val="auto"/>
              </w:rPr>
            </w:pPr>
            <w:r>
              <w:rPr>
                <w:color w:val="auto"/>
              </w:rPr>
              <w:t>合理布局、安装消声器、隔声等</w:t>
            </w:r>
          </w:p>
        </w:tc>
        <w:tc>
          <w:tcPr>
            <w:tcW w:w="1138" w:type="pct"/>
            <w:tcBorders>
              <w:tl2br w:val="nil"/>
              <w:tr2bl w:val="nil"/>
            </w:tcBorders>
            <w:shd w:val="clear" w:color="auto" w:fill="auto"/>
            <w:noWrap/>
            <w:vAlign w:val="center"/>
          </w:tcPr>
          <w:p w14:paraId="73DEA846">
            <w:pPr>
              <w:widowControl/>
              <w:jc w:val="center"/>
              <w:textAlignment w:val="center"/>
              <w:rPr>
                <w:rFonts w:ascii="Times New Roman" w:hAnsi="Times New Roman" w:eastAsia="宋体" w:cs="Times New Roman"/>
                <w:color w:val="auto"/>
                <w:kern w:val="0"/>
                <w:sz w:val="21"/>
                <w:szCs w:val="21"/>
                <w:lang w:val="en-US" w:eastAsia="zh-CN" w:bidi="ar"/>
              </w:rPr>
            </w:pPr>
            <w:r>
              <w:rPr>
                <w:color w:val="auto"/>
              </w:rPr>
              <w:t>合理布局、安装消声器、隔声等</w:t>
            </w:r>
          </w:p>
        </w:tc>
        <w:tc>
          <w:tcPr>
            <w:tcW w:w="1210" w:type="pct"/>
            <w:tcBorders>
              <w:tl2br w:val="nil"/>
              <w:tr2bl w:val="nil"/>
            </w:tcBorders>
            <w:noWrap/>
            <w:vAlign w:val="center"/>
          </w:tcPr>
          <w:p w14:paraId="3FEA85DB">
            <w:pPr>
              <w:widowControl/>
              <w:jc w:val="center"/>
              <w:textAlignment w:val="center"/>
              <w:rPr>
                <w:color w:val="auto"/>
                <w:kern w:val="0"/>
                <w:szCs w:val="21"/>
                <w:lang w:bidi="ar"/>
              </w:rPr>
            </w:pPr>
            <w:r>
              <w:rPr>
                <w:rFonts w:hint="eastAsia"/>
                <w:color w:val="auto"/>
                <w:kern w:val="0"/>
                <w:szCs w:val="21"/>
                <w:lang w:val="en-US" w:eastAsia="zh-CN" w:bidi="ar"/>
              </w:rPr>
              <w:t>不变</w:t>
            </w:r>
          </w:p>
        </w:tc>
      </w:tr>
      <w:tr w14:paraId="11C588A6">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713" w:hRule="atLeast"/>
        </w:trPr>
        <w:tc>
          <w:tcPr>
            <w:tcW w:w="151" w:type="pct"/>
            <w:vMerge w:val="continue"/>
            <w:tcBorders>
              <w:tl2br w:val="nil"/>
              <w:tr2bl w:val="nil"/>
            </w:tcBorders>
            <w:noWrap/>
            <w:vAlign w:val="center"/>
          </w:tcPr>
          <w:p w14:paraId="5257107B">
            <w:pPr>
              <w:jc w:val="center"/>
              <w:rPr>
                <w:color w:val="auto"/>
                <w:szCs w:val="21"/>
              </w:rPr>
            </w:pPr>
          </w:p>
        </w:tc>
        <w:tc>
          <w:tcPr>
            <w:tcW w:w="222" w:type="pct"/>
            <w:tcBorders>
              <w:tl2br w:val="nil"/>
              <w:tr2bl w:val="nil"/>
            </w:tcBorders>
            <w:noWrap/>
            <w:vAlign w:val="center"/>
          </w:tcPr>
          <w:p w14:paraId="71202C27">
            <w:pPr>
              <w:widowControl/>
              <w:jc w:val="center"/>
              <w:textAlignment w:val="center"/>
              <w:rPr>
                <w:color w:val="auto"/>
                <w:kern w:val="0"/>
                <w:szCs w:val="21"/>
                <w:lang w:bidi="ar"/>
              </w:rPr>
            </w:pPr>
            <w:r>
              <w:rPr>
                <w:color w:val="auto"/>
                <w:kern w:val="0"/>
                <w:szCs w:val="21"/>
                <w:lang w:bidi="ar"/>
              </w:rPr>
              <w:t>固废治理</w:t>
            </w:r>
          </w:p>
        </w:tc>
        <w:tc>
          <w:tcPr>
            <w:tcW w:w="1138" w:type="pct"/>
            <w:gridSpan w:val="2"/>
            <w:tcBorders>
              <w:tl2br w:val="nil"/>
              <w:tr2bl w:val="nil"/>
            </w:tcBorders>
            <w:shd w:val="clear" w:color="auto" w:fill="auto"/>
            <w:noWrap/>
            <w:vAlign w:val="center"/>
          </w:tcPr>
          <w:p w14:paraId="05F615FD">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lang w:val="en-US" w:eastAsia="zh-CN"/>
              </w:rPr>
              <w:t>设置1座</w:t>
            </w:r>
            <w:r>
              <w:rPr>
                <w:rFonts w:hint="eastAsia"/>
                <w:color w:val="auto"/>
              </w:rPr>
              <w:t>172m</w:t>
            </w:r>
            <w:r>
              <w:rPr>
                <w:rFonts w:hint="eastAsia"/>
                <w:color w:val="auto"/>
                <w:vertAlign w:val="superscript"/>
              </w:rPr>
              <w:t>2</w:t>
            </w:r>
            <w:r>
              <w:rPr>
                <w:rFonts w:hint="eastAsia"/>
                <w:color w:val="auto"/>
              </w:rPr>
              <w:t>铝灰储存间和</w:t>
            </w:r>
            <w:r>
              <w:rPr>
                <w:rFonts w:hint="eastAsia"/>
                <w:color w:val="auto"/>
                <w:lang w:val="en-US" w:eastAsia="zh-CN"/>
              </w:rPr>
              <w:t>1座</w:t>
            </w:r>
            <w:r>
              <w:rPr>
                <w:rFonts w:hint="eastAsia"/>
                <w:color w:val="auto"/>
              </w:rPr>
              <w:t>16m</w:t>
            </w:r>
            <w:r>
              <w:rPr>
                <w:rFonts w:hint="eastAsia"/>
                <w:color w:val="auto"/>
                <w:vertAlign w:val="superscript"/>
              </w:rPr>
              <w:t>2</w:t>
            </w:r>
            <w:r>
              <w:rPr>
                <w:rFonts w:hint="eastAsia"/>
                <w:color w:val="auto"/>
              </w:rPr>
              <w:t>危废暂存间</w:t>
            </w:r>
          </w:p>
        </w:tc>
        <w:tc>
          <w:tcPr>
            <w:tcW w:w="3184" w:type="dxa"/>
            <w:tcBorders>
              <w:tl2br w:val="nil"/>
              <w:tr2bl w:val="nil"/>
            </w:tcBorders>
            <w:shd w:val="clear" w:color="auto" w:fill="auto"/>
            <w:noWrap/>
            <w:vAlign w:val="center"/>
          </w:tcPr>
          <w:p w14:paraId="11E76812">
            <w:pPr>
              <w:widowControl/>
              <w:jc w:val="center"/>
              <w:textAlignment w:val="center"/>
              <w:rPr>
                <w:rFonts w:hint="eastAsia"/>
                <w:color w:val="auto"/>
                <w:lang w:val="en-US" w:eastAsia="zh-CN"/>
              </w:rPr>
            </w:pPr>
            <w:r>
              <w:rPr>
                <w:rFonts w:hint="eastAsia"/>
                <w:color w:val="auto"/>
                <w:lang w:val="en-US" w:eastAsia="zh-CN"/>
              </w:rPr>
              <w:t>设置1座</w:t>
            </w:r>
            <w:r>
              <w:rPr>
                <w:rFonts w:hint="eastAsia"/>
                <w:color w:val="auto"/>
              </w:rPr>
              <w:t>172m</w:t>
            </w:r>
            <w:r>
              <w:rPr>
                <w:rFonts w:hint="eastAsia"/>
                <w:color w:val="auto"/>
                <w:vertAlign w:val="superscript"/>
              </w:rPr>
              <w:t>2</w:t>
            </w:r>
            <w:r>
              <w:rPr>
                <w:rFonts w:hint="eastAsia"/>
                <w:color w:val="auto"/>
              </w:rPr>
              <w:t>铝灰储存间和</w:t>
            </w:r>
            <w:r>
              <w:rPr>
                <w:rFonts w:hint="eastAsia"/>
                <w:color w:val="auto"/>
                <w:lang w:val="en-US" w:eastAsia="zh-CN"/>
              </w:rPr>
              <w:t>1座</w:t>
            </w:r>
            <w:r>
              <w:rPr>
                <w:rFonts w:hint="eastAsia"/>
                <w:color w:val="auto"/>
              </w:rPr>
              <w:t>16m</w:t>
            </w:r>
            <w:r>
              <w:rPr>
                <w:rFonts w:hint="eastAsia"/>
                <w:color w:val="auto"/>
                <w:vertAlign w:val="superscript"/>
              </w:rPr>
              <w:t>2</w:t>
            </w:r>
            <w:r>
              <w:rPr>
                <w:rFonts w:hint="eastAsia"/>
                <w:color w:val="auto"/>
              </w:rPr>
              <w:t>危废暂存间</w:t>
            </w:r>
          </w:p>
        </w:tc>
        <w:tc>
          <w:tcPr>
            <w:tcW w:w="1138" w:type="pct"/>
            <w:tcBorders>
              <w:tl2br w:val="nil"/>
              <w:tr2bl w:val="nil"/>
            </w:tcBorders>
            <w:shd w:val="clear" w:color="auto" w:fill="auto"/>
            <w:noWrap/>
            <w:vAlign w:val="center"/>
          </w:tcPr>
          <w:p w14:paraId="202D1B71">
            <w:pPr>
              <w:widowControl/>
              <w:jc w:val="center"/>
              <w:textAlignment w:val="center"/>
              <w:rPr>
                <w:rFonts w:ascii="Times New Roman" w:hAnsi="Times New Roman" w:eastAsia="宋体" w:cs="Times New Roman"/>
                <w:color w:val="auto"/>
                <w:kern w:val="0"/>
                <w:sz w:val="21"/>
                <w:szCs w:val="21"/>
                <w:lang w:val="en-US" w:eastAsia="zh-CN" w:bidi="ar"/>
              </w:rPr>
            </w:pPr>
            <w:r>
              <w:rPr>
                <w:rFonts w:hint="eastAsia"/>
                <w:color w:val="auto"/>
                <w:lang w:val="en-US" w:eastAsia="zh-CN"/>
              </w:rPr>
              <w:t>设置1座200</w:t>
            </w:r>
            <w:r>
              <w:rPr>
                <w:rFonts w:hint="eastAsia"/>
                <w:color w:val="auto"/>
              </w:rPr>
              <w:t>m</w:t>
            </w:r>
            <w:r>
              <w:rPr>
                <w:rFonts w:hint="eastAsia"/>
                <w:color w:val="auto"/>
                <w:vertAlign w:val="superscript"/>
              </w:rPr>
              <w:t>2</w:t>
            </w:r>
            <w:r>
              <w:rPr>
                <w:rFonts w:hint="eastAsia"/>
                <w:color w:val="auto"/>
                <w:lang w:val="en-US" w:eastAsia="zh-CN"/>
              </w:rPr>
              <w:t>危险废物暂</w:t>
            </w:r>
            <w:r>
              <w:rPr>
                <w:rFonts w:hint="eastAsia"/>
                <w:color w:val="auto"/>
              </w:rPr>
              <w:t>存间</w:t>
            </w:r>
            <w:r>
              <w:rPr>
                <w:rFonts w:hint="eastAsia"/>
                <w:color w:val="auto"/>
                <w:lang w:eastAsia="zh-CN"/>
              </w:rPr>
              <w:t>（</w:t>
            </w:r>
            <w:r>
              <w:rPr>
                <w:rFonts w:hint="eastAsia"/>
                <w:color w:val="auto"/>
                <w:lang w:val="en-US" w:eastAsia="zh-CN"/>
              </w:rPr>
              <w:t>废铝灰与其他危险废物分区域暂存</w:t>
            </w:r>
            <w:r>
              <w:rPr>
                <w:rFonts w:hint="eastAsia"/>
                <w:color w:val="auto"/>
                <w:lang w:eastAsia="zh-CN"/>
              </w:rPr>
              <w:t>）</w:t>
            </w:r>
            <w:r>
              <w:rPr>
                <w:rFonts w:hint="eastAsia"/>
                <w:color w:val="auto"/>
              </w:rPr>
              <w:t>和</w:t>
            </w:r>
            <w:r>
              <w:rPr>
                <w:rFonts w:hint="eastAsia"/>
                <w:color w:val="auto"/>
                <w:lang w:val="en-US" w:eastAsia="zh-CN"/>
              </w:rPr>
              <w:t>1座30</w:t>
            </w:r>
            <w:r>
              <w:rPr>
                <w:rFonts w:hint="eastAsia"/>
                <w:color w:val="auto"/>
              </w:rPr>
              <w:t>m</w:t>
            </w:r>
            <w:r>
              <w:rPr>
                <w:rFonts w:hint="eastAsia"/>
                <w:color w:val="auto"/>
                <w:vertAlign w:val="superscript"/>
              </w:rPr>
              <w:t>2</w:t>
            </w:r>
            <w:r>
              <w:rPr>
                <w:rFonts w:hint="eastAsia"/>
                <w:color w:val="auto"/>
                <w:lang w:val="en-US" w:eastAsia="zh-CN"/>
              </w:rPr>
              <w:t>一般固废暂存间</w:t>
            </w:r>
          </w:p>
        </w:tc>
        <w:tc>
          <w:tcPr>
            <w:tcW w:w="1210" w:type="pct"/>
            <w:tcBorders>
              <w:tl2br w:val="nil"/>
              <w:tr2bl w:val="nil"/>
            </w:tcBorders>
            <w:noWrap/>
            <w:vAlign w:val="center"/>
          </w:tcPr>
          <w:p w14:paraId="7D827B6A">
            <w:pPr>
              <w:widowControl/>
              <w:jc w:val="center"/>
              <w:textAlignment w:val="center"/>
              <w:rPr>
                <w:rFonts w:hint="eastAsia" w:eastAsia="宋体"/>
                <w:color w:val="auto"/>
                <w:kern w:val="0"/>
                <w:szCs w:val="21"/>
                <w:lang w:val="en-US" w:eastAsia="zh-CN" w:bidi="ar"/>
              </w:rPr>
            </w:pPr>
            <w:r>
              <w:rPr>
                <w:rFonts w:hint="eastAsia"/>
                <w:color w:val="auto"/>
                <w:kern w:val="0"/>
                <w:szCs w:val="21"/>
                <w:lang w:val="en-US" w:eastAsia="zh-CN" w:bidi="ar"/>
              </w:rPr>
              <w:t>实际</w:t>
            </w:r>
            <w:r>
              <w:rPr>
                <w:color w:val="auto"/>
                <w:kern w:val="0"/>
                <w:szCs w:val="21"/>
                <w:lang w:bidi="ar"/>
              </w:rPr>
              <w:t>设置1座 200m</w:t>
            </w:r>
            <w:r>
              <w:rPr>
                <w:rFonts w:hint="eastAsia"/>
                <w:color w:val="auto"/>
                <w:kern w:val="0"/>
                <w:szCs w:val="21"/>
                <w:vertAlign w:val="superscript"/>
                <w:lang w:val="en-US" w:eastAsia="zh-CN" w:bidi="ar"/>
              </w:rPr>
              <w:t>2</w:t>
            </w:r>
            <w:r>
              <w:rPr>
                <w:color w:val="auto"/>
                <w:kern w:val="0"/>
                <w:szCs w:val="21"/>
                <w:lang w:bidi="ar"/>
              </w:rPr>
              <w:t>危险废物暂存间，废铝灰与其他危险废物分区存放，满足防渗、防风、防雨、防流失要求</w:t>
            </w:r>
            <w:r>
              <w:rPr>
                <w:rFonts w:hint="eastAsia"/>
                <w:color w:val="auto"/>
                <w:kern w:val="0"/>
                <w:szCs w:val="21"/>
                <w:lang w:eastAsia="zh-CN" w:bidi="ar"/>
              </w:rPr>
              <w:t>。</w:t>
            </w:r>
          </w:p>
        </w:tc>
      </w:tr>
      <w:tr w14:paraId="46FA4AE8">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18BDD2BD">
            <w:pPr>
              <w:jc w:val="center"/>
              <w:rPr>
                <w:color w:val="auto"/>
                <w:szCs w:val="21"/>
              </w:rPr>
            </w:pPr>
          </w:p>
        </w:tc>
        <w:tc>
          <w:tcPr>
            <w:tcW w:w="222" w:type="pct"/>
            <w:tcBorders>
              <w:tl2br w:val="nil"/>
              <w:tr2bl w:val="nil"/>
            </w:tcBorders>
            <w:noWrap/>
            <w:vAlign w:val="center"/>
          </w:tcPr>
          <w:p w14:paraId="454A5E13">
            <w:pPr>
              <w:widowControl/>
              <w:jc w:val="center"/>
              <w:textAlignment w:val="center"/>
              <w:rPr>
                <w:color w:val="auto"/>
                <w:kern w:val="0"/>
                <w:szCs w:val="21"/>
                <w:lang w:bidi="ar"/>
              </w:rPr>
            </w:pPr>
            <w:r>
              <w:rPr>
                <w:color w:val="auto"/>
                <w:kern w:val="0"/>
                <w:szCs w:val="21"/>
                <w:lang w:bidi="ar"/>
              </w:rPr>
              <w:t>地下水防渗</w:t>
            </w:r>
          </w:p>
        </w:tc>
        <w:tc>
          <w:tcPr>
            <w:tcW w:w="1138" w:type="pct"/>
            <w:gridSpan w:val="2"/>
            <w:tcBorders>
              <w:tl2br w:val="nil"/>
              <w:tr2bl w:val="nil"/>
            </w:tcBorders>
            <w:shd w:val="clear" w:color="auto" w:fill="auto"/>
            <w:noWrap/>
            <w:vAlign w:val="center"/>
          </w:tcPr>
          <w:p w14:paraId="113D7912">
            <w:pPr>
              <w:widowControl/>
              <w:jc w:val="center"/>
              <w:textAlignment w:val="center"/>
              <w:rPr>
                <w:rFonts w:ascii="Times New Roman" w:hAnsi="Times New Roman" w:eastAsia="宋体" w:cs="Times New Roman"/>
                <w:color w:val="auto"/>
                <w:kern w:val="0"/>
                <w:sz w:val="21"/>
                <w:szCs w:val="21"/>
                <w:lang w:val="en-US" w:eastAsia="zh-CN" w:bidi="ar"/>
              </w:rPr>
            </w:pPr>
            <w:r>
              <w:rPr>
                <w:rFonts w:hint="eastAsia" w:ascii="宋体" w:hAnsi="宋体"/>
                <w:color w:val="auto"/>
                <w:szCs w:val="21"/>
              </w:rPr>
              <w:t>原料车间、生产车间、成品库、</w:t>
            </w:r>
            <w:r>
              <w:rPr>
                <w:rFonts w:hint="eastAsia" w:ascii="宋体" w:hAnsi="宋体"/>
                <w:color w:val="auto"/>
                <w:szCs w:val="21"/>
                <w:lang w:val="en-US" w:eastAsia="zh-CN"/>
              </w:rPr>
              <w:t>危</w:t>
            </w:r>
            <w:r>
              <w:rPr>
                <w:rFonts w:hint="eastAsia" w:ascii="宋体" w:hAnsi="宋体"/>
                <w:color w:val="auto"/>
                <w:szCs w:val="21"/>
              </w:rPr>
              <w:t>废暂存间、铝灰</w:t>
            </w:r>
            <w:r>
              <w:rPr>
                <w:rFonts w:hint="eastAsia" w:ascii="宋体" w:hAnsi="宋体"/>
                <w:color w:val="auto"/>
                <w:szCs w:val="21"/>
                <w:lang w:val="en-US" w:eastAsia="zh-CN"/>
              </w:rPr>
              <w:t>暂</w:t>
            </w:r>
            <w:r>
              <w:rPr>
                <w:rFonts w:hint="eastAsia" w:ascii="宋体" w:hAnsi="宋体"/>
                <w:color w:val="auto"/>
                <w:szCs w:val="21"/>
              </w:rPr>
              <w:t>存间，以及</w:t>
            </w:r>
            <w:r>
              <w:rPr>
                <w:rFonts w:hint="eastAsia" w:hAnsi="宋体"/>
                <w:color w:val="auto"/>
                <w:szCs w:val="21"/>
              </w:rPr>
              <w:t>废水管网</w:t>
            </w:r>
            <w:r>
              <w:rPr>
                <w:rFonts w:hAnsi="宋体"/>
                <w:color w:val="auto"/>
                <w:szCs w:val="21"/>
              </w:rPr>
              <w:t>等处</w:t>
            </w:r>
            <w:r>
              <w:rPr>
                <w:rFonts w:hint="eastAsia" w:hAnsi="宋体"/>
                <w:color w:val="auto"/>
                <w:szCs w:val="21"/>
              </w:rPr>
              <w:t>均采取相应的</w:t>
            </w:r>
            <w:r>
              <w:rPr>
                <w:rFonts w:hAnsi="宋体"/>
                <w:color w:val="auto"/>
                <w:szCs w:val="21"/>
              </w:rPr>
              <w:t>防渗结构层</w:t>
            </w:r>
          </w:p>
        </w:tc>
        <w:tc>
          <w:tcPr>
            <w:tcW w:w="3184" w:type="dxa"/>
            <w:tcBorders>
              <w:tl2br w:val="nil"/>
              <w:tr2bl w:val="nil"/>
            </w:tcBorders>
            <w:shd w:val="clear" w:color="auto" w:fill="auto"/>
            <w:noWrap/>
            <w:vAlign w:val="center"/>
          </w:tcPr>
          <w:p w14:paraId="4726E140">
            <w:pPr>
              <w:widowControl/>
              <w:jc w:val="center"/>
              <w:textAlignment w:val="center"/>
              <w:rPr>
                <w:rFonts w:hint="eastAsia" w:ascii="宋体" w:hAnsi="宋体"/>
                <w:color w:val="auto"/>
                <w:szCs w:val="21"/>
              </w:rPr>
            </w:pPr>
            <w:r>
              <w:rPr>
                <w:rFonts w:hint="eastAsia" w:ascii="宋体" w:hAnsi="宋体"/>
                <w:color w:val="auto"/>
                <w:szCs w:val="21"/>
              </w:rPr>
              <w:t>原料车间、生产车间、成品库、</w:t>
            </w:r>
            <w:r>
              <w:rPr>
                <w:rFonts w:hint="eastAsia" w:ascii="宋体" w:hAnsi="宋体"/>
                <w:color w:val="auto"/>
                <w:szCs w:val="21"/>
                <w:lang w:val="en-US" w:eastAsia="zh-CN"/>
              </w:rPr>
              <w:t>危</w:t>
            </w:r>
            <w:r>
              <w:rPr>
                <w:rFonts w:hint="eastAsia" w:ascii="宋体" w:hAnsi="宋体"/>
                <w:color w:val="auto"/>
                <w:szCs w:val="21"/>
              </w:rPr>
              <w:t>废暂存间、铝灰</w:t>
            </w:r>
            <w:r>
              <w:rPr>
                <w:rFonts w:hint="eastAsia" w:ascii="宋体" w:hAnsi="宋体"/>
                <w:color w:val="auto"/>
                <w:szCs w:val="21"/>
                <w:lang w:val="en-US" w:eastAsia="zh-CN"/>
              </w:rPr>
              <w:t>暂</w:t>
            </w:r>
            <w:r>
              <w:rPr>
                <w:rFonts w:hint="eastAsia" w:ascii="宋体" w:hAnsi="宋体"/>
                <w:color w:val="auto"/>
                <w:szCs w:val="21"/>
              </w:rPr>
              <w:t>存间，以及</w:t>
            </w:r>
            <w:r>
              <w:rPr>
                <w:rFonts w:hint="eastAsia" w:hAnsi="宋体"/>
                <w:color w:val="auto"/>
                <w:szCs w:val="21"/>
              </w:rPr>
              <w:t>废水管网</w:t>
            </w:r>
            <w:r>
              <w:rPr>
                <w:rFonts w:hAnsi="宋体"/>
                <w:color w:val="auto"/>
                <w:szCs w:val="21"/>
              </w:rPr>
              <w:t>等处</w:t>
            </w:r>
            <w:r>
              <w:rPr>
                <w:rFonts w:hint="eastAsia" w:hAnsi="宋体"/>
                <w:color w:val="auto"/>
                <w:szCs w:val="21"/>
              </w:rPr>
              <w:t>均采取相应的</w:t>
            </w:r>
            <w:r>
              <w:rPr>
                <w:rFonts w:hAnsi="宋体"/>
                <w:color w:val="auto"/>
                <w:szCs w:val="21"/>
              </w:rPr>
              <w:t>防渗结构层</w:t>
            </w:r>
          </w:p>
        </w:tc>
        <w:tc>
          <w:tcPr>
            <w:tcW w:w="1138" w:type="pct"/>
            <w:tcBorders>
              <w:tl2br w:val="nil"/>
              <w:tr2bl w:val="nil"/>
            </w:tcBorders>
            <w:shd w:val="clear" w:color="auto" w:fill="auto"/>
            <w:noWrap/>
            <w:vAlign w:val="center"/>
          </w:tcPr>
          <w:p w14:paraId="329D3F05">
            <w:pPr>
              <w:widowControl/>
              <w:jc w:val="center"/>
              <w:textAlignment w:val="center"/>
              <w:rPr>
                <w:rFonts w:ascii="Times New Roman" w:hAnsi="Times New Roman" w:eastAsia="宋体" w:cs="Times New Roman"/>
                <w:color w:val="auto"/>
                <w:kern w:val="0"/>
                <w:sz w:val="21"/>
                <w:szCs w:val="21"/>
                <w:lang w:val="en-US" w:eastAsia="zh-CN" w:bidi="ar"/>
              </w:rPr>
            </w:pPr>
            <w:r>
              <w:rPr>
                <w:color w:val="auto"/>
                <w:kern w:val="0"/>
                <w:szCs w:val="21"/>
                <w:lang w:bidi="ar"/>
              </w:rPr>
              <w:t>重点防渗区（</w:t>
            </w:r>
            <w:r>
              <w:rPr>
                <w:rFonts w:hint="eastAsia"/>
                <w:color w:val="auto"/>
                <w:kern w:val="0"/>
                <w:szCs w:val="21"/>
                <w:lang w:val="en-US" w:eastAsia="zh-CN" w:bidi="ar"/>
              </w:rPr>
              <w:t>危废暂存间</w:t>
            </w:r>
            <w:r>
              <w:rPr>
                <w:color w:val="auto"/>
                <w:kern w:val="0"/>
                <w:szCs w:val="21"/>
                <w:lang w:bidi="ar"/>
              </w:rPr>
              <w:t>）：基础防渗层为至少1米厚粘土层（渗透系数≤10</w:t>
            </w:r>
            <w:r>
              <w:rPr>
                <w:color w:val="auto"/>
                <w:kern w:val="0"/>
                <w:szCs w:val="21"/>
                <w:vertAlign w:val="superscript"/>
                <w:lang w:bidi="ar"/>
              </w:rPr>
              <w:t>-7</w:t>
            </w:r>
            <w:r>
              <w:rPr>
                <w:color w:val="auto"/>
                <w:kern w:val="0"/>
                <w:szCs w:val="21"/>
                <w:lang w:bidi="ar"/>
              </w:rPr>
              <w:t>cm/s），或2mm厚高密度聚乙烯，或至少2mm厚的其它人工材料（渗透系数≤10</w:t>
            </w:r>
            <w:r>
              <w:rPr>
                <w:color w:val="auto"/>
                <w:kern w:val="0"/>
                <w:szCs w:val="21"/>
                <w:vertAlign w:val="superscript"/>
                <w:lang w:bidi="ar"/>
              </w:rPr>
              <w:t>-10</w:t>
            </w:r>
            <w:r>
              <w:rPr>
                <w:color w:val="auto"/>
                <w:kern w:val="0"/>
                <w:szCs w:val="21"/>
                <w:lang w:bidi="ar"/>
              </w:rPr>
              <w:t>cm/s）；一般防渗区（</w:t>
            </w:r>
            <w:r>
              <w:rPr>
                <w:rFonts w:hint="eastAsia"/>
                <w:color w:val="auto"/>
                <w:kern w:val="0"/>
                <w:szCs w:val="21"/>
                <w:lang w:val="en-US" w:eastAsia="zh-CN" w:bidi="ar"/>
              </w:rPr>
              <w:t>生产</w:t>
            </w:r>
            <w:r>
              <w:rPr>
                <w:color w:val="auto"/>
                <w:kern w:val="0"/>
                <w:szCs w:val="21"/>
                <w:lang w:bidi="ar"/>
              </w:rPr>
              <w:t>车间</w:t>
            </w:r>
            <w:r>
              <w:rPr>
                <w:rFonts w:hint="eastAsia"/>
                <w:color w:val="auto"/>
                <w:kern w:val="0"/>
                <w:szCs w:val="21"/>
                <w:lang w:eastAsia="zh-CN" w:bidi="ar"/>
              </w:rPr>
              <w:t>、</w:t>
            </w:r>
            <w:r>
              <w:rPr>
                <w:rFonts w:hint="eastAsia"/>
                <w:color w:val="auto"/>
                <w:kern w:val="0"/>
                <w:szCs w:val="21"/>
                <w:lang w:val="en-US" w:eastAsia="zh-CN" w:bidi="ar"/>
              </w:rPr>
              <w:t>原料库、成品库</w:t>
            </w:r>
            <w:r>
              <w:rPr>
                <w:color w:val="auto"/>
                <w:kern w:val="0"/>
                <w:szCs w:val="21"/>
                <w:lang w:bidi="ar"/>
              </w:rPr>
              <w:t>）：防渗层的防渗性能不应低于1.5m厚渗透系数为1.0×10</w:t>
            </w:r>
            <w:r>
              <w:rPr>
                <w:color w:val="auto"/>
                <w:kern w:val="0"/>
                <w:szCs w:val="21"/>
                <w:vertAlign w:val="superscript"/>
                <w:lang w:bidi="ar"/>
              </w:rPr>
              <w:t>-7</w:t>
            </w:r>
            <w:r>
              <w:rPr>
                <w:color w:val="auto"/>
                <w:kern w:val="0"/>
                <w:szCs w:val="21"/>
                <w:lang w:bidi="ar"/>
              </w:rPr>
              <w:t>cm/s的黏土层的防渗性能。</w:t>
            </w:r>
          </w:p>
        </w:tc>
        <w:tc>
          <w:tcPr>
            <w:tcW w:w="1210" w:type="pct"/>
            <w:tcBorders>
              <w:tl2br w:val="nil"/>
              <w:tr2bl w:val="nil"/>
            </w:tcBorders>
            <w:noWrap/>
            <w:vAlign w:val="center"/>
          </w:tcPr>
          <w:p w14:paraId="558769FF">
            <w:pPr>
              <w:widowControl/>
              <w:jc w:val="center"/>
              <w:textAlignment w:val="center"/>
              <w:rPr>
                <w:color w:val="auto"/>
                <w:kern w:val="0"/>
                <w:szCs w:val="21"/>
                <w:lang w:bidi="ar"/>
              </w:rPr>
            </w:pPr>
            <w:r>
              <w:rPr>
                <w:rFonts w:hint="eastAsia"/>
                <w:color w:val="auto"/>
                <w:kern w:val="0"/>
                <w:szCs w:val="21"/>
                <w:lang w:val="en-US" w:eastAsia="zh-CN" w:bidi="ar"/>
              </w:rPr>
              <w:t>不变</w:t>
            </w:r>
          </w:p>
        </w:tc>
      </w:tr>
      <w:tr w14:paraId="67460D56">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15" w:type="dxa"/>
            <w:left w:w="15" w:type="dxa"/>
            <w:bottom w:w="15" w:type="dxa"/>
            <w:right w:w="15" w:type="dxa"/>
          </w:tblCellMar>
        </w:tblPrEx>
        <w:trPr>
          <w:trHeight w:val="454" w:hRule="atLeast"/>
        </w:trPr>
        <w:tc>
          <w:tcPr>
            <w:tcW w:w="151" w:type="pct"/>
            <w:vMerge w:val="continue"/>
            <w:tcBorders>
              <w:tl2br w:val="nil"/>
              <w:tr2bl w:val="nil"/>
            </w:tcBorders>
            <w:noWrap/>
            <w:vAlign w:val="center"/>
          </w:tcPr>
          <w:p w14:paraId="0B187602">
            <w:pPr>
              <w:jc w:val="center"/>
              <w:rPr>
                <w:color w:val="auto"/>
                <w:szCs w:val="21"/>
              </w:rPr>
            </w:pPr>
          </w:p>
        </w:tc>
        <w:tc>
          <w:tcPr>
            <w:tcW w:w="222" w:type="pct"/>
            <w:tcBorders>
              <w:tl2br w:val="nil"/>
              <w:tr2bl w:val="nil"/>
            </w:tcBorders>
            <w:noWrap/>
            <w:vAlign w:val="center"/>
          </w:tcPr>
          <w:p w14:paraId="4473E865">
            <w:pPr>
              <w:widowControl/>
              <w:jc w:val="center"/>
              <w:textAlignment w:val="center"/>
              <w:rPr>
                <w:color w:val="auto"/>
                <w:kern w:val="0"/>
                <w:szCs w:val="21"/>
                <w:lang w:bidi="ar"/>
              </w:rPr>
            </w:pPr>
            <w:r>
              <w:rPr>
                <w:color w:val="auto"/>
                <w:kern w:val="0"/>
                <w:szCs w:val="21"/>
                <w:lang w:bidi="ar"/>
              </w:rPr>
              <w:t>绿化</w:t>
            </w:r>
          </w:p>
        </w:tc>
        <w:tc>
          <w:tcPr>
            <w:tcW w:w="1138" w:type="pct"/>
            <w:gridSpan w:val="2"/>
            <w:tcBorders>
              <w:tl2br w:val="nil"/>
              <w:tr2bl w:val="nil"/>
            </w:tcBorders>
            <w:shd w:val="clear" w:color="auto" w:fill="auto"/>
            <w:noWrap/>
            <w:vAlign w:val="center"/>
          </w:tcPr>
          <w:p w14:paraId="2DA730FA">
            <w:pPr>
              <w:widowControl/>
              <w:jc w:val="center"/>
              <w:textAlignment w:val="center"/>
              <w:rPr>
                <w:rFonts w:hint="eastAsia" w:ascii="Times New Roman" w:hAnsi="Times New Roman" w:eastAsia="宋体" w:cs="Times New Roman"/>
                <w:color w:val="auto"/>
                <w:kern w:val="0"/>
                <w:sz w:val="21"/>
                <w:szCs w:val="21"/>
                <w:lang w:val="en-US" w:eastAsia="zh-CN" w:bidi="ar"/>
              </w:rPr>
            </w:pPr>
            <w:r>
              <w:rPr>
                <w:color w:val="auto"/>
              </w:rPr>
              <w:t>厂区绿地率为30%</w:t>
            </w:r>
          </w:p>
        </w:tc>
        <w:tc>
          <w:tcPr>
            <w:tcW w:w="3184" w:type="dxa"/>
            <w:tcBorders>
              <w:tl2br w:val="nil"/>
              <w:tr2bl w:val="nil"/>
            </w:tcBorders>
            <w:noWrap/>
            <w:vAlign w:val="center"/>
          </w:tcPr>
          <w:p w14:paraId="478159A5">
            <w:pPr>
              <w:widowControl/>
              <w:jc w:val="center"/>
              <w:textAlignment w:val="center"/>
              <w:rPr>
                <w:color w:val="auto"/>
              </w:rPr>
            </w:pPr>
            <w:r>
              <w:rPr>
                <w:color w:val="auto"/>
              </w:rPr>
              <w:t>厂区绿地率为30%</w:t>
            </w:r>
          </w:p>
        </w:tc>
        <w:tc>
          <w:tcPr>
            <w:tcW w:w="1138" w:type="pct"/>
            <w:tcBorders>
              <w:tl2br w:val="nil"/>
              <w:tr2bl w:val="nil"/>
            </w:tcBorders>
            <w:noWrap/>
            <w:vAlign w:val="center"/>
          </w:tcPr>
          <w:p w14:paraId="020EA8D6">
            <w:pPr>
              <w:widowControl/>
              <w:jc w:val="center"/>
              <w:textAlignment w:val="center"/>
              <w:rPr>
                <w:color w:val="auto"/>
                <w:kern w:val="0"/>
                <w:szCs w:val="21"/>
                <w:lang w:bidi="ar"/>
              </w:rPr>
            </w:pPr>
            <w:r>
              <w:rPr>
                <w:color w:val="auto"/>
              </w:rPr>
              <w:t>厂区绿地率为30%</w:t>
            </w:r>
          </w:p>
        </w:tc>
        <w:tc>
          <w:tcPr>
            <w:tcW w:w="1210" w:type="pct"/>
            <w:tcBorders>
              <w:tl2br w:val="nil"/>
              <w:tr2bl w:val="nil"/>
            </w:tcBorders>
            <w:noWrap/>
            <w:vAlign w:val="center"/>
          </w:tcPr>
          <w:p w14:paraId="076FCE32">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不变</w:t>
            </w:r>
          </w:p>
        </w:tc>
      </w:tr>
    </w:tbl>
    <w:p w14:paraId="071A7319">
      <w:pPr>
        <w:spacing w:line="360" w:lineRule="auto"/>
        <w:ind w:firstLine="480" w:firstLineChars="200"/>
        <w:rPr>
          <w:color w:val="auto"/>
          <w:sz w:val="24"/>
          <w:szCs w:val="32"/>
        </w:rPr>
        <w:sectPr>
          <w:pgSz w:w="16838" w:h="11906" w:orient="landscape"/>
          <w:pgMar w:top="1080" w:right="1440" w:bottom="1080" w:left="1440" w:header="708" w:footer="709" w:gutter="0"/>
          <w:pgBorders>
            <w:top w:val="none" w:sz="0" w:space="0"/>
            <w:left w:val="none" w:sz="0" w:space="0"/>
            <w:bottom w:val="none" w:sz="0" w:space="0"/>
            <w:right w:val="none" w:sz="0" w:space="0"/>
          </w:pgBorders>
          <w:pgNumType w:fmt="numberInDash"/>
          <w:cols w:space="0" w:num="1"/>
          <w:docGrid w:linePitch="360" w:charSpace="0"/>
        </w:sectPr>
      </w:pPr>
    </w:p>
    <w:p w14:paraId="472A2C9D">
      <w:pPr>
        <w:spacing w:line="360" w:lineRule="auto"/>
        <w:outlineLvl w:val="2"/>
        <w:rPr>
          <w:b/>
          <w:bCs/>
          <w:color w:val="auto"/>
          <w:sz w:val="24"/>
          <w:szCs w:val="32"/>
        </w:rPr>
      </w:pPr>
      <w:r>
        <w:rPr>
          <w:b/>
          <w:bCs/>
          <w:color w:val="auto"/>
          <w:sz w:val="24"/>
          <w:szCs w:val="32"/>
        </w:rPr>
        <w:t>3.1.2生产规模</w:t>
      </w:r>
    </w:p>
    <w:p w14:paraId="37FE6C76">
      <w:pPr>
        <w:spacing w:line="360" w:lineRule="auto"/>
        <w:ind w:firstLine="480" w:firstLineChars="200"/>
        <w:rPr>
          <w:color w:val="auto"/>
          <w:sz w:val="24"/>
          <w:szCs w:val="32"/>
        </w:rPr>
      </w:pPr>
      <w:r>
        <w:rPr>
          <w:rFonts w:hint="eastAsia"/>
          <w:color w:val="auto"/>
          <w:sz w:val="24"/>
          <w:szCs w:val="32"/>
        </w:rPr>
        <w:t>环评一期</w:t>
      </w:r>
      <w:r>
        <w:rPr>
          <w:rFonts w:hint="eastAsia"/>
          <w:color w:val="auto"/>
          <w:sz w:val="24"/>
          <w:szCs w:val="32"/>
          <w:lang w:val="en-US" w:eastAsia="zh-CN"/>
        </w:rPr>
        <w:t>工程</w:t>
      </w:r>
      <w:r>
        <w:rPr>
          <w:rFonts w:hint="eastAsia"/>
          <w:color w:val="auto"/>
          <w:sz w:val="24"/>
          <w:szCs w:val="32"/>
        </w:rPr>
        <w:t>、</w:t>
      </w:r>
      <w:r>
        <w:rPr>
          <w:rFonts w:hint="eastAsia"/>
          <w:color w:val="auto"/>
          <w:sz w:val="24"/>
          <w:szCs w:val="32"/>
          <w:lang w:val="en-US" w:eastAsia="zh-CN"/>
        </w:rPr>
        <w:t>阶段性环保</w:t>
      </w:r>
      <w:r>
        <w:rPr>
          <w:rFonts w:hint="eastAsia"/>
          <w:color w:val="auto"/>
          <w:sz w:val="24"/>
          <w:szCs w:val="32"/>
        </w:rPr>
        <w:t>验收及后评价阶段产品方案</w:t>
      </w:r>
      <w:r>
        <w:rPr>
          <w:rFonts w:hint="eastAsia"/>
          <w:color w:val="auto"/>
          <w:sz w:val="24"/>
          <w:szCs w:val="32"/>
          <w:lang w:val="en-US" w:eastAsia="zh-CN"/>
        </w:rPr>
        <w:t>情况见下表</w:t>
      </w:r>
      <w:r>
        <w:rPr>
          <w:color w:val="auto"/>
          <w:sz w:val="24"/>
          <w:szCs w:val="32"/>
        </w:rPr>
        <w:t>：</w:t>
      </w:r>
    </w:p>
    <w:p w14:paraId="3693B426">
      <w:pPr>
        <w:spacing w:line="360" w:lineRule="auto"/>
        <w:jc w:val="center"/>
        <w:rPr>
          <w:b/>
          <w:bCs/>
          <w:color w:val="auto"/>
          <w:sz w:val="24"/>
          <w:szCs w:val="32"/>
        </w:rPr>
      </w:pPr>
      <w:r>
        <w:rPr>
          <w:b/>
          <w:bCs/>
          <w:color w:val="auto"/>
          <w:sz w:val="24"/>
          <w:szCs w:val="32"/>
        </w:rPr>
        <w:t xml:space="preserve">表3-2 </w:t>
      </w:r>
      <w:r>
        <w:rPr>
          <w:rFonts w:hint="eastAsia"/>
          <w:b/>
          <w:bCs/>
          <w:color w:val="auto"/>
          <w:sz w:val="24"/>
          <w:szCs w:val="32"/>
        </w:rPr>
        <w:t>环评一期</w:t>
      </w:r>
      <w:r>
        <w:rPr>
          <w:rFonts w:hint="eastAsia"/>
          <w:b/>
          <w:bCs/>
          <w:color w:val="auto"/>
          <w:sz w:val="24"/>
          <w:szCs w:val="32"/>
          <w:lang w:val="en-US" w:eastAsia="zh-CN"/>
        </w:rPr>
        <w:t>工程</w:t>
      </w:r>
      <w:r>
        <w:rPr>
          <w:rFonts w:hint="eastAsia"/>
          <w:b/>
          <w:bCs/>
          <w:color w:val="auto"/>
          <w:sz w:val="24"/>
          <w:szCs w:val="32"/>
        </w:rPr>
        <w:t>、</w:t>
      </w:r>
      <w:r>
        <w:rPr>
          <w:rFonts w:hint="eastAsia"/>
          <w:b/>
          <w:bCs/>
          <w:color w:val="auto"/>
          <w:sz w:val="24"/>
          <w:szCs w:val="32"/>
          <w:lang w:val="en-US" w:eastAsia="zh-CN"/>
        </w:rPr>
        <w:t>阶段性环保</w:t>
      </w:r>
      <w:r>
        <w:rPr>
          <w:rFonts w:hint="eastAsia"/>
          <w:b/>
          <w:bCs/>
          <w:color w:val="auto"/>
          <w:sz w:val="24"/>
          <w:szCs w:val="32"/>
        </w:rPr>
        <w:t>验收及后评价阶段产品方案对比</w:t>
      </w:r>
      <w:r>
        <w:rPr>
          <w:b/>
          <w:bCs/>
          <w:color w:val="auto"/>
          <w:sz w:val="24"/>
          <w:szCs w:val="32"/>
        </w:rPr>
        <w:t>一览表</w:t>
      </w:r>
    </w:p>
    <w:tbl>
      <w:tblPr>
        <w:tblStyle w:val="31"/>
        <w:tblW w:w="4990"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777"/>
        <w:gridCol w:w="1540"/>
        <w:gridCol w:w="1335"/>
        <w:gridCol w:w="1335"/>
        <w:gridCol w:w="2799"/>
        <w:gridCol w:w="1156"/>
      </w:tblGrid>
      <w:tr w14:paraId="3D336BC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893" w:type="pct"/>
            <w:tcBorders>
              <w:tl2br w:val="nil"/>
              <w:tr2bl w:val="nil"/>
            </w:tcBorders>
            <w:vAlign w:val="center"/>
          </w:tcPr>
          <w:p w14:paraId="61553626">
            <w:pPr>
              <w:widowControl/>
              <w:jc w:val="center"/>
              <w:textAlignment w:val="center"/>
              <w:rPr>
                <w:rFonts w:hint="default" w:ascii="Times New Roman" w:hAnsi="Times New Roman" w:cs="Times New Roman"/>
                <w:b/>
                <w:bCs/>
                <w:color w:val="auto"/>
                <w:szCs w:val="21"/>
              </w:rPr>
            </w:pPr>
            <w:r>
              <w:rPr>
                <w:rFonts w:hint="default" w:ascii="Times New Roman" w:hAnsi="Times New Roman" w:cs="Times New Roman"/>
                <w:b/>
                <w:bCs/>
                <w:color w:val="auto"/>
                <w:kern w:val="0"/>
                <w:szCs w:val="21"/>
                <w:lang w:bidi="ar"/>
              </w:rPr>
              <w:t>产品名称</w:t>
            </w:r>
          </w:p>
        </w:tc>
        <w:tc>
          <w:tcPr>
            <w:tcW w:w="774" w:type="pct"/>
            <w:tcBorders>
              <w:tl2br w:val="nil"/>
              <w:tr2bl w:val="nil"/>
            </w:tcBorders>
            <w:vAlign w:val="center"/>
          </w:tcPr>
          <w:p w14:paraId="1D0B3E54">
            <w:pPr>
              <w:widowControl/>
              <w:jc w:val="center"/>
              <w:textAlignment w:val="center"/>
              <w:rPr>
                <w:rFonts w:hint="default" w:ascii="Times New Roman" w:hAnsi="Times New Roman" w:cs="Times New Roman"/>
                <w:b/>
                <w:bCs/>
                <w:color w:val="auto"/>
                <w:szCs w:val="21"/>
              </w:rPr>
            </w:pPr>
            <w:r>
              <w:rPr>
                <w:rFonts w:hint="default" w:ascii="Times New Roman" w:hAnsi="Times New Roman" w:cs="Times New Roman"/>
                <w:b/>
                <w:bCs/>
                <w:color w:val="auto"/>
                <w:kern w:val="0"/>
                <w:szCs w:val="21"/>
                <w:lang w:bidi="ar"/>
              </w:rPr>
              <w:t>环评</w:t>
            </w:r>
            <w:r>
              <w:rPr>
                <w:rFonts w:hint="eastAsia" w:cs="Times New Roman"/>
                <w:b/>
                <w:bCs/>
                <w:color w:val="auto"/>
                <w:kern w:val="0"/>
                <w:szCs w:val="21"/>
                <w:lang w:val="en-US" w:eastAsia="zh-CN" w:bidi="ar"/>
              </w:rPr>
              <w:t>阶段</w:t>
            </w:r>
            <w:r>
              <w:rPr>
                <w:rFonts w:hint="default" w:ascii="Times New Roman" w:hAnsi="Times New Roman" w:cs="Times New Roman"/>
                <w:b/>
                <w:bCs/>
                <w:color w:val="auto"/>
                <w:kern w:val="0"/>
                <w:szCs w:val="21"/>
                <w:lang w:bidi="ar"/>
              </w:rPr>
              <w:t>产品方案(t/a)</w:t>
            </w:r>
          </w:p>
        </w:tc>
        <w:tc>
          <w:tcPr>
            <w:tcW w:w="671" w:type="pct"/>
            <w:tcBorders>
              <w:tl2br w:val="nil"/>
              <w:tr2bl w:val="nil"/>
            </w:tcBorders>
            <w:vAlign w:val="center"/>
          </w:tcPr>
          <w:p w14:paraId="3F3D7679">
            <w:pPr>
              <w:widowControl/>
              <w:jc w:val="center"/>
              <w:textAlignment w:val="center"/>
              <w:rPr>
                <w:rFonts w:hint="default" w:ascii="Times New Roman" w:hAnsi="Times New Roman" w:cs="Times New Roman"/>
                <w:b/>
                <w:bCs/>
                <w:color w:val="auto"/>
                <w:kern w:val="0"/>
                <w:szCs w:val="21"/>
                <w:lang w:bidi="ar"/>
              </w:rPr>
            </w:pPr>
            <w:r>
              <w:rPr>
                <w:rFonts w:hint="eastAsia" w:cs="Times New Roman"/>
                <w:b/>
                <w:bCs/>
                <w:color w:val="auto"/>
                <w:kern w:val="0"/>
                <w:szCs w:val="21"/>
                <w:lang w:val="en-US" w:eastAsia="zh-CN" w:bidi="ar"/>
              </w:rPr>
              <w:t>验收</w:t>
            </w:r>
            <w:r>
              <w:rPr>
                <w:rFonts w:hint="default" w:ascii="Times New Roman" w:hAnsi="Times New Roman" w:cs="Times New Roman"/>
                <w:b/>
                <w:bCs/>
                <w:color w:val="auto"/>
                <w:kern w:val="0"/>
                <w:szCs w:val="21"/>
                <w:lang w:val="en-US" w:eastAsia="zh-CN" w:bidi="ar"/>
              </w:rPr>
              <w:t>阶段</w:t>
            </w:r>
            <w:r>
              <w:rPr>
                <w:rFonts w:hint="default" w:ascii="Times New Roman" w:hAnsi="Times New Roman" w:cs="Times New Roman"/>
                <w:b/>
                <w:bCs/>
                <w:color w:val="auto"/>
                <w:kern w:val="0"/>
                <w:szCs w:val="21"/>
                <w:lang w:bidi="ar"/>
              </w:rPr>
              <w:t>产品方案(t/a)</w:t>
            </w:r>
          </w:p>
        </w:tc>
        <w:tc>
          <w:tcPr>
            <w:tcW w:w="671" w:type="pct"/>
            <w:tcBorders>
              <w:tl2br w:val="nil"/>
              <w:tr2bl w:val="nil"/>
            </w:tcBorders>
            <w:vAlign w:val="center"/>
          </w:tcPr>
          <w:p w14:paraId="5362CCEB">
            <w:pPr>
              <w:widowControl/>
              <w:jc w:val="center"/>
              <w:textAlignment w:val="center"/>
              <w:rPr>
                <w:rFonts w:hint="default" w:ascii="Times New Roman" w:hAnsi="Times New Roman" w:cs="Times New Roman"/>
                <w:b/>
                <w:bCs/>
                <w:color w:val="auto"/>
                <w:szCs w:val="21"/>
              </w:rPr>
            </w:pPr>
            <w:r>
              <w:rPr>
                <w:rFonts w:hint="default" w:ascii="Times New Roman" w:hAnsi="Times New Roman" w:cs="Times New Roman"/>
                <w:b/>
                <w:bCs/>
                <w:color w:val="auto"/>
                <w:kern w:val="0"/>
                <w:szCs w:val="21"/>
                <w:lang w:val="en-US" w:eastAsia="zh-CN" w:bidi="ar"/>
              </w:rPr>
              <w:t>后评价阶段产品方案</w:t>
            </w:r>
            <w:r>
              <w:rPr>
                <w:rFonts w:hint="default" w:ascii="Times New Roman" w:hAnsi="Times New Roman" w:cs="Times New Roman"/>
                <w:b/>
                <w:bCs/>
                <w:color w:val="auto"/>
                <w:kern w:val="0"/>
                <w:szCs w:val="21"/>
                <w:lang w:bidi="ar"/>
              </w:rPr>
              <w:t>(t/a)</w:t>
            </w:r>
          </w:p>
        </w:tc>
        <w:tc>
          <w:tcPr>
            <w:tcW w:w="1407" w:type="pct"/>
            <w:tcBorders>
              <w:tl2br w:val="nil"/>
              <w:tr2bl w:val="nil"/>
            </w:tcBorders>
            <w:vAlign w:val="center"/>
          </w:tcPr>
          <w:p w14:paraId="099DBCA1">
            <w:pPr>
              <w:widowControl/>
              <w:jc w:val="center"/>
              <w:textAlignment w:val="center"/>
              <w:rPr>
                <w:rFonts w:hint="default" w:ascii="Times New Roman" w:hAnsi="Times New Roman" w:cs="Times New Roman"/>
                <w:b/>
                <w:bCs/>
                <w:color w:val="auto"/>
                <w:kern w:val="0"/>
                <w:szCs w:val="21"/>
                <w:lang w:val="en-US" w:eastAsia="zh-CN" w:bidi="ar"/>
              </w:rPr>
            </w:pPr>
            <w:r>
              <w:rPr>
                <w:rFonts w:hint="default" w:ascii="Times New Roman" w:hAnsi="Times New Roman" w:cs="Times New Roman"/>
                <w:b/>
                <w:bCs/>
                <w:color w:val="auto"/>
                <w:szCs w:val="21"/>
              </w:rPr>
              <w:t>生产时间</w:t>
            </w:r>
          </w:p>
        </w:tc>
        <w:tc>
          <w:tcPr>
            <w:tcW w:w="581" w:type="pct"/>
            <w:tcBorders>
              <w:tl2br w:val="nil"/>
              <w:tr2bl w:val="nil"/>
            </w:tcBorders>
            <w:vAlign w:val="center"/>
          </w:tcPr>
          <w:p w14:paraId="105C3A40">
            <w:pPr>
              <w:widowControl/>
              <w:jc w:val="center"/>
              <w:textAlignment w:val="center"/>
              <w:rPr>
                <w:rFonts w:hint="default" w:ascii="Times New Roman" w:hAnsi="Times New Roman" w:cs="Times New Roman"/>
                <w:b/>
                <w:bCs/>
                <w:color w:val="auto"/>
                <w:szCs w:val="21"/>
              </w:rPr>
            </w:pPr>
            <w:r>
              <w:rPr>
                <w:rFonts w:hint="default" w:ascii="Times New Roman" w:hAnsi="Times New Roman" w:cs="Times New Roman"/>
                <w:b/>
                <w:bCs/>
                <w:color w:val="auto"/>
                <w:kern w:val="0"/>
                <w:szCs w:val="21"/>
                <w:lang w:bidi="ar"/>
              </w:rPr>
              <w:t>备注</w:t>
            </w:r>
          </w:p>
        </w:tc>
      </w:tr>
      <w:tr w14:paraId="6FB3B5D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893" w:type="pct"/>
            <w:tcBorders>
              <w:tl2br w:val="nil"/>
              <w:tr2bl w:val="nil"/>
            </w:tcBorders>
            <w:vAlign w:val="center"/>
          </w:tcPr>
          <w:p w14:paraId="34ACD0F0">
            <w:pPr>
              <w:widowControl/>
              <w:jc w:val="center"/>
              <w:textAlignment w:val="center"/>
              <w:rPr>
                <w:rFonts w:hint="default" w:ascii="Times New Roman" w:hAnsi="Times New Roman" w:cs="Times New Roman"/>
                <w:color w:val="auto"/>
                <w:szCs w:val="21"/>
              </w:rPr>
            </w:pPr>
            <w:r>
              <w:rPr>
                <w:rFonts w:hint="eastAsia"/>
                <w:color w:val="auto"/>
                <w:szCs w:val="21"/>
              </w:rPr>
              <w:t>铝硅系铸造铝合金锭</w:t>
            </w:r>
          </w:p>
        </w:tc>
        <w:tc>
          <w:tcPr>
            <w:tcW w:w="774" w:type="pct"/>
            <w:tcBorders>
              <w:tl2br w:val="nil"/>
              <w:tr2bl w:val="nil"/>
            </w:tcBorders>
            <w:shd w:val="clear" w:color="auto" w:fill="auto"/>
            <w:vAlign w:val="center"/>
          </w:tcPr>
          <w:p w14:paraId="64D85423">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Cs w:val="21"/>
                <w:lang w:val="en-US" w:eastAsia="zh-CN"/>
              </w:rPr>
              <w:t>50500</w:t>
            </w:r>
          </w:p>
        </w:tc>
        <w:tc>
          <w:tcPr>
            <w:tcW w:w="671" w:type="pct"/>
            <w:tcBorders>
              <w:tl2br w:val="nil"/>
              <w:tr2bl w:val="nil"/>
            </w:tcBorders>
            <w:shd w:val="clear" w:color="auto" w:fill="auto"/>
            <w:vAlign w:val="center"/>
          </w:tcPr>
          <w:p w14:paraId="7CE6802B">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Cs w:val="21"/>
                <w:lang w:val="en-US" w:eastAsia="zh-CN"/>
              </w:rPr>
              <w:t>50500</w:t>
            </w:r>
          </w:p>
        </w:tc>
        <w:tc>
          <w:tcPr>
            <w:tcW w:w="671" w:type="pct"/>
            <w:tcBorders>
              <w:tl2br w:val="nil"/>
              <w:tr2bl w:val="nil"/>
            </w:tcBorders>
            <w:shd w:val="clear" w:color="auto" w:fill="auto"/>
            <w:vAlign w:val="center"/>
          </w:tcPr>
          <w:p w14:paraId="5A20B175">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Cs w:val="21"/>
                <w:lang w:val="en-US" w:eastAsia="zh-CN"/>
              </w:rPr>
              <w:t>50500</w:t>
            </w:r>
          </w:p>
        </w:tc>
        <w:tc>
          <w:tcPr>
            <w:tcW w:w="1407" w:type="pct"/>
            <w:tcBorders>
              <w:tl2br w:val="nil"/>
              <w:tr2bl w:val="nil"/>
            </w:tcBorders>
            <w:shd w:val="clear" w:color="auto" w:fill="auto"/>
            <w:vAlign w:val="center"/>
          </w:tcPr>
          <w:p w14:paraId="0DF8613F">
            <w:pPr>
              <w:jc w:val="center"/>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Cs w:val="21"/>
              </w:rPr>
              <w:t>年生产300天，7200小时</w:t>
            </w:r>
          </w:p>
        </w:tc>
        <w:tc>
          <w:tcPr>
            <w:tcW w:w="581" w:type="pct"/>
            <w:tcBorders>
              <w:tl2br w:val="nil"/>
              <w:tr2bl w:val="nil"/>
            </w:tcBorders>
            <w:vAlign w:val="center"/>
          </w:tcPr>
          <w:p w14:paraId="786152F1">
            <w:pPr>
              <w:widowControl/>
              <w:jc w:val="center"/>
              <w:textAlignment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w:t>
            </w:r>
          </w:p>
        </w:tc>
      </w:tr>
      <w:tr w14:paraId="3E53F7B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893" w:type="pct"/>
            <w:tcBorders>
              <w:tl2br w:val="nil"/>
              <w:tr2bl w:val="nil"/>
            </w:tcBorders>
            <w:vAlign w:val="center"/>
          </w:tcPr>
          <w:p w14:paraId="76EA0BEE">
            <w:pPr>
              <w:widowControl/>
              <w:jc w:val="center"/>
              <w:textAlignment w:val="center"/>
              <w:rPr>
                <w:rFonts w:hint="default" w:ascii="Times New Roman" w:hAnsi="Times New Roman" w:eastAsia="宋体" w:cs="Times New Roman"/>
                <w:color w:val="auto"/>
                <w:kern w:val="0"/>
                <w:szCs w:val="21"/>
                <w:lang w:val="en-US" w:eastAsia="zh-CN" w:bidi="ar"/>
              </w:rPr>
            </w:pPr>
            <w:r>
              <w:rPr>
                <w:rFonts w:hint="eastAsia" w:ascii="Times New Roman" w:hAnsi="Times New Roman" w:cs="Times New Roman"/>
                <w:color w:val="auto"/>
                <w:kern w:val="0"/>
                <w:szCs w:val="21"/>
                <w:lang w:val="en-US" w:eastAsia="zh-CN" w:bidi="ar"/>
              </w:rPr>
              <w:t>合计</w:t>
            </w:r>
          </w:p>
        </w:tc>
        <w:tc>
          <w:tcPr>
            <w:tcW w:w="1540" w:type="dxa"/>
            <w:tcBorders>
              <w:tl2br w:val="nil"/>
              <w:tr2bl w:val="nil"/>
            </w:tcBorders>
            <w:shd w:val="clear" w:color="auto" w:fill="auto"/>
            <w:vAlign w:val="center"/>
          </w:tcPr>
          <w:p w14:paraId="3EF4ECE0">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Cs w:val="21"/>
                <w:lang w:val="en-US" w:eastAsia="zh-CN"/>
              </w:rPr>
              <w:t>50500</w:t>
            </w:r>
          </w:p>
        </w:tc>
        <w:tc>
          <w:tcPr>
            <w:tcW w:w="1335" w:type="dxa"/>
            <w:tcBorders>
              <w:tl2br w:val="nil"/>
              <w:tr2bl w:val="nil"/>
            </w:tcBorders>
            <w:shd w:val="clear" w:color="auto" w:fill="auto"/>
            <w:vAlign w:val="center"/>
          </w:tcPr>
          <w:p w14:paraId="61176EB9">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szCs w:val="21"/>
                <w:lang w:val="en-US" w:eastAsia="zh-CN"/>
              </w:rPr>
              <w:t>50500</w:t>
            </w:r>
          </w:p>
        </w:tc>
        <w:tc>
          <w:tcPr>
            <w:tcW w:w="1335" w:type="dxa"/>
            <w:tcBorders>
              <w:tl2br w:val="nil"/>
              <w:tr2bl w:val="nil"/>
            </w:tcBorders>
            <w:shd w:val="clear" w:color="auto" w:fill="auto"/>
            <w:vAlign w:val="center"/>
          </w:tcPr>
          <w:p w14:paraId="28F15C0C">
            <w:pPr>
              <w:widowControl/>
              <w:jc w:val="center"/>
              <w:textAlignment w:val="center"/>
              <w:rPr>
                <w:rFonts w:hint="default" w:ascii="Times New Roman" w:hAnsi="Times New Roman" w:cs="Times New Roman"/>
                <w:color w:val="auto"/>
                <w:kern w:val="0"/>
                <w:szCs w:val="21"/>
                <w:lang w:bidi="ar"/>
              </w:rPr>
            </w:pPr>
            <w:r>
              <w:rPr>
                <w:rFonts w:hint="eastAsia" w:cs="Times New Roman"/>
                <w:color w:val="auto"/>
                <w:szCs w:val="21"/>
                <w:lang w:val="en-US" w:eastAsia="zh-CN"/>
              </w:rPr>
              <w:t>50500</w:t>
            </w:r>
          </w:p>
        </w:tc>
        <w:tc>
          <w:tcPr>
            <w:tcW w:w="1407" w:type="pct"/>
            <w:tcBorders>
              <w:tl2br w:val="nil"/>
              <w:tr2bl w:val="nil"/>
            </w:tcBorders>
            <w:shd w:val="clear" w:color="auto" w:fill="auto"/>
            <w:vAlign w:val="center"/>
          </w:tcPr>
          <w:p w14:paraId="22DACC3D">
            <w:pPr>
              <w:jc w:val="center"/>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w:t>
            </w:r>
          </w:p>
        </w:tc>
        <w:tc>
          <w:tcPr>
            <w:tcW w:w="581" w:type="pct"/>
            <w:tcBorders>
              <w:tl2br w:val="nil"/>
              <w:tr2bl w:val="nil"/>
            </w:tcBorders>
            <w:vAlign w:val="center"/>
          </w:tcPr>
          <w:p w14:paraId="1028B194">
            <w:pPr>
              <w:widowControl/>
              <w:jc w:val="center"/>
              <w:textAlignment w:val="center"/>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w:t>
            </w:r>
          </w:p>
        </w:tc>
      </w:tr>
    </w:tbl>
    <w:p w14:paraId="7B336547">
      <w:pPr>
        <w:spacing w:line="360" w:lineRule="auto"/>
        <w:ind w:firstLine="480" w:firstLineChars="200"/>
        <w:rPr>
          <w:color w:val="auto"/>
          <w:sz w:val="24"/>
          <w:szCs w:val="32"/>
        </w:rPr>
      </w:pPr>
    </w:p>
    <w:p w14:paraId="7B644954">
      <w:pPr>
        <w:spacing w:line="360" w:lineRule="auto"/>
        <w:ind w:firstLine="480" w:firstLineChars="200"/>
        <w:rPr>
          <w:color w:val="auto"/>
          <w:sz w:val="24"/>
          <w:szCs w:val="32"/>
        </w:rPr>
      </w:pPr>
      <w:r>
        <w:rPr>
          <w:color w:val="auto"/>
          <w:sz w:val="24"/>
          <w:szCs w:val="32"/>
        </w:rPr>
        <w:t>项目产品</w:t>
      </w:r>
      <w:r>
        <w:rPr>
          <w:rFonts w:hint="eastAsia"/>
          <w:color w:val="auto"/>
          <w:sz w:val="24"/>
          <w:szCs w:val="32"/>
          <w:lang w:val="en-US" w:eastAsia="zh-CN"/>
        </w:rPr>
        <w:t>质量规格</w:t>
      </w:r>
      <w:r>
        <w:rPr>
          <w:color w:val="auto"/>
          <w:sz w:val="24"/>
          <w:szCs w:val="32"/>
        </w:rPr>
        <w:t>如下：</w:t>
      </w:r>
    </w:p>
    <w:p w14:paraId="613DE316">
      <w:pPr>
        <w:spacing w:line="360" w:lineRule="auto"/>
        <w:jc w:val="center"/>
        <w:rPr>
          <w:b/>
          <w:bCs/>
          <w:color w:val="auto"/>
          <w:sz w:val="24"/>
          <w:szCs w:val="32"/>
        </w:rPr>
      </w:pPr>
      <w:r>
        <w:rPr>
          <w:b/>
          <w:bCs/>
          <w:color w:val="auto"/>
          <w:sz w:val="24"/>
          <w:szCs w:val="32"/>
        </w:rPr>
        <w:t>表</w:t>
      </w:r>
      <w:r>
        <w:rPr>
          <w:rFonts w:hint="eastAsia"/>
          <w:b/>
          <w:bCs/>
          <w:color w:val="auto"/>
          <w:sz w:val="24"/>
          <w:szCs w:val="32"/>
          <w:lang w:val="en-US" w:eastAsia="zh-CN"/>
        </w:rPr>
        <w:t>3-3</w:t>
      </w:r>
      <w:r>
        <w:rPr>
          <w:b/>
          <w:bCs/>
          <w:color w:val="auto"/>
          <w:sz w:val="24"/>
          <w:szCs w:val="32"/>
        </w:rPr>
        <w:t xml:space="preserve"> </w:t>
      </w:r>
      <w:r>
        <w:rPr>
          <w:rFonts w:hint="eastAsia"/>
          <w:b/>
          <w:bCs/>
          <w:color w:val="auto"/>
          <w:sz w:val="24"/>
          <w:szCs w:val="32"/>
          <w:lang w:val="en-US" w:eastAsia="zh-CN"/>
        </w:rPr>
        <w:t>项目</w:t>
      </w:r>
      <w:r>
        <w:rPr>
          <w:b/>
          <w:bCs/>
          <w:color w:val="auto"/>
          <w:sz w:val="24"/>
          <w:szCs w:val="32"/>
        </w:rPr>
        <w:t>产品质量</w:t>
      </w:r>
      <w:r>
        <w:rPr>
          <w:rFonts w:hint="eastAsia"/>
          <w:b/>
          <w:bCs/>
          <w:color w:val="auto"/>
          <w:sz w:val="24"/>
          <w:szCs w:val="32"/>
          <w:lang w:val="en-US" w:eastAsia="zh-CN"/>
        </w:rPr>
        <w:t>规格</w:t>
      </w:r>
      <w:r>
        <w:rPr>
          <w:b/>
          <w:bCs/>
          <w:color w:val="auto"/>
          <w:sz w:val="24"/>
          <w:szCs w:val="32"/>
        </w:rPr>
        <w:t>一览表</w:t>
      </w:r>
    </w:p>
    <w:tbl>
      <w:tblPr>
        <w:tblStyle w:val="31"/>
        <w:tblW w:w="4998" w:type="pct"/>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770"/>
        <w:gridCol w:w="1797"/>
        <w:gridCol w:w="1596"/>
        <w:gridCol w:w="2054"/>
        <w:gridCol w:w="3741"/>
      </w:tblGrid>
      <w:tr w14:paraId="786F756C">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74" w:hRule="atLeast"/>
          <w:jc w:val="center"/>
        </w:trPr>
        <w:tc>
          <w:tcPr>
            <w:tcW w:w="387" w:type="pct"/>
            <w:tcBorders>
              <w:tl2br w:val="nil"/>
              <w:tr2bl w:val="nil"/>
            </w:tcBorders>
            <w:shd w:val="clear" w:color="auto" w:fill="auto"/>
            <w:noWrap w:val="0"/>
            <w:vAlign w:val="center"/>
          </w:tcPr>
          <w:p w14:paraId="6458F290">
            <w:pPr>
              <w:spacing w:before="31" w:beforeLines="10" w:line="264" w:lineRule="auto"/>
              <w:jc w:val="center"/>
              <w:rPr>
                <w:b/>
                <w:color w:val="auto"/>
              </w:rPr>
            </w:pPr>
            <w:r>
              <w:rPr>
                <w:rFonts w:hint="eastAsia"/>
                <w:b/>
                <w:color w:val="auto"/>
              </w:rPr>
              <w:t>序号</w:t>
            </w:r>
          </w:p>
        </w:tc>
        <w:tc>
          <w:tcPr>
            <w:tcW w:w="902" w:type="pct"/>
            <w:tcBorders>
              <w:tl2br w:val="nil"/>
              <w:tr2bl w:val="nil"/>
            </w:tcBorders>
            <w:shd w:val="clear" w:color="auto" w:fill="auto"/>
            <w:noWrap w:val="0"/>
            <w:vAlign w:val="center"/>
          </w:tcPr>
          <w:p w14:paraId="4476143C">
            <w:pPr>
              <w:spacing w:before="31" w:beforeLines="10" w:line="264" w:lineRule="auto"/>
              <w:jc w:val="center"/>
              <w:rPr>
                <w:b/>
                <w:color w:val="auto"/>
              </w:rPr>
            </w:pPr>
            <w:r>
              <w:rPr>
                <w:rFonts w:hint="eastAsia"/>
                <w:b/>
                <w:color w:val="auto"/>
              </w:rPr>
              <w:t>工程</w:t>
            </w:r>
            <w:r>
              <w:rPr>
                <w:b/>
                <w:color w:val="auto"/>
              </w:rPr>
              <w:t>名称</w:t>
            </w:r>
          </w:p>
        </w:tc>
        <w:tc>
          <w:tcPr>
            <w:tcW w:w="801" w:type="pct"/>
            <w:tcBorders>
              <w:tl2br w:val="nil"/>
              <w:tr2bl w:val="nil"/>
            </w:tcBorders>
            <w:shd w:val="clear" w:color="auto" w:fill="auto"/>
            <w:noWrap w:val="0"/>
            <w:vAlign w:val="center"/>
          </w:tcPr>
          <w:p w14:paraId="0CDAAEEA">
            <w:pPr>
              <w:spacing w:before="31" w:beforeLines="10" w:line="264" w:lineRule="auto"/>
              <w:jc w:val="center"/>
              <w:rPr>
                <w:b/>
                <w:color w:val="auto"/>
              </w:rPr>
            </w:pPr>
            <w:r>
              <w:rPr>
                <w:b/>
                <w:color w:val="auto"/>
              </w:rPr>
              <w:t>产品</w:t>
            </w:r>
            <w:r>
              <w:rPr>
                <w:rFonts w:hint="eastAsia"/>
                <w:b/>
                <w:color w:val="auto"/>
              </w:rPr>
              <w:t>标号</w:t>
            </w:r>
          </w:p>
        </w:tc>
        <w:tc>
          <w:tcPr>
            <w:tcW w:w="1031" w:type="pct"/>
            <w:tcBorders>
              <w:tl2br w:val="nil"/>
              <w:tr2bl w:val="nil"/>
            </w:tcBorders>
            <w:shd w:val="clear" w:color="auto" w:fill="auto"/>
            <w:noWrap w:val="0"/>
            <w:vAlign w:val="center"/>
          </w:tcPr>
          <w:p w14:paraId="2C77F734">
            <w:pPr>
              <w:spacing w:before="31" w:beforeLines="10" w:line="264" w:lineRule="auto"/>
              <w:jc w:val="center"/>
              <w:rPr>
                <w:b/>
                <w:color w:val="auto"/>
              </w:rPr>
            </w:pPr>
            <w:r>
              <w:rPr>
                <w:rFonts w:hint="eastAsia"/>
                <w:b/>
                <w:color w:val="auto"/>
              </w:rPr>
              <w:t>规格</w:t>
            </w:r>
          </w:p>
        </w:tc>
        <w:tc>
          <w:tcPr>
            <w:tcW w:w="1878" w:type="pct"/>
            <w:tcBorders>
              <w:tl2br w:val="nil"/>
              <w:tr2bl w:val="nil"/>
            </w:tcBorders>
            <w:shd w:val="clear" w:color="auto" w:fill="auto"/>
            <w:noWrap w:val="0"/>
            <w:vAlign w:val="center"/>
          </w:tcPr>
          <w:p w14:paraId="0931213A">
            <w:pPr>
              <w:spacing w:before="31" w:beforeLines="10" w:line="264" w:lineRule="auto"/>
              <w:jc w:val="center"/>
              <w:rPr>
                <w:b/>
                <w:color w:val="auto"/>
              </w:rPr>
            </w:pPr>
            <w:r>
              <w:rPr>
                <w:rFonts w:hint="eastAsia"/>
                <w:b/>
                <w:color w:val="auto"/>
              </w:rPr>
              <w:t>主要成分</w:t>
            </w:r>
          </w:p>
        </w:tc>
      </w:tr>
      <w:tr w14:paraId="13FB6B69">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387" w:type="pct"/>
            <w:tcBorders>
              <w:tl2br w:val="nil"/>
              <w:tr2bl w:val="nil"/>
            </w:tcBorders>
            <w:shd w:val="clear" w:color="auto" w:fill="auto"/>
            <w:noWrap w:val="0"/>
            <w:vAlign w:val="center"/>
          </w:tcPr>
          <w:p w14:paraId="7DD86BA1">
            <w:pPr>
              <w:spacing w:before="31" w:beforeLines="10" w:line="264" w:lineRule="auto"/>
              <w:jc w:val="center"/>
              <w:rPr>
                <w:color w:val="auto"/>
              </w:rPr>
            </w:pPr>
            <w:r>
              <w:rPr>
                <w:rFonts w:hint="eastAsia"/>
                <w:color w:val="auto"/>
              </w:rPr>
              <w:t>1</w:t>
            </w:r>
          </w:p>
        </w:tc>
        <w:tc>
          <w:tcPr>
            <w:tcW w:w="902" w:type="pct"/>
            <w:tcBorders>
              <w:tl2br w:val="nil"/>
              <w:tr2bl w:val="nil"/>
            </w:tcBorders>
            <w:shd w:val="clear" w:color="auto" w:fill="auto"/>
            <w:noWrap w:val="0"/>
            <w:vAlign w:val="center"/>
          </w:tcPr>
          <w:p w14:paraId="77656BC1">
            <w:pPr>
              <w:spacing w:before="31" w:beforeLines="10" w:line="264" w:lineRule="auto"/>
              <w:jc w:val="center"/>
              <w:rPr>
                <w:color w:val="auto"/>
                <w:szCs w:val="21"/>
              </w:rPr>
            </w:pPr>
            <w:r>
              <w:rPr>
                <w:rFonts w:hint="eastAsia"/>
                <w:color w:val="auto"/>
                <w:szCs w:val="21"/>
              </w:rPr>
              <w:t>铝硅系铸造铝合金锭</w:t>
            </w:r>
          </w:p>
        </w:tc>
        <w:tc>
          <w:tcPr>
            <w:tcW w:w="801" w:type="pct"/>
            <w:tcBorders>
              <w:tl2br w:val="nil"/>
              <w:tr2bl w:val="nil"/>
            </w:tcBorders>
            <w:shd w:val="clear" w:color="auto" w:fill="auto"/>
            <w:noWrap w:val="0"/>
            <w:vAlign w:val="center"/>
          </w:tcPr>
          <w:p w14:paraId="7B21656D">
            <w:pPr>
              <w:spacing w:before="31" w:beforeLines="10" w:line="264" w:lineRule="auto"/>
              <w:jc w:val="center"/>
              <w:rPr>
                <w:color w:val="auto"/>
                <w:szCs w:val="21"/>
              </w:rPr>
            </w:pPr>
            <w:r>
              <w:rPr>
                <w:color w:val="auto"/>
                <w:spacing w:val="4"/>
                <w:szCs w:val="21"/>
              </w:rPr>
              <w:t>ADC12等</w:t>
            </w:r>
          </w:p>
        </w:tc>
        <w:tc>
          <w:tcPr>
            <w:tcW w:w="1031" w:type="pct"/>
            <w:tcBorders>
              <w:tl2br w:val="nil"/>
              <w:tr2bl w:val="nil"/>
            </w:tcBorders>
            <w:shd w:val="clear" w:color="auto" w:fill="auto"/>
            <w:noWrap w:val="0"/>
            <w:vAlign w:val="center"/>
          </w:tcPr>
          <w:p w14:paraId="386CF3CD">
            <w:pPr>
              <w:spacing w:before="31" w:beforeLines="10" w:line="264" w:lineRule="auto"/>
              <w:jc w:val="center"/>
              <w:rPr>
                <w:rFonts w:hint="eastAsia"/>
                <w:color w:val="auto"/>
                <w:szCs w:val="21"/>
              </w:rPr>
            </w:pPr>
            <w:r>
              <w:rPr>
                <w:rFonts w:hint="eastAsia"/>
                <w:color w:val="auto"/>
                <w:szCs w:val="21"/>
              </w:rPr>
              <w:t>长6900mm×宽</w:t>
            </w:r>
          </w:p>
          <w:p w14:paraId="22FA302E">
            <w:pPr>
              <w:spacing w:before="31" w:beforeLines="10" w:line="264" w:lineRule="auto"/>
              <w:jc w:val="center"/>
              <w:rPr>
                <w:color w:val="auto"/>
                <w:szCs w:val="21"/>
              </w:rPr>
            </w:pPr>
            <w:r>
              <w:rPr>
                <w:rFonts w:hint="eastAsia"/>
                <w:color w:val="auto"/>
                <w:szCs w:val="21"/>
              </w:rPr>
              <w:t>82 mm×高50 mm</w:t>
            </w:r>
          </w:p>
        </w:tc>
        <w:tc>
          <w:tcPr>
            <w:tcW w:w="1878" w:type="pct"/>
            <w:tcBorders>
              <w:tl2br w:val="nil"/>
              <w:tr2bl w:val="nil"/>
            </w:tcBorders>
            <w:shd w:val="clear" w:color="auto" w:fill="auto"/>
            <w:noWrap w:val="0"/>
            <w:vAlign w:val="center"/>
          </w:tcPr>
          <w:p w14:paraId="01A407BD">
            <w:pPr>
              <w:jc w:val="center"/>
              <w:rPr>
                <w:color w:val="auto"/>
                <w:szCs w:val="21"/>
              </w:rPr>
            </w:pPr>
            <w:r>
              <w:rPr>
                <w:rFonts w:hint="eastAsia"/>
                <w:color w:val="auto"/>
                <w:szCs w:val="21"/>
              </w:rPr>
              <w:t>含铝85.6%、含硅8～12%、Fe0.6～1.2%、Cu0.5～3%、Mn≤0.5%、Mg≤0.5%、Zn≤2.5%、Ni≤0.5%等</w:t>
            </w:r>
          </w:p>
        </w:tc>
      </w:tr>
    </w:tbl>
    <w:p w14:paraId="2CC7D67E">
      <w:pPr>
        <w:spacing w:line="360" w:lineRule="auto"/>
        <w:jc w:val="center"/>
        <w:rPr>
          <w:b/>
          <w:bCs/>
          <w:color w:val="auto"/>
          <w:sz w:val="24"/>
          <w:szCs w:val="32"/>
        </w:rPr>
      </w:pPr>
    </w:p>
    <w:p w14:paraId="58755CCC">
      <w:pPr>
        <w:spacing w:line="360" w:lineRule="auto"/>
        <w:outlineLvl w:val="2"/>
        <w:rPr>
          <w:b/>
          <w:bCs/>
          <w:color w:val="auto"/>
          <w:sz w:val="24"/>
          <w:szCs w:val="32"/>
        </w:rPr>
      </w:pPr>
      <w:r>
        <w:rPr>
          <w:b/>
          <w:bCs/>
          <w:color w:val="auto"/>
          <w:sz w:val="24"/>
          <w:szCs w:val="32"/>
        </w:rPr>
        <w:t>3.1.3 生产设备情况</w:t>
      </w:r>
    </w:p>
    <w:p w14:paraId="2975ECDB">
      <w:pPr>
        <w:spacing w:line="360" w:lineRule="auto"/>
        <w:ind w:firstLine="480" w:firstLineChars="200"/>
        <w:rPr>
          <w:rFonts w:hint="eastAsia"/>
          <w:color w:val="auto"/>
          <w:sz w:val="24"/>
          <w:szCs w:val="32"/>
          <w:lang w:val="en-US" w:eastAsia="zh-CN"/>
        </w:rPr>
        <w:sectPr>
          <w:pgSz w:w="11906" w:h="16838"/>
          <w:pgMar w:top="1440" w:right="1080" w:bottom="1440" w:left="1080" w:header="708" w:footer="709" w:gutter="0"/>
          <w:pgBorders>
            <w:top w:val="none" w:sz="0" w:space="0"/>
            <w:left w:val="none" w:sz="0" w:space="0"/>
            <w:bottom w:val="none" w:sz="0" w:space="0"/>
            <w:right w:val="none" w:sz="0" w:space="0"/>
          </w:pgBorders>
          <w:pgNumType w:fmt="numberInDash"/>
          <w:cols w:space="0" w:num="1"/>
          <w:docGrid w:linePitch="360" w:charSpace="0"/>
        </w:sectPr>
      </w:pPr>
      <w:r>
        <w:rPr>
          <w:rFonts w:hint="eastAsia"/>
          <w:color w:val="auto"/>
          <w:sz w:val="24"/>
          <w:szCs w:val="32"/>
          <w:lang w:val="en-US" w:eastAsia="zh-CN"/>
        </w:rPr>
        <w:t>环评一期工程、验收及后评价阶段生产设备对比情况见下表：</w:t>
      </w:r>
    </w:p>
    <w:p w14:paraId="5CA1A1E2">
      <w:pPr>
        <w:spacing w:line="360" w:lineRule="auto"/>
        <w:jc w:val="center"/>
        <w:rPr>
          <w:rFonts w:hint="eastAsia" w:eastAsia="宋体"/>
          <w:b/>
          <w:bCs/>
          <w:color w:val="auto"/>
          <w:sz w:val="24"/>
          <w:szCs w:val="32"/>
          <w:lang w:eastAsia="zh-CN"/>
        </w:rPr>
      </w:pPr>
      <w:r>
        <w:rPr>
          <w:b/>
          <w:bCs/>
          <w:color w:val="auto"/>
          <w:sz w:val="24"/>
          <w:szCs w:val="32"/>
        </w:rPr>
        <w:t>表3-</w:t>
      </w:r>
      <w:r>
        <w:rPr>
          <w:rFonts w:hint="eastAsia"/>
          <w:b/>
          <w:bCs/>
          <w:color w:val="auto"/>
          <w:sz w:val="24"/>
          <w:szCs w:val="32"/>
          <w:lang w:val="en-US" w:eastAsia="zh-CN"/>
        </w:rPr>
        <w:t>4</w:t>
      </w:r>
      <w:r>
        <w:rPr>
          <w:b/>
          <w:bCs/>
          <w:color w:val="auto"/>
          <w:sz w:val="24"/>
          <w:szCs w:val="32"/>
        </w:rPr>
        <w:t xml:space="preserve"> </w:t>
      </w:r>
      <w:r>
        <w:rPr>
          <w:rFonts w:hint="eastAsia"/>
          <w:b/>
          <w:bCs/>
          <w:color w:val="auto"/>
          <w:sz w:val="24"/>
          <w:szCs w:val="32"/>
        </w:rPr>
        <w:t>环评</w:t>
      </w:r>
      <w:r>
        <w:rPr>
          <w:rFonts w:hint="eastAsia"/>
          <w:b/>
          <w:bCs/>
          <w:color w:val="auto"/>
          <w:sz w:val="24"/>
          <w:szCs w:val="32"/>
          <w:lang w:eastAsia="zh-CN"/>
        </w:rPr>
        <w:t>、</w:t>
      </w:r>
      <w:r>
        <w:rPr>
          <w:rFonts w:hint="eastAsia"/>
          <w:b/>
          <w:bCs/>
          <w:color w:val="auto"/>
          <w:sz w:val="24"/>
          <w:szCs w:val="32"/>
        </w:rPr>
        <w:t>验收</w:t>
      </w:r>
      <w:r>
        <w:rPr>
          <w:rFonts w:hint="eastAsia"/>
          <w:b/>
          <w:bCs/>
          <w:color w:val="auto"/>
          <w:sz w:val="24"/>
          <w:szCs w:val="32"/>
          <w:lang w:val="en-US" w:eastAsia="zh-CN"/>
        </w:rPr>
        <w:t>及</w:t>
      </w:r>
      <w:r>
        <w:rPr>
          <w:rFonts w:hint="eastAsia"/>
          <w:b/>
          <w:bCs/>
          <w:color w:val="auto"/>
          <w:sz w:val="24"/>
          <w:szCs w:val="32"/>
        </w:rPr>
        <w:t>后评价阶段</w:t>
      </w:r>
      <w:r>
        <w:rPr>
          <w:rFonts w:hint="eastAsia"/>
          <w:b/>
          <w:bCs/>
          <w:color w:val="auto"/>
          <w:sz w:val="24"/>
          <w:szCs w:val="32"/>
          <w:lang w:val="en-US" w:eastAsia="zh-CN"/>
        </w:rPr>
        <w:t>主要</w:t>
      </w:r>
      <w:r>
        <w:rPr>
          <w:rFonts w:hint="eastAsia"/>
          <w:b/>
          <w:bCs/>
          <w:color w:val="auto"/>
          <w:sz w:val="24"/>
          <w:szCs w:val="32"/>
        </w:rPr>
        <w:t>生产设备对比情况</w:t>
      </w:r>
      <w:r>
        <w:rPr>
          <w:rFonts w:hint="eastAsia"/>
          <w:b/>
          <w:bCs/>
          <w:color w:val="auto"/>
          <w:sz w:val="24"/>
          <w:szCs w:val="32"/>
          <w:lang w:val="en-US" w:eastAsia="zh-CN"/>
        </w:rPr>
        <w:t>一览表</w:t>
      </w:r>
    </w:p>
    <w:tbl>
      <w:tblPr>
        <w:tblStyle w:val="31"/>
        <w:tblW w:w="4999"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097"/>
        <w:gridCol w:w="1513"/>
        <w:gridCol w:w="1590"/>
        <w:gridCol w:w="1592"/>
        <w:gridCol w:w="1588"/>
        <w:gridCol w:w="1594"/>
        <w:gridCol w:w="1471"/>
        <w:gridCol w:w="1477"/>
        <w:gridCol w:w="2251"/>
      </w:tblGrid>
      <w:tr w14:paraId="17765A8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87" w:type="pct"/>
            <w:vMerge w:val="restart"/>
            <w:tcBorders>
              <w:tl2br w:val="nil"/>
              <w:tr2bl w:val="nil"/>
            </w:tcBorders>
            <w:vAlign w:val="center"/>
          </w:tcPr>
          <w:p w14:paraId="49DD182C">
            <w:pPr>
              <w:widowControl/>
              <w:jc w:val="center"/>
              <w:textAlignment w:val="center"/>
              <w:rPr>
                <w:b/>
                <w:bCs/>
                <w:color w:val="auto"/>
                <w:szCs w:val="21"/>
              </w:rPr>
            </w:pPr>
            <w:r>
              <w:rPr>
                <w:b/>
                <w:bCs/>
                <w:color w:val="auto"/>
                <w:kern w:val="0"/>
                <w:szCs w:val="21"/>
                <w:lang w:bidi="ar"/>
              </w:rPr>
              <w:t>序号</w:t>
            </w:r>
          </w:p>
        </w:tc>
        <w:tc>
          <w:tcPr>
            <w:tcW w:w="533" w:type="pct"/>
            <w:vMerge w:val="restart"/>
            <w:tcBorders>
              <w:tl2br w:val="nil"/>
              <w:tr2bl w:val="nil"/>
            </w:tcBorders>
            <w:vAlign w:val="center"/>
          </w:tcPr>
          <w:p w14:paraId="7C71266A">
            <w:pPr>
              <w:widowControl/>
              <w:jc w:val="center"/>
              <w:textAlignment w:val="center"/>
              <w:rPr>
                <w:b/>
                <w:bCs/>
                <w:color w:val="auto"/>
                <w:szCs w:val="21"/>
              </w:rPr>
            </w:pPr>
            <w:r>
              <w:rPr>
                <w:b/>
                <w:bCs/>
                <w:color w:val="auto"/>
                <w:kern w:val="0"/>
                <w:szCs w:val="21"/>
                <w:lang w:bidi="ar"/>
              </w:rPr>
              <w:t>设备名称</w:t>
            </w:r>
          </w:p>
        </w:tc>
        <w:tc>
          <w:tcPr>
            <w:tcW w:w="1122" w:type="pct"/>
            <w:gridSpan w:val="2"/>
            <w:tcBorders>
              <w:tl2br w:val="nil"/>
              <w:tr2bl w:val="nil"/>
            </w:tcBorders>
            <w:vAlign w:val="center"/>
          </w:tcPr>
          <w:p w14:paraId="744B43A9">
            <w:pPr>
              <w:widowControl/>
              <w:jc w:val="center"/>
              <w:textAlignment w:val="center"/>
              <w:rPr>
                <w:rFonts w:hint="eastAsia" w:eastAsia="宋体"/>
                <w:b/>
                <w:bCs/>
                <w:color w:val="auto"/>
                <w:szCs w:val="21"/>
                <w:lang w:val="en-US" w:eastAsia="zh-CN"/>
              </w:rPr>
            </w:pPr>
            <w:r>
              <w:rPr>
                <w:b/>
                <w:bCs/>
                <w:color w:val="auto"/>
                <w:kern w:val="0"/>
                <w:szCs w:val="21"/>
                <w:lang w:bidi="ar"/>
              </w:rPr>
              <w:t>环评</w:t>
            </w:r>
            <w:r>
              <w:rPr>
                <w:rFonts w:hint="eastAsia"/>
                <w:b/>
                <w:bCs/>
                <w:color w:val="auto"/>
                <w:kern w:val="0"/>
                <w:szCs w:val="21"/>
                <w:lang w:val="en-US" w:eastAsia="zh-CN" w:bidi="ar"/>
              </w:rPr>
              <w:t>阶段</w:t>
            </w:r>
          </w:p>
        </w:tc>
        <w:tc>
          <w:tcPr>
            <w:tcW w:w="1122" w:type="pct"/>
            <w:gridSpan w:val="2"/>
            <w:tcBorders>
              <w:tl2br w:val="nil"/>
              <w:tr2bl w:val="nil"/>
            </w:tcBorders>
            <w:vAlign w:val="center"/>
          </w:tcPr>
          <w:p w14:paraId="1F54611E">
            <w:pPr>
              <w:widowControl/>
              <w:jc w:val="center"/>
              <w:textAlignment w:val="center"/>
              <w:rPr>
                <w:b/>
                <w:bCs/>
                <w:color w:val="auto"/>
                <w:kern w:val="0"/>
                <w:szCs w:val="21"/>
                <w:lang w:bidi="ar"/>
              </w:rPr>
            </w:pPr>
            <w:r>
              <w:rPr>
                <w:rFonts w:hint="eastAsia"/>
                <w:b/>
                <w:bCs/>
                <w:color w:val="auto"/>
                <w:kern w:val="0"/>
                <w:szCs w:val="21"/>
                <w:lang w:val="en-US" w:eastAsia="zh-CN" w:bidi="ar"/>
              </w:rPr>
              <w:t>验收阶段</w:t>
            </w:r>
          </w:p>
        </w:tc>
        <w:tc>
          <w:tcPr>
            <w:tcW w:w="1040" w:type="pct"/>
            <w:gridSpan w:val="2"/>
            <w:tcBorders>
              <w:tl2br w:val="nil"/>
              <w:tr2bl w:val="nil"/>
            </w:tcBorders>
            <w:vAlign w:val="center"/>
          </w:tcPr>
          <w:p w14:paraId="12BC8641">
            <w:pPr>
              <w:widowControl/>
              <w:jc w:val="center"/>
              <w:textAlignment w:val="center"/>
              <w:rPr>
                <w:rFonts w:hint="default" w:eastAsia="宋体"/>
                <w:b/>
                <w:bCs/>
                <w:color w:val="auto"/>
                <w:szCs w:val="21"/>
                <w:lang w:val="en-US" w:eastAsia="zh-CN"/>
              </w:rPr>
            </w:pPr>
            <w:r>
              <w:rPr>
                <w:rFonts w:hint="eastAsia"/>
                <w:b/>
                <w:bCs/>
                <w:color w:val="auto"/>
                <w:szCs w:val="21"/>
                <w:lang w:val="en-US" w:eastAsia="zh-CN"/>
              </w:rPr>
              <w:t>后评价阶段</w:t>
            </w:r>
          </w:p>
        </w:tc>
        <w:tc>
          <w:tcPr>
            <w:tcW w:w="794" w:type="pct"/>
            <w:vMerge w:val="restart"/>
            <w:tcBorders>
              <w:tl2br w:val="nil"/>
              <w:tr2bl w:val="nil"/>
            </w:tcBorders>
            <w:noWrap/>
            <w:vAlign w:val="center"/>
          </w:tcPr>
          <w:p w14:paraId="6EEB34FB">
            <w:pPr>
              <w:widowControl/>
              <w:jc w:val="center"/>
              <w:textAlignment w:val="bottom"/>
              <w:rPr>
                <w:rFonts w:hint="default" w:eastAsia="宋体"/>
                <w:b/>
                <w:bCs/>
                <w:color w:val="auto"/>
                <w:kern w:val="0"/>
                <w:szCs w:val="21"/>
                <w:lang w:val="en-US" w:eastAsia="zh-CN" w:bidi="ar"/>
              </w:rPr>
            </w:pPr>
            <w:r>
              <w:rPr>
                <w:rFonts w:hint="eastAsia"/>
                <w:b/>
                <w:bCs/>
                <w:color w:val="auto"/>
                <w:kern w:val="0"/>
                <w:szCs w:val="21"/>
                <w:lang w:val="en-US" w:eastAsia="zh-CN" w:bidi="ar"/>
              </w:rPr>
              <w:t>备注</w:t>
            </w:r>
          </w:p>
        </w:tc>
      </w:tr>
      <w:tr w14:paraId="449ED1C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87" w:type="pct"/>
            <w:vMerge w:val="continue"/>
            <w:tcBorders>
              <w:tl2br w:val="nil"/>
              <w:tr2bl w:val="nil"/>
            </w:tcBorders>
            <w:vAlign w:val="center"/>
          </w:tcPr>
          <w:p w14:paraId="736F3F95">
            <w:pPr>
              <w:widowControl/>
              <w:jc w:val="center"/>
              <w:rPr>
                <w:b/>
                <w:bCs/>
                <w:color w:val="auto"/>
                <w:szCs w:val="21"/>
              </w:rPr>
            </w:pPr>
          </w:p>
        </w:tc>
        <w:tc>
          <w:tcPr>
            <w:tcW w:w="533" w:type="pct"/>
            <w:vMerge w:val="continue"/>
            <w:tcBorders>
              <w:tl2br w:val="nil"/>
              <w:tr2bl w:val="nil"/>
            </w:tcBorders>
            <w:vAlign w:val="center"/>
          </w:tcPr>
          <w:p w14:paraId="6883D4C9">
            <w:pPr>
              <w:widowControl/>
              <w:jc w:val="center"/>
              <w:rPr>
                <w:b/>
                <w:bCs/>
                <w:color w:val="auto"/>
                <w:szCs w:val="21"/>
              </w:rPr>
            </w:pPr>
          </w:p>
        </w:tc>
        <w:tc>
          <w:tcPr>
            <w:tcW w:w="560" w:type="pct"/>
            <w:tcBorders>
              <w:tl2br w:val="nil"/>
              <w:tr2bl w:val="nil"/>
            </w:tcBorders>
            <w:vAlign w:val="center"/>
          </w:tcPr>
          <w:p w14:paraId="619725D9">
            <w:pPr>
              <w:widowControl/>
              <w:jc w:val="center"/>
              <w:textAlignment w:val="center"/>
              <w:rPr>
                <w:b/>
                <w:bCs/>
                <w:color w:val="auto"/>
                <w:szCs w:val="21"/>
              </w:rPr>
            </w:pPr>
            <w:r>
              <w:rPr>
                <w:b/>
                <w:bCs/>
                <w:color w:val="auto"/>
                <w:kern w:val="0"/>
                <w:szCs w:val="21"/>
                <w:lang w:bidi="ar"/>
              </w:rPr>
              <w:t>规格型号</w:t>
            </w:r>
          </w:p>
        </w:tc>
        <w:tc>
          <w:tcPr>
            <w:tcW w:w="561" w:type="pct"/>
            <w:tcBorders>
              <w:tl2br w:val="nil"/>
              <w:tr2bl w:val="nil"/>
            </w:tcBorders>
            <w:vAlign w:val="center"/>
          </w:tcPr>
          <w:p w14:paraId="37C4C8FB">
            <w:pPr>
              <w:widowControl/>
              <w:jc w:val="center"/>
              <w:textAlignment w:val="center"/>
              <w:rPr>
                <w:b/>
                <w:bCs/>
                <w:color w:val="auto"/>
                <w:szCs w:val="21"/>
              </w:rPr>
            </w:pPr>
            <w:r>
              <w:rPr>
                <w:b/>
                <w:bCs/>
                <w:color w:val="auto"/>
                <w:kern w:val="0"/>
                <w:szCs w:val="21"/>
                <w:lang w:bidi="ar"/>
              </w:rPr>
              <w:t>数量(台</w:t>
            </w:r>
            <w:r>
              <w:rPr>
                <w:rFonts w:hint="eastAsia"/>
                <w:b/>
                <w:bCs/>
                <w:color w:val="auto"/>
                <w:kern w:val="0"/>
                <w:szCs w:val="21"/>
                <w:lang w:val="en-US" w:eastAsia="zh-CN" w:bidi="ar"/>
              </w:rPr>
              <w:t>/条</w:t>
            </w:r>
            <w:r>
              <w:rPr>
                <w:b/>
                <w:bCs/>
                <w:color w:val="auto"/>
                <w:kern w:val="0"/>
                <w:szCs w:val="21"/>
                <w:lang w:bidi="ar"/>
              </w:rPr>
              <w:t>)</w:t>
            </w:r>
          </w:p>
        </w:tc>
        <w:tc>
          <w:tcPr>
            <w:tcW w:w="560" w:type="pct"/>
            <w:tcBorders>
              <w:tl2br w:val="nil"/>
              <w:tr2bl w:val="nil"/>
            </w:tcBorders>
            <w:shd w:val="clear" w:color="auto" w:fill="auto"/>
            <w:vAlign w:val="center"/>
          </w:tcPr>
          <w:p w14:paraId="7A76A7F2">
            <w:pPr>
              <w:widowControl/>
              <w:jc w:val="center"/>
              <w:textAlignment w:val="center"/>
              <w:rPr>
                <w:rFonts w:ascii="Times New Roman" w:hAnsi="Times New Roman" w:eastAsia="宋体" w:cs="Times New Roman"/>
                <w:b/>
                <w:bCs/>
                <w:color w:val="auto"/>
                <w:kern w:val="2"/>
                <w:sz w:val="21"/>
                <w:szCs w:val="21"/>
                <w:lang w:val="en-US" w:eastAsia="zh-CN" w:bidi="ar-SA"/>
              </w:rPr>
            </w:pPr>
            <w:r>
              <w:rPr>
                <w:b/>
                <w:bCs/>
                <w:color w:val="auto"/>
                <w:kern w:val="0"/>
                <w:szCs w:val="21"/>
                <w:lang w:bidi="ar"/>
              </w:rPr>
              <w:t>规格型号</w:t>
            </w:r>
          </w:p>
        </w:tc>
        <w:tc>
          <w:tcPr>
            <w:tcW w:w="562" w:type="pct"/>
            <w:tcBorders>
              <w:tl2br w:val="nil"/>
              <w:tr2bl w:val="nil"/>
            </w:tcBorders>
            <w:shd w:val="clear" w:color="auto" w:fill="auto"/>
            <w:vAlign w:val="center"/>
          </w:tcPr>
          <w:p w14:paraId="76779A32">
            <w:pPr>
              <w:widowControl/>
              <w:jc w:val="center"/>
              <w:textAlignment w:val="center"/>
              <w:rPr>
                <w:rFonts w:ascii="Times New Roman" w:hAnsi="Times New Roman" w:eastAsia="宋体" w:cs="Times New Roman"/>
                <w:b/>
                <w:bCs/>
                <w:color w:val="auto"/>
                <w:kern w:val="2"/>
                <w:sz w:val="21"/>
                <w:szCs w:val="21"/>
                <w:lang w:val="en-US" w:eastAsia="zh-CN" w:bidi="ar-SA"/>
              </w:rPr>
            </w:pPr>
            <w:r>
              <w:rPr>
                <w:b/>
                <w:bCs/>
                <w:color w:val="auto"/>
                <w:kern w:val="0"/>
                <w:szCs w:val="21"/>
                <w:lang w:bidi="ar"/>
              </w:rPr>
              <w:t>数量(台</w:t>
            </w:r>
            <w:r>
              <w:rPr>
                <w:rFonts w:hint="eastAsia"/>
                <w:b/>
                <w:bCs/>
                <w:color w:val="auto"/>
                <w:kern w:val="0"/>
                <w:szCs w:val="21"/>
                <w:lang w:val="en-US" w:eastAsia="zh-CN" w:bidi="ar"/>
              </w:rPr>
              <w:t>/条</w:t>
            </w:r>
            <w:r>
              <w:rPr>
                <w:b/>
                <w:bCs/>
                <w:color w:val="auto"/>
                <w:kern w:val="0"/>
                <w:szCs w:val="21"/>
                <w:lang w:bidi="ar"/>
              </w:rPr>
              <w:t>)</w:t>
            </w:r>
          </w:p>
        </w:tc>
        <w:tc>
          <w:tcPr>
            <w:tcW w:w="518" w:type="pct"/>
            <w:tcBorders>
              <w:tl2br w:val="nil"/>
              <w:tr2bl w:val="nil"/>
            </w:tcBorders>
            <w:vAlign w:val="center"/>
          </w:tcPr>
          <w:p w14:paraId="1FB601BD">
            <w:pPr>
              <w:widowControl/>
              <w:jc w:val="center"/>
              <w:textAlignment w:val="center"/>
              <w:rPr>
                <w:b/>
                <w:bCs/>
                <w:color w:val="auto"/>
                <w:szCs w:val="21"/>
              </w:rPr>
            </w:pPr>
            <w:r>
              <w:rPr>
                <w:b/>
                <w:bCs/>
                <w:color w:val="auto"/>
                <w:kern w:val="0"/>
                <w:szCs w:val="21"/>
                <w:lang w:bidi="ar"/>
              </w:rPr>
              <w:t>规格型号</w:t>
            </w:r>
          </w:p>
        </w:tc>
        <w:tc>
          <w:tcPr>
            <w:tcW w:w="521" w:type="pct"/>
            <w:tcBorders>
              <w:tl2br w:val="nil"/>
              <w:tr2bl w:val="nil"/>
            </w:tcBorders>
            <w:vAlign w:val="center"/>
          </w:tcPr>
          <w:p w14:paraId="6E58DFD5">
            <w:pPr>
              <w:widowControl/>
              <w:jc w:val="center"/>
              <w:textAlignment w:val="center"/>
              <w:rPr>
                <w:b/>
                <w:bCs/>
                <w:color w:val="auto"/>
                <w:szCs w:val="21"/>
              </w:rPr>
            </w:pPr>
            <w:r>
              <w:rPr>
                <w:b/>
                <w:bCs/>
                <w:color w:val="auto"/>
                <w:kern w:val="0"/>
                <w:szCs w:val="21"/>
                <w:lang w:bidi="ar"/>
              </w:rPr>
              <w:t>数量(台</w:t>
            </w:r>
            <w:r>
              <w:rPr>
                <w:rFonts w:hint="eastAsia"/>
                <w:b/>
                <w:bCs/>
                <w:color w:val="auto"/>
                <w:kern w:val="0"/>
                <w:szCs w:val="21"/>
                <w:lang w:val="en-US" w:eastAsia="zh-CN" w:bidi="ar"/>
              </w:rPr>
              <w:t>/条</w:t>
            </w:r>
            <w:r>
              <w:rPr>
                <w:b/>
                <w:bCs/>
                <w:color w:val="auto"/>
                <w:kern w:val="0"/>
                <w:szCs w:val="21"/>
                <w:lang w:bidi="ar"/>
              </w:rPr>
              <w:t>)</w:t>
            </w:r>
          </w:p>
        </w:tc>
        <w:tc>
          <w:tcPr>
            <w:tcW w:w="794" w:type="pct"/>
            <w:vMerge w:val="continue"/>
            <w:tcBorders>
              <w:tl2br w:val="nil"/>
              <w:tr2bl w:val="nil"/>
            </w:tcBorders>
            <w:noWrap/>
            <w:vAlign w:val="center"/>
          </w:tcPr>
          <w:p w14:paraId="424FB400">
            <w:pPr>
              <w:widowControl/>
              <w:jc w:val="center"/>
              <w:rPr>
                <w:b/>
                <w:bCs/>
                <w:color w:val="auto"/>
                <w:szCs w:val="21"/>
              </w:rPr>
            </w:pPr>
          </w:p>
        </w:tc>
      </w:tr>
      <w:tr w14:paraId="6330929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5000" w:type="pct"/>
            <w:gridSpan w:val="9"/>
            <w:tcBorders>
              <w:tl2br w:val="nil"/>
              <w:tr2bl w:val="nil"/>
            </w:tcBorders>
            <w:vAlign w:val="center"/>
          </w:tcPr>
          <w:p w14:paraId="160E1828">
            <w:pPr>
              <w:widowControl/>
              <w:jc w:val="center"/>
              <w:rPr>
                <w:rFonts w:hint="default" w:eastAsia="宋体"/>
                <w:b/>
                <w:bCs/>
                <w:color w:val="auto"/>
                <w:kern w:val="0"/>
                <w:szCs w:val="21"/>
                <w:lang w:val="en-US" w:eastAsia="zh-CN" w:bidi="ar"/>
              </w:rPr>
            </w:pPr>
            <w:r>
              <w:rPr>
                <w:rFonts w:hint="eastAsia"/>
                <w:b/>
                <w:bCs/>
                <w:color w:val="auto"/>
                <w:kern w:val="0"/>
                <w:szCs w:val="21"/>
                <w:lang w:val="en-US" w:eastAsia="zh-CN" w:bidi="ar"/>
              </w:rPr>
              <w:t>预处理工序设备</w:t>
            </w:r>
          </w:p>
        </w:tc>
      </w:tr>
      <w:tr w14:paraId="20819E9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87" w:type="pct"/>
            <w:tcBorders>
              <w:tl2br w:val="nil"/>
              <w:tr2bl w:val="nil"/>
            </w:tcBorders>
            <w:vAlign w:val="center"/>
          </w:tcPr>
          <w:p w14:paraId="4945759D">
            <w:pPr>
              <w:widowControl/>
              <w:jc w:val="center"/>
              <w:textAlignment w:val="center"/>
              <w:rPr>
                <w:color w:val="auto"/>
                <w:szCs w:val="21"/>
              </w:rPr>
            </w:pPr>
            <w:r>
              <w:rPr>
                <w:color w:val="auto"/>
                <w:kern w:val="0"/>
                <w:szCs w:val="21"/>
                <w:lang w:bidi="ar"/>
              </w:rPr>
              <w:t>1</w:t>
            </w:r>
          </w:p>
        </w:tc>
        <w:tc>
          <w:tcPr>
            <w:tcW w:w="533" w:type="pct"/>
            <w:tcBorders>
              <w:tl2br w:val="nil"/>
              <w:tr2bl w:val="nil"/>
            </w:tcBorders>
            <w:vAlign w:val="center"/>
          </w:tcPr>
          <w:p w14:paraId="34E4FD30">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干式磁选机</w:t>
            </w:r>
          </w:p>
        </w:tc>
        <w:tc>
          <w:tcPr>
            <w:tcW w:w="560" w:type="pct"/>
            <w:tcBorders>
              <w:tl2br w:val="nil"/>
              <w:tr2bl w:val="nil"/>
            </w:tcBorders>
            <w:shd w:val="clear" w:color="auto" w:fill="auto"/>
            <w:vAlign w:val="center"/>
          </w:tcPr>
          <w:p w14:paraId="0840A2BA">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CXY-W-621-I</w:t>
            </w:r>
          </w:p>
        </w:tc>
        <w:tc>
          <w:tcPr>
            <w:tcW w:w="561" w:type="pct"/>
            <w:tcBorders>
              <w:tl2br w:val="nil"/>
              <w:tr2bl w:val="nil"/>
            </w:tcBorders>
            <w:shd w:val="clear" w:color="auto" w:fill="auto"/>
            <w:vAlign w:val="center"/>
          </w:tcPr>
          <w:p w14:paraId="2DA7F52A">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kern w:val="0"/>
                <w:szCs w:val="21"/>
                <w:lang w:val="en-US" w:eastAsia="zh-CN" w:bidi="ar"/>
              </w:rPr>
              <w:t>1</w:t>
            </w:r>
          </w:p>
        </w:tc>
        <w:tc>
          <w:tcPr>
            <w:tcW w:w="560" w:type="pct"/>
            <w:tcBorders>
              <w:tl2br w:val="nil"/>
              <w:tr2bl w:val="nil"/>
            </w:tcBorders>
            <w:shd w:val="clear" w:color="auto" w:fill="auto"/>
            <w:vAlign w:val="center"/>
          </w:tcPr>
          <w:p w14:paraId="34FF92FB">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CXY-W-621-I</w:t>
            </w:r>
          </w:p>
        </w:tc>
        <w:tc>
          <w:tcPr>
            <w:tcW w:w="562" w:type="pct"/>
            <w:tcBorders>
              <w:tl2br w:val="nil"/>
              <w:tr2bl w:val="nil"/>
            </w:tcBorders>
            <w:shd w:val="clear" w:color="auto" w:fill="auto"/>
            <w:vAlign w:val="center"/>
          </w:tcPr>
          <w:p w14:paraId="2560D86C">
            <w:pPr>
              <w:widowControl/>
              <w:jc w:val="center"/>
              <w:textAlignment w:val="center"/>
              <w:rPr>
                <w:rFonts w:ascii="Times New Roman" w:hAnsi="Times New Roman" w:eastAsia="宋体" w:cs="Times New Roman"/>
                <w:color w:val="auto"/>
                <w:kern w:val="2"/>
                <w:sz w:val="21"/>
                <w:szCs w:val="21"/>
                <w:lang w:val="en-US" w:eastAsia="zh-CN" w:bidi="ar-SA"/>
              </w:rPr>
            </w:pPr>
            <w:r>
              <w:rPr>
                <w:color w:val="auto"/>
                <w:kern w:val="0"/>
                <w:szCs w:val="21"/>
                <w:lang w:bidi="ar"/>
              </w:rPr>
              <w:t>1</w:t>
            </w:r>
          </w:p>
        </w:tc>
        <w:tc>
          <w:tcPr>
            <w:tcW w:w="518" w:type="pct"/>
            <w:tcBorders>
              <w:tl2br w:val="nil"/>
              <w:tr2bl w:val="nil"/>
            </w:tcBorders>
            <w:vAlign w:val="center"/>
          </w:tcPr>
          <w:p w14:paraId="2B97897F">
            <w:pPr>
              <w:widowControl/>
              <w:jc w:val="center"/>
              <w:textAlignment w:val="center"/>
              <w:rPr>
                <w:rFonts w:hint="eastAsia" w:eastAsia="宋体"/>
                <w:color w:val="auto"/>
                <w:szCs w:val="21"/>
                <w:lang w:eastAsia="zh-CN"/>
              </w:rPr>
            </w:pPr>
            <w:r>
              <w:rPr>
                <w:rFonts w:hint="eastAsia"/>
                <w:color w:val="auto"/>
                <w:szCs w:val="21"/>
                <w:lang w:val="en-US" w:eastAsia="zh-CN"/>
              </w:rPr>
              <w:t>/</w:t>
            </w:r>
          </w:p>
        </w:tc>
        <w:tc>
          <w:tcPr>
            <w:tcW w:w="521" w:type="pct"/>
            <w:tcBorders>
              <w:tl2br w:val="nil"/>
              <w:tr2bl w:val="nil"/>
            </w:tcBorders>
            <w:vAlign w:val="center"/>
          </w:tcPr>
          <w:p w14:paraId="08C26FA1">
            <w:pPr>
              <w:widowControl/>
              <w:jc w:val="center"/>
              <w:textAlignment w:val="center"/>
              <w:rPr>
                <w:color w:val="auto"/>
                <w:szCs w:val="21"/>
              </w:rPr>
            </w:pPr>
            <w:r>
              <w:rPr>
                <w:color w:val="auto"/>
                <w:kern w:val="0"/>
                <w:szCs w:val="21"/>
                <w:lang w:bidi="ar"/>
              </w:rPr>
              <w:t>1</w:t>
            </w:r>
          </w:p>
        </w:tc>
        <w:tc>
          <w:tcPr>
            <w:tcW w:w="794" w:type="pct"/>
            <w:tcBorders>
              <w:tl2br w:val="nil"/>
              <w:tr2bl w:val="nil"/>
            </w:tcBorders>
            <w:noWrap/>
            <w:vAlign w:val="center"/>
          </w:tcPr>
          <w:p w14:paraId="0E277E21">
            <w:pPr>
              <w:widowControl/>
              <w:jc w:val="center"/>
              <w:textAlignment w:val="bottom"/>
              <w:rPr>
                <w:rFonts w:hint="default"/>
                <w:color w:val="auto"/>
                <w:szCs w:val="21"/>
                <w:lang w:val="en-US" w:eastAsia="zh-CN"/>
              </w:rPr>
            </w:pPr>
            <w:r>
              <w:rPr>
                <w:rFonts w:hint="eastAsia"/>
                <w:color w:val="auto"/>
                <w:szCs w:val="21"/>
                <w:lang w:val="en-US" w:eastAsia="zh-CN"/>
              </w:rPr>
              <w:t>/</w:t>
            </w:r>
          </w:p>
        </w:tc>
      </w:tr>
      <w:tr w14:paraId="314E0A3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5000" w:type="pct"/>
            <w:gridSpan w:val="9"/>
            <w:tcBorders>
              <w:tl2br w:val="nil"/>
              <w:tr2bl w:val="nil"/>
            </w:tcBorders>
            <w:vAlign w:val="center"/>
          </w:tcPr>
          <w:p w14:paraId="33E82952">
            <w:pPr>
              <w:widowControl/>
              <w:jc w:val="center"/>
              <w:textAlignment w:val="bottom"/>
              <w:rPr>
                <w:rFonts w:hint="default"/>
                <w:color w:val="auto"/>
                <w:szCs w:val="21"/>
                <w:lang w:val="en-US" w:eastAsia="zh-CN"/>
              </w:rPr>
            </w:pPr>
            <w:r>
              <w:rPr>
                <w:rFonts w:hint="eastAsia"/>
                <w:b/>
                <w:bCs/>
                <w:color w:val="auto"/>
                <w:szCs w:val="21"/>
                <w:lang w:val="en-US" w:eastAsia="zh-CN"/>
              </w:rPr>
              <w:t>熔炼设备</w:t>
            </w:r>
          </w:p>
        </w:tc>
      </w:tr>
      <w:tr w14:paraId="6B386C7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004" w:hRule="atLeast"/>
        </w:trPr>
        <w:tc>
          <w:tcPr>
            <w:tcW w:w="387" w:type="pct"/>
            <w:tcBorders>
              <w:tl2br w:val="nil"/>
              <w:tr2bl w:val="nil"/>
            </w:tcBorders>
            <w:vAlign w:val="center"/>
          </w:tcPr>
          <w:p w14:paraId="678E7747">
            <w:pPr>
              <w:widowControl/>
              <w:jc w:val="center"/>
              <w:textAlignment w:val="center"/>
              <w:rPr>
                <w:color w:val="auto"/>
                <w:szCs w:val="21"/>
              </w:rPr>
            </w:pPr>
            <w:r>
              <w:rPr>
                <w:color w:val="auto"/>
                <w:kern w:val="0"/>
                <w:szCs w:val="21"/>
                <w:lang w:bidi="ar"/>
              </w:rPr>
              <w:t>2</w:t>
            </w:r>
          </w:p>
        </w:tc>
        <w:tc>
          <w:tcPr>
            <w:tcW w:w="533" w:type="pct"/>
            <w:tcBorders>
              <w:tl2br w:val="nil"/>
              <w:tr2bl w:val="nil"/>
            </w:tcBorders>
            <w:vAlign w:val="center"/>
          </w:tcPr>
          <w:p w14:paraId="1498B8C8">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40t熔炼炉</w:t>
            </w:r>
          </w:p>
        </w:tc>
        <w:tc>
          <w:tcPr>
            <w:tcW w:w="560" w:type="pct"/>
            <w:tcBorders>
              <w:tl2br w:val="nil"/>
              <w:tr2bl w:val="nil"/>
            </w:tcBorders>
            <w:shd w:val="clear" w:color="auto" w:fill="auto"/>
            <w:vAlign w:val="center"/>
          </w:tcPr>
          <w:p w14:paraId="33FF1A4A">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YG-RL-Q/Y40</w:t>
            </w:r>
          </w:p>
        </w:tc>
        <w:tc>
          <w:tcPr>
            <w:tcW w:w="561" w:type="pct"/>
            <w:tcBorders>
              <w:tl2br w:val="nil"/>
              <w:tr2bl w:val="nil"/>
            </w:tcBorders>
            <w:shd w:val="clear" w:color="auto" w:fill="auto"/>
            <w:vAlign w:val="center"/>
          </w:tcPr>
          <w:p w14:paraId="393BFACF">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kern w:val="0"/>
                <w:szCs w:val="21"/>
                <w:lang w:val="en-US" w:eastAsia="zh-CN" w:bidi="ar"/>
              </w:rPr>
              <w:t>1</w:t>
            </w:r>
          </w:p>
        </w:tc>
        <w:tc>
          <w:tcPr>
            <w:tcW w:w="560" w:type="pct"/>
            <w:tcBorders>
              <w:tl2br w:val="nil"/>
              <w:tr2bl w:val="nil"/>
            </w:tcBorders>
            <w:shd w:val="clear" w:color="auto" w:fill="auto"/>
            <w:vAlign w:val="center"/>
          </w:tcPr>
          <w:p w14:paraId="0D8DADF5">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YG-RL-Q/Y40</w:t>
            </w:r>
          </w:p>
        </w:tc>
        <w:tc>
          <w:tcPr>
            <w:tcW w:w="562" w:type="pct"/>
            <w:tcBorders>
              <w:tl2br w:val="nil"/>
              <w:tr2bl w:val="nil"/>
            </w:tcBorders>
            <w:shd w:val="clear" w:color="auto" w:fill="auto"/>
            <w:vAlign w:val="center"/>
          </w:tcPr>
          <w:p w14:paraId="108B7E87">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color w:val="auto"/>
                <w:kern w:val="0"/>
                <w:szCs w:val="21"/>
                <w:lang w:val="en-US" w:eastAsia="zh-CN" w:bidi="ar"/>
              </w:rPr>
              <w:t>1</w:t>
            </w:r>
          </w:p>
        </w:tc>
        <w:tc>
          <w:tcPr>
            <w:tcW w:w="518" w:type="pct"/>
            <w:tcBorders>
              <w:tl2br w:val="nil"/>
              <w:tr2bl w:val="nil"/>
            </w:tcBorders>
            <w:vAlign w:val="center"/>
          </w:tcPr>
          <w:p w14:paraId="20C7BE84">
            <w:pPr>
              <w:widowControl/>
              <w:jc w:val="center"/>
              <w:textAlignment w:val="center"/>
              <w:rPr>
                <w:rFonts w:hint="eastAsia" w:eastAsia="宋体"/>
                <w:color w:val="auto"/>
                <w:szCs w:val="21"/>
                <w:lang w:eastAsia="zh-CN"/>
              </w:rPr>
            </w:pPr>
            <w:r>
              <w:rPr>
                <w:rFonts w:hint="eastAsia"/>
                <w:color w:val="auto"/>
                <w:kern w:val="0"/>
                <w:szCs w:val="21"/>
                <w:lang w:val="en-US" w:eastAsia="zh-CN" w:bidi="ar"/>
              </w:rPr>
              <w:t>40t</w:t>
            </w:r>
          </w:p>
        </w:tc>
        <w:tc>
          <w:tcPr>
            <w:tcW w:w="521" w:type="pct"/>
            <w:tcBorders>
              <w:tl2br w:val="nil"/>
              <w:tr2bl w:val="nil"/>
            </w:tcBorders>
            <w:vAlign w:val="center"/>
          </w:tcPr>
          <w:p w14:paraId="5303FC51">
            <w:pPr>
              <w:widowControl/>
              <w:jc w:val="center"/>
              <w:textAlignment w:val="center"/>
              <w:rPr>
                <w:color w:val="auto"/>
                <w:szCs w:val="21"/>
              </w:rPr>
            </w:pPr>
            <w:r>
              <w:rPr>
                <w:color w:val="auto"/>
                <w:kern w:val="0"/>
                <w:szCs w:val="21"/>
                <w:lang w:bidi="ar"/>
              </w:rPr>
              <w:t>1</w:t>
            </w:r>
          </w:p>
        </w:tc>
        <w:tc>
          <w:tcPr>
            <w:tcW w:w="794" w:type="pct"/>
            <w:vMerge w:val="restart"/>
            <w:tcBorders>
              <w:tl2br w:val="nil"/>
              <w:tr2bl w:val="nil"/>
            </w:tcBorders>
            <w:shd w:val="clear" w:color="auto" w:fill="auto"/>
            <w:noWrap/>
            <w:vAlign w:val="center"/>
          </w:tcPr>
          <w:p w14:paraId="3ED2CBF2">
            <w:pPr>
              <w:widowControl/>
              <w:jc w:val="center"/>
              <w:textAlignment w:val="bottom"/>
              <w:rPr>
                <w:rFonts w:hint="default"/>
                <w:color w:val="auto"/>
                <w:szCs w:val="21"/>
                <w:lang w:val="en-US" w:eastAsia="zh-CN"/>
              </w:rPr>
            </w:pPr>
            <w:r>
              <w:rPr>
                <w:rFonts w:hint="eastAsia" w:eastAsia="宋体"/>
                <w:color w:val="auto"/>
                <w:kern w:val="0"/>
                <w:szCs w:val="21"/>
                <w:lang w:val="en-US" w:eastAsia="zh-CN" w:bidi="ar"/>
              </w:rPr>
              <w:t>根据《产业结构调整指导目录（2024年本）》“第三类淘汰类”中“一、落后生产工艺装备”（六）有色金属第18条“15吨以下再生铝用熔炼炉”的规定，同时企业为优化生产布局、提升装备水平、降低能耗与污染物排放，将淘汰并拆除现有1台10吨再生铝用熔炼精炼两用炉、1台20吨</w:t>
            </w:r>
            <w:r>
              <w:rPr>
                <w:rFonts w:hint="eastAsia"/>
                <w:color w:val="auto"/>
                <w:kern w:val="0"/>
                <w:szCs w:val="21"/>
                <w:lang w:val="en-US" w:eastAsia="zh-CN" w:bidi="ar"/>
              </w:rPr>
              <w:t>精炼</w:t>
            </w:r>
            <w:r>
              <w:rPr>
                <w:rFonts w:hint="eastAsia" w:eastAsia="宋体"/>
                <w:color w:val="auto"/>
                <w:kern w:val="0"/>
                <w:szCs w:val="21"/>
                <w:lang w:val="en-US" w:eastAsia="zh-CN" w:bidi="ar"/>
              </w:rPr>
              <w:t>炉</w:t>
            </w:r>
            <w:r>
              <w:rPr>
                <w:rFonts w:hint="eastAsia"/>
                <w:color w:val="auto"/>
                <w:kern w:val="0"/>
                <w:szCs w:val="21"/>
                <w:lang w:val="en-US" w:eastAsia="zh-CN" w:bidi="ar"/>
              </w:rPr>
              <w:t>。对现有1台40吨熔炼炉、1台30吨熔炼炉和1台30t精炼炉实施设备更新与升级</w:t>
            </w:r>
          </w:p>
        </w:tc>
      </w:tr>
      <w:tr w14:paraId="42D5A06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944" w:hRule="atLeast"/>
        </w:trPr>
        <w:tc>
          <w:tcPr>
            <w:tcW w:w="387" w:type="pct"/>
            <w:tcBorders>
              <w:tl2br w:val="nil"/>
              <w:tr2bl w:val="nil"/>
            </w:tcBorders>
            <w:vAlign w:val="center"/>
          </w:tcPr>
          <w:p w14:paraId="15AA0AD3">
            <w:pPr>
              <w:widowControl/>
              <w:jc w:val="center"/>
              <w:textAlignment w:val="center"/>
              <w:rPr>
                <w:color w:val="auto"/>
                <w:szCs w:val="21"/>
              </w:rPr>
            </w:pPr>
            <w:r>
              <w:rPr>
                <w:color w:val="auto"/>
                <w:kern w:val="0"/>
                <w:szCs w:val="21"/>
                <w:lang w:bidi="ar"/>
              </w:rPr>
              <w:t>3</w:t>
            </w:r>
          </w:p>
        </w:tc>
        <w:tc>
          <w:tcPr>
            <w:tcW w:w="533" w:type="pct"/>
            <w:tcBorders>
              <w:tl2br w:val="nil"/>
              <w:tr2bl w:val="nil"/>
            </w:tcBorders>
            <w:vAlign w:val="center"/>
          </w:tcPr>
          <w:p w14:paraId="7632A4AB">
            <w:pPr>
              <w:widowControl/>
              <w:jc w:val="center"/>
              <w:textAlignment w:val="center"/>
              <w:rPr>
                <w:color w:val="auto"/>
                <w:szCs w:val="21"/>
              </w:rPr>
            </w:pPr>
            <w:r>
              <w:rPr>
                <w:rFonts w:hint="eastAsia"/>
                <w:color w:val="auto"/>
                <w:kern w:val="0"/>
                <w:szCs w:val="21"/>
                <w:lang w:val="en-US" w:eastAsia="zh-CN" w:bidi="ar"/>
              </w:rPr>
              <w:t>30t熔炼炉</w:t>
            </w:r>
          </w:p>
        </w:tc>
        <w:tc>
          <w:tcPr>
            <w:tcW w:w="560" w:type="pct"/>
            <w:tcBorders>
              <w:tl2br w:val="nil"/>
              <w:tr2bl w:val="nil"/>
            </w:tcBorders>
            <w:shd w:val="clear" w:color="auto" w:fill="auto"/>
            <w:vAlign w:val="center"/>
          </w:tcPr>
          <w:p w14:paraId="4DF020F1">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YG-RL-Q/Y</w:t>
            </w:r>
            <w:r>
              <w:rPr>
                <w:rFonts w:hint="eastAsia" w:cs="Times New Roman"/>
                <w:color w:val="auto"/>
                <w:kern w:val="2"/>
                <w:sz w:val="21"/>
                <w:szCs w:val="21"/>
                <w:lang w:val="en-US" w:eastAsia="zh-CN" w:bidi="ar-SA"/>
              </w:rPr>
              <w:t>3</w:t>
            </w:r>
            <w:r>
              <w:rPr>
                <w:rFonts w:hint="eastAsia" w:ascii="Times New Roman" w:hAnsi="Times New Roman" w:eastAsia="宋体" w:cs="Times New Roman"/>
                <w:color w:val="auto"/>
                <w:kern w:val="2"/>
                <w:sz w:val="21"/>
                <w:szCs w:val="21"/>
                <w:lang w:val="en-US" w:eastAsia="zh-CN" w:bidi="ar-SA"/>
              </w:rPr>
              <w:t>0</w:t>
            </w:r>
          </w:p>
        </w:tc>
        <w:tc>
          <w:tcPr>
            <w:tcW w:w="561" w:type="pct"/>
            <w:tcBorders>
              <w:tl2br w:val="nil"/>
              <w:tr2bl w:val="nil"/>
            </w:tcBorders>
            <w:shd w:val="clear" w:color="auto" w:fill="auto"/>
            <w:vAlign w:val="center"/>
          </w:tcPr>
          <w:p w14:paraId="2E26085B">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kern w:val="0"/>
                <w:szCs w:val="21"/>
                <w:lang w:val="en-US" w:eastAsia="zh-CN" w:bidi="ar"/>
              </w:rPr>
              <w:t>1</w:t>
            </w:r>
          </w:p>
        </w:tc>
        <w:tc>
          <w:tcPr>
            <w:tcW w:w="560" w:type="pct"/>
            <w:tcBorders>
              <w:tl2br w:val="nil"/>
              <w:tr2bl w:val="nil"/>
            </w:tcBorders>
            <w:shd w:val="clear" w:color="auto" w:fill="auto"/>
            <w:vAlign w:val="center"/>
          </w:tcPr>
          <w:p w14:paraId="6D12828D">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YG-RL-Q/Y</w:t>
            </w:r>
            <w:r>
              <w:rPr>
                <w:rFonts w:hint="eastAsia" w:cs="Times New Roman"/>
                <w:color w:val="auto"/>
                <w:kern w:val="2"/>
                <w:sz w:val="21"/>
                <w:szCs w:val="21"/>
                <w:lang w:val="en-US" w:eastAsia="zh-CN" w:bidi="ar-SA"/>
              </w:rPr>
              <w:t>3</w:t>
            </w:r>
            <w:r>
              <w:rPr>
                <w:rFonts w:hint="eastAsia" w:ascii="Times New Roman" w:hAnsi="Times New Roman" w:eastAsia="宋体" w:cs="Times New Roman"/>
                <w:color w:val="auto"/>
                <w:kern w:val="2"/>
                <w:sz w:val="21"/>
                <w:szCs w:val="21"/>
                <w:lang w:val="en-US" w:eastAsia="zh-CN" w:bidi="ar-SA"/>
              </w:rPr>
              <w:t>0</w:t>
            </w:r>
          </w:p>
        </w:tc>
        <w:tc>
          <w:tcPr>
            <w:tcW w:w="562" w:type="pct"/>
            <w:tcBorders>
              <w:tl2br w:val="nil"/>
              <w:tr2bl w:val="nil"/>
            </w:tcBorders>
            <w:shd w:val="clear" w:color="auto" w:fill="auto"/>
            <w:vAlign w:val="center"/>
          </w:tcPr>
          <w:p w14:paraId="2CE31409">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color w:val="auto"/>
                <w:kern w:val="0"/>
                <w:szCs w:val="21"/>
                <w:lang w:val="en-US" w:eastAsia="zh-CN" w:bidi="ar"/>
              </w:rPr>
              <w:t>1</w:t>
            </w:r>
          </w:p>
        </w:tc>
        <w:tc>
          <w:tcPr>
            <w:tcW w:w="518" w:type="pct"/>
            <w:tcBorders>
              <w:tl2br w:val="nil"/>
              <w:tr2bl w:val="nil"/>
            </w:tcBorders>
            <w:vAlign w:val="center"/>
          </w:tcPr>
          <w:p w14:paraId="2DC37E23">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30t</w:t>
            </w:r>
          </w:p>
        </w:tc>
        <w:tc>
          <w:tcPr>
            <w:tcW w:w="521" w:type="pct"/>
            <w:tcBorders>
              <w:tl2br w:val="nil"/>
              <w:tr2bl w:val="nil"/>
            </w:tcBorders>
            <w:vAlign w:val="center"/>
          </w:tcPr>
          <w:p w14:paraId="77E5DE6D">
            <w:pPr>
              <w:widowControl/>
              <w:jc w:val="center"/>
              <w:textAlignment w:val="center"/>
              <w:rPr>
                <w:color w:val="auto"/>
                <w:szCs w:val="21"/>
              </w:rPr>
            </w:pPr>
            <w:r>
              <w:rPr>
                <w:color w:val="auto"/>
                <w:kern w:val="0"/>
                <w:szCs w:val="21"/>
                <w:lang w:bidi="ar"/>
              </w:rPr>
              <w:t>1</w:t>
            </w:r>
          </w:p>
        </w:tc>
        <w:tc>
          <w:tcPr>
            <w:tcW w:w="794" w:type="pct"/>
            <w:vMerge w:val="continue"/>
            <w:tcBorders>
              <w:tl2br w:val="nil"/>
              <w:tr2bl w:val="nil"/>
            </w:tcBorders>
            <w:noWrap/>
            <w:vAlign w:val="center"/>
          </w:tcPr>
          <w:p w14:paraId="1DF49DE3">
            <w:pPr>
              <w:widowControl/>
              <w:jc w:val="center"/>
              <w:textAlignment w:val="bottom"/>
              <w:rPr>
                <w:rFonts w:hint="eastAsia"/>
                <w:color w:val="auto"/>
                <w:szCs w:val="21"/>
                <w:lang w:val="en-US" w:eastAsia="zh-CN"/>
              </w:rPr>
            </w:pPr>
          </w:p>
        </w:tc>
      </w:tr>
      <w:tr w14:paraId="0152F34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984" w:hRule="atLeast"/>
        </w:trPr>
        <w:tc>
          <w:tcPr>
            <w:tcW w:w="387" w:type="pct"/>
            <w:tcBorders>
              <w:tl2br w:val="nil"/>
              <w:tr2bl w:val="nil"/>
            </w:tcBorders>
            <w:vAlign w:val="center"/>
          </w:tcPr>
          <w:p w14:paraId="19D9A1DD">
            <w:pPr>
              <w:widowControl/>
              <w:jc w:val="center"/>
              <w:textAlignment w:val="center"/>
              <w:rPr>
                <w:rFonts w:hint="eastAsia" w:eastAsia="宋体"/>
                <w:color w:val="auto"/>
                <w:kern w:val="0"/>
                <w:szCs w:val="21"/>
                <w:lang w:val="en-US" w:eastAsia="zh-CN" w:bidi="ar"/>
              </w:rPr>
            </w:pPr>
            <w:r>
              <w:rPr>
                <w:rFonts w:hint="eastAsia"/>
                <w:color w:val="auto"/>
                <w:kern w:val="0"/>
                <w:szCs w:val="21"/>
                <w:lang w:val="en-US" w:eastAsia="zh-CN" w:bidi="ar"/>
              </w:rPr>
              <w:t>4</w:t>
            </w:r>
          </w:p>
        </w:tc>
        <w:tc>
          <w:tcPr>
            <w:tcW w:w="533" w:type="pct"/>
            <w:tcBorders>
              <w:tl2br w:val="nil"/>
              <w:tr2bl w:val="nil"/>
            </w:tcBorders>
            <w:vAlign w:val="center"/>
          </w:tcPr>
          <w:p w14:paraId="64B34927">
            <w:pPr>
              <w:widowControl/>
              <w:jc w:val="center"/>
              <w:textAlignment w:val="center"/>
              <w:rPr>
                <w:rFonts w:hint="default"/>
                <w:color w:val="auto"/>
                <w:kern w:val="0"/>
                <w:szCs w:val="21"/>
                <w:lang w:val="en-US" w:eastAsia="zh-CN" w:bidi="ar"/>
              </w:rPr>
            </w:pPr>
            <w:r>
              <w:rPr>
                <w:rFonts w:hint="eastAsia"/>
                <w:color w:val="auto"/>
                <w:kern w:val="0"/>
                <w:szCs w:val="21"/>
                <w:lang w:val="en-US" w:eastAsia="zh-CN" w:bidi="ar"/>
              </w:rPr>
              <w:t>30t精炼炉</w:t>
            </w:r>
          </w:p>
        </w:tc>
        <w:tc>
          <w:tcPr>
            <w:tcW w:w="560" w:type="pct"/>
            <w:tcBorders>
              <w:tl2br w:val="nil"/>
              <w:tr2bl w:val="nil"/>
            </w:tcBorders>
            <w:shd w:val="clear" w:color="auto" w:fill="auto"/>
            <w:vAlign w:val="center"/>
          </w:tcPr>
          <w:p w14:paraId="5028E532">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YG-JL-Q/Y</w:t>
            </w:r>
            <w:r>
              <w:rPr>
                <w:rFonts w:hint="eastAsia" w:cs="Times New Roman"/>
                <w:color w:val="auto"/>
                <w:kern w:val="2"/>
                <w:sz w:val="21"/>
                <w:szCs w:val="21"/>
                <w:lang w:val="en-US" w:eastAsia="zh-CN" w:bidi="ar-SA"/>
              </w:rPr>
              <w:t>30</w:t>
            </w:r>
          </w:p>
        </w:tc>
        <w:tc>
          <w:tcPr>
            <w:tcW w:w="561" w:type="pct"/>
            <w:tcBorders>
              <w:tl2br w:val="nil"/>
              <w:tr2bl w:val="nil"/>
            </w:tcBorders>
            <w:shd w:val="clear" w:color="auto" w:fill="auto"/>
            <w:vAlign w:val="center"/>
          </w:tcPr>
          <w:p w14:paraId="6E497543">
            <w:pPr>
              <w:widowControl/>
              <w:jc w:val="center"/>
              <w:textAlignment w:val="center"/>
              <w:rPr>
                <w:rFonts w:hint="default"/>
                <w:color w:val="auto"/>
                <w:kern w:val="0"/>
                <w:szCs w:val="21"/>
                <w:lang w:val="en-US" w:eastAsia="zh-CN" w:bidi="ar"/>
              </w:rPr>
            </w:pPr>
            <w:r>
              <w:rPr>
                <w:rFonts w:hint="eastAsia"/>
                <w:color w:val="auto"/>
                <w:kern w:val="0"/>
                <w:szCs w:val="21"/>
                <w:lang w:val="en-US" w:eastAsia="zh-CN" w:bidi="ar"/>
              </w:rPr>
              <w:t>1</w:t>
            </w:r>
          </w:p>
        </w:tc>
        <w:tc>
          <w:tcPr>
            <w:tcW w:w="560" w:type="pct"/>
            <w:tcBorders>
              <w:tl2br w:val="nil"/>
              <w:tr2bl w:val="nil"/>
            </w:tcBorders>
            <w:shd w:val="clear" w:color="auto" w:fill="auto"/>
            <w:vAlign w:val="center"/>
          </w:tcPr>
          <w:p w14:paraId="43971341">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YG-JL-Q/Y</w:t>
            </w:r>
            <w:r>
              <w:rPr>
                <w:rFonts w:hint="eastAsia" w:cs="Times New Roman"/>
                <w:color w:val="auto"/>
                <w:kern w:val="2"/>
                <w:sz w:val="21"/>
                <w:szCs w:val="21"/>
                <w:lang w:val="en-US" w:eastAsia="zh-CN" w:bidi="ar-SA"/>
              </w:rPr>
              <w:t>30</w:t>
            </w:r>
          </w:p>
        </w:tc>
        <w:tc>
          <w:tcPr>
            <w:tcW w:w="562" w:type="pct"/>
            <w:tcBorders>
              <w:tl2br w:val="nil"/>
              <w:tr2bl w:val="nil"/>
            </w:tcBorders>
            <w:shd w:val="clear" w:color="auto" w:fill="auto"/>
            <w:vAlign w:val="center"/>
          </w:tcPr>
          <w:p w14:paraId="737EB7F6">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w:t>
            </w:r>
          </w:p>
        </w:tc>
        <w:tc>
          <w:tcPr>
            <w:tcW w:w="518" w:type="pct"/>
            <w:tcBorders>
              <w:tl2br w:val="nil"/>
              <w:tr2bl w:val="nil"/>
            </w:tcBorders>
            <w:vAlign w:val="center"/>
          </w:tcPr>
          <w:p w14:paraId="35316E4E">
            <w:pPr>
              <w:widowControl/>
              <w:jc w:val="center"/>
              <w:textAlignment w:val="center"/>
              <w:rPr>
                <w:rFonts w:hint="default"/>
                <w:color w:val="auto"/>
                <w:kern w:val="0"/>
                <w:szCs w:val="21"/>
                <w:lang w:val="en-US" w:eastAsia="zh-CN" w:bidi="ar"/>
              </w:rPr>
            </w:pPr>
            <w:r>
              <w:rPr>
                <w:rFonts w:hint="eastAsia" w:cs="Times New Roman"/>
                <w:color w:val="auto"/>
                <w:kern w:val="2"/>
                <w:sz w:val="21"/>
                <w:szCs w:val="21"/>
                <w:lang w:val="en-US" w:eastAsia="zh-CN" w:bidi="ar-SA"/>
              </w:rPr>
              <w:t>30t</w:t>
            </w:r>
          </w:p>
        </w:tc>
        <w:tc>
          <w:tcPr>
            <w:tcW w:w="521" w:type="pct"/>
            <w:tcBorders>
              <w:tl2br w:val="nil"/>
              <w:tr2bl w:val="nil"/>
            </w:tcBorders>
            <w:vAlign w:val="center"/>
          </w:tcPr>
          <w:p w14:paraId="7381CF46">
            <w:pPr>
              <w:widowControl/>
              <w:jc w:val="center"/>
              <w:textAlignment w:val="center"/>
              <w:rPr>
                <w:color w:val="auto"/>
                <w:kern w:val="0"/>
                <w:szCs w:val="21"/>
                <w:lang w:bidi="ar"/>
              </w:rPr>
            </w:pPr>
            <w:r>
              <w:rPr>
                <w:rFonts w:hint="eastAsia"/>
                <w:color w:val="auto"/>
                <w:kern w:val="0"/>
                <w:szCs w:val="21"/>
                <w:lang w:val="en-US" w:eastAsia="zh-CN" w:bidi="ar"/>
              </w:rPr>
              <w:t>1</w:t>
            </w:r>
          </w:p>
        </w:tc>
        <w:tc>
          <w:tcPr>
            <w:tcW w:w="794" w:type="pct"/>
            <w:vMerge w:val="continue"/>
            <w:tcBorders>
              <w:tl2br w:val="nil"/>
              <w:tr2bl w:val="nil"/>
            </w:tcBorders>
            <w:noWrap/>
            <w:vAlign w:val="center"/>
          </w:tcPr>
          <w:p w14:paraId="7E46A006">
            <w:pPr>
              <w:widowControl/>
              <w:jc w:val="center"/>
              <w:textAlignment w:val="bottom"/>
              <w:rPr>
                <w:rFonts w:hint="default"/>
                <w:color w:val="auto"/>
                <w:szCs w:val="21"/>
                <w:lang w:val="en-US" w:eastAsia="zh-CN"/>
              </w:rPr>
            </w:pPr>
          </w:p>
        </w:tc>
      </w:tr>
      <w:tr w14:paraId="6495DE4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134" w:hRule="atLeast"/>
        </w:trPr>
        <w:tc>
          <w:tcPr>
            <w:tcW w:w="387" w:type="pct"/>
            <w:tcBorders>
              <w:tl2br w:val="nil"/>
              <w:tr2bl w:val="nil"/>
            </w:tcBorders>
            <w:vAlign w:val="center"/>
          </w:tcPr>
          <w:p w14:paraId="64A73266">
            <w:pPr>
              <w:widowControl/>
              <w:jc w:val="center"/>
              <w:textAlignment w:val="center"/>
              <w:rPr>
                <w:rFonts w:hint="default"/>
                <w:color w:val="auto"/>
                <w:kern w:val="0"/>
                <w:szCs w:val="21"/>
                <w:lang w:val="en-US" w:eastAsia="zh-CN" w:bidi="ar"/>
              </w:rPr>
            </w:pPr>
            <w:r>
              <w:rPr>
                <w:rFonts w:hint="eastAsia"/>
                <w:color w:val="auto"/>
                <w:kern w:val="0"/>
                <w:szCs w:val="21"/>
                <w:lang w:val="en-US" w:eastAsia="zh-CN" w:bidi="ar"/>
              </w:rPr>
              <w:t>5</w:t>
            </w:r>
          </w:p>
        </w:tc>
        <w:tc>
          <w:tcPr>
            <w:tcW w:w="533" w:type="pct"/>
            <w:tcBorders>
              <w:tl2br w:val="nil"/>
              <w:tr2bl w:val="nil"/>
            </w:tcBorders>
            <w:vAlign w:val="center"/>
          </w:tcPr>
          <w:p w14:paraId="33E3BA55">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20t精炼炉</w:t>
            </w:r>
          </w:p>
        </w:tc>
        <w:tc>
          <w:tcPr>
            <w:tcW w:w="560" w:type="pct"/>
            <w:tcBorders>
              <w:tl2br w:val="nil"/>
              <w:tr2bl w:val="nil"/>
            </w:tcBorders>
            <w:shd w:val="clear" w:color="auto" w:fill="auto"/>
            <w:vAlign w:val="center"/>
          </w:tcPr>
          <w:p w14:paraId="08D0EE4F">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YG-JL-Q/Y</w:t>
            </w:r>
            <w:r>
              <w:rPr>
                <w:rFonts w:hint="eastAsia" w:cs="Times New Roman"/>
                <w:color w:val="auto"/>
                <w:kern w:val="2"/>
                <w:sz w:val="21"/>
                <w:szCs w:val="21"/>
                <w:lang w:val="en-US" w:eastAsia="zh-CN" w:bidi="ar-SA"/>
              </w:rPr>
              <w:t>20</w:t>
            </w:r>
          </w:p>
        </w:tc>
        <w:tc>
          <w:tcPr>
            <w:tcW w:w="561" w:type="pct"/>
            <w:tcBorders>
              <w:tl2br w:val="nil"/>
              <w:tr2bl w:val="nil"/>
            </w:tcBorders>
            <w:shd w:val="clear" w:color="auto" w:fill="auto"/>
            <w:vAlign w:val="center"/>
          </w:tcPr>
          <w:p w14:paraId="6D27D16A">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w:t>
            </w:r>
          </w:p>
        </w:tc>
        <w:tc>
          <w:tcPr>
            <w:tcW w:w="560" w:type="pct"/>
            <w:tcBorders>
              <w:tl2br w:val="nil"/>
              <w:tr2bl w:val="nil"/>
            </w:tcBorders>
            <w:shd w:val="clear" w:color="auto" w:fill="auto"/>
            <w:vAlign w:val="center"/>
          </w:tcPr>
          <w:p w14:paraId="7D16567A">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YG-JL-Q/Y</w:t>
            </w:r>
            <w:r>
              <w:rPr>
                <w:rFonts w:hint="eastAsia" w:cs="Times New Roman"/>
                <w:color w:val="auto"/>
                <w:kern w:val="2"/>
                <w:sz w:val="21"/>
                <w:szCs w:val="21"/>
                <w:lang w:val="en-US" w:eastAsia="zh-CN" w:bidi="ar-SA"/>
              </w:rPr>
              <w:t>20</w:t>
            </w:r>
          </w:p>
        </w:tc>
        <w:tc>
          <w:tcPr>
            <w:tcW w:w="562" w:type="pct"/>
            <w:tcBorders>
              <w:tl2br w:val="nil"/>
              <w:tr2bl w:val="nil"/>
            </w:tcBorders>
            <w:shd w:val="clear" w:color="auto" w:fill="auto"/>
            <w:vAlign w:val="center"/>
          </w:tcPr>
          <w:p w14:paraId="260191D8">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1</w:t>
            </w:r>
          </w:p>
        </w:tc>
        <w:tc>
          <w:tcPr>
            <w:tcW w:w="518" w:type="pct"/>
            <w:tcBorders>
              <w:tl2br w:val="nil"/>
              <w:tr2bl w:val="nil"/>
            </w:tcBorders>
            <w:vAlign w:val="center"/>
          </w:tcPr>
          <w:p w14:paraId="68AC3B76">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kern w:val="0"/>
                <w:szCs w:val="21"/>
                <w:lang w:val="en-US" w:eastAsia="zh-CN" w:bidi="ar"/>
              </w:rPr>
              <w:t>/</w:t>
            </w:r>
          </w:p>
        </w:tc>
        <w:tc>
          <w:tcPr>
            <w:tcW w:w="521" w:type="pct"/>
            <w:tcBorders>
              <w:tl2br w:val="nil"/>
              <w:tr2bl w:val="nil"/>
            </w:tcBorders>
            <w:vAlign w:val="center"/>
          </w:tcPr>
          <w:p w14:paraId="0300A0F5">
            <w:pPr>
              <w:widowControl/>
              <w:jc w:val="center"/>
              <w:textAlignment w:val="center"/>
              <w:rPr>
                <w:rFonts w:hint="eastAsia"/>
                <w:color w:val="auto"/>
                <w:kern w:val="0"/>
                <w:szCs w:val="21"/>
                <w:lang w:val="en-US" w:eastAsia="zh-CN" w:bidi="ar"/>
              </w:rPr>
            </w:pPr>
            <w:r>
              <w:rPr>
                <w:rFonts w:hint="eastAsia"/>
                <w:color w:val="auto"/>
                <w:kern w:val="0"/>
                <w:szCs w:val="21"/>
                <w:lang w:val="en-US" w:eastAsia="zh-CN" w:bidi="ar"/>
              </w:rPr>
              <w:t>0</w:t>
            </w:r>
          </w:p>
        </w:tc>
        <w:tc>
          <w:tcPr>
            <w:tcW w:w="794" w:type="pct"/>
            <w:vMerge w:val="continue"/>
            <w:tcBorders>
              <w:tl2br w:val="nil"/>
              <w:tr2bl w:val="nil"/>
            </w:tcBorders>
            <w:noWrap/>
            <w:vAlign w:val="center"/>
          </w:tcPr>
          <w:p w14:paraId="07CCB70A">
            <w:pPr>
              <w:widowControl/>
              <w:jc w:val="center"/>
              <w:textAlignment w:val="bottom"/>
              <w:rPr>
                <w:rFonts w:hint="eastAsia"/>
                <w:color w:val="auto"/>
                <w:szCs w:val="21"/>
                <w:lang w:val="en-US" w:eastAsia="zh-CN"/>
              </w:rPr>
            </w:pPr>
          </w:p>
        </w:tc>
      </w:tr>
      <w:tr w14:paraId="1629094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879" w:hRule="atLeast"/>
        </w:trPr>
        <w:tc>
          <w:tcPr>
            <w:tcW w:w="387" w:type="pct"/>
            <w:tcBorders>
              <w:tl2br w:val="nil"/>
              <w:tr2bl w:val="nil"/>
            </w:tcBorders>
            <w:vAlign w:val="center"/>
          </w:tcPr>
          <w:p w14:paraId="2AC94506">
            <w:pPr>
              <w:widowControl/>
              <w:jc w:val="center"/>
              <w:textAlignment w:val="center"/>
              <w:rPr>
                <w:rFonts w:hint="default" w:eastAsia="宋体"/>
                <w:color w:val="auto"/>
                <w:szCs w:val="21"/>
                <w:lang w:val="en-US" w:eastAsia="zh-CN"/>
              </w:rPr>
            </w:pPr>
            <w:r>
              <w:rPr>
                <w:rFonts w:hint="eastAsia"/>
                <w:color w:val="auto"/>
                <w:szCs w:val="21"/>
                <w:lang w:val="en-US" w:eastAsia="zh-CN"/>
              </w:rPr>
              <w:t>6</w:t>
            </w:r>
          </w:p>
        </w:tc>
        <w:tc>
          <w:tcPr>
            <w:tcW w:w="533" w:type="pct"/>
            <w:tcBorders>
              <w:tl2br w:val="nil"/>
              <w:tr2bl w:val="nil"/>
            </w:tcBorders>
            <w:vAlign w:val="center"/>
          </w:tcPr>
          <w:p w14:paraId="4C201246">
            <w:pPr>
              <w:widowControl/>
              <w:jc w:val="center"/>
              <w:textAlignment w:val="center"/>
              <w:rPr>
                <w:color w:val="auto"/>
                <w:szCs w:val="21"/>
              </w:rPr>
            </w:pPr>
            <w:r>
              <w:rPr>
                <w:rFonts w:hint="eastAsia"/>
                <w:color w:val="auto"/>
                <w:szCs w:val="21"/>
              </w:rPr>
              <w:t>10t熔炼、精炼两用炉</w:t>
            </w:r>
          </w:p>
        </w:tc>
        <w:tc>
          <w:tcPr>
            <w:tcW w:w="560" w:type="pct"/>
            <w:tcBorders>
              <w:tl2br w:val="nil"/>
              <w:tr2bl w:val="nil"/>
            </w:tcBorders>
            <w:shd w:val="clear" w:color="auto" w:fill="auto"/>
            <w:vAlign w:val="center"/>
          </w:tcPr>
          <w:p w14:paraId="2D016CA0">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YG-L-Q/Y10</w:t>
            </w:r>
          </w:p>
        </w:tc>
        <w:tc>
          <w:tcPr>
            <w:tcW w:w="561" w:type="pct"/>
            <w:tcBorders>
              <w:tl2br w:val="nil"/>
              <w:tr2bl w:val="nil"/>
            </w:tcBorders>
            <w:shd w:val="clear" w:color="auto" w:fill="auto"/>
            <w:vAlign w:val="center"/>
          </w:tcPr>
          <w:p w14:paraId="2E1BCB92">
            <w:pPr>
              <w:widowControl/>
              <w:jc w:val="center"/>
              <w:textAlignment w:val="center"/>
              <w:rPr>
                <w:rFonts w:ascii="Times New Roman" w:hAnsi="Times New Roman" w:eastAsia="宋体" w:cs="Times New Roman"/>
                <w:color w:val="auto"/>
                <w:kern w:val="2"/>
                <w:sz w:val="21"/>
                <w:szCs w:val="21"/>
                <w:lang w:val="en-US" w:eastAsia="zh-CN" w:bidi="ar-SA"/>
              </w:rPr>
            </w:pPr>
            <w:r>
              <w:rPr>
                <w:color w:val="auto"/>
                <w:kern w:val="0"/>
                <w:szCs w:val="21"/>
                <w:lang w:bidi="ar"/>
              </w:rPr>
              <w:t>1</w:t>
            </w:r>
          </w:p>
        </w:tc>
        <w:tc>
          <w:tcPr>
            <w:tcW w:w="560" w:type="pct"/>
            <w:tcBorders>
              <w:tl2br w:val="nil"/>
              <w:tr2bl w:val="nil"/>
            </w:tcBorders>
            <w:shd w:val="clear" w:color="auto" w:fill="auto"/>
            <w:vAlign w:val="center"/>
          </w:tcPr>
          <w:p w14:paraId="5E5CB7D7">
            <w:pPr>
              <w:widowControl/>
              <w:jc w:val="center"/>
              <w:textAlignment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YG-L-Q/Y10</w:t>
            </w:r>
          </w:p>
        </w:tc>
        <w:tc>
          <w:tcPr>
            <w:tcW w:w="562" w:type="pct"/>
            <w:tcBorders>
              <w:tl2br w:val="nil"/>
              <w:tr2bl w:val="nil"/>
            </w:tcBorders>
            <w:shd w:val="clear" w:color="auto" w:fill="auto"/>
            <w:vAlign w:val="center"/>
          </w:tcPr>
          <w:p w14:paraId="77A9A11B">
            <w:pPr>
              <w:widowControl/>
              <w:jc w:val="center"/>
              <w:textAlignment w:val="center"/>
              <w:rPr>
                <w:rFonts w:ascii="Times New Roman" w:hAnsi="Times New Roman" w:eastAsia="宋体" w:cs="Times New Roman"/>
                <w:color w:val="auto"/>
                <w:kern w:val="2"/>
                <w:sz w:val="21"/>
                <w:szCs w:val="21"/>
                <w:lang w:val="en-US" w:eastAsia="zh-CN" w:bidi="ar-SA"/>
              </w:rPr>
            </w:pPr>
            <w:r>
              <w:rPr>
                <w:color w:val="auto"/>
                <w:kern w:val="0"/>
                <w:szCs w:val="21"/>
                <w:lang w:bidi="ar"/>
              </w:rPr>
              <w:t>1</w:t>
            </w:r>
          </w:p>
        </w:tc>
        <w:tc>
          <w:tcPr>
            <w:tcW w:w="518" w:type="pct"/>
            <w:tcBorders>
              <w:tl2br w:val="nil"/>
              <w:tr2bl w:val="nil"/>
            </w:tcBorders>
            <w:vAlign w:val="center"/>
          </w:tcPr>
          <w:p w14:paraId="34CE5684">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w:t>
            </w:r>
          </w:p>
        </w:tc>
        <w:tc>
          <w:tcPr>
            <w:tcW w:w="521" w:type="pct"/>
            <w:tcBorders>
              <w:tl2br w:val="nil"/>
              <w:tr2bl w:val="nil"/>
            </w:tcBorders>
            <w:vAlign w:val="center"/>
          </w:tcPr>
          <w:p w14:paraId="215A8050">
            <w:pPr>
              <w:widowControl/>
              <w:jc w:val="center"/>
              <w:textAlignment w:val="center"/>
              <w:rPr>
                <w:rFonts w:hint="eastAsia" w:eastAsia="宋体"/>
                <w:color w:val="auto"/>
                <w:szCs w:val="21"/>
                <w:lang w:eastAsia="zh-CN"/>
              </w:rPr>
            </w:pPr>
            <w:r>
              <w:rPr>
                <w:rFonts w:hint="eastAsia"/>
                <w:color w:val="auto"/>
                <w:kern w:val="0"/>
                <w:szCs w:val="21"/>
                <w:lang w:val="en-US" w:eastAsia="zh-CN" w:bidi="ar"/>
              </w:rPr>
              <w:t>0</w:t>
            </w:r>
          </w:p>
        </w:tc>
        <w:tc>
          <w:tcPr>
            <w:tcW w:w="794" w:type="pct"/>
            <w:vMerge w:val="continue"/>
            <w:tcBorders>
              <w:tl2br w:val="nil"/>
              <w:tr2bl w:val="nil"/>
            </w:tcBorders>
            <w:noWrap/>
            <w:vAlign w:val="center"/>
          </w:tcPr>
          <w:p w14:paraId="7666109C">
            <w:pPr>
              <w:widowControl/>
              <w:jc w:val="center"/>
              <w:textAlignment w:val="bottom"/>
              <w:rPr>
                <w:rFonts w:hint="eastAsia"/>
                <w:color w:val="auto"/>
                <w:szCs w:val="21"/>
                <w:lang w:val="en-US" w:eastAsia="zh-CN"/>
              </w:rPr>
            </w:pPr>
          </w:p>
        </w:tc>
      </w:tr>
      <w:tr w14:paraId="5F11572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879" w:hRule="atLeast"/>
        </w:trPr>
        <w:tc>
          <w:tcPr>
            <w:tcW w:w="387" w:type="pct"/>
            <w:tcBorders>
              <w:tl2br w:val="nil"/>
              <w:tr2bl w:val="nil"/>
            </w:tcBorders>
            <w:vAlign w:val="center"/>
          </w:tcPr>
          <w:p w14:paraId="3690AD5C">
            <w:pPr>
              <w:widowControl/>
              <w:jc w:val="center"/>
              <w:textAlignment w:val="center"/>
              <w:rPr>
                <w:rFonts w:hint="default"/>
                <w:color w:val="auto"/>
                <w:szCs w:val="21"/>
                <w:lang w:val="en-US" w:eastAsia="zh-CN"/>
              </w:rPr>
            </w:pPr>
            <w:r>
              <w:rPr>
                <w:rFonts w:hint="eastAsia"/>
                <w:color w:val="auto"/>
                <w:szCs w:val="21"/>
                <w:lang w:val="en-US" w:eastAsia="zh-CN"/>
              </w:rPr>
              <w:t>7</w:t>
            </w:r>
          </w:p>
        </w:tc>
        <w:tc>
          <w:tcPr>
            <w:tcW w:w="533" w:type="pct"/>
            <w:tcBorders>
              <w:tl2br w:val="nil"/>
              <w:tr2bl w:val="nil"/>
            </w:tcBorders>
            <w:vAlign w:val="center"/>
          </w:tcPr>
          <w:p w14:paraId="414FE0A1">
            <w:pPr>
              <w:widowControl/>
              <w:jc w:val="center"/>
              <w:textAlignment w:val="center"/>
              <w:rPr>
                <w:rFonts w:hint="default"/>
                <w:color w:val="auto"/>
                <w:szCs w:val="21"/>
                <w:lang w:val="en-US"/>
              </w:rPr>
            </w:pPr>
            <w:r>
              <w:rPr>
                <w:rFonts w:hint="eastAsia"/>
                <w:color w:val="auto"/>
                <w:szCs w:val="21"/>
                <w:lang w:val="en-US" w:eastAsia="zh-CN"/>
              </w:rPr>
              <w:t>铸锭叠锭生产线</w:t>
            </w:r>
          </w:p>
        </w:tc>
        <w:tc>
          <w:tcPr>
            <w:tcW w:w="560" w:type="pct"/>
            <w:tcBorders>
              <w:tl2br w:val="nil"/>
              <w:tr2bl w:val="nil"/>
            </w:tcBorders>
            <w:shd w:val="clear" w:color="auto" w:fill="auto"/>
            <w:vAlign w:val="center"/>
          </w:tcPr>
          <w:p w14:paraId="0E80C63B">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260模</w:t>
            </w:r>
          </w:p>
        </w:tc>
        <w:tc>
          <w:tcPr>
            <w:tcW w:w="561" w:type="pct"/>
            <w:tcBorders>
              <w:tl2br w:val="nil"/>
              <w:tr2bl w:val="nil"/>
            </w:tcBorders>
            <w:shd w:val="clear" w:color="auto" w:fill="auto"/>
            <w:vAlign w:val="center"/>
          </w:tcPr>
          <w:p w14:paraId="1940D98A">
            <w:pPr>
              <w:widowControl/>
              <w:jc w:val="center"/>
              <w:textAlignment w:val="center"/>
              <w:rPr>
                <w:rFonts w:hint="eastAsia" w:eastAsia="宋体"/>
                <w:color w:val="auto"/>
                <w:kern w:val="0"/>
                <w:szCs w:val="21"/>
                <w:lang w:val="en-US" w:eastAsia="zh-CN" w:bidi="ar"/>
              </w:rPr>
            </w:pPr>
            <w:r>
              <w:rPr>
                <w:rFonts w:hint="eastAsia"/>
                <w:color w:val="auto"/>
                <w:kern w:val="0"/>
                <w:szCs w:val="21"/>
                <w:lang w:val="en-US" w:eastAsia="zh-CN" w:bidi="ar"/>
              </w:rPr>
              <w:t>2</w:t>
            </w:r>
          </w:p>
        </w:tc>
        <w:tc>
          <w:tcPr>
            <w:tcW w:w="560" w:type="pct"/>
            <w:tcBorders>
              <w:tl2br w:val="nil"/>
              <w:tr2bl w:val="nil"/>
            </w:tcBorders>
            <w:shd w:val="clear" w:color="auto" w:fill="auto"/>
            <w:vAlign w:val="center"/>
          </w:tcPr>
          <w:p w14:paraId="21EF18BC">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260模</w:t>
            </w:r>
          </w:p>
        </w:tc>
        <w:tc>
          <w:tcPr>
            <w:tcW w:w="562" w:type="pct"/>
            <w:tcBorders>
              <w:tl2br w:val="nil"/>
              <w:tr2bl w:val="nil"/>
            </w:tcBorders>
            <w:shd w:val="clear" w:color="auto" w:fill="auto"/>
            <w:vAlign w:val="center"/>
          </w:tcPr>
          <w:p w14:paraId="5C065639">
            <w:pPr>
              <w:widowControl/>
              <w:jc w:val="center"/>
              <w:textAlignment w:val="center"/>
              <w:rPr>
                <w:color w:val="auto"/>
                <w:kern w:val="0"/>
                <w:szCs w:val="21"/>
                <w:lang w:bidi="ar"/>
              </w:rPr>
            </w:pPr>
            <w:r>
              <w:rPr>
                <w:rFonts w:hint="eastAsia"/>
                <w:color w:val="auto"/>
                <w:kern w:val="0"/>
                <w:szCs w:val="21"/>
                <w:lang w:val="en-US" w:eastAsia="zh-CN" w:bidi="ar"/>
              </w:rPr>
              <w:t>2</w:t>
            </w:r>
          </w:p>
        </w:tc>
        <w:tc>
          <w:tcPr>
            <w:tcW w:w="518" w:type="pct"/>
            <w:tcBorders>
              <w:tl2br w:val="nil"/>
              <w:tr2bl w:val="nil"/>
            </w:tcBorders>
            <w:vAlign w:val="center"/>
          </w:tcPr>
          <w:p w14:paraId="0E4493E1">
            <w:pPr>
              <w:widowControl/>
              <w:jc w:val="center"/>
              <w:textAlignment w:val="center"/>
              <w:rPr>
                <w:rFonts w:hint="default"/>
                <w:color w:val="auto"/>
                <w:kern w:val="0"/>
                <w:szCs w:val="21"/>
                <w:lang w:val="en-US" w:eastAsia="zh-CN" w:bidi="ar"/>
              </w:rPr>
            </w:pPr>
            <w:r>
              <w:rPr>
                <w:rFonts w:hint="eastAsia"/>
                <w:color w:val="auto"/>
                <w:kern w:val="0"/>
                <w:szCs w:val="21"/>
                <w:lang w:val="en-US" w:eastAsia="zh-CN" w:bidi="ar"/>
              </w:rPr>
              <w:t>500模</w:t>
            </w:r>
          </w:p>
        </w:tc>
        <w:tc>
          <w:tcPr>
            <w:tcW w:w="521" w:type="pct"/>
            <w:tcBorders>
              <w:tl2br w:val="nil"/>
              <w:tr2bl w:val="nil"/>
            </w:tcBorders>
            <w:vAlign w:val="center"/>
          </w:tcPr>
          <w:p w14:paraId="4DD3E50B">
            <w:pPr>
              <w:widowControl/>
              <w:jc w:val="center"/>
              <w:textAlignment w:val="center"/>
              <w:rPr>
                <w:rFonts w:hint="default"/>
                <w:color w:val="auto"/>
                <w:kern w:val="0"/>
                <w:szCs w:val="21"/>
                <w:lang w:val="en-US" w:eastAsia="zh-CN" w:bidi="ar"/>
              </w:rPr>
            </w:pPr>
            <w:r>
              <w:rPr>
                <w:rFonts w:hint="eastAsia"/>
                <w:color w:val="auto"/>
                <w:kern w:val="0"/>
                <w:szCs w:val="21"/>
                <w:lang w:val="en-US" w:eastAsia="zh-CN" w:bidi="ar"/>
              </w:rPr>
              <w:t>2</w:t>
            </w:r>
          </w:p>
        </w:tc>
        <w:tc>
          <w:tcPr>
            <w:tcW w:w="794" w:type="pct"/>
            <w:tcBorders>
              <w:tl2br w:val="nil"/>
              <w:tr2bl w:val="nil"/>
            </w:tcBorders>
            <w:noWrap/>
            <w:vAlign w:val="center"/>
          </w:tcPr>
          <w:p w14:paraId="02A26C4A">
            <w:pPr>
              <w:widowControl/>
              <w:jc w:val="center"/>
              <w:textAlignment w:val="bottom"/>
              <w:rPr>
                <w:rFonts w:hint="eastAsia"/>
                <w:color w:val="auto"/>
                <w:szCs w:val="21"/>
                <w:lang w:val="en-US" w:eastAsia="zh-CN"/>
              </w:rPr>
            </w:pPr>
            <w:r>
              <w:rPr>
                <w:rFonts w:hint="eastAsia"/>
                <w:color w:val="auto"/>
                <w:szCs w:val="21"/>
                <w:lang w:val="en-US" w:eastAsia="zh-CN"/>
              </w:rPr>
              <w:t>为适应产品结构升级，满足高端化、高效铸锭的生产需求，将2条260模铸锭叠锭线更新为2条500模铸锭叠锭线</w:t>
            </w:r>
          </w:p>
        </w:tc>
      </w:tr>
    </w:tbl>
    <w:p w14:paraId="26213F6F">
      <w:pPr>
        <w:spacing w:line="360" w:lineRule="auto"/>
        <w:ind w:firstLine="480" w:firstLineChars="200"/>
        <w:rPr>
          <w:rFonts w:hint="eastAsia"/>
          <w:color w:val="auto"/>
          <w:sz w:val="24"/>
          <w:szCs w:val="32"/>
          <w:lang w:val="en-US" w:eastAsia="zh-CN"/>
        </w:rPr>
        <w:sectPr>
          <w:pgSz w:w="16838" w:h="11906" w:orient="landscape"/>
          <w:pgMar w:top="1080" w:right="1440" w:bottom="1080" w:left="1440" w:header="708" w:footer="709" w:gutter="0"/>
          <w:pgBorders>
            <w:top w:val="none" w:sz="0" w:space="0"/>
            <w:left w:val="none" w:sz="0" w:space="0"/>
            <w:bottom w:val="none" w:sz="0" w:space="0"/>
            <w:right w:val="none" w:sz="0" w:space="0"/>
          </w:pgBorders>
          <w:pgNumType w:fmt="numberInDash"/>
          <w:cols w:space="0" w:num="1"/>
          <w:docGrid w:linePitch="360" w:charSpace="0"/>
        </w:sectPr>
      </w:pPr>
    </w:p>
    <w:p w14:paraId="2A60A919">
      <w:pPr>
        <w:spacing w:line="360" w:lineRule="auto"/>
        <w:outlineLvl w:val="2"/>
        <w:rPr>
          <w:rFonts w:hint="eastAsia"/>
          <w:b/>
          <w:bCs/>
          <w:color w:val="auto"/>
          <w:sz w:val="24"/>
          <w:lang w:val="en-US" w:eastAsia="zh-CN"/>
        </w:rPr>
      </w:pPr>
      <w:r>
        <w:rPr>
          <w:rFonts w:hint="eastAsia"/>
          <w:b/>
          <w:bCs/>
          <w:color w:val="auto"/>
          <w:sz w:val="24"/>
          <w:lang w:val="en-US" w:eastAsia="zh-CN"/>
        </w:rPr>
        <w:t>3.1.3.1 更新后的30T及40T蓄热式熔铝炉先进性分析</w:t>
      </w:r>
    </w:p>
    <w:p w14:paraId="3F7BF276">
      <w:pPr>
        <w:spacing w:line="360" w:lineRule="auto"/>
        <w:ind w:firstLine="480" w:firstLineChars="200"/>
        <w:outlineLvl w:val="2"/>
        <w:rPr>
          <w:rFonts w:hint="default"/>
          <w:b w:val="0"/>
          <w:bCs w:val="0"/>
          <w:color w:val="auto"/>
          <w:sz w:val="24"/>
          <w:lang w:val="en-US" w:eastAsia="zh-CN"/>
        </w:rPr>
      </w:pPr>
      <w:r>
        <w:rPr>
          <w:rFonts w:hint="eastAsia"/>
          <w:b w:val="0"/>
          <w:bCs w:val="0"/>
          <w:color w:val="auto"/>
          <w:sz w:val="24"/>
          <w:lang w:val="en-US" w:eastAsia="zh-CN"/>
        </w:rPr>
        <w:t>（1）核心技术与系统设计</w:t>
      </w:r>
    </w:p>
    <w:p w14:paraId="2BC05450">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①</w:t>
      </w:r>
      <w:r>
        <w:rPr>
          <w:rFonts w:hint="eastAsia"/>
          <w:b w:val="0"/>
          <w:bCs w:val="0"/>
          <w:color w:val="auto"/>
          <w:sz w:val="24"/>
          <w:lang w:val="en-US" w:eastAsia="zh-CN"/>
        </w:rPr>
        <w:t>蓄热式燃烧技术：采用双烧嘴平行布置，搭配周期性换向燃烧机制（每30~60秒自动换向），火焰与炉料逆向流动，热交换效率＞90%；通过高温烟气预热助燃空气，常温空气可被加热至仅比炉内烟气温度低150°C，大幅提升燃烧强度与热量利用率。</w:t>
      </w:r>
    </w:p>
    <w:p w14:paraId="0BC05291">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②</w:t>
      </w:r>
      <w:r>
        <w:rPr>
          <w:rFonts w:hint="eastAsia"/>
          <w:b w:val="0"/>
          <w:bCs w:val="0"/>
          <w:color w:val="auto"/>
          <w:sz w:val="24"/>
          <w:lang w:val="en-US" w:eastAsia="zh-CN"/>
        </w:rPr>
        <w:t>智能控制系统：搭载PLC全自动控制系统，集成触摸屏操作、测温热电偶、烟气温度传感器，形成闭环控制；实时监测炉膛温度（精度±20℃）、排烟温度，自动调节空燃比至1.0~1.1，避免燃气浪费或不完全燃烧；具备远程故障诊断功能，预留未来工厂数字化信息系统接口，支持后续数字化升级。</w:t>
      </w:r>
    </w:p>
    <w:p w14:paraId="59FC40B7">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③</w:t>
      </w:r>
      <w:r>
        <w:rPr>
          <w:rFonts w:hint="eastAsia"/>
          <w:b w:val="0"/>
          <w:bCs w:val="0"/>
          <w:color w:val="auto"/>
          <w:sz w:val="24"/>
          <w:lang w:val="en-US" w:eastAsia="zh-CN"/>
        </w:rPr>
        <w:t>结构优化设计：炉体为方形快速节能结构，炉壳采用Q235A钢板+10#钢加固，关键部位用100x50矩形钢管、20#槽钢强化，全焊接工艺确保气密性与刚性，热负荷下无变形；炉门为电动升降式，搭配斜拉自重压紧+双轨道密封，无扒渣精炼死角，适配叉车加料与扒渣作业，操作便捷高效。</w:t>
      </w:r>
    </w:p>
    <w:p w14:paraId="43E7AAF4">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④</w:t>
      </w:r>
      <w:r>
        <w:rPr>
          <w:rFonts w:hint="eastAsia"/>
          <w:b w:val="0"/>
          <w:bCs w:val="0"/>
          <w:color w:val="auto"/>
          <w:sz w:val="24"/>
          <w:lang w:val="en-US" w:eastAsia="zh-CN"/>
        </w:rPr>
        <w:t>原料与生产适配性：兼容废旧铝制品（易拉罐、门窗型材）、铝板边角料等不规则原料，无需预处理，原料利用率≥98%；支持50%铝锭+50%板废料的混合投料模式，两台熔炼炉（30T及40T蓄热式熔铝炉）用于熔化，一台30T炉精炼炉协同运行，满足年产能5.05万吨再生铝合金锭项目的生产需求。</w:t>
      </w:r>
    </w:p>
    <w:p w14:paraId="3F044A4C">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（2）能耗指标优化</w:t>
      </w:r>
    </w:p>
    <w:p w14:paraId="07904302">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①</w:t>
      </w:r>
      <w:r>
        <w:rPr>
          <w:rFonts w:hint="eastAsia"/>
          <w:b w:val="0"/>
          <w:bCs w:val="0"/>
          <w:color w:val="auto"/>
          <w:sz w:val="24"/>
          <w:lang w:val="en-US" w:eastAsia="zh-CN"/>
        </w:rPr>
        <w:t>综合能耗领先：双炉型综合单吨天然气能耗≤65Nm³/[T.AL]（50%铝锭+50%板废料，原材料出成率≥80%），大规模生产中能源节约效果显著。</w:t>
      </w:r>
    </w:p>
    <w:p w14:paraId="36E5E8A4">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②</w:t>
      </w:r>
      <w:r>
        <w:rPr>
          <w:rFonts w:hint="eastAsia"/>
          <w:b w:val="0"/>
          <w:bCs w:val="0"/>
          <w:color w:val="auto"/>
          <w:sz w:val="24"/>
          <w:lang w:val="en-US" w:eastAsia="zh-CN"/>
        </w:rPr>
        <w:t>余热回收高效：配备蓄热式余热回收系统，通过氧化铝小球蓄热体（蓄热能力≥1000kJ/kg）吸收高温烟气（800~1000℃）热量，预热助燃空气至250~300°C，使天然气消耗降低25%~30%。</w:t>
      </w:r>
    </w:p>
    <w:p w14:paraId="61A2BE89">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③</w:t>
      </w:r>
      <w:r>
        <w:rPr>
          <w:rFonts w:hint="eastAsia"/>
          <w:b w:val="0"/>
          <w:bCs w:val="0"/>
          <w:color w:val="auto"/>
          <w:sz w:val="24"/>
          <w:lang w:val="en-US" w:eastAsia="zh-CN"/>
        </w:rPr>
        <w:t>低散热设计：炉体外壁正常工作温度＜65°C，低于传统熔铝炉（通常≥80°C）；炉体多层复合耐火保温结构（硅酸铝保温棉≥60mm+保温砖230mm+浇注料≥80mm+一级高铝砖230mm）形成梯度隔热，有效阻隔热量外泄，减少持续加热的能源补充需求。</w:t>
      </w:r>
    </w:p>
    <w:p w14:paraId="03A6720A">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（3）环保配套与结构设计</w:t>
      </w:r>
    </w:p>
    <w:p w14:paraId="4F0987EA">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①</w:t>
      </w:r>
      <w:r>
        <w:rPr>
          <w:rFonts w:hint="eastAsia"/>
          <w:b w:val="0"/>
          <w:bCs w:val="0"/>
          <w:color w:val="auto"/>
          <w:sz w:val="24"/>
          <w:lang w:val="en-US" w:eastAsia="zh-CN"/>
        </w:rPr>
        <w:t>烟气处理系统：炉体配备炉门口集烟罩+高温烟阀+换热器+耐高温铸件排烟管，烟气经余热回收降温至≤150℃后，接入后端除尘器（除尘效率≥99%），确保烟尘超低排放；排烟管道采用耐腐材质，避免冷凝水与硫化物腐蚀，延长使用寿命。</w:t>
      </w:r>
    </w:p>
    <w:p w14:paraId="6163AE86">
      <w:pPr>
        <w:numPr>
          <w:ilvl w:val="0"/>
          <w:numId w:val="0"/>
        </w:numPr>
        <w:spacing w:line="360" w:lineRule="auto"/>
        <w:ind w:left="0" w:leftChars="0" w:firstLine="480" w:firstLineChars="200"/>
        <w:outlineLvl w:val="2"/>
        <w:rPr>
          <w:rFonts w:hint="eastAsia"/>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②</w:t>
      </w:r>
      <w:r>
        <w:rPr>
          <w:rFonts w:hint="eastAsia"/>
          <w:b w:val="0"/>
          <w:bCs w:val="0"/>
          <w:color w:val="auto"/>
          <w:sz w:val="24"/>
          <w:lang w:val="en-US" w:eastAsia="zh-CN"/>
        </w:rPr>
        <w:t>密封与无组织排放控制：炉体全焊接结构+炉门多重密封设计，减少烟气外泄；换向阀、燃气管道法兰等关键接口采用密封强化设计，防止燃气泄漏与无组织排放；炉体钢结构及管道采用Q235材质，无有害涂层脱落风险。</w:t>
      </w:r>
    </w:p>
    <w:p w14:paraId="1A50B043">
      <w:pPr>
        <w:numPr>
          <w:ilvl w:val="0"/>
          <w:numId w:val="0"/>
        </w:numPr>
        <w:spacing w:line="360" w:lineRule="auto"/>
        <w:ind w:left="0" w:leftChars="0" w:firstLine="480" w:firstLineChars="200"/>
        <w:outlineLvl w:val="2"/>
        <w:rPr>
          <w:rFonts w:hint="default"/>
          <w:b w:val="0"/>
          <w:bCs w:val="0"/>
          <w:color w:val="auto"/>
          <w:sz w:val="24"/>
          <w:lang w:val="en-US" w:eastAsia="zh-CN"/>
        </w:rPr>
      </w:pPr>
      <w:r>
        <w:rPr>
          <w:rFonts w:hint="eastAsia" w:ascii="Times New Roman" w:hAnsi="Times New Roman" w:eastAsia="宋体" w:cs="Times New Roman"/>
          <w:b w:val="0"/>
          <w:bCs w:val="0"/>
          <w:color w:val="auto"/>
          <w:kern w:val="2"/>
          <w:sz w:val="24"/>
          <w:szCs w:val="24"/>
          <w:lang w:val="en-US" w:eastAsia="zh-CN" w:bidi="ar-SA"/>
        </w:rPr>
        <w:t>③</w:t>
      </w:r>
      <w:r>
        <w:rPr>
          <w:rFonts w:hint="eastAsia"/>
          <w:b w:val="0"/>
          <w:bCs w:val="0"/>
          <w:color w:val="auto"/>
          <w:sz w:val="24"/>
          <w:lang w:val="en-US" w:eastAsia="zh-CN"/>
        </w:rPr>
        <w:t>污染物减量设计：火焰远离炉料设计（沿炉底向上穿透），铝液氧化烧损率≤1.0%（行业平均1.5%~3%），减少铝渣产生量；配套的脉冲布袋除尘器可高效处理烟尘，避免粉尘污染，且除尘器本体及集烟罩质保5年，运行稳定性强。</w:t>
      </w:r>
    </w:p>
    <w:p w14:paraId="318393FC">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采用先进30t、40t蓄热式熔铝炉，能耗更低、熔化能力更强、铝液质量更稳定，污染物排放更少，设备运行更安全可靠，可更好配合铸锭的高效生产。</w:t>
      </w:r>
    </w:p>
    <w:p w14:paraId="7CADDD31">
      <w:pPr>
        <w:spacing w:line="360" w:lineRule="auto"/>
        <w:outlineLvl w:val="2"/>
        <w:rPr>
          <w:rFonts w:hint="default"/>
          <w:b w:val="0"/>
          <w:bCs w:val="0"/>
          <w:color w:val="auto"/>
          <w:sz w:val="24"/>
          <w:lang w:val="en-US" w:eastAsia="zh-CN"/>
        </w:rPr>
      </w:pPr>
      <w:r>
        <w:rPr>
          <w:rFonts w:hint="eastAsia"/>
          <w:b/>
          <w:bCs/>
          <w:color w:val="auto"/>
          <w:sz w:val="24"/>
          <w:lang w:val="en-US" w:eastAsia="zh-CN"/>
        </w:rPr>
        <w:t>3.1.3.2 500模铸锭叠锭生产线先进性分析</w:t>
      </w:r>
    </w:p>
    <w:p w14:paraId="7085CABF">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（1）装备大型化、规模化水平提升</w:t>
      </w:r>
    </w:p>
    <w:p w14:paraId="75A3D14D">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500模铸锭截面尺寸更大，可减少铸锭次数、转运频次及设备启停损耗，生产线整体产能配置更合理，生产组织更连续稳定，符合铝加工行业装备大型化、规模化的发展趋势。</w:t>
      </w:r>
    </w:p>
    <w:p w14:paraId="69AA011D">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（2）生产效率与</w:t>
      </w:r>
      <w:r>
        <w:rPr>
          <w:rFonts w:ascii="宋体" w:hAnsi="宋体" w:eastAsia="宋体" w:cs="宋体"/>
          <w:sz w:val="24"/>
          <w:szCs w:val="24"/>
        </w:rPr>
        <w:t>自动化</w:t>
      </w:r>
      <w:r>
        <w:rPr>
          <w:rFonts w:hint="eastAsia" w:ascii="宋体" w:hAnsi="宋体" w:eastAsia="宋体" w:cs="宋体"/>
          <w:sz w:val="24"/>
          <w:szCs w:val="24"/>
          <w:lang w:val="en-US" w:eastAsia="zh-CN"/>
        </w:rPr>
        <w:t>水平</w:t>
      </w:r>
      <w:r>
        <w:rPr>
          <w:rFonts w:hint="eastAsia"/>
          <w:b w:val="0"/>
          <w:bCs w:val="0"/>
          <w:color w:val="auto"/>
          <w:sz w:val="24"/>
          <w:lang w:val="en-US" w:eastAsia="zh-CN"/>
        </w:rPr>
        <w:t>提高</w:t>
      </w:r>
    </w:p>
    <w:p w14:paraId="405590A4">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500模铸锭生产线配套自动脱模、自动清理、自动叠锭、自动码垛等自动化装置，减少人工操作环节，降低人为因素对生产稳定性的影响。控制系统采用集中PLC控制，实现工艺参数精准调控与运行状态在线监测，运行可靠性与智能化管理水平显著提高。</w:t>
      </w:r>
    </w:p>
    <w:p w14:paraId="64B87394">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大截面铸锭可减少浇铸、脱模、铣面、叠锭、码垛等工序的循环次数，降低人工干预强度。叠锭工序配套相应自动定位、自动夹紧、自动转运装置，工序衔接更顺畅，单位时间有效产出更高，人工劳动强度下降，劳动生产率明显提升。</w:t>
      </w:r>
    </w:p>
    <w:p w14:paraId="093AC8D5">
      <w:pPr>
        <w:spacing w:line="360" w:lineRule="auto"/>
        <w:jc w:val="center"/>
        <w:outlineLvl w:val="2"/>
        <w:rPr>
          <w:rFonts w:hint="eastAsia"/>
          <w:b w:val="0"/>
          <w:bCs w:val="0"/>
          <w:color w:val="auto"/>
          <w:sz w:val="24"/>
          <w:lang w:val="en-US" w:eastAsia="zh-CN"/>
        </w:rPr>
      </w:pPr>
      <w:r>
        <w:rPr>
          <w:rFonts w:hint="eastAsia"/>
          <w:b w:val="0"/>
          <w:bCs w:val="0"/>
          <w:color w:val="auto"/>
          <w:sz w:val="24"/>
          <w:lang w:val="en-US" w:eastAsia="zh-CN"/>
        </w:rPr>
        <w:drawing>
          <wp:inline distT="0" distB="0" distL="114300" distR="114300">
            <wp:extent cx="4135120" cy="2280920"/>
            <wp:effectExtent l="0" t="0" r="17780" b="5080"/>
            <wp:docPr id="32" name="图片 3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
                    <pic:cNvPicPr>
                      <a:picLocks noChangeAspect="1"/>
                    </pic:cNvPicPr>
                  </pic:nvPicPr>
                  <pic:blipFill>
                    <a:blip r:embed="rId21"/>
                    <a:stretch>
                      <a:fillRect/>
                    </a:stretch>
                  </pic:blipFill>
                  <pic:spPr>
                    <a:xfrm>
                      <a:off x="0" y="0"/>
                      <a:ext cx="4135120" cy="2280920"/>
                    </a:xfrm>
                    <a:prstGeom prst="rect">
                      <a:avLst/>
                    </a:prstGeom>
                  </pic:spPr>
                </pic:pic>
              </a:graphicData>
            </a:graphic>
          </wp:inline>
        </w:drawing>
      </w:r>
    </w:p>
    <w:p w14:paraId="25F9D2F3">
      <w:pPr>
        <w:spacing w:line="360" w:lineRule="auto"/>
        <w:jc w:val="center"/>
        <w:outlineLvl w:val="2"/>
        <w:rPr>
          <w:rFonts w:hint="default"/>
          <w:b w:val="0"/>
          <w:bCs w:val="0"/>
          <w:color w:val="auto"/>
          <w:sz w:val="24"/>
          <w:lang w:val="en-US" w:eastAsia="zh-CN"/>
        </w:rPr>
      </w:pPr>
      <w:r>
        <w:rPr>
          <w:rFonts w:hint="eastAsia"/>
          <w:b/>
          <w:bCs/>
          <w:color w:val="auto"/>
          <w:sz w:val="24"/>
          <w:lang w:val="en-US" w:eastAsia="zh-CN"/>
        </w:rPr>
        <w:t>图 3-1 机械臂叠锭示意图</w:t>
      </w:r>
    </w:p>
    <w:p w14:paraId="295A8E38">
      <w:pPr>
        <w:spacing w:line="360" w:lineRule="auto"/>
        <w:ind w:firstLine="480" w:firstLineChars="200"/>
        <w:outlineLvl w:val="2"/>
        <w:rPr>
          <w:rFonts w:hint="default"/>
          <w:b w:val="0"/>
          <w:bCs w:val="0"/>
          <w:color w:val="auto"/>
          <w:sz w:val="24"/>
          <w:lang w:val="en-US" w:eastAsia="zh-CN"/>
        </w:rPr>
      </w:pPr>
      <w:r>
        <w:rPr>
          <w:rFonts w:hint="eastAsia"/>
          <w:b w:val="0"/>
          <w:bCs w:val="0"/>
          <w:color w:val="auto"/>
          <w:sz w:val="24"/>
          <w:lang w:val="en-US" w:eastAsia="zh-CN"/>
        </w:rPr>
        <w:t>（3）产品质量提升</w:t>
      </w:r>
    </w:p>
    <w:p w14:paraId="68FD7B2C">
      <w:pPr>
        <w:spacing w:line="360" w:lineRule="auto"/>
        <w:ind w:firstLine="480" w:firstLineChars="200"/>
        <w:outlineLvl w:val="2"/>
        <w:rPr>
          <w:rFonts w:hint="eastAsia"/>
          <w:b w:val="0"/>
          <w:bCs w:val="0"/>
          <w:color w:val="auto"/>
          <w:sz w:val="24"/>
          <w:lang w:val="en-US" w:eastAsia="zh-CN"/>
        </w:rPr>
      </w:pPr>
      <w:r>
        <w:rPr>
          <w:rFonts w:hint="eastAsia"/>
          <w:b w:val="0"/>
          <w:bCs w:val="0"/>
          <w:color w:val="auto"/>
          <w:sz w:val="24"/>
          <w:lang w:val="en-US" w:eastAsia="zh-CN"/>
        </w:rPr>
        <w:t>500模高效铸锭在凝固过程中冷却更均匀，补缩条件改善，可有效减轻中心疏松、偏析、缩孔等铸造缺陷，铸锭内部致密度更高。同时大锭型更利于后续均匀铣面加工，表面质量与成材率提升，产品一致性与稳定性优于小规格铸锭，更能满足下游加工对铸锭内部质量的要求。</w:t>
      </w:r>
    </w:p>
    <w:p w14:paraId="6CAD9C37">
      <w:pPr>
        <w:spacing w:line="360" w:lineRule="auto"/>
        <w:outlineLvl w:val="2"/>
        <w:rPr>
          <w:rFonts w:hint="eastAsia" w:eastAsia="宋体"/>
          <w:b/>
          <w:bCs/>
          <w:color w:val="auto"/>
          <w:sz w:val="24"/>
          <w:lang w:val="en-US" w:eastAsia="zh-CN"/>
        </w:rPr>
      </w:pPr>
      <w:r>
        <w:rPr>
          <w:b/>
          <w:bCs/>
          <w:color w:val="auto"/>
          <w:sz w:val="24"/>
        </w:rPr>
        <w:t>3.1.4 原辅材料使用情况</w:t>
      </w:r>
      <w:r>
        <w:rPr>
          <w:rFonts w:hint="eastAsia"/>
          <w:b/>
          <w:bCs/>
          <w:color w:val="auto"/>
          <w:sz w:val="24"/>
          <w:lang w:val="en-US" w:eastAsia="zh-CN"/>
        </w:rPr>
        <w:t>和</w:t>
      </w:r>
      <w:r>
        <w:rPr>
          <w:rFonts w:hint="eastAsia" w:ascii="Times New Roman" w:hAnsi="Times New Roman" w:eastAsia="宋体" w:cs="Times New Roman"/>
          <w:b/>
          <w:bCs/>
          <w:color w:val="auto"/>
          <w:sz w:val="24"/>
          <w:lang w:val="en-US" w:eastAsia="zh-CN"/>
        </w:rPr>
        <w:t>原料废铝来源及控制要求</w:t>
      </w:r>
    </w:p>
    <w:p w14:paraId="667B0D52">
      <w:pPr>
        <w:spacing w:line="360" w:lineRule="auto"/>
        <w:rPr>
          <w:rFonts w:hint="default"/>
          <w:color w:val="auto"/>
          <w:sz w:val="24"/>
          <w:lang w:val="en-US" w:eastAsia="zh-CN"/>
        </w:rPr>
      </w:pPr>
      <w:bookmarkStart w:id="282" w:name="_Toc6051"/>
      <w:r>
        <w:rPr>
          <w:rFonts w:hint="eastAsia"/>
          <w:b/>
          <w:bCs/>
          <w:color w:val="auto"/>
          <w:sz w:val="24"/>
          <w:lang w:val="en-US" w:eastAsia="zh-CN"/>
        </w:rPr>
        <w:t xml:space="preserve">3.1.4.1 </w:t>
      </w:r>
      <w:r>
        <w:rPr>
          <w:b/>
          <w:bCs/>
          <w:color w:val="auto"/>
          <w:sz w:val="24"/>
        </w:rPr>
        <w:t>原辅材料使用情况</w:t>
      </w:r>
    </w:p>
    <w:p w14:paraId="5B4EE04A">
      <w:pPr>
        <w:spacing w:line="360" w:lineRule="auto"/>
        <w:ind w:firstLine="480" w:firstLineChars="200"/>
        <w:rPr>
          <w:color w:val="auto"/>
          <w:sz w:val="24"/>
        </w:rPr>
      </w:pPr>
      <w:r>
        <w:rPr>
          <w:rFonts w:hint="eastAsia"/>
          <w:color w:val="auto"/>
          <w:sz w:val="24"/>
          <w:lang w:val="en-US" w:eastAsia="zh-CN"/>
        </w:rPr>
        <w:t>环评</w:t>
      </w:r>
      <w:r>
        <w:rPr>
          <w:color w:val="auto"/>
          <w:sz w:val="24"/>
        </w:rPr>
        <w:t>一期</w:t>
      </w:r>
      <w:r>
        <w:rPr>
          <w:rFonts w:hint="eastAsia"/>
          <w:color w:val="auto"/>
          <w:sz w:val="24"/>
          <w:lang w:val="en-US" w:eastAsia="zh-CN"/>
        </w:rPr>
        <w:t>工程及验收阶段与后评价阶段</w:t>
      </w:r>
      <w:r>
        <w:rPr>
          <w:color w:val="auto"/>
          <w:sz w:val="24"/>
        </w:rPr>
        <w:t>原辅材料使用情况</w:t>
      </w:r>
      <w:r>
        <w:rPr>
          <w:rFonts w:hint="eastAsia"/>
          <w:color w:val="auto"/>
          <w:sz w:val="24"/>
          <w:lang w:val="en-US" w:eastAsia="zh-CN"/>
        </w:rPr>
        <w:t>对比</w:t>
      </w:r>
      <w:r>
        <w:rPr>
          <w:color w:val="auto"/>
          <w:sz w:val="24"/>
        </w:rPr>
        <w:t>见下表：</w:t>
      </w:r>
      <w:bookmarkEnd w:id="282"/>
    </w:p>
    <w:p w14:paraId="7BFF6FE3">
      <w:pPr>
        <w:spacing w:line="360" w:lineRule="auto"/>
        <w:jc w:val="center"/>
        <w:rPr>
          <w:b/>
          <w:bCs/>
          <w:color w:val="auto"/>
          <w:sz w:val="24"/>
        </w:rPr>
      </w:pPr>
      <w:bookmarkStart w:id="283" w:name="_Toc30660"/>
      <w:r>
        <w:rPr>
          <w:b/>
          <w:bCs/>
          <w:color w:val="auto"/>
          <w:sz w:val="24"/>
        </w:rPr>
        <w:t>表3-</w:t>
      </w:r>
      <w:r>
        <w:rPr>
          <w:rFonts w:hint="eastAsia"/>
          <w:b/>
          <w:bCs/>
          <w:color w:val="auto"/>
          <w:sz w:val="24"/>
          <w:lang w:val="en-US" w:eastAsia="zh-CN"/>
        </w:rPr>
        <w:t>5</w:t>
      </w:r>
      <w:r>
        <w:rPr>
          <w:b/>
          <w:bCs/>
          <w:color w:val="auto"/>
          <w:sz w:val="24"/>
        </w:rPr>
        <w:t xml:space="preserve"> </w:t>
      </w:r>
      <w:r>
        <w:rPr>
          <w:rFonts w:hint="eastAsia"/>
          <w:b/>
          <w:bCs/>
          <w:color w:val="auto"/>
          <w:sz w:val="24"/>
          <w:lang w:val="en-US" w:eastAsia="zh-CN"/>
        </w:rPr>
        <w:t>环评</w:t>
      </w:r>
      <w:r>
        <w:rPr>
          <w:b/>
          <w:bCs/>
          <w:color w:val="auto"/>
          <w:sz w:val="24"/>
        </w:rPr>
        <w:t>一期</w:t>
      </w:r>
      <w:r>
        <w:rPr>
          <w:rFonts w:hint="eastAsia"/>
          <w:b/>
          <w:bCs/>
          <w:color w:val="auto"/>
          <w:sz w:val="24"/>
          <w:lang w:val="en-US" w:eastAsia="zh-CN"/>
        </w:rPr>
        <w:t>工程及验收阶段与后评价阶段</w:t>
      </w:r>
      <w:r>
        <w:rPr>
          <w:b/>
          <w:bCs/>
          <w:color w:val="auto"/>
          <w:sz w:val="24"/>
        </w:rPr>
        <w:t>原辅材料使用情况</w:t>
      </w:r>
      <w:r>
        <w:rPr>
          <w:rFonts w:hint="eastAsia"/>
          <w:b/>
          <w:bCs/>
          <w:color w:val="auto"/>
          <w:sz w:val="24"/>
          <w:lang w:val="en-US" w:eastAsia="zh-CN"/>
        </w:rPr>
        <w:t>对比</w:t>
      </w:r>
      <w:r>
        <w:rPr>
          <w:b/>
          <w:bCs/>
          <w:color w:val="auto"/>
          <w:sz w:val="24"/>
        </w:rPr>
        <w:t>一览表</w:t>
      </w:r>
      <w:bookmarkEnd w:id="283"/>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15" w:type="dxa"/>
          <w:left w:w="15" w:type="dxa"/>
          <w:bottom w:w="15" w:type="dxa"/>
          <w:right w:w="15" w:type="dxa"/>
        </w:tblCellMar>
      </w:tblPr>
      <w:tblGrid>
        <w:gridCol w:w="538"/>
        <w:gridCol w:w="1030"/>
        <w:gridCol w:w="978"/>
        <w:gridCol w:w="1001"/>
        <w:gridCol w:w="961"/>
        <w:gridCol w:w="950"/>
        <w:gridCol w:w="1508"/>
        <w:gridCol w:w="778"/>
        <w:gridCol w:w="1022"/>
        <w:gridCol w:w="1010"/>
      </w:tblGrid>
      <w:tr w14:paraId="7D973CD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rPr>
        <w:tc>
          <w:tcPr>
            <w:tcW w:w="275" w:type="pct"/>
            <w:tcBorders>
              <w:tl2br w:val="nil"/>
              <w:tr2bl w:val="nil"/>
            </w:tcBorders>
            <w:noWrap/>
            <w:vAlign w:val="center"/>
          </w:tcPr>
          <w:p w14:paraId="4783DF96">
            <w:pPr>
              <w:widowControl/>
              <w:jc w:val="center"/>
              <w:textAlignment w:val="center"/>
              <w:rPr>
                <w:b/>
                <w:bCs/>
                <w:color w:val="auto"/>
                <w:sz w:val="21"/>
                <w:szCs w:val="21"/>
              </w:rPr>
            </w:pPr>
            <w:r>
              <w:rPr>
                <w:b/>
                <w:bCs/>
                <w:color w:val="auto"/>
                <w:kern w:val="0"/>
                <w:sz w:val="21"/>
                <w:szCs w:val="21"/>
                <w:lang w:bidi="ar"/>
              </w:rPr>
              <w:t>序号</w:t>
            </w:r>
          </w:p>
        </w:tc>
        <w:tc>
          <w:tcPr>
            <w:tcW w:w="526" w:type="pct"/>
            <w:tcBorders>
              <w:tl2br w:val="nil"/>
              <w:tr2bl w:val="nil"/>
            </w:tcBorders>
            <w:noWrap/>
            <w:vAlign w:val="center"/>
          </w:tcPr>
          <w:p w14:paraId="6A95FB21">
            <w:pPr>
              <w:widowControl/>
              <w:jc w:val="center"/>
              <w:textAlignment w:val="center"/>
              <w:rPr>
                <w:b/>
                <w:bCs/>
                <w:color w:val="auto"/>
                <w:sz w:val="21"/>
                <w:szCs w:val="21"/>
              </w:rPr>
            </w:pPr>
            <w:r>
              <w:rPr>
                <w:b/>
                <w:bCs/>
                <w:color w:val="auto"/>
                <w:kern w:val="0"/>
                <w:sz w:val="21"/>
                <w:szCs w:val="21"/>
                <w:lang w:bidi="ar"/>
              </w:rPr>
              <w:t>名称</w:t>
            </w:r>
          </w:p>
        </w:tc>
        <w:tc>
          <w:tcPr>
            <w:tcW w:w="500" w:type="pct"/>
            <w:tcBorders>
              <w:tl2br w:val="nil"/>
              <w:tr2bl w:val="nil"/>
            </w:tcBorders>
            <w:noWrap/>
            <w:vAlign w:val="center"/>
          </w:tcPr>
          <w:p w14:paraId="4F510B98">
            <w:pPr>
              <w:widowControl/>
              <w:jc w:val="center"/>
              <w:textAlignment w:val="center"/>
              <w:rPr>
                <w:rFonts w:hint="eastAsia" w:eastAsia="宋体"/>
                <w:b/>
                <w:bCs/>
                <w:color w:val="auto"/>
                <w:sz w:val="21"/>
                <w:szCs w:val="21"/>
                <w:lang w:val="en-US" w:eastAsia="zh-CN"/>
              </w:rPr>
            </w:pPr>
            <w:r>
              <w:rPr>
                <w:rFonts w:hint="eastAsia"/>
                <w:b/>
                <w:bCs/>
                <w:color w:val="auto"/>
                <w:sz w:val="21"/>
                <w:szCs w:val="21"/>
                <w:lang w:val="en-US" w:eastAsia="zh-CN"/>
              </w:rPr>
              <w:t>主要成分</w:t>
            </w:r>
          </w:p>
        </w:tc>
        <w:tc>
          <w:tcPr>
            <w:tcW w:w="511" w:type="pct"/>
            <w:tcBorders>
              <w:tl2br w:val="nil"/>
              <w:tr2bl w:val="nil"/>
            </w:tcBorders>
            <w:noWrap/>
            <w:vAlign w:val="center"/>
          </w:tcPr>
          <w:p w14:paraId="539A34E2">
            <w:pPr>
              <w:widowControl/>
              <w:jc w:val="center"/>
              <w:textAlignment w:val="center"/>
              <w:rPr>
                <w:b/>
                <w:bCs/>
                <w:color w:val="auto"/>
                <w:sz w:val="21"/>
                <w:szCs w:val="21"/>
              </w:rPr>
            </w:pPr>
            <w:r>
              <w:rPr>
                <w:rFonts w:hint="eastAsia"/>
                <w:b/>
                <w:bCs/>
                <w:color w:val="auto"/>
                <w:kern w:val="0"/>
                <w:sz w:val="21"/>
                <w:szCs w:val="21"/>
                <w:lang w:val="en-US" w:eastAsia="zh-CN" w:bidi="ar"/>
              </w:rPr>
              <w:t>环评阶段</w:t>
            </w:r>
            <w:r>
              <w:rPr>
                <w:b/>
                <w:bCs/>
                <w:color w:val="auto"/>
                <w:kern w:val="0"/>
                <w:sz w:val="21"/>
                <w:szCs w:val="21"/>
                <w:lang w:bidi="ar"/>
              </w:rPr>
              <w:t>年耗(t/a)</w:t>
            </w:r>
          </w:p>
        </w:tc>
        <w:tc>
          <w:tcPr>
            <w:tcW w:w="491" w:type="pct"/>
            <w:tcBorders>
              <w:tl2br w:val="nil"/>
              <w:tr2bl w:val="nil"/>
            </w:tcBorders>
            <w:noWrap/>
            <w:vAlign w:val="center"/>
          </w:tcPr>
          <w:p w14:paraId="2C8CF968">
            <w:pPr>
              <w:widowControl/>
              <w:jc w:val="center"/>
              <w:textAlignment w:val="center"/>
              <w:rPr>
                <w:rFonts w:hint="eastAsia"/>
                <w:b/>
                <w:bCs/>
                <w:color w:val="auto"/>
                <w:kern w:val="0"/>
                <w:sz w:val="21"/>
                <w:szCs w:val="21"/>
                <w:lang w:val="en-US" w:eastAsia="zh-CN" w:bidi="ar"/>
              </w:rPr>
            </w:pPr>
            <w:r>
              <w:rPr>
                <w:rFonts w:hint="eastAsia"/>
                <w:b/>
                <w:bCs/>
                <w:color w:val="auto"/>
                <w:kern w:val="0"/>
                <w:sz w:val="21"/>
                <w:szCs w:val="21"/>
                <w:lang w:val="en-US" w:eastAsia="zh-CN" w:bidi="ar"/>
              </w:rPr>
              <w:t>验收阶段年耗量</w:t>
            </w:r>
            <w:r>
              <w:rPr>
                <w:b/>
                <w:bCs/>
                <w:color w:val="auto"/>
                <w:kern w:val="0"/>
                <w:sz w:val="21"/>
                <w:szCs w:val="21"/>
                <w:lang w:bidi="ar"/>
              </w:rPr>
              <w:t>(t/a)</w:t>
            </w:r>
          </w:p>
        </w:tc>
        <w:tc>
          <w:tcPr>
            <w:tcW w:w="485" w:type="pct"/>
            <w:tcBorders>
              <w:tl2br w:val="nil"/>
              <w:tr2bl w:val="nil"/>
            </w:tcBorders>
            <w:noWrap/>
            <w:vAlign w:val="center"/>
          </w:tcPr>
          <w:p w14:paraId="2EC19E7C">
            <w:pPr>
              <w:widowControl/>
              <w:jc w:val="center"/>
              <w:textAlignment w:val="center"/>
              <w:rPr>
                <w:rFonts w:hint="default" w:eastAsia="宋体"/>
                <w:b/>
                <w:bCs/>
                <w:color w:val="auto"/>
                <w:kern w:val="0"/>
                <w:sz w:val="21"/>
                <w:szCs w:val="21"/>
                <w:lang w:val="en-US" w:eastAsia="zh-CN" w:bidi="ar"/>
              </w:rPr>
            </w:pPr>
            <w:r>
              <w:rPr>
                <w:rFonts w:hint="eastAsia"/>
                <w:b/>
                <w:bCs/>
                <w:color w:val="auto"/>
                <w:kern w:val="0"/>
                <w:sz w:val="21"/>
                <w:szCs w:val="21"/>
                <w:lang w:val="en-US" w:eastAsia="zh-CN" w:bidi="ar"/>
              </w:rPr>
              <w:t>后评价阶段年耗量</w:t>
            </w:r>
            <w:r>
              <w:rPr>
                <w:b/>
                <w:bCs/>
                <w:color w:val="auto"/>
                <w:kern w:val="0"/>
                <w:sz w:val="21"/>
                <w:szCs w:val="21"/>
                <w:lang w:bidi="ar"/>
              </w:rPr>
              <w:t>(t/a)</w:t>
            </w:r>
          </w:p>
        </w:tc>
        <w:tc>
          <w:tcPr>
            <w:tcW w:w="771" w:type="pct"/>
            <w:tcBorders>
              <w:tl2br w:val="nil"/>
              <w:tr2bl w:val="nil"/>
            </w:tcBorders>
            <w:noWrap/>
            <w:vAlign w:val="center"/>
          </w:tcPr>
          <w:p w14:paraId="504A6B03">
            <w:pPr>
              <w:widowControl/>
              <w:jc w:val="center"/>
              <w:textAlignment w:val="center"/>
              <w:rPr>
                <w:rFonts w:hint="default" w:eastAsia="宋体"/>
                <w:b/>
                <w:bCs/>
                <w:color w:val="auto"/>
                <w:sz w:val="21"/>
                <w:szCs w:val="21"/>
                <w:lang w:val="en-US" w:eastAsia="zh-CN"/>
              </w:rPr>
            </w:pPr>
            <w:r>
              <w:rPr>
                <w:rFonts w:hint="eastAsia"/>
                <w:b/>
                <w:bCs/>
                <w:color w:val="auto"/>
                <w:kern w:val="0"/>
                <w:sz w:val="21"/>
                <w:szCs w:val="21"/>
                <w:lang w:val="en-US" w:eastAsia="zh-CN" w:bidi="ar"/>
              </w:rPr>
              <w:t>变化情况</w:t>
            </w:r>
          </w:p>
        </w:tc>
        <w:tc>
          <w:tcPr>
            <w:tcW w:w="397" w:type="pct"/>
            <w:tcBorders>
              <w:tl2br w:val="nil"/>
              <w:tr2bl w:val="nil"/>
            </w:tcBorders>
            <w:noWrap/>
            <w:vAlign w:val="center"/>
          </w:tcPr>
          <w:p w14:paraId="1233FC08">
            <w:pPr>
              <w:widowControl/>
              <w:jc w:val="center"/>
              <w:textAlignment w:val="center"/>
              <w:rPr>
                <w:b/>
                <w:bCs/>
                <w:color w:val="auto"/>
                <w:sz w:val="21"/>
                <w:szCs w:val="21"/>
              </w:rPr>
            </w:pPr>
            <w:r>
              <w:rPr>
                <w:b/>
                <w:bCs/>
                <w:color w:val="auto"/>
                <w:kern w:val="0"/>
                <w:sz w:val="21"/>
                <w:szCs w:val="21"/>
                <w:lang w:bidi="ar"/>
              </w:rPr>
              <w:t>形态</w:t>
            </w:r>
          </w:p>
        </w:tc>
        <w:tc>
          <w:tcPr>
            <w:tcW w:w="522" w:type="pct"/>
            <w:tcBorders>
              <w:tl2br w:val="nil"/>
              <w:tr2bl w:val="nil"/>
            </w:tcBorders>
            <w:noWrap/>
            <w:vAlign w:val="center"/>
          </w:tcPr>
          <w:p w14:paraId="3F81AF84">
            <w:pPr>
              <w:widowControl/>
              <w:jc w:val="center"/>
              <w:textAlignment w:val="center"/>
              <w:rPr>
                <w:b/>
                <w:bCs/>
                <w:color w:val="auto"/>
                <w:sz w:val="21"/>
                <w:szCs w:val="21"/>
              </w:rPr>
            </w:pPr>
            <w:r>
              <w:rPr>
                <w:b/>
                <w:bCs/>
                <w:color w:val="auto"/>
                <w:kern w:val="0"/>
                <w:sz w:val="21"/>
                <w:szCs w:val="21"/>
                <w:lang w:bidi="ar"/>
              </w:rPr>
              <w:t>包装方式</w:t>
            </w:r>
          </w:p>
        </w:tc>
        <w:tc>
          <w:tcPr>
            <w:tcW w:w="516" w:type="pct"/>
            <w:tcBorders>
              <w:tl2br w:val="nil"/>
              <w:tr2bl w:val="nil"/>
            </w:tcBorders>
            <w:noWrap/>
            <w:vAlign w:val="center"/>
          </w:tcPr>
          <w:p w14:paraId="59C4DA82">
            <w:pPr>
              <w:widowControl/>
              <w:jc w:val="center"/>
              <w:textAlignment w:val="center"/>
              <w:rPr>
                <w:b/>
                <w:bCs/>
                <w:color w:val="auto"/>
                <w:sz w:val="21"/>
                <w:szCs w:val="21"/>
              </w:rPr>
            </w:pPr>
            <w:r>
              <w:rPr>
                <w:b/>
                <w:bCs/>
                <w:color w:val="auto"/>
                <w:kern w:val="0"/>
                <w:sz w:val="21"/>
                <w:szCs w:val="21"/>
                <w:lang w:bidi="ar"/>
              </w:rPr>
              <w:t>贮存位置</w:t>
            </w:r>
          </w:p>
        </w:tc>
      </w:tr>
      <w:tr w14:paraId="5E5C280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rPr>
        <w:tc>
          <w:tcPr>
            <w:tcW w:w="275" w:type="pct"/>
            <w:tcBorders>
              <w:tl2br w:val="nil"/>
              <w:tr2bl w:val="nil"/>
            </w:tcBorders>
            <w:noWrap/>
            <w:vAlign w:val="center"/>
          </w:tcPr>
          <w:p w14:paraId="62A80649">
            <w:pPr>
              <w:widowControl/>
              <w:jc w:val="center"/>
              <w:textAlignment w:val="center"/>
              <w:rPr>
                <w:color w:val="auto"/>
                <w:sz w:val="21"/>
                <w:szCs w:val="21"/>
              </w:rPr>
            </w:pPr>
            <w:r>
              <w:rPr>
                <w:color w:val="auto"/>
                <w:kern w:val="0"/>
                <w:sz w:val="21"/>
                <w:szCs w:val="21"/>
                <w:lang w:bidi="ar"/>
              </w:rPr>
              <w:t>1</w:t>
            </w:r>
          </w:p>
        </w:tc>
        <w:tc>
          <w:tcPr>
            <w:tcW w:w="526" w:type="pct"/>
            <w:tcBorders>
              <w:tl2br w:val="nil"/>
              <w:tr2bl w:val="nil"/>
            </w:tcBorders>
            <w:noWrap/>
            <w:vAlign w:val="center"/>
          </w:tcPr>
          <w:p w14:paraId="23632D97">
            <w:pPr>
              <w:widowControl/>
              <w:jc w:val="center"/>
              <w:textAlignment w:val="center"/>
              <w:rPr>
                <w:color w:val="auto"/>
                <w:sz w:val="21"/>
                <w:szCs w:val="21"/>
              </w:rPr>
            </w:pPr>
            <w:r>
              <w:rPr>
                <w:color w:val="auto"/>
              </w:rPr>
              <w:t>废铝</w:t>
            </w:r>
          </w:p>
        </w:tc>
        <w:tc>
          <w:tcPr>
            <w:tcW w:w="500" w:type="pct"/>
            <w:tcBorders>
              <w:tl2br w:val="nil"/>
              <w:tr2bl w:val="nil"/>
            </w:tcBorders>
            <w:noWrap/>
            <w:vAlign w:val="center"/>
          </w:tcPr>
          <w:p w14:paraId="14D5AA6E">
            <w:pPr>
              <w:widowControl/>
              <w:jc w:val="center"/>
              <w:textAlignment w:val="center"/>
              <w:rPr>
                <w:color w:val="auto"/>
                <w:sz w:val="21"/>
                <w:szCs w:val="21"/>
              </w:rPr>
            </w:pPr>
            <w:r>
              <w:rPr>
                <w:color w:val="auto"/>
                <w:sz w:val="21"/>
                <w:szCs w:val="21"/>
              </w:rPr>
              <w:t>铝、硅、铜、镁等金属元素</w:t>
            </w:r>
            <w:r>
              <w:rPr>
                <w:rFonts w:hint="eastAsia"/>
                <w:color w:val="auto"/>
                <w:sz w:val="21"/>
                <w:szCs w:val="21"/>
              </w:rPr>
              <w:t>，不含铬、镉、铅、砷等重金属物质</w:t>
            </w:r>
          </w:p>
        </w:tc>
        <w:tc>
          <w:tcPr>
            <w:tcW w:w="511" w:type="pct"/>
            <w:tcBorders>
              <w:tl2br w:val="nil"/>
              <w:tr2bl w:val="nil"/>
            </w:tcBorders>
            <w:noWrap/>
            <w:vAlign w:val="center"/>
          </w:tcPr>
          <w:p w14:paraId="4728F8F3">
            <w:pPr>
              <w:widowControl/>
              <w:jc w:val="center"/>
              <w:textAlignment w:val="center"/>
              <w:rPr>
                <w:rFonts w:hint="default" w:eastAsia="宋体"/>
                <w:color w:val="auto"/>
                <w:sz w:val="21"/>
                <w:szCs w:val="21"/>
                <w:lang w:val="en-US" w:eastAsia="zh-CN"/>
              </w:rPr>
            </w:pPr>
            <w:r>
              <w:rPr>
                <w:rFonts w:hint="eastAsia"/>
                <w:color w:val="auto"/>
                <w:kern w:val="0"/>
                <w:sz w:val="21"/>
                <w:szCs w:val="21"/>
                <w:lang w:val="en-US" w:eastAsia="zh-CN" w:bidi="ar"/>
              </w:rPr>
              <w:t>46643.36</w:t>
            </w:r>
          </w:p>
        </w:tc>
        <w:tc>
          <w:tcPr>
            <w:tcW w:w="491" w:type="pct"/>
            <w:tcBorders>
              <w:tl2br w:val="nil"/>
              <w:tr2bl w:val="nil"/>
            </w:tcBorders>
            <w:shd w:val="clear" w:color="auto" w:fill="auto"/>
            <w:noWrap/>
            <w:vAlign w:val="center"/>
          </w:tcPr>
          <w:p w14:paraId="67D33D1B">
            <w:pPr>
              <w:widowControl/>
              <w:jc w:val="center"/>
              <w:textAlignment w:val="center"/>
              <w:rPr>
                <w:rFonts w:ascii="Times New Roman" w:hAnsi="Times New Roman" w:eastAsia="宋体" w:cs="Times New Roman"/>
                <w:color w:val="auto"/>
                <w:kern w:val="0"/>
                <w:sz w:val="21"/>
                <w:szCs w:val="21"/>
                <w:lang w:val="en-US" w:eastAsia="zh-CN" w:bidi="ar"/>
              </w:rPr>
            </w:pPr>
            <w:r>
              <w:rPr>
                <w:rFonts w:hint="eastAsia"/>
                <w:color w:val="auto"/>
                <w:kern w:val="0"/>
                <w:sz w:val="21"/>
                <w:szCs w:val="21"/>
                <w:lang w:val="en-US" w:eastAsia="zh-CN" w:bidi="ar"/>
              </w:rPr>
              <w:t>46643.36</w:t>
            </w:r>
          </w:p>
        </w:tc>
        <w:tc>
          <w:tcPr>
            <w:tcW w:w="485" w:type="pct"/>
            <w:tcBorders>
              <w:tl2br w:val="nil"/>
              <w:tr2bl w:val="nil"/>
            </w:tcBorders>
            <w:shd w:val="clear" w:color="auto" w:fill="auto"/>
            <w:noWrap/>
            <w:vAlign w:val="center"/>
          </w:tcPr>
          <w:p w14:paraId="7309EE6E">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eastAsia"/>
                <w:color w:val="auto"/>
                <w:kern w:val="0"/>
                <w:sz w:val="21"/>
                <w:szCs w:val="21"/>
                <w:lang w:val="en-US" w:eastAsia="zh-CN" w:bidi="ar"/>
              </w:rPr>
              <w:t>46643.36</w:t>
            </w:r>
          </w:p>
        </w:tc>
        <w:tc>
          <w:tcPr>
            <w:tcW w:w="771" w:type="pct"/>
            <w:tcBorders>
              <w:tl2br w:val="nil"/>
              <w:tr2bl w:val="nil"/>
            </w:tcBorders>
            <w:noWrap/>
            <w:vAlign w:val="center"/>
          </w:tcPr>
          <w:p w14:paraId="77636AF3">
            <w:pPr>
              <w:widowControl/>
              <w:jc w:val="center"/>
              <w:textAlignment w:val="center"/>
              <w:rPr>
                <w:rFonts w:hint="default" w:eastAsia="宋体"/>
                <w:color w:val="auto"/>
                <w:sz w:val="21"/>
                <w:szCs w:val="21"/>
                <w:lang w:val="en-US" w:eastAsia="zh-CN"/>
              </w:rPr>
            </w:pPr>
            <w:r>
              <w:rPr>
                <w:rFonts w:hint="eastAsia"/>
                <w:color w:val="auto"/>
                <w:sz w:val="21"/>
                <w:szCs w:val="21"/>
                <w:lang w:val="en-US" w:eastAsia="zh-CN"/>
              </w:rPr>
              <w:t>不变</w:t>
            </w:r>
          </w:p>
        </w:tc>
        <w:tc>
          <w:tcPr>
            <w:tcW w:w="397" w:type="pct"/>
            <w:tcBorders>
              <w:tl2br w:val="nil"/>
              <w:tr2bl w:val="nil"/>
            </w:tcBorders>
            <w:noWrap/>
            <w:vAlign w:val="center"/>
          </w:tcPr>
          <w:p w14:paraId="30A28573">
            <w:pPr>
              <w:widowControl/>
              <w:jc w:val="center"/>
              <w:textAlignment w:val="center"/>
              <w:rPr>
                <w:color w:val="auto"/>
                <w:sz w:val="21"/>
                <w:szCs w:val="21"/>
              </w:rPr>
            </w:pPr>
            <w:r>
              <w:rPr>
                <w:color w:val="auto"/>
                <w:kern w:val="0"/>
                <w:sz w:val="21"/>
                <w:szCs w:val="21"/>
                <w:lang w:bidi="ar"/>
              </w:rPr>
              <w:t>固体</w:t>
            </w:r>
          </w:p>
        </w:tc>
        <w:tc>
          <w:tcPr>
            <w:tcW w:w="522" w:type="pct"/>
            <w:tcBorders>
              <w:tl2br w:val="nil"/>
              <w:tr2bl w:val="nil"/>
            </w:tcBorders>
            <w:noWrap/>
            <w:vAlign w:val="center"/>
          </w:tcPr>
          <w:p w14:paraId="3D48AE15">
            <w:pPr>
              <w:widowControl/>
              <w:jc w:val="center"/>
              <w:textAlignment w:val="center"/>
              <w:rPr>
                <w:rFonts w:hint="eastAsia" w:eastAsia="宋体"/>
                <w:color w:val="auto"/>
                <w:sz w:val="21"/>
                <w:szCs w:val="21"/>
                <w:lang w:eastAsia="zh-CN"/>
              </w:rPr>
            </w:pPr>
            <w:r>
              <w:rPr>
                <w:rFonts w:hint="eastAsia"/>
                <w:color w:val="auto"/>
                <w:kern w:val="0"/>
                <w:sz w:val="21"/>
                <w:szCs w:val="21"/>
                <w:lang w:val="en-US" w:eastAsia="zh-CN" w:bidi="ar"/>
              </w:rPr>
              <w:t>捆装</w:t>
            </w:r>
          </w:p>
        </w:tc>
        <w:tc>
          <w:tcPr>
            <w:tcW w:w="516" w:type="pct"/>
            <w:tcBorders>
              <w:tl2br w:val="nil"/>
              <w:tr2bl w:val="nil"/>
            </w:tcBorders>
            <w:noWrap/>
            <w:vAlign w:val="center"/>
          </w:tcPr>
          <w:p w14:paraId="11335FD0">
            <w:pPr>
              <w:widowControl/>
              <w:jc w:val="center"/>
              <w:textAlignment w:val="center"/>
              <w:rPr>
                <w:color w:val="auto"/>
                <w:sz w:val="21"/>
                <w:szCs w:val="21"/>
              </w:rPr>
            </w:pPr>
            <w:r>
              <w:rPr>
                <w:rFonts w:hint="eastAsia"/>
                <w:color w:val="auto"/>
                <w:kern w:val="0"/>
                <w:sz w:val="21"/>
                <w:szCs w:val="21"/>
                <w:lang w:val="en-US" w:eastAsia="zh-CN" w:bidi="ar"/>
              </w:rPr>
              <w:t>原料</w:t>
            </w:r>
            <w:r>
              <w:rPr>
                <w:color w:val="auto"/>
                <w:kern w:val="0"/>
                <w:sz w:val="21"/>
                <w:szCs w:val="21"/>
                <w:lang w:bidi="ar"/>
              </w:rPr>
              <w:t>库</w:t>
            </w:r>
          </w:p>
        </w:tc>
      </w:tr>
      <w:tr w14:paraId="22B6BE1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rPr>
        <w:tc>
          <w:tcPr>
            <w:tcW w:w="275" w:type="pct"/>
            <w:tcBorders>
              <w:tl2br w:val="nil"/>
              <w:tr2bl w:val="nil"/>
            </w:tcBorders>
            <w:noWrap/>
            <w:vAlign w:val="center"/>
          </w:tcPr>
          <w:p w14:paraId="04F1227B">
            <w:pPr>
              <w:widowControl/>
              <w:jc w:val="center"/>
              <w:textAlignment w:val="center"/>
              <w:rPr>
                <w:color w:val="auto"/>
                <w:sz w:val="21"/>
                <w:szCs w:val="21"/>
              </w:rPr>
            </w:pPr>
            <w:r>
              <w:rPr>
                <w:color w:val="auto"/>
                <w:kern w:val="0"/>
                <w:sz w:val="21"/>
                <w:szCs w:val="21"/>
                <w:lang w:bidi="ar"/>
              </w:rPr>
              <w:t>2</w:t>
            </w:r>
          </w:p>
        </w:tc>
        <w:tc>
          <w:tcPr>
            <w:tcW w:w="526" w:type="pct"/>
            <w:tcBorders>
              <w:tl2br w:val="nil"/>
              <w:tr2bl w:val="nil"/>
            </w:tcBorders>
            <w:noWrap/>
            <w:vAlign w:val="center"/>
          </w:tcPr>
          <w:p w14:paraId="11036D7E">
            <w:pPr>
              <w:widowControl/>
              <w:jc w:val="center"/>
              <w:textAlignment w:val="center"/>
              <w:rPr>
                <w:rFonts w:hint="default" w:eastAsia="宋体"/>
                <w:color w:val="auto"/>
                <w:sz w:val="21"/>
                <w:szCs w:val="21"/>
                <w:lang w:val="en-US" w:eastAsia="zh-CN"/>
              </w:rPr>
            </w:pPr>
            <w:r>
              <w:rPr>
                <w:rFonts w:hint="eastAsia"/>
                <w:color w:val="auto"/>
                <w:sz w:val="21"/>
                <w:szCs w:val="21"/>
                <w:lang w:val="en-US" w:eastAsia="zh-CN"/>
              </w:rPr>
              <w:t>电解铝锭</w:t>
            </w:r>
          </w:p>
        </w:tc>
        <w:tc>
          <w:tcPr>
            <w:tcW w:w="500" w:type="pct"/>
            <w:tcBorders>
              <w:tl2br w:val="nil"/>
              <w:tr2bl w:val="nil"/>
            </w:tcBorders>
            <w:noWrap/>
            <w:vAlign w:val="center"/>
          </w:tcPr>
          <w:p w14:paraId="5A302454">
            <w:pPr>
              <w:widowControl/>
              <w:jc w:val="center"/>
              <w:textAlignment w:val="center"/>
              <w:rPr>
                <w:color w:val="auto"/>
                <w:sz w:val="21"/>
                <w:szCs w:val="21"/>
              </w:rPr>
            </w:pPr>
            <w:r>
              <w:rPr>
                <w:color w:val="auto"/>
                <w:sz w:val="21"/>
                <w:szCs w:val="21"/>
              </w:rPr>
              <w:t>铝：99.5%</w:t>
            </w:r>
          </w:p>
        </w:tc>
        <w:tc>
          <w:tcPr>
            <w:tcW w:w="511" w:type="pct"/>
            <w:tcBorders>
              <w:tl2br w:val="nil"/>
              <w:tr2bl w:val="nil"/>
            </w:tcBorders>
            <w:noWrap/>
            <w:vAlign w:val="center"/>
          </w:tcPr>
          <w:p w14:paraId="1295F4F0">
            <w:pPr>
              <w:widowControl/>
              <w:jc w:val="center"/>
              <w:textAlignment w:val="center"/>
              <w:rPr>
                <w:rFonts w:hint="default" w:eastAsia="宋体"/>
                <w:color w:val="auto"/>
                <w:sz w:val="21"/>
                <w:szCs w:val="21"/>
                <w:lang w:val="en-US" w:eastAsia="zh-CN"/>
              </w:rPr>
            </w:pPr>
            <w:r>
              <w:rPr>
                <w:rFonts w:hint="eastAsia"/>
                <w:color w:val="auto"/>
                <w:kern w:val="0"/>
                <w:sz w:val="21"/>
                <w:szCs w:val="21"/>
                <w:lang w:val="en-US" w:eastAsia="zh-CN" w:bidi="ar"/>
              </w:rPr>
              <w:t>1748.2</w:t>
            </w:r>
          </w:p>
        </w:tc>
        <w:tc>
          <w:tcPr>
            <w:tcW w:w="491" w:type="pct"/>
            <w:tcBorders>
              <w:tl2br w:val="nil"/>
              <w:tr2bl w:val="nil"/>
            </w:tcBorders>
            <w:shd w:val="clear" w:color="auto" w:fill="auto"/>
            <w:noWrap/>
            <w:vAlign w:val="center"/>
          </w:tcPr>
          <w:p w14:paraId="233C4048">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eastAsia"/>
                <w:color w:val="auto"/>
                <w:kern w:val="0"/>
                <w:sz w:val="21"/>
                <w:szCs w:val="21"/>
                <w:lang w:val="en-US" w:eastAsia="zh-CN" w:bidi="ar"/>
              </w:rPr>
              <w:t>1748.2</w:t>
            </w:r>
          </w:p>
        </w:tc>
        <w:tc>
          <w:tcPr>
            <w:tcW w:w="485" w:type="pct"/>
            <w:tcBorders>
              <w:tl2br w:val="nil"/>
              <w:tr2bl w:val="nil"/>
            </w:tcBorders>
            <w:shd w:val="clear" w:color="auto" w:fill="auto"/>
            <w:noWrap/>
            <w:vAlign w:val="center"/>
          </w:tcPr>
          <w:p w14:paraId="725B1B83">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eastAsia"/>
                <w:color w:val="auto"/>
                <w:kern w:val="0"/>
                <w:sz w:val="21"/>
                <w:szCs w:val="21"/>
                <w:lang w:val="en-US" w:eastAsia="zh-CN" w:bidi="ar"/>
              </w:rPr>
              <w:t>1748.2</w:t>
            </w:r>
          </w:p>
        </w:tc>
        <w:tc>
          <w:tcPr>
            <w:tcW w:w="771" w:type="pct"/>
            <w:tcBorders>
              <w:tl2br w:val="nil"/>
              <w:tr2bl w:val="nil"/>
            </w:tcBorders>
            <w:noWrap/>
            <w:vAlign w:val="center"/>
          </w:tcPr>
          <w:p w14:paraId="637D7E46">
            <w:pPr>
              <w:widowControl/>
              <w:jc w:val="center"/>
              <w:textAlignment w:val="center"/>
              <w:rPr>
                <w:rFonts w:hint="default"/>
                <w:color w:val="auto"/>
                <w:sz w:val="21"/>
                <w:szCs w:val="21"/>
                <w:lang w:val="en-US"/>
              </w:rPr>
            </w:pPr>
            <w:r>
              <w:rPr>
                <w:rFonts w:hint="eastAsia"/>
                <w:color w:val="auto"/>
                <w:sz w:val="21"/>
                <w:szCs w:val="21"/>
                <w:lang w:val="en-US" w:eastAsia="zh-CN"/>
              </w:rPr>
              <w:t>不变</w:t>
            </w:r>
          </w:p>
        </w:tc>
        <w:tc>
          <w:tcPr>
            <w:tcW w:w="397" w:type="pct"/>
            <w:tcBorders>
              <w:tl2br w:val="nil"/>
              <w:tr2bl w:val="nil"/>
            </w:tcBorders>
            <w:noWrap/>
            <w:vAlign w:val="center"/>
          </w:tcPr>
          <w:p w14:paraId="74700AC8">
            <w:pPr>
              <w:widowControl/>
              <w:jc w:val="center"/>
              <w:textAlignment w:val="center"/>
              <w:rPr>
                <w:color w:val="auto"/>
                <w:sz w:val="21"/>
                <w:szCs w:val="21"/>
              </w:rPr>
            </w:pPr>
            <w:r>
              <w:rPr>
                <w:color w:val="auto"/>
                <w:kern w:val="0"/>
                <w:sz w:val="21"/>
                <w:szCs w:val="21"/>
                <w:lang w:bidi="ar"/>
              </w:rPr>
              <w:t>固体</w:t>
            </w:r>
          </w:p>
        </w:tc>
        <w:tc>
          <w:tcPr>
            <w:tcW w:w="522" w:type="pct"/>
            <w:tcBorders>
              <w:tl2br w:val="nil"/>
              <w:tr2bl w:val="nil"/>
            </w:tcBorders>
            <w:noWrap/>
            <w:vAlign w:val="center"/>
          </w:tcPr>
          <w:p w14:paraId="33BF4129">
            <w:pPr>
              <w:widowControl/>
              <w:jc w:val="center"/>
              <w:textAlignment w:val="center"/>
              <w:rPr>
                <w:color w:val="auto"/>
                <w:sz w:val="21"/>
                <w:szCs w:val="21"/>
              </w:rPr>
            </w:pPr>
            <w:r>
              <w:rPr>
                <w:rFonts w:hint="eastAsia"/>
                <w:color w:val="auto"/>
                <w:kern w:val="0"/>
                <w:sz w:val="21"/>
                <w:szCs w:val="21"/>
                <w:lang w:val="en-US" w:eastAsia="zh-CN" w:bidi="ar"/>
              </w:rPr>
              <w:t>捆装</w:t>
            </w:r>
          </w:p>
        </w:tc>
        <w:tc>
          <w:tcPr>
            <w:tcW w:w="516" w:type="pct"/>
            <w:tcBorders>
              <w:tl2br w:val="nil"/>
              <w:tr2bl w:val="nil"/>
            </w:tcBorders>
            <w:noWrap/>
            <w:vAlign w:val="center"/>
          </w:tcPr>
          <w:p w14:paraId="6C38CD02">
            <w:pPr>
              <w:widowControl/>
              <w:jc w:val="center"/>
              <w:textAlignment w:val="center"/>
              <w:rPr>
                <w:color w:val="auto"/>
                <w:sz w:val="21"/>
                <w:szCs w:val="21"/>
              </w:rPr>
            </w:pPr>
            <w:r>
              <w:rPr>
                <w:rFonts w:hint="eastAsia"/>
                <w:color w:val="auto"/>
                <w:kern w:val="0"/>
                <w:sz w:val="21"/>
                <w:szCs w:val="21"/>
                <w:lang w:val="en-US" w:eastAsia="zh-CN" w:bidi="ar"/>
              </w:rPr>
              <w:t>原料</w:t>
            </w:r>
            <w:r>
              <w:rPr>
                <w:color w:val="auto"/>
                <w:kern w:val="0"/>
                <w:sz w:val="21"/>
                <w:szCs w:val="21"/>
                <w:lang w:bidi="ar"/>
              </w:rPr>
              <w:t>库</w:t>
            </w:r>
          </w:p>
        </w:tc>
      </w:tr>
      <w:tr w14:paraId="65A618E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109" w:hRule="atLeast"/>
        </w:trPr>
        <w:tc>
          <w:tcPr>
            <w:tcW w:w="275" w:type="pct"/>
            <w:tcBorders>
              <w:tl2br w:val="nil"/>
              <w:tr2bl w:val="nil"/>
            </w:tcBorders>
            <w:noWrap/>
            <w:vAlign w:val="center"/>
          </w:tcPr>
          <w:p w14:paraId="741950F1">
            <w:pPr>
              <w:widowControl/>
              <w:jc w:val="center"/>
              <w:textAlignment w:val="center"/>
              <w:rPr>
                <w:color w:val="auto"/>
                <w:sz w:val="21"/>
                <w:szCs w:val="21"/>
              </w:rPr>
            </w:pPr>
            <w:r>
              <w:rPr>
                <w:color w:val="auto"/>
                <w:kern w:val="0"/>
                <w:sz w:val="21"/>
                <w:szCs w:val="21"/>
                <w:lang w:bidi="ar"/>
              </w:rPr>
              <w:t>3</w:t>
            </w:r>
          </w:p>
        </w:tc>
        <w:tc>
          <w:tcPr>
            <w:tcW w:w="526" w:type="pct"/>
            <w:tcBorders>
              <w:tl2br w:val="nil"/>
              <w:tr2bl w:val="nil"/>
            </w:tcBorders>
            <w:noWrap/>
            <w:vAlign w:val="center"/>
          </w:tcPr>
          <w:p w14:paraId="28F01B7A">
            <w:pPr>
              <w:widowControl/>
              <w:jc w:val="center"/>
              <w:textAlignment w:val="center"/>
              <w:rPr>
                <w:rFonts w:hint="default" w:eastAsia="宋体"/>
                <w:color w:val="auto"/>
                <w:sz w:val="21"/>
                <w:szCs w:val="21"/>
                <w:lang w:val="en-US" w:eastAsia="zh-CN"/>
              </w:rPr>
            </w:pPr>
            <w:r>
              <w:rPr>
                <w:rFonts w:hint="eastAsia"/>
                <w:color w:val="auto"/>
                <w:sz w:val="21"/>
                <w:szCs w:val="21"/>
                <w:lang w:val="en-US" w:eastAsia="zh-CN"/>
              </w:rPr>
              <w:t>金属硅</w:t>
            </w:r>
          </w:p>
        </w:tc>
        <w:tc>
          <w:tcPr>
            <w:tcW w:w="978" w:type="dxa"/>
            <w:tcBorders>
              <w:tl2br w:val="nil"/>
              <w:tr2bl w:val="nil"/>
            </w:tcBorders>
            <w:noWrap/>
            <w:vAlign w:val="center"/>
          </w:tcPr>
          <w:p w14:paraId="42845C80">
            <w:pPr>
              <w:spacing w:before="31" w:beforeLines="10" w:line="264" w:lineRule="auto"/>
              <w:jc w:val="center"/>
              <w:rPr>
                <w:color w:val="auto"/>
                <w:sz w:val="21"/>
                <w:szCs w:val="21"/>
              </w:rPr>
            </w:pPr>
            <w:r>
              <w:rPr>
                <w:color w:val="auto"/>
              </w:rPr>
              <w:t>纯度为99.5%</w:t>
            </w:r>
          </w:p>
        </w:tc>
        <w:tc>
          <w:tcPr>
            <w:tcW w:w="1001" w:type="dxa"/>
            <w:tcBorders>
              <w:tl2br w:val="nil"/>
              <w:tr2bl w:val="nil"/>
            </w:tcBorders>
            <w:noWrap/>
            <w:vAlign w:val="center"/>
          </w:tcPr>
          <w:p w14:paraId="78A8F4D2">
            <w:pPr>
              <w:spacing w:before="31" w:beforeLines="10" w:line="264" w:lineRule="auto"/>
              <w:jc w:val="center"/>
              <w:rPr>
                <w:color w:val="auto"/>
                <w:sz w:val="21"/>
                <w:szCs w:val="21"/>
              </w:rPr>
            </w:pPr>
            <w:r>
              <w:rPr>
                <w:rFonts w:hint="eastAsia"/>
                <w:color w:val="auto"/>
              </w:rPr>
              <w:t>2858.3</w:t>
            </w:r>
          </w:p>
        </w:tc>
        <w:tc>
          <w:tcPr>
            <w:tcW w:w="961" w:type="dxa"/>
            <w:tcBorders>
              <w:tl2br w:val="nil"/>
              <w:tr2bl w:val="nil"/>
            </w:tcBorders>
            <w:shd w:val="clear" w:color="auto" w:fill="auto"/>
            <w:noWrap/>
            <w:vAlign w:val="center"/>
          </w:tcPr>
          <w:p w14:paraId="5C818665">
            <w:pPr>
              <w:spacing w:before="31" w:beforeLines="10" w:line="264" w:lineRule="auto"/>
              <w:jc w:val="center"/>
              <w:rPr>
                <w:rFonts w:hint="eastAsia" w:ascii="Times New Roman" w:hAnsi="Times New Roman" w:eastAsia="宋体" w:cs="Times New Roman"/>
                <w:color w:val="auto"/>
                <w:kern w:val="0"/>
                <w:sz w:val="21"/>
                <w:szCs w:val="21"/>
                <w:lang w:val="en-US" w:eastAsia="zh-CN" w:bidi="ar"/>
              </w:rPr>
            </w:pPr>
            <w:r>
              <w:rPr>
                <w:rFonts w:hint="eastAsia"/>
                <w:color w:val="auto"/>
              </w:rPr>
              <w:t>2858.3</w:t>
            </w:r>
          </w:p>
        </w:tc>
        <w:tc>
          <w:tcPr>
            <w:tcW w:w="950" w:type="dxa"/>
            <w:tcBorders>
              <w:tl2br w:val="nil"/>
              <w:tr2bl w:val="nil"/>
            </w:tcBorders>
            <w:noWrap/>
            <w:vAlign w:val="center"/>
          </w:tcPr>
          <w:p w14:paraId="68617AB0">
            <w:pPr>
              <w:spacing w:before="31" w:beforeLines="10" w:line="264" w:lineRule="auto"/>
              <w:jc w:val="center"/>
              <w:rPr>
                <w:rFonts w:hint="default" w:eastAsia="宋体"/>
                <w:color w:val="auto"/>
                <w:kern w:val="0"/>
                <w:sz w:val="21"/>
                <w:szCs w:val="21"/>
                <w:lang w:val="en-US" w:eastAsia="zh-CN" w:bidi="ar"/>
              </w:rPr>
            </w:pPr>
            <w:r>
              <w:rPr>
                <w:rFonts w:hint="eastAsia"/>
                <w:color w:val="auto"/>
              </w:rPr>
              <w:t>2858.3</w:t>
            </w:r>
          </w:p>
        </w:tc>
        <w:tc>
          <w:tcPr>
            <w:tcW w:w="771" w:type="pct"/>
            <w:tcBorders>
              <w:bottom w:val="single" w:color="auto" w:sz="4" w:space="0"/>
              <w:tl2br w:val="nil"/>
              <w:tr2bl w:val="nil"/>
            </w:tcBorders>
            <w:noWrap/>
            <w:vAlign w:val="center"/>
          </w:tcPr>
          <w:p w14:paraId="03A73EF9">
            <w:pPr>
              <w:widowControl/>
              <w:jc w:val="center"/>
              <w:textAlignment w:val="center"/>
              <w:rPr>
                <w:rFonts w:hint="eastAsia" w:eastAsia="宋体"/>
                <w:color w:val="auto"/>
                <w:sz w:val="21"/>
                <w:szCs w:val="21"/>
                <w:lang w:val="en-US" w:eastAsia="zh-CN"/>
              </w:rPr>
            </w:pPr>
            <w:r>
              <w:rPr>
                <w:rFonts w:hint="eastAsia"/>
                <w:color w:val="auto"/>
                <w:sz w:val="21"/>
                <w:szCs w:val="21"/>
                <w:lang w:val="en-US" w:eastAsia="zh-CN"/>
              </w:rPr>
              <w:t>不变</w:t>
            </w:r>
          </w:p>
        </w:tc>
        <w:tc>
          <w:tcPr>
            <w:tcW w:w="397" w:type="pct"/>
            <w:tcBorders>
              <w:tl2br w:val="nil"/>
              <w:tr2bl w:val="nil"/>
            </w:tcBorders>
            <w:noWrap/>
            <w:vAlign w:val="center"/>
          </w:tcPr>
          <w:p w14:paraId="3A7C2E2C">
            <w:pPr>
              <w:widowControl/>
              <w:jc w:val="center"/>
              <w:textAlignment w:val="center"/>
              <w:rPr>
                <w:color w:val="auto"/>
                <w:sz w:val="21"/>
                <w:szCs w:val="21"/>
              </w:rPr>
            </w:pPr>
            <w:r>
              <w:rPr>
                <w:color w:val="auto"/>
                <w:kern w:val="0"/>
                <w:sz w:val="21"/>
                <w:szCs w:val="21"/>
                <w:lang w:bidi="ar"/>
              </w:rPr>
              <w:t>固体</w:t>
            </w:r>
          </w:p>
        </w:tc>
        <w:tc>
          <w:tcPr>
            <w:tcW w:w="522" w:type="pct"/>
            <w:tcBorders>
              <w:tl2br w:val="nil"/>
              <w:tr2bl w:val="nil"/>
            </w:tcBorders>
            <w:noWrap/>
            <w:vAlign w:val="center"/>
          </w:tcPr>
          <w:p w14:paraId="392CE384">
            <w:pPr>
              <w:widowControl/>
              <w:jc w:val="center"/>
              <w:textAlignment w:val="center"/>
              <w:rPr>
                <w:color w:val="auto"/>
                <w:sz w:val="21"/>
                <w:szCs w:val="21"/>
              </w:rPr>
            </w:pPr>
            <w:r>
              <w:rPr>
                <w:rFonts w:hint="eastAsia"/>
                <w:color w:val="auto"/>
                <w:kern w:val="0"/>
                <w:sz w:val="21"/>
                <w:szCs w:val="21"/>
                <w:lang w:val="en-US" w:eastAsia="zh-CN" w:bidi="ar"/>
              </w:rPr>
              <w:t>捆装</w:t>
            </w:r>
          </w:p>
        </w:tc>
        <w:tc>
          <w:tcPr>
            <w:tcW w:w="516" w:type="pct"/>
            <w:tcBorders>
              <w:tl2br w:val="nil"/>
              <w:tr2bl w:val="nil"/>
            </w:tcBorders>
            <w:noWrap/>
            <w:vAlign w:val="center"/>
          </w:tcPr>
          <w:p w14:paraId="43EC73A5">
            <w:pPr>
              <w:widowControl/>
              <w:jc w:val="center"/>
              <w:textAlignment w:val="center"/>
              <w:rPr>
                <w:color w:val="auto"/>
                <w:sz w:val="21"/>
                <w:szCs w:val="21"/>
              </w:rPr>
            </w:pPr>
            <w:r>
              <w:rPr>
                <w:rFonts w:hint="eastAsia"/>
                <w:color w:val="auto"/>
                <w:kern w:val="0"/>
                <w:sz w:val="21"/>
                <w:szCs w:val="21"/>
                <w:lang w:val="en-US" w:eastAsia="zh-CN" w:bidi="ar"/>
              </w:rPr>
              <w:t>原料</w:t>
            </w:r>
            <w:r>
              <w:rPr>
                <w:color w:val="auto"/>
                <w:kern w:val="0"/>
                <w:sz w:val="21"/>
                <w:szCs w:val="21"/>
                <w:lang w:bidi="ar"/>
              </w:rPr>
              <w:t>库</w:t>
            </w:r>
          </w:p>
        </w:tc>
      </w:tr>
      <w:tr w14:paraId="647B3C8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rPr>
        <w:tc>
          <w:tcPr>
            <w:tcW w:w="275" w:type="pct"/>
            <w:tcBorders>
              <w:tl2br w:val="nil"/>
              <w:tr2bl w:val="nil"/>
            </w:tcBorders>
            <w:noWrap/>
            <w:vAlign w:val="center"/>
          </w:tcPr>
          <w:p w14:paraId="52EA80DB">
            <w:pPr>
              <w:widowControl/>
              <w:jc w:val="center"/>
              <w:textAlignment w:val="center"/>
              <w:rPr>
                <w:rFonts w:hint="eastAsia" w:eastAsia="宋体"/>
                <w:color w:val="auto"/>
                <w:kern w:val="0"/>
                <w:sz w:val="21"/>
                <w:szCs w:val="21"/>
                <w:lang w:val="en-US" w:eastAsia="zh-CN" w:bidi="ar"/>
              </w:rPr>
            </w:pPr>
            <w:r>
              <w:rPr>
                <w:rFonts w:hint="eastAsia"/>
                <w:color w:val="auto"/>
                <w:kern w:val="0"/>
                <w:sz w:val="21"/>
                <w:szCs w:val="21"/>
                <w:lang w:val="en-US" w:eastAsia="zh-CN" w:bidi="ar"/>
              </w:rPr>
              <w:t>4</w:t>
            </w:r>
          </w:p>
        </w:tc>
        <w:tc>
          <w:tcPr>
            <w:tcW w:w="526" w:type="pct"/>
            <w:tcBorders>
              <w:tl2br w:val="nil"/>
              <w:tr2bl w:val="nil"/>
            </w:tcBorders>
            <w:noWrap/>
            <w:vAlign w:val="center"/>
          </w:tcPr>
          <w:p w14:paraId="2923AEEB">
            <w:pPr>
              <w:widowControl/>
              <w:jc w:val="center"/>
              <w:textAlignment w:val="center"/>
              <w:rPr>
                <w:rFonts w:hint="default" w:eastAsia="宋体"/>
                <w:color w:val="auto"/>
                <w:kern w:val="0"/>
                <w:sz w:val="21"/>
                <w:szCs w:val="21"/>
                <w:lang w:val="en-US" w:eastAsia="zh-CN" w:bidi="ar"/>
              </w:rPr>
            </w:pPr>
            <w:r>
              <w:rPr>
                <w:rFonts w:hint="eastAsia"/>
                <w:color w:val="auto"/>
                <w:kern w:val="0"/>
                <w:sz w:val="21"/>
                <w:szCs w:val="21"/>
                <w:lang w:val="en-US" w:eastAsia="zh-CN" w:bidi="ar"/>
              </w:rPr>
              <w:t>金属铜</w:t>
            </w:r>
          </w:p>
        </w:tc>
        <w:tc>
          <w:tcPr>
            <w:tcW w:w="978" w:type="dxa"/>
            <w:tcBorders>
              <w:tl2br w:val="nil"/>
              <w:tr2bl w:val="nil"/>
            </w:tcBorders>
            <w:noWrap/>
            <w:vAlign w:val="center"/>
          </w:tcPr>
          <w:p w14:paraId="0EE7D161">
            <w:pPr>
              <w:spacing w:before="31" w:beforeLines="10" w:line="264" w:lineRule="auto"/>
              <w:jc w:val="center"/>
              <w:rPr>
                <w:rFonts w:hint="eastAsia" w:eastAsia="宋体"/>
                <w:color w:val="auto"/>
                <w:kern w:val="0"/>
                <w:sz w:val="21"/>
                <w:szCs w:val="21"/>
                <w:lang w:val="en-US" w:eastAsia="zh-CN" w:bidi="ar"/>
              </w:rPr>
            </w:pPr>
            <w:r>
              <w:rPr>
                <w:color w:val="auto"/>
              </w:rPr>
              <w:t>纯度为99.5%</w:t>
            </w:r>
          </w:p>
        </w:tc>
        <w:tc>
          <w:tcPr>
            <w:tcW w:w="1001" w:type="dxa"/>
            <w:tcBorders>
              <w:tl2br w:val="nil"/>
              <w:tr2bl w:val="nil"/>
            </w:tcBorders>
            <w:noWrap/>
            <w:vAlign w:val="center"/>
          </w:tcPr>
          <w:p w14:paraId="08D2EEA5">
            <w:pPr>
              <w:spacing w:before="31" w:beforeLines="10" w:line="264" w:lineRule="auto"/>
              <w:jc w:val="center"/>
              <w:rPr>
                <w:rFonts w:hint="eastAsia" w:eastAsia="宋体"/>
                <w:color w:val="auto"/>
                <w:kern w:val="0"/>
                <w:sz w:val="21"/>
                <w:szCs w:val="21"/>
                <w:lang w:val="en-US" w:eastAsia="zh-CN" w:bidi="ar"/>
              </w:rPr>
            </w:pPr>
            <w:r>
              <w:rPr>
                <w:rFonts w:hint="eastAsia"/>
                <w:color w:val="auto"/>
              </w:rPr>
              <w:t>2843.2</w:t>
            </w:r>
          </w:p>
        </w:tc>
        <w:tc>
          <w:tcPr>
            <w:tcW w:w="961" w:type="dxa"/>
            <w:tcBorders>
              <w:tl2br w:val="nil"/>
              <w:tr2bl w:val="nil"/>
            </w:tcBorders>
            <w:shd w:val="clear" w:color="auto" w:fill="auto"/>
            <w:noWrap/>
            <w:vAlign w:val="center"/>
          </w:tcPr>
          <w:p w14:paraId="2B120B65">
            <w:pPr>
              <w:spacing w:before="31" w:beforeLines="10" w:line="264" w:lineRule="auto"/>
              <w:jc w:val="center"/>
              <w:rPr>
                <w:rFonts w:hint="eastAsia" w:ascii="Times New Roman" w:hAnsi="Times New Roman" w:eastAsia="宋体" w:cs="Times New Roman"/>
                <w:color w:val="auto"/>
                <w:kern w:val="0"/>
                <w:sz w:val="21"/>
                <w:szCs w:val="21"/>
                <w:lang w:val="en-US" w:eastAsia="zh-CN" w:bidi="ar"/>
              </w:rPr>
            </w:pPr>
            <w:r>
              <w:rPr>
                <w:rFonts w:hint="eastAsia"/>
                <w:color w:val="auto"/>
              </w:rPr>
              <w:t>2843.2</w:t>
            </w:r>
          </w:p>
        </w:tc>
        <w:tc>
          <w:tcPr>
            <w:tcW w:w="950" w:type="dxa"/>
            <w:tcBorders>
              <w:tl2br w:val="nil"/>
              <w:tr2bl w:val="nil"/>
            </w:tcBorders>
            <w:noWrap/>
            <w:vAlign w:val="center"/>
          </w:tcPr>
          <w:p w14:paraId="145EA64D">
            <w:pPr>
              <w:spacing w:before="31" w:beforeLines="10" w:line="264" w:lineRule="auto"/>
              <w:jc w:val="center"/>
              <w:rPr>
                <w:rFonts w:hint="default"/>
                <w:color w:val="auto"/>
                <w:kern w:val="0"/>
                <w:sz w:val="21"/>
                <w:szCs w:val="21"/>
                <w:lang w:val="en-US" w:eastAsia="zh-CN" w:bidi="ar"/>
              </w:rPr>
            </w:pPr>
            <w:r>
              <w:rPr>
                <w:rFonts w:hint="eastAsia"/>
                <w:color w:val="auto"/>
              </w:rPr>
              <w:t>2843.2</w:t>
            </w:r>
          </w:p>
        </w:tc>
        <w:tc>
          <w:tcPr>
            <w:tcW w:w="771" w:type="pct"/>
            <w:tcBorders>
              <w:top w:val="single" w:color="auto" w:sz="4" w:space="0"/>
              <w:bottom w:val="single" w:color="auto" w:sz="4" w:space="0"/>
              <w:tl2br w:val="nil"/>
              <w:tr2bl w:val="nil"/>
            </w:tcBorders>
            <w:noWrap/>
            <w:vAlign w:val="center"/>
          </w:tcPr>
          <w:p w14:paraId="37E7BA4C">
            <w:pPr>
              <w:widowControl/>
              <w:jc w:val="center"/>
              <w:textAlignment w:val="center"/>
              <w:rPr>
                <w:rFonts w:hint="eastAsia"/>
                <w:color w:val="auto"/>
                <w:sz w:val="21"/>
                <w:szCs w:val="21"/>
                <w:lang w:val="en-US" w:eastAsia="zh-CN"/>
              </w:rPr>
            </w:pPr>
            <w:r>
              <w:rPr>
                <w:rFonts w:hint="eastAsia"/>
                <w:color w:val="auto"/>
                <w:sz w:val="21"/>
                <w:szCs w:val="21"/>
                <w:lang w:val="en-US" w:eastAsia="zh-CN"/>
              </w:rPr>
              <w:t>不变</w:t>
            </w:r>
          </w:p>
        </w:tc>
        <w:tc>
          <w:tcPr>
            <w:tcW w:w="397" w:type="pct"/>
            <w:tcBorders>
              <w:tl2br w:val="nil"/>
              <w:tr2bl w:val="nil"/>
            </w:tcBorders>
            <w:noWrap/>
            <w:vAlign w:val="center"/>
          </w:tcPr>
          <w:p w14:paraId="3E7689D6">
            <w:pPr>
              <w:widowControl/>
              <w:jc w:val="center"/>
              <w:textAlignment w:val="center"/>
              <w:rPr>
                <w:color w:val="auto"/>
                <w:kern w:val="0"/>
                <w:sz w:val="21"/>
                <w:szCs w:val="21"/>
                <w:lang w:bidi="ar"/>
              </w:rPr>
            </w:pPr>
            <w:r>
              <w:rPr>
                <w:color w:val="auto"/>
                <w:kern w:val="0"/>
                <w:sz w:val="21"/>
                <w:szCs w:val="21"/>
                <w:lang w:bidi="ar"/>
              </w:rPr>
              <w:t>固体</w:t>
            </w:r>
          </w:p>
        </w:tc>
        <w:tc>
          <w:tcPr>
            <w:tcW w:w="522" w:type="pct"/>
            <w:tcBorders>
              <w:tl2br w:val="nil"/>
              <w:tr2bl w:val="nil"/>
            </w:tcBorders>
            <w:noWrap/>
            <w:vAlign w:val="center"/>
          </w:tcPr>
          <w:p w14:paraId="7FEF5BA7">
            <w:pPr>
              <w:widowControl/>
              <w:jc w:val="center"/>
              <w:textAlignment w:val="center"/>
              <w:rPr>
                <w:color w:val="auto"/>
                <w:kern w:val="0"/>
                <w:sz w:val="21"/>
                <w:szCs w:val="21"/>
                <w:lang w:bidi="ar"/>
              </w:rPr>
            </w:pPr>
            <w:r>
              <w:rPr>
                <w:rFonts w:hint="eastAsia"/>
                <w:color w:val="auto"/>
                <w:kern w:val="0"/>
                <w:sz w:val="21"/>
                <w:szCs w:val="21"/>
                <w:lang w:val="en-US" w:eastAsia="zh-CN" w:bidi="ar"/>
              </w:rPr>
              <w:t>捆装</w:t>
            </w:r>
          </w:p>
        </w:tc>
        <w:tc>
          <w:tcPr>
            <w:tcW w:w="516" w:type="pct"/>
            <w:tcBorders>
              <w:tl2br w:val="nil"/>
              <w:tr2bl w:val="nil"/>
            </w:tcBorders>
            <w:noWrap/>
            <w:vAlign w:val="center"/>
          </w:tcPr>
          <w:p w14:paraId="4864F0DC">
            <w:pPr>
              <w:widowControl/>
              <w:jc w:val="center"/>
              <w:textAlignment w:val="center"/>
              <w:rPr>
                <w:color w:val="auto"/>
                <w:kern w:val="0"/>
                <w:sz w:val="21"/>
                <w:szCs w:val="21"/>
                <w:lang w:bidi="ar"/>
              </w:rPr>
            </w:pPr>
            <w:r>
              <w:rPr>
                <w:rFonts w:hint="eastAsia"/>
                <w:color w:val="auto"/>
                <w:kern w:val="0"/>
                <w:sz w:val="21"/>
                <w:szCs w:val="21"/>
                <w:lang w:val="en-US" w:eastAsia="zh-CN" w:bidi="ar"/>
              </w:rPr>
              <w:t>原料</w:t>
            </w:r>
            <w:r>
              <w:rPr>
                <w:color w:val="auto"/>
                <w:kern w:val="0"/>
                <w:sz w:val="21"/>
                <w:szCs w:val="21"/>
                <w:lang w:bidi="ar"/>
              </w:rPr>
              <w:t>库</w:t>
            </w:r>
          </w:p>
        </w:tc>
      </w:tr>
      <w:tr w14:paraId="0960F01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rPr>
        <w:tc>
          <w:tcPr>
            <w:tcW w:w="275" w:type="pct"/>
            <w:tcBorders>
              <w:tl2br w:val="nil"/>
              <w:tr2bl w:val="nil"/>
            </w:tcBorders>
            <w:noWrap/>
            <w:vAlign w:val="center"/>
          </w:tcPr>
          <w:p w14:paraId="229B3513">
            <w:pPr>
              <w:widowControl/>
              <w:jc w:val="center"/>
              <w:textAlignment w:val="center"/>
              <w:rPr>
                <w:rFonts w:hint="eastAsia" w:eastAsia="宋体"/>
                <w:color w:val="auto"/>
                <w:sz w:val="21"/>
                <w:szCs w:val="21"/>
                <w:lang w:eastAsia="zh-CN"/>
              </w:rPr>
            </w:pPr>
            <w:r>
              <w:rPr>
                <w:rFonts w:hint="eastAsia"/>
                <w:color w:val="auto"/>
                <w:kern w:val="0"/>
                <w:sz w:val="21"/>
                <w:szCs w:val="21"/>
                <w:lang w:val="en-US" w:eastAsia="zh-CN" w:bidi="ar"/>
              </w:rPr>
              <w:t>5</w:t>
            </w:r>
          </w:p>
        </w:tc>
        <w:tc>
          <w:tcPr>
            <w:tcW w:w="526" w:type="pct"/>
            <w:tcBorders>
              <w:tl2br w:val="nil"/>
              <w:tr2bl w:val="nil"/>
            </w:tcBorders>
            <w:noWrap/>
            <w:vAlign w:val="center"/>
          </w:tcPr>
          <w:p w14:paraId="5FDBE013">
            <w:pPr>
              <w:widowControl/>
              <w:jc w:val="center"/>
              <w:textAlignment w:val="center"/>
              <w:rPr>
                <w:rFonts w:hint="default" w:eastAsia="宋体"/>
                <w:color w:val="auto"/>
                <w:sz w:val="21"/>
                <w:szCs w:val="21"/>
                <w:lang w:val="en-US" w:eastAsia="zh-CN"/>
              </w:rPr>
            </w:pPr>
            <w:r>
              <w:rPr>
                <w:rFonts w:hint="eastAsia"/>
                <w:color w:val="auto"/>
                <w:sz w:val="21"/>
                <w:szCs w:val="21"/>
                <w:lang w:val="en-US" w:eastAsia="zh-CN"/>
              </w:rPr>
              <w:t>粉状精炼剂</w:t>
            </w:r>
          </w:p>
        </w:tc>
        <w:tc>
          <w:tcPr>
            <w:tcW w:w="500" w:type="pct"/>
            <w:tcBorders>
              <w:tl2br w:val="nil"/>
              <w:tr2bl w:val="nil"/>
            </w:tcBorders>
            <w:noWrap/>
            <w:vAlign w:val="center"/>
          </w:tcPr>
          <w:p w14:paraId="1C68BED7">
            <w:pPr>
              <w:jc w:val="center"/>
              <w:rPr>
                <w:rFonts w:hint="eastAsia"/>
                <w:color w:val="auto"/>
                <w:sz w:val="21"/>
                <w:szCs w:val="21"/>
              </w:rPr>
            </w:pPr>
            <w:r>
              <w:rPr>
                <w:rFonts w:hint="eastAsia"/>
                <w:color w:val="auto"/>
                <w:sz w:val="21"/>
                <w:szCs w:val="21"/>
              </w:rPr>
              <w:t>NaCl（纯度99%）45%</w:t>
            </w:r>
          </w:p>
          <w:p w14:paraId="0E9E427A">
            <w:pPr>
              <w:jc w:val="center"/>
              <w:rPr>
                <w:rFonts w:hint="eastAsia"/>
                <w:color w:val="auto"/>
                <w:sz w:val="21"/>
                <w:szCs w:val="21"/>
              </w:rPr>
            </w:pPr>
            <w:r>
              <w:rPr>
                <w:rFonts w:hint="eastAsia"/>
                <w:color w:val="auto"/>
                <w:sz w:val="21"/>
                <w:szCs w:val="21"/>
              </w:rPr>
              <w:t>KCl（纯度99%）40%</w:t>
            </w:r>
          </w:p>
          <w:p w14:paraId="35BBAC38">
            <w:pPr>
              <w:jc w:val="center"/>
              <w:rPr>
                <w:color w:val="auto"/>
                <w:sz w:val="21"/>
                <w:szCs w:val="21"/>
              </w:rPr>
            </w:pPr>
            <w:r>
              <w:rPr>
                <w:rFonts w:hint="eastAsia"/>
                <w:color w:val="auto"/>
                <w:sz w:val="21"/>
                <w:szCs w:val="21"/>
              </w:rPr>
              <w:t>MgCl2（纯度99%）15%</w:t>
            </w:r>
          </w:p>
        </w:tc>
        <w:tc>
          <w:tcPr>
            <w:tcW w:w="511" w:type="pct"/>
            <w:tcBorders>
              <w:tl2br w:val="nil"/>
              <w:tr2bl w:val="nil"/>
            </w:tcBorders>
            <w:noWrap/>
            <w:vAlign w:val="center"/>
          </w:tcPr>
          <w:p w14:paraId="1266C472">
            <w:pPr>
              <w:widowControl/>
              <w:jc w:val="center"/>
              <w:textAlignment w:val="center"/>
              <w:rPr>
                <w:rFonts w:hint="default" w:eastAsia="宋体"/>
                <w:color w:val="auto"/>
                <w:sz w:val="21"/>
                <w:szCs w:val="21"/>
                <w:lang w:val="en-US" w:eastAsia="zh-CN"/>
              </w:rPr>
            </w:pPr>
            <w:r>
              <w:rPr>
                <w:rFonts w:hint="eastAsia"/>
                <w:color w:val="auto"/>
                <w:kern w:val="0"/>
                <w:sz w:val="21"/>
                <w:szCs w:val="21"/>
                <w:lang w:val="en-US" w:eastAsia="zh-CN" w:bidi="ar"/>
              </w:rPr>
              <w:t>48.7</w:t>
            </w:r>
          </w:p>
        </w:tc>
        <w:tc>
          <w:tcPr>
            <w:tcW w:w="491" w:type="pct"/>
            <w:tcBorders>
              <w:tl2br w:val="nil"/>
              <w:tr2bl w:val="nil"/>
            </w:tcBorders>
            <w:shd w:val="clear" w:color="auto" w:fill="auto"/>
            <w:noWrap/>
            <w:vAlign w:val="center"/>
          </w:tcPr>
          <w:p w14:paraId="6173E303">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eastAsia"/>
                <w:color w:val="auto"/>
                <w:kern w:val="0"/>
                <w:sz w:val="21"/>
                <w:szCs w:val="21"/>
                <w:lang w:val="en-US" w:eastAsia="zh-CN" w:bidi="ar"/>
              </w:rPr>
              <w:t>48.7</w:t>
            </w:r>
          </w:p>
        </w:tc>
        <w:tc>
          <w:tcPr>
            <w:tcW w:w="485" w:type="pct"/>
            <w:tcBorders>
              <w:tl2br w:val="nil"/>
              <w:tr2bl w:val="nil"/>
            </w:tcBorders>
            <w:noWrap/>
            <w:vAlign w:val="center"/>
          </w:tcPr>
          <w:p w14:paraId="54FAA20D">
            <w:pPr>
              <w:widowControl/>
              <w:jc w:val="center"/>
              <w:textAlignment w:val="center"/>
              <w:rPr>
                <w:rFonts w:hint="default" w:eastAsia="宋体"/>
                <w:color w:val="auto"/>
                <w:kern w:val="0"/>
                <w:sz w:val="21"/>
                <w:szCs w:val="21"/>
                <w:lang w:val="en-US" w:eastAsia="zh-CN" w:bidi="ar"/>
              </w:rPr>
            </w:pPr>
            <w:r>
              <w:rPr>
                <w:rFonts w:hint="eastAsia"/>
                <w:color w:val="auto"/>
                <w:kern w:val="0"/>
                <w:sz w:val="21"/>
                <w:szCs w:val="21"/>
                <w:lang w:val="en-US" w:eastAsia="zh-CN" w:bidi="ar"/>
              </w:rPr>
              <w:t>48.7</w:t>
            </w:r>
          </w:p>
        </w:tc>
        <w:tc>
          <w:tcPr>
            <w:tcW w:w="771" w:type="pct"/>
            <w:tcBorders>
              <w:top w:val="single" w:color="auto" w:sz="4" w:space="0"/>
              <w:tl2br w:val="nil"/>
              <w:tr2bl w:val="nil"/>
            </w:tcBorders>
            <w:noWrap/>
            <w:vAlign w:val="center"/>
          </w:tcPr>
          <w:p w14:paraId="34BA7722">
            <w:pPr>
              <w:widowControl/>
              <w:jc w:val="center"/>
              <w:textAlignment w:val="center"/>
              <w:rPr>
                <w:color w:val="auto"/>
                <w:sz w:val="21"/>
                <w:szCs w:val="21"/>
              </w:rPr>
            </w:pPr>
            <w:r>
              <w:rPr>
                <w:rFonts w:hint="eastAsia"/>
                <w:color w:val="auto"/>
                <w:sz w:val="21"/>
                <w:szCs w:val="21"/>
                <w:lang w:val="en-US" w:eastAsia="zh-CN"/>
              </w:rPr>
              <w:t>不变</w:t>
            </w:r>
          </w:p>
        </w:tc>
        <w:tc>
          <w:tcPr>
            <w:tcW w:w="397" w:type="pct"/>
            <w:tcBorders>
              <w:tl2br w:val="nil"/>
              <w:tr2bl w:val="nil"/>
            </w:tcBorders>
            <w:noWrap/>
            <w:vAlign w:val="center"/>
          </w:tcPr>
          <w:p w14:paraId="6441F86C">
            <w:pPr>
              <w:widowControl/>
              <w:jc w:val="center"/>
              <w:textAlignment w:val="center"/>
              <w:rPr>
                <w:rFonts w:hint="eastAsia" w:eastAsia="宋体"/>
                <w:color w:val="auto"/>
                <w:sz w:val="21"/>
                <w:szCs w:val="21"/>
                <w:lang w:eastAsia="zh-CN"/>
              </w:rPr>
            </w:pPr>
            <w:r>
              <w:rPr>
                <w:rFonts w:hint="eastAsia"/>
                <w:color w:val="auto"/>
                <w:kern w:val="0"/>
                <w:sz w:val="21"/>
                <w:szCs w:val="21"/>
                <w:lang w:val="en-US" w:eastAsia="zh-CN" w:bidi="ar"/>
              </w:rPr>
              <w:t>粉状</w:t>
            </w:r>
          </w:p>
        </w:tc>
        <w:tc>
          <w:tcPr>
            <w:tcW w:w="522" w:type="pct"/>
            <w:tcBorders>
              <w:tl2br w:val="nil"/>
              <w:tr2bl w:val="nil"/>
            </w:tcBorders>
            <w:noWrap/>
            <w:vAlign w:val="center"/>
          </w:tcPr>
          <w:p w14:paraId="36B03848">
            <w:pPr>
              <w:widowControl/>
              <w:jc w:val="center"/>
              <w:textAlignment w:val="center"/>
              <w:rPr>
                <w:color w:val="auto"/>
                <w:sz w:val="21"/>
                <w:szCs w:val="21"/>
              </w:rPr>
            </w:pPr>
            <w:r>
              <w:rPr>
                <w:color w:val="auto"/>
                <w:kern w:val="0"/>
                <w:sz w:val="21"/>
                <w:szCs w:val="21"/>
                <w:lang w:bidi="ar"/>
              </w:rPr>
              <w:t>袋装</w:t>
            </w:r>
          </w:p>
        </w:tc>
        <w:tc>
          <w:tcPr>
            <w:tcW w:w="516" w:type="pct"/>
            <w:tcBorders>
              <w:tl2br w:val="nil"/>
              <w:tr2bl w:val="nil"/>
            </w:tcBorders>
            <w:noWrap/>
            <w:vAlign w:val="center"/>
          </w:tcPr>
          <w:p w14:paraId="3ADDACAA">
            <w:pPr>
              <w:widowControl/>
              <w:jc w:val="center"/>
              <w:textAlignment w:val="center"/>
              <w:rPr>
                <w:color w:val="auto"/>
                <w:sz w:val="21"/>
                <w:szCs w:val="21"/>
              </w:rPr>
            </w:pPr>
            <w:r>
              <w:rPr>
                <w:rFonts w:hint="eastAsia"/>
                <w:color w:val="auto"/>
                <w:kern w:val="0"/>
                <w:sz w:val="21"/>
                <w:szCs w:val="21"/>
                <w:lang w:val="en-US" w:eastAsia="zh-CN" w:bidi="ar"/>
              </w:rPr>
              <w:t>原料</w:t>
            </w:r>
            <w:r>
              <w:rPr>
                <w:color w:val="auto"/>
                <w:kern w:val="0"/>
                <w:sz w:val="21"/>
                <w:szCs w:val="21"/>
                <w:lang w:bidi="ar"/>
              </w:rPr>
              <w:t>库</w:t>
            </w:r>
          </w:p>
        </w:tc>
      </w:tr>
      <w:tr w14:paraId="14AF70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rPr>
        <w:tc>
          <w:tcPr>
            <w:tcW w:w="275" w:type="pct"/>
            <w:tcBorders>
              <w:tl2br w:val="nil"/>
              <w:tr2bl w:val="nil"/>
            </w:tcBorders>
            <w:noWrap/>
            <w:vAlign w:val="center"/>
          </w:tcPr>
          <w:p w14:paraId="085AB4AC">
            <w:pPr>
              <w:widowControl/>
              <w:jc w:val="center"/>
              <w:textAlignment w:val="center"/>
              <w:rPr>
                <w:rFonts w:hint="default"/>
                <w:color w:val="auto"/>
                <w:kern w:val="0"/>
                <w:sz w:val="21"/>
                <w:szCs w:val="21"/>
                <w:lang w:val="en-US" w:eastAsia="zh-CN" w:bidi="ar"/>
              </w:rPr>
            </w:pPr>
            <w:r>
              <w:rPr>
                <w:rFonts w:hint="eastAsia"/>
                <w:color w:val="auto"/>
                <w:kern w:val="0"/>
                <w:sz w:val="21"/>
                <w:szCs w:val="21"/>
                <w:lang w:val="en-US" w:eastAsia="zh-CN" w:bidi="ar"/>
              </w:rPr>
              <w:t>6</w:t>
            </w:r>
          </w:p>
        </w:tc>
        <w:tc>
          <w:tcPr>
            <w:tcW w:w="526" w:type="pct"/>
            <w:tcBorders>
              <w:tl2br w:val="nil"/>
              <w:tr2bl w:val="nil"/>
            </w:tcBorders>
            <w:shd w:val="clear" w:color="auto" w:fill="auto"/>
            <w:noWrap/>
            <w:vAlign w:val="center"/>
          </w:tcPr>
          <w:p w14:paraId="465CE211">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变质剂</w:t>
            </w:r>
          </w:p>
        </w:tc>
        <w:tc>
          <w:tcPr>
            <w:tcW w:w="500" w:type="pct"/>
            <w:tcBorders>
              <w:tl2br w:val="nil"/>
              <w:tr2bl w:val="nil"/>
            </w:tcBorders>
            <w:noWrap/>
            <w:vAlign w:val="center"/>
          </w:tcPr>
          <w:p w14:paraId="18C5F3B3">
            <w:pPr>
              <w:jc w:val="center"/>
              <w:rPr>
                <w:color w:val="auto"/>
                <w:sz w:val="21"/>
                <w:szCs w:val="21"/>
              </w:rPr>
            </w:pPr>
            <w:r>
              <w:rPr>
                <w:color w:val="auto"/>
                <w:sz w:val="21"/>
                <w:szCs w:val="21"/>
              </w:rPr>
              <w:t>主要成分：</w:t>
            </w:r>
            <w:r>
              <w:rPr>
                <w:rFonts w:hint="eastAsia"/>
                <w:color w:val="auto"/>
                <w:sz w:val="21"/>
                <w:szCs w:val="21"/>
              </w:rPr>
              <w:t>Ti</w:t>
            </w:r>
            <w:r>
              <w:rPr>
                <w:rFonts w:hint="eastAsia"/>
                <w:color w:val="auto"/>
                <w:sz w:val="21"/>
                <w:szCs w:val="21"/>
                <w:lang w:eastAsia="zh-CN"/>
              </w:rPr>
              <w:t>：</w:t>
            </w:r>
            <w:r>
              <w:rPr>
                <w:rFonts w:hint="eastAsia"/>
                <w:color w:val="auto"/>
                <w:sz w:val="21"/>
                <w:szCs w:val="21"/>
              </w:rPr>
              <w:t>68.2</w:t>
            </w:r>
            <w:r>
              <w:rPr>
                <w:color w:val="auto"/>
                <w:sz w:val="21"/>
                <w:szCs w:val="21"/>
              </w:rPr>
              <w:t>%，</w:t>
            </w:r>
            <w:r>
              <w:rPr>
                <w:rFonts w:hint="eastAsia"/>
                <w:color w:val="auto"/>
                <w:sz w:val="21"/>
                <w:szCs w:val="21"/>
              </w:rPr>
              <w:t>B</w:t>
            </w:r>
            <w:r>
              <w:rPr>
                <w:rFonts w:hint="eastAsia"/>
                <w:color w:val="auto"/>
                <w:sz w:val="21"/>
                <w:szCs w:val="21"/>
                <w:lang w:eastAsia="zh-CN"/>
              </w:rPr>
              <w:t>：</w:t>
            </w:r>
            <w:r>
              <w:rPr>
                <w:rFonts w:hint="eastAsia"/>
                <w:color w:val="auto"/>
                <w:sz w:val="21"/>
                <w:szCs w:val="21"/>
              </w:rPr>
              <w:t>3</w:t>
            </w:r>
            <w:r>
              <w:rPr>
                <w:color w:val="auto"/>
                <w:sz w:val="21"/>
                <w:szCs w:val="21"/>
              </w:rPr>
              <w:t>0.</w:t>
            </w:r>
            <w:r>
              <w:rPr>
                <w:rFonts w:hint="eastAsia"/>
                <w:color w:val="auto"/>
                <w:sz w:val="21"/>
                <w:szCs w:val="21"/>
              </w:rPr>
              <w:t>8</w:t>
            </w:r>
            <w:r>
              <w:rPr>
                <w:color w:val="auto"/>
                <w:sz w:val="21"/>
                <w:szCs w:val="21"/>
              </w:rPr>
              <w:t>%</w:t>
            </w:r>
          </w:p>
        </w:tc>
        <w:tc>
          <w:tcPr>
            <w:tcW w:w="511" w:type="pct"/>
            <w:tcBorders>
              <w:tl2br w:val="nil"/>
              <w:tr2bl w:val="nil"/>
            </w:tcBorders>
            <w:noWrap/>
            <w:vAlign w:val="center"/>
          </w:tcPr>
          <w:p w14:paraId="7DD1E6B3">
            <w:pPr>
              <w:widowControl/>
              <w:jc w:val="center"/>
              <w:textAlignment w:val="center"/>
              <w:rPr>
                <w:rFonts w:hint="default" w:eastAsia="宋体"/>
                <w:color w:val="auto"/>
                <w:kern w:val="0"/>
                <w:sz w:val="21"/>
                <w:szCs w:val="21"/>
                <w:lang w:val="en-US" w:eastAsia="zh-CN" w:bidi="ar"/>
              </w:rPr>
            </w:pPr>
            <w:r>
              <w:rPr>
                <w:rFonts w:hint="eastAsia"/>
                <w:color w:val="auto"/>
                <w:kern w:val="0"/>
                <w:sz w:val="21"/>
                <w:szCs w:val="21"/>
                <w:lang w:val="en-US" w:eastAsia="zh-CN" w:bidi="ar"/>
              </w:rPr>
              <w:t>24.3</w:t>
            </w:r>
          </w:p>
        </w:tc>
        <w:tc>
          <w:tcPr>
            <w:tcW w:w="491" w:type="pct"/>
            <w:tcBorders>
              <w:tl2br w:val="nil"/>
              <w:tr2bl w:val="nil"/>
            </w:tcBorders>
            <w:shd w:val="clear" w:color="auto" w:fill="auto"/>
            <w:noWrap/>
            <w:vAlign w:val="center"/>
          </w:tcPr>
          <w:p w14:paraId="1CE30698">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eastAsia"/>
                <w:color w:val="auto"/>
                <w:kern w:val="0"/>
                <w:sz w:val="21"/>
                <w:szCs w:val="21"/>
                <w:lang w:val="en-US" w:eastAsia="zh-CN" w:bidi="ar"/>
              </w:rPr>
              <w:t>24.3</w:t>
            </w:r>
          </w:p>
        </w:tc>
        <w:tc>
          <w:tcPr>
            <w:tcW w:w="485" w:type="pct"/>
            <w:tcBorders>
              <w:bottom w:val="single" w:color="auto" w:sz="4" w:space="0"/>
              <w:tl2br w:val="nil"/>
              <w:tr2bl w:val="nil"/>
            </w:tcBorders>
            <w:noWrap/>
            <w:vAlign w:val="center"/>
          </w:tcPr>
          <w:p w14:paraId="0B19DE38">
            <w:pPr>
              <w:widowControl/>
              <w:jc w:val="center"/>
              <w:textAlignment w:val="center"/>
              <w:rPr>
                <w:rFonts w:hint="default"/>
                <w:color w:val="auto"/>
                <w:kern w:val="0"/>
                <w:sz w:val="21"/>
                <w:szCs w:val="21"/>
                <w:lang w:val="en-US" w:eastAsia="zh-CN" w:bidi="ar"/>
              </w:rPr>
            </w:pPr>
            <w:r>
              <w:rPr>
                <w:rFonts w:hint="eastAsia"/>
                <w:color w:val="auto"/>
                <w:kern w:val="0"/>
                <w:sz w:val="21"/>
                <w:szCs w:val="21"/>
                <w:lang w:val="en-US" w:eastAsia="zh-CN" w:bidi="ar"/>
              </w:rPr>
              <w:t>24.3</w:t>
            </w:r>
          </w:p>
        </w:tc>
        <w:tc>
          <w:tcPr>
            <w:tcW w:w="771" w:type="pct"/>
            <w:tcBorders>
              <w:bottom w:val="single" w:color="auto" w:sz="4" w:space="0"/>
              <w:tl2br w:val="nil"/>
              <w:tr2bl w:val="nil"/>
            </w:tcBorders>
            <w:noWrap/>
            <w:vAlign w:val="center"/>
          </w:tcPr>
          <w:p w14:paraId="29276304">
            <w:pPr>
              <w:widowControl/>
              <w:jc w:val="center"/>
              <w:textAlignment w:val="center"/>
              <w:rPr>
                <w:rFonts w:hint="default"/>
                <w:color w:val="auto"/>
                <w:sz w:val="21"/>
                <w:szCs w:val="21"/>
                <w:lang w:val="en-US" w:eastAsia="zh-CN"/>
              </w:rPr>
            </w:pPr>
            <w:r>
              <w:rPr>
                <w:rFonts w:hint="eastAsia"/>
                <w:color w:val="auto"/>
                <w:sz w:val="21"/>
                <w:szCs w:val="21"/>
                <w:lang w:val="en-US" w:eastAsia="zh-CN"/>
              </w:rPr>
              <w:t>不变</w:t>
            </w:r>
          </w:p>
        </w:tc>
        <w:tc>
          <w:tcPr>
            <w:tcW w:w="397" w:type="pct"/>
            <w:tcBorders>
              <w:tl2br w:val="nil"/>
              <w:tr2bl w:val="nil"/>
            </w:tcBorders>
            <w:shd w:val="clear" w:color="auto" w:fill="auto"/>
            <w:noWrap/>
            <w:vAlign w:val="center"/>
          </w:tcPr>
          <w:p w14:paraId="17AB40EB">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kern w:val="0"/>
                <w:sz w:val="21"/>
                <w:szCs w:val="21"/>
                <w:lang w:val="en-US" w:eastAsia="zh-CN" w:bidi="ar"/>
              </w:rPr>
              <w:t>粉状</w:t>
            </w:r>
          </w:p>
        </w:tc>
        <w:tc>
          <w:tcPr>
            <w:tcW w:w="522" w:type="pct"/>
            <w:tcBorders>
              <w:tl2br w:val="nil"/>
              <w:tr2bl w:val="nil"/>
            </w:tcBorders>
            <w:shd w:val="clear" w:color="auto" w:fill="auto"/>
            <w:noWrap/>
            <w:vAlign w:val="center"/>
          </w:tcPr>
          <w:p w14:paraId="2C7EF4BB">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olor w:val="auto"/>
                <w:kern w:val="0"/>
                <w:sz w:val="21"/>
                <w:szCs w:val="21"/>
                <w:lang w:val="en-US" w:eastAsia="zh-CN" w:bidi="ar"/>
              </w:rPr>
              <w:t>袋装</w:t>
            </w:r>
          </w:p>
        </w:tc>
        <w:tc>
          <w:tcPr>
            <w:tcW w:w="516" w:type="pct"/>
            <w:tcBorders>
              <w:tl2br w:val="nil"/>
              <w:tr2bl w:val="nil"/>
            </w:tcBorders>
            <w:noWrap/>
            <w:vAlign w:val="center"/>
          </w:tcPr>
          <w:p w14:paraId="63E26EE0">
            <w:pPr>
              <w:widowControl/>
              <w:jc w:val="center"/>
              <w:textAlignment w:val="center"/>
              <w:rPr>
                <w:rFonts w:hint="eastAsia" w:eastAsia="宋体"/>
                <w:color w:val="auto"/>
                <w:kern w:val="0"/>
                <w:sz w:val="21"/>
                <w:szCs w:val="21"/>
                <w:lang w:eastAsia="zh-CN" w:bidi="ar"/>
              </w:rPr>
            </w:pPr>
            <w:r>
              <w:rPr>
                <w:rFonts w:hint="eastAsia"/>
                <w:color w:val="auto"/>
                <w:kern w:val="0"/>
                <w:sz w:val="21"/>
                <w:szCs w:val="21"/>
                <w:lang w:val="en-US" w:eastAsia="zh-CN" w:bidi="ar"/>
              </w:rPr>
              <w:t>原料库</w:t>
            </w:r>
          </w:p>
        </w:tc>
      </w:tr>
      <w:tr w14:paraId="4469619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rPr>
        <w:tc>
          <w:tcPr>
            <w:tcW w:w="275" w:type="pct"/>
            <w:tcBorders>
              <w:tl2br w:val="nil"/>
              <w:tr2bl w:val="nil"/>
            </w:tcBorders>
            <w:noWrap/>
            <w:vAlign w:val="center"/>
          </w:tcPr>
          <w:p w14:paraId="46E3AF2F">
            <w:pPr>
              <w:widowControl/>
              <w:jc w:val="center"/>
              <w:textAlignment w:val="center"/>
              <w:rPr>
                <w:rFonts w:hint="default"/>
                <w:color w:val="auto"/>
                <w:kern w:val="0"/>
                <w:sz w:val="21"/>
                <w:szCs w:val="21"/>
                <w:lang w:val="en-US" w:eastAsia="zh-CN" w:bidi="ar"/>
              </w:rPr>
            </w:pPr>
            <w:r>
              <w:rPr>
                <w:rFonts w:hint="eastAsia"/>
                <w:color w:val="auto"/>
                <w:kern w:val="0"/>
                <w:sz w:val="21"/>
                <w:szCs w:val="21"/>
                <w:lang w:val="en-US" w:eastAsia="zh-CN" w:bidi="ar"/>
              </w:rPr>
              <w:t>7</w:t>
            </w:r>
          </w:p>
        </w:tc>
        <w:tc>
          <w:tcPr>
            <w:tcW w:w="526" w:type="pct"/>
            <w:tcBorders>
              <w:tl2br w:val="nil"/>
              <w:tr2bl w:val="nil"/>
            </w:tcBorders>
            <w:shd w:val="clear" w:color="auto" w:fill="auto"/>
            <w:noWrap/>
            <w:vAlign w:val="center"/>
          </w:tcPr>
          <w:p w14:paraId="445B1132">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氮气</w:t>
            </w:r>
          </w:p>
        </w:tc>
        <w:tc>
          <w:tcPr>
            <w:tcW w:w="500" w:type="pct"/>
            <w:tcBorders>
              <w:tl2br w:val="nil"/>
              <w:tr2bl w:val="nil"/>
            </w:tcBorders>
            <w:noWrap/>
            <w:vAlign w:val="center"/>
          </w:tcPr>
          <w:p w14:paraId="7556460E">
            <w:pPr>
              <w:jc w:val="center"/>
              <w:rPr>
                <w:color w:val="auto"/>
                <w:sz w:val="21"/>
                <w:szCs w:val="21"/>
              </w:rPr>
            </w:pPr>
            <w:r>
              <w:rPr>
                <w:color w:val="auto"/>
              </w:rPr>
              <w:t>纯度为99.5%</w:t>
            </w:r>
          </w:p>
        </w:tc>
        <w:tc>
          <w:tcPr>
            <w:tcW w:w="511" w:type="pct"/>
            <w:tcBorders>
              <w:tl2br w:val="nil"/>
              <w:tr2bl w:val="nil"/>
            </w:tcBorders>
            <w:noWrap/>
            <w:vAlign w:val="center"/>
          </w:tcPr>
          <w:p w14:paraId="4498F0C2">
            <w:pPr>
              <w:widowControl/>
              <w:jc w:val="center"/>
              <w:textAlignment w:val="center"/>
              <w:rPr>
                <w:rFonts w:hint="default" w:eastAsia="宋体"/>
                <w:color w:val="auto"/>
                <w:kern w:val="0"/>
                <w:sz w:val="21"/>
                <w:szCs w:val="21"/>
                <w:lang w:val="en-US" w:eastAsia="zh-CN" w:bidi="ar"/>
              </w:rPr>
            </w:pPr>
            <w:r>
              <w:rPr>
                <w:rFonts w:hint="eastAsia"/>
                <w:color w:val="auto"/>
                <w:kern w:val="0"/>
                <w:sz w:val="21"/>
                <w:szCs w:val="21"/>
                <w:lang w:val="en-US" w:eastAsia="zh-CN" w:bidi="ar"/>
              </w:rPr>
              <w:t>158</w:t>
            </w:r>
          </w:p>
        </w:tc>
        <w:tc>
          <w:tcPr>
            <w:tcW w:w="491" w:type="pct"/>
            <w:tcBorders>
              <w:tl2br w:val="nil"/>
              <w:tr2bl w:val="nil"/>
            </w:tcBorders>
            <w:shd w:val="clear" w:color="auto" w:fill="auto"/>
            <w:noWrap/>
            <w:vAlign w:val="center"/>
          </w:tcPr>
          <w:p w14:paraId="2A0A83C6">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158</w:t>
            </w:r>
          </w:p>
        </w:tc>
        <w:tc>
          <w:tcPr>
            <w:tcW w:w="485" w:type="pct"/>
            <w:tcBorders>
              <w:top w:val="single" w:color="auto" w:sz="4" w:space="0"/>
              <w:tl2br w:val="nil"/>
              <w:tr2bl w:val="nil"/>
            </w:tcBorders>
            <w:noWrap/>
            <w:vAlign w:val="center"/>
          </w:tcPr>
          <w:p w14:paraId="7113FED2">
            <w:pPr>
              <w:widowControl/>
              <w:jc w:val="center"/>
              <w:textAlignment w:val="center"/>
              <w:rPr>
                <w:rFonts w:hint="default"/>
                <w:color w:val="auto"/>
                <w:kern w:val="0"/>
                <w:sz w:val="21"/>
                <w:szCs w:val="21"/>
                <w:lang w:val="en-US" w:eastAsia="zh-CN" w:bidi="ar"/>
              </w:rPr>
            </w:pPr>
            <w:r>
              <w:rPr>
                <w:rFonts w:hint="eastAsia"/>
                <w:color w:val="auto"/>
                <w:kern w:val="0"/>
                <w:sz w:val="21"/>
                <w:szCs w:val="21"/>
                <w:lang w:val="en-US" w:eastAsia="zh-CN" w:bidi="ar"/>
              </w:rPr>
              <w:t>158</w:t>
            </w:r>
          </w:p>
        </w:tc>
        <w:tc>
          <w:tcPr>
            <w:tcW w:w="771" w:type="pct"/>
            <w:tcBorders>
              <w:top w:val="single" w:color="auto" w:sz="4" w:space="0"/>
              <w:tl2br w:val="nil"/>
              <w:tr2bl w:val="nil"/>
            </w:tcBorders>
            <w:noWrap/>
            <w:vAlign w:val="center"/>
          </w:tcPr>
          <w:p w14:paraId="67187F9C">
            <w:pPr>
              <w:widowControl/>
              <w:jc w:val="center"/>
              <w:textAlignment w:val="center"/>
              <w:rPr>
                <w:rFonts w:hint="default"/>
                <w:color w:val="auto"/>
                <w:sz w:val="21"/>
                <w:szCs w:val="21"/>
                <w:lang w:val="en-US" w:eastAsia="zh-CN"/>
              </w:rPr>
            </w:pPr>
            <w:r>
              <w:rPr>
                <w:rFonts w:hint="eastAsia"/>
                <w:color w:val="auto"/>
                <w:sz w:val="21"/>
                <w:szCs w:val="21"/>
                <w:lang w:val="en-US" w:eastAsia="zh-CN"/>
              </w:rPr>
              <w:t>不变</w:t>
            </w:r>
          </w:p>
        </w:tc>
        <w:tc>
          <w:tcPr>
            <w:tcW w:w="397" w:type="pct"/>
            <w:tcBorders>
              <w:tl2br w:val="nil"/>
              <w:tr2bl w:val="nil"/>
            </w:tcBorders>
            <w:shd w:val="clear" w:color="auto" w:fill="auto"/>
            <w:noWrap/>
            <w:vAlign w:val="center"/>
          </w:tcPr>
          <w:p w14:paraId="2E656BA2">
            <w:pPr>
              <w:widowControl/>
              <w:jc w:val="center"/>
              <w:textAlignment w:val="center"/>
              <w:rPr>
                <w:rFonts w:ascii="Times New Roman" w:hAnsi="Times New Roman" w:eastAsia="宋体" w:cs="Times New Roman"/>
                <w:color w:val="auto"/>
                <w:kern w:val="0"/>
                <w:sz w:val="21"/>
                <w:szCs w:val="21"/>
                <w:lang w:val="en-US" w:eastAsia="zh-CN" w:bidi="ar"/>
              </w:rPr>
            </w:pPr>
            <w:r>
              <w:rPr>
                <w:rFonts w:hint="eastAsia"/>
                <w:color w:val="auto"/>
                <w:kern w:val="0"/>
                <w:sz w:val="21"/>
                <w:szCs w:val="21"/>
                <w:lang w:val="en-US" w:eastAsia="zh-CN" w:bidi="ar"/>
              </w:rPr>
              <w:t>气</w:t>
            </w:r>
            <w:r>
              <w:rPr>
                <w:color w:val="auto"/>
                <w:kern w:val="0"/>
                <w:sz w:val="21"/>
                <w:szCs w:val="21"/>
                <w:lang w:bidi="ar"/>
              </w:rPr>
              <w:t>体</w:t>
            </w:r>
          </w:p>
        </w:tc>
        <w:tc>
          <w:tcPr>
            <w:tcW w:w="522" w:type="pct"/>
            <w:tcBorders>
              <w:tl2br w:val="nil"/>
              <w:tr2bl w:val="nil"/>
            </w:tcBorders>
            <w:shd w:val="clear" w:color="auto" w:fill="auto"/>
            <w:noWrap/>
            <w:vAlign w:val="center"/>
          </w:tcPr>
          <w:p w14:paraId="3892149F">
            <w:pPr>
              <w:widowControl/>
              <w:jc w:val="center"/>
              <w:textAlignment w:val="center"/>
              <w:rPr>
                <w:rFonts w:hint="eastAsia" w:ascii="Times New Roman" w:hAnsi="Times New Roman" w:eastAsia="宋体" w:cs="Times New Roman"/>
                <w:color w:val="auto"/>
                <w:kern w:val="0"/>
                <w:sz w:val="21"/>
                <w:szCs w:val="21"/>
                <w:lang w:val="en-US" w:eastAsia="zh-CN" w:bidi="ar"/>
              </w:rPr>
            </w:pPr>
            <w:r>
              <w:rPr>
                <w:rFonts w:hint="eastAsia"/>
                <w:color w:val="auto"/>
                <w:kern w:val="0"/>
                <w:sz w:val="21"/>
                <w:szCs w:val="21"/>
                <w:lang w:val="en-US" w:eastAsia="zh-CN" w:bidi="ar"/>
              </w:rPr>
              <w:t>/</w:t>
            </w:r>
          </w:p>
        </w:tc>
        <w:tc>
          <w:tcPr>
            <w:tcW w:w="516" w:type="pct"/>
            <w:tcBorders>
              <w:tl2br w:val="nil"/>
              <w:tr2bl w:val="nil"/>
            </w:tcBorders>
            <w:noWrap/>
            <w:vAlign w:val="center"/>
          </w:tcPr>
          <w:p w14:paraId="4778CF6E">
            <w:pPr>
              <w:widowControl/>
              <w:jc w:val="center"/>
              <w:textAlignment w:val="center"/>
              <w:rPr>
                <w:rFonts w:hint="default" w:eastAsia="宋体"/>
                <w:color w:val="auto"/>
                <w:kern w:val="0"/>
                <w:sz w:val="21"/>
                <w:szCs w:val="21"/>
                <w:lang w:val="en-US" w:eastAsia="zh-CN" w:bidi="ar"/>
              </w:rPr>
            </w:pPr>
            <w:r>
              <w:rPr>
                <w:rFonts w:hint="eastAsia"/>
                <w:color w:val="auto"/>
                <w:kern w:val="0"/>
                <w:sz w:val="21"/>
                <w:szCs w:val="21"/>
                <w:lang w:val="en-US" w:eastAsia="zh-CN" w:bidi="ar"/>
              </w:rPr>
              <w:t>/</w:t>
            </w:r>
          </w:p>
        </w:tc>
      </w:tr>
    </w:tbl>
    <w:p w14:paraId="7929C148">
      <w:pPr>
        <w:spacing w:line="360" w:lineRule="auto"/>
        <w:ind w:firstLine="484" w:firstLineChars="202"/>
        <w:rPr>
          <w:rFonts w:hint="eastAsia" w:ascii="宋体" w:hAnsi="宋体" w:cs="宋体"/>
          <w:color w:val="auto"/>
          <w:sz w:val="24"/>
        </w:rPr>
      </w:pPr>
    </w:p>
    <w:p w14:paraId="60668A3E">
      <w:pPr>
        <w:spacing w:line="360" w:lineRule="auto"/>
        <w:ind w:firstLine="484" w:firstLineChars="202"/>
        <w:rPr>
          <w:color w:val="auto"/>
          <w:sz w:val="24"/>
        </w:rPr>
      </w:pPr>
      <w:r>
        <w:rPr>
          <w:rFonts w:hint="eastAsia" w:ascii="宋体" w:hAnsi="宋体" w:cs="宋体"/>
          <w:color w:val="auto"/>
          <w:sz w:val="24"/>
        </w:rPr>
        <w:t>①</w:t>
      </w:r>
      <w:r>
        <w:rPr>
          <w:color w:val="auto"/>
          <w:sz w:val="24"/>
        </w:rPr>
        <w:t>电解铝锭：铝是一种银白色金属，在地壳中含量排第三位。铝的密度小，仅为铁的34.61%、铜的30.33%，日常工业原料称铝锭，用氧化铝-冰晶石，通过电解法生产，含Al 99.5%以上。</w:t>
      </w:r>
    </w:p>
    <w:p w14:paraId="72324CAD">
      <w:pPr>
        <w:spacing w:line="360" w:lineRule="auto"/>
        <w:ind w:firstLine="484" w:firstLineChars="202"/>
        <w:rPr>
          <w:color w:val="auto"/>
          <w:sz w:val="24"/>
        </w:rPr>
      </w:pPr>
      <w:r>
        <w:rPr>
          <w:rFonts w:hint="eastAsia"/>
          <w:color w:val="auto"/>
          <w:sz w:val="24"/>
        </w:rPr>
        <w:t>②金属</w:t>
      </w:r>
      <w:r>
        <w:rPr>
          <w:color w:val="auto"/>
          <w:sz w:val="24"/>
        </w:rPr>
        <w:t>铜：铜呈紫红色光泽金属，密度8.92g/cm3，熔点1083.4±0.2</w:t>
      </w:r>
      <w:r>
        <w:rPr>
          <w:rFonts w:hint="eastAsia" w:ascii="宋体" w:hAnsi="宋体" w:cs="宋体"/>
          <w:color w:val="auto"/>
          <w:sz w:val="24"/>
        </w:rPr>
        <w:t>℃</w:t>
      </w:r>
      <w:r>
        <w:rPr>
          <w:color w:val="auto"/>
          <w:sz w:val="24"/>
        </w:rPr>
        <w:t>，沸点2567</w:t>
      </w:r>
      <w:r>
        <w:rPr>
          <w:rFonts w:hint="eastAsia" w:ascii="宋体" w:hAnsi="宋体" w:cs="宋体"/>
          <w:color w:val="auto"/>
          <w:sz w:val="24"/>
        </w:rPr>
        <w:t>℃</w:t>
      </w:r>
      <w:r>
        <w:rPr>
          <w:color w:val="auto"/>
          <w:sz w:val="24"/>
        </w:rPr>
        <w:t>，稍硬、极坚韧、耐磨损。有很好延展性，导热和导电性能较好。</w:t>
      </w:r>
    </w:p>
    <w:p w14:paraId="583A6BB0">
      <w:pPr>
        <w:spacing w:line="360" w:lineRule="auto"/>
        <w:ind w:firstLine="484" w:firstLineChars="202"/>
        <w:rPr>
          <w:color w:val="auto"/>
          <w:sz w:val="24"/>
        </w:rPr>
      </w:pPr>
      <w:r>
        <w:rPr>
          <w:rFonts w:hint="eastAsia"/>
          <w:color w:val="auto"/>
          <w:sz w:val="24"/>
        </w:rPr>
        <w:t>③金属</w:t>
      </w:r>
      <w:r>
        <w:rPr>
          <w:color w:val="auto"/>
          <w:sz w:val="24"/>
        </w:rPr>
        <w:t>硅：非金属元素，晶体硅为钢灰色，无定形硅为黑色，密度2.4g/cm</w:t>
      </w:r>
      <w:r>
        <w:rPr>
          <w:color w:val="auto"/>
          <w:sz w:val="24"/>
          <w:vertAlign w:val="superscript"/>
        </w:rPr>
        <w:t>3</w:t>
      </w:r>
      <w:r>
        <w:rPr>
          <w:color w:val="auto"/>
          <w:sz w:val="24"/>
        </w:rPr>
        <w:t>，熔点1420</w:t>
      </w:r>
      <w:r>
        <w:rPr>
          <w:rFonts w:hint="eastAsia" w:ascii="宋体" w:hAnsi="宋体" w:cs="宋体"/>
          <w:color w:val="auto"/>
          <w:sz w:val="24"/>
        </w:rPr>
        <w:t>℃</w:t>
      </w:r>
      <w:r>
        <w:rPr>
          <w:color w:val="auto"/>
          <w:sz w:val="24"/>
        </w:rPr>
        <w:t>，沸点2355</w:t>
      </w:r>
      <w:r>
        <w:rPr>
          <w:rFonts w:hint="eastAsia" w:ascii="宋体" w:hAnsi="宋体" w:cs="宋体"/>
          <w:color w:val="auto"/>
          <w:sz w:val="24"/>
        </w:rPr>
        <w:t>℃</w:t>
      </w:r>
      <w:r>
        <w:rPr>
          <w:color w:val="auto"/>
          <w:sz w:val="24"/>
        </w:rPr>
        <w:t>，晶体硅属原子晶体，硬而有光泽，有半导体性质。</w:t>
      </w:r>
    </w:p>
    <w:p w14:paraId="7D94F238">
      <w:pPr>
        <w:spacing w:line="360" w:lineRule="auto"/>
        <w:ind w:firstLine="484" w:firstLineChars="202"/>
        <w:rPr>
          <w:color w:val="auto"/>
          <w:sz w:val="24"/>
        </w:rPr>
      </w:pPr>
      <w:r>
        <w:rPr>
          <w:rFonts w:hint="eastAsia" w:ascii="宋体" w:hAnsi="宋体"/>
          <w:color w:val="auto"/>
          <w:sz w:val="24"/>
        </w:rPr>
        <w:t>④</w:t>
      </w:r>
      <w:r>
        <w:rPr>
          <w:color w:val="auto"/>
          <w:sz w:val="24"/>
        </w:rPr>
        <w:t>精炼剂：主要成分为</w:t>
      </w:r>
      <w:r>
        <w:rPr>
          <w:rFonts w:hint="eastAsia"/>
          <w:color w:val="auto"/>
          <w:sz w:val="24"/>
        </w:rPr>
        <w:t>NaCl、KCl和MgCl</w:t>
      </w:r>
      <w:r>
        <w:rPr>
          <w:rFonts w:hint="eastAsia"/>
          <w:color w:val="auto"/>
          <w:sz w:val="24"/>
          <w:vertAlign w:val="subscript"/>
        </w:rPr>
        <w:t>2</w:t>
      </w:r>
      <w:r>
        <w:rPr>
          <w:rFonts w:hint="eastAsia"/>
          <w:color w:val="auto"/>
          <w:sz w:val="24"/>
        </w:rPr>
        <w:t>等氯盐类</w:t>
      </w:r>
      <w:r>
        <w:rPr>
          <w:color w:val="auto"/>
          <w:sz w:val="24"/>
        </w:rPr>
        <w:t>，不含氟化物。</w:t>
      </w:r>
    </w:p>
    <w:p w14:paraId="31192A55">
      <w:pPr>
        <w:spacing w:line="360" w:lineRule="auto"/>
        <w:ind w:firstLine="484" w:firstLineChars="202"/>
        <w:rPr>
          <w:color w:val="auto"/>
          <w:sz w:val="24"/>
        </w:rPr>
      </w:pPr>
      <w:r>
        <w:rPr>
          <w:rFonts w:hint="eastAsia" w:ascii="宋体" w:hAnsi="宋体"/>
          <w:color w:val="auto"/>
          <w:sz w:val="24"/>
        </w:rPr>
        <w:t>⑤</w:t>
      </w:r>
      <w:r>
        <w:rPr>
          <w:rFonts w:hint="eastAsia"/>
          <w:color w:val="auto"/>
          <w:sz w:val="24"/>
        </w:rPr>
        <w:t>变质剂</w:t>
      </w:r>
      <w:r>
        <w:rPr>
          <w:color w:val="auto"/>
          <w:sz w:val="24"/>
        </w:rPr>
        <w:t>：纯度&gt;99.5%，粒径3~5μm，灰黑色粉末，Ti&gt;68.2%、B&gt;30.8%、O&lt;0.20%、C&lt;0.10%、Fe&lt;0.05%。</w:t>
      </w:r>
    </w:p>
    <w:p w14:paraId="032F67D6">
      <w:pPr>
        <w:spacing w:line="360" w:lineRule="auto"/>
        <w:ind w:firstLine="484" w:firstLineChars="202"/>
        <w:rPr>
          <w:rFonts w:hint="eastAsia"/>
          <w:color w:val="auto"/>
          <w:sz w:val="24"/>
          <w:lang w:eastAsia="zh-CN"/>
        </w:rPr>
      </w:pPr>
      <w:r>
        <w:rPr>
          <w:rFonts w:hint="eastAsia" w:ascii="宋体" w:hAnsi="宋体"/>
          <w:color w:val="auto"/>
          <w:sz w:val="24"/>
        </w:rPr>
        <w:t>⑥</w:t>
      </w:r>
      <w:r>
        <w:rPr>
          <w:color w:val="auto"/>
          <w:sz w:val="24"/>
        </w:rPr>
        <w:t>氮气：常态下是一种无色无味无嗅气体，且通常无毒。氮气占大气总量78.12%，是空气主要成分。常温下为气体，在标准大气压下，冷却至-195.8</w:t>
      </w:r>
      <w:r>
        <w:rPr>
          <w:rFonts w:hint="eastAsia" w:ascii="宋体" w:hAnsi="宋体" w:cs="宋体"/>
          <w:color w:val="auto"/>
          <w:sz w:val="24"/>
        </w:rPr>
        <w:t>℃</w:t>
      </w:r>
      <w:r>
        <w:rPr>
          <w:color w:val="auto"/>
          <w:sz w:val="24"/>
        </w:rPr>
        <w:t>，变成无色液体，冷却至-209.86</w:t>
      </w:r>
      <w:r>
        <w:rPr>
          <w:rFonts w:hint="eastAsia" w:ascii="宋体" w:hAnsi="宋体" w:cs="宋体"/>
          <w:color w:val="auto"/>
          <w:sz w:val="24"/>
        </w:rPr>
        <w:t>℃</w:t>
      </w:r>
      <w:r>
        <w:rPr>
          <w:color w:val="auto"/>
          <w:sz w:val="24"/>
        </w:rPr>
        <w:t>，液态氮变成雪状固体</w:t>
      </w:r>
      <w:r>
        <w:rPr>
          <w:rFonts w:hint="eastAsia"/>
          <w:color w:val="auto"/>
          <w:sz w:val="24"/>
          <w:lang w:eastAsia="zh-CN"/>
        </w:rPr>
        <w:t>。</w:t>
      </w:r>
    </w:p>
    <w:p w14:paraId="67D55E4E">
      <w:pPr>
        <w:spacing w:line="360" w:lineRule="auto"/>
        <w:rPr>
          <w:rFonts w:hint="default"/>
          <w:b/>
          <w:bCs/>
          <w:color w:val="0000FF"/>
          <w:sz w:val="24"/>
          <w:lang w:val="en-US" w:eastAsia="zh-CN"/>
        </w:rPr>
      </w:pPr>
      <w:r>
        <w:rPr>
          <w:rFonts w:hint="eastAsia"/>
          <w:b/>
          <w:bCs/>
          <w:color w:val="0000FF"/>
          <w:sz w:val="24"/>
          <w:lang w:val="en-US" w:eastAsia="zh-CN"/>
        </w:rPr>
        <w:t>3.1.4.2原料废铝来源及控制要求</w:t>
      </w:r>
    </w:p>
    <w:p w14:paraId="41D29989">
      <w:pPr>
        <w:bidi w:val="0"/>
        <w:spacing w:line="360" w:lineRule="auto"/>
        <w:ind w:firstLine="480" w:firstLineChars="200"/>
        <w:rPr>
          <w:rFonts w:hint="eastAsia" w:ascii="宋体" w:hAnsi="宋体"/>
          <w:color w:val="0000FF"/>
          <w:sz w:val="24"/>
        </w:rPr>
      </w:pPr>
      <w:bookmarkStart w:id="284" w:name="_Toc16063"/>
      <w:r>
        <w:rPr>
          <w:rFonts w:hint="eastAsia" w:ascii="宋体" w:hAnsi="宋体"/>
          <w:color w:val="0000FF"/>
          <w:sz w:val="24"/>
        </w:rPr>
        <w:t>根据《关于加强废旧金属回收熔炼企业辐射安全监管的通知》（环办函[2011]920 号）文件，所有熔炼企业必须开展辐射监测，发现放射性污染时应立即报告当地生态环境部门。对已发现的失控放射源或者被放射性污染的金属要严格控制，实施有效管理，避免流入社会，造成环境污染和公众健康的损害。</w:t>
      </w:r>
    </w:p>
    <w:p w14:paraId="20874DDA">
      <w:pPr>
        <w:bidi w:val="0"/>
        <w:spacing w:line="360" w:lineRule="auto"/>
        <w:ind w:firstLine="480" w:firstLineChars="200"/>
        <w:rPr>
          <w:rFonts w:hint="eastAsia" w:ascii="Times New Roman" w:hAnsi="Times New Roman" w:eastAsia="宋体" w:cs="Times New Roman"/>
          <w:color w:val="0000FF"/>
          <w:sz w:val="24"/>
          <w:lang w:val="en-US" w:eastAsia="zh-CN"/>
        </w:rPr>
      </w:pPr>
      <w:r>
        <w:rPr>
          <w:rFonts w:hint="eastAsia" w:ascii="宋体" w:hAnsi="宋体"/>
          <w:color w:val="0000FF"/>
          <w:sz w:val="24"/>
          <w:szCs w:val="24"/>
          <w:lang w:val="en-US" w:eastAsia="zh-CN"/>
        </w:rPr>
        <w:t>本项目</w:t>
      </w:r>
      <w:r>
        <w:rPr>
          <w:rFonts w:hint="eastAsia"/>
          <w:color w:val="0000FF"/>
          <w:sz w:val="24"/>
          <w:szCs w:val="24"/>
          <w:lang w:val="en-US" w:eastAsia="zh-CN"/>
        </w:rPr>
        <w:t>新增1座质检分析室布置1台</w:t>
      </w:r>
      <w:r>
        <w:rPr>
          <w:rFonts w:hint="eastAsia"/>
          <w:color w:val="0000FF"/>
          <w:sz w:val="24"/>
          <w:szCs w:val="24"/>
        </w:rPr>
        <w:t>纯度检测设备、</w:t>
      </w:r>
      <w:r>
        <w:rPr>
          <w:rFonts w:hint="eastAsia"/>
          <w:color w:val="0000FF"/>
          <w:sz w:val="24"/>
          <w:szCs w:val="24"/>
          <w:lang w:val="en-US" w:eastAsia="zh-CN"/>
        </w:rPr>
        <w:t>1台</w:t>
      </w:r>
      <w:r>
        <w:rPr>
          <w:rFonts w:hint="eastAsia"/>
          <w:color w:val="0000FF"/>
          <w:sz w:val="24"/>
          <w:szCs w:val="24"/>
        </w:rPr>
        <w:t>成分检测设备、</w:t>
      </w:r>
      <w:r>
        <w:rPr>
          <w:rFonts w:hint="eastAsia"/>
          <w:color w:val="0000FF"/>
          <w:sz w:val="24"/>
          <w:szCs w:val="24"/>
          <w:lang w:val="en-US" w:eastAsia="zh-CN"/>
        </w:rPr>
        <w:t>1台</w:t>
      </w:r>
      <w:r>
        <w:rPr>
          <w:rFonts w:hint="eastAsia"/>
          <w:color w:val="0000FF"/>
          <w:sz w:val="24"/>
          <w:szCs w:val="24"/>
        </w:rPr>
        <w:t>辐射检测设备</w:t>
      </w:r>
      <w:r>
        <w:rPr>
          <w:rFonts w:hint="eastAsia"/>
          <w:color w:val="0000FF"/>
          <w:sz w:val="24"/>
          <w:szCs w:val="24"/>
          <w:lang w:eastAsia="zh-CN"/>
        </w:rPr>
        <w:t>，</w:t>
      </w:r>
      <w:r>
        <w:rPr>
          <w:rFonts w:hint="eastAsia"/>
          <w:color w:val="0000FF"/>
          <w:sz w:val="24"/>
          <w:szCs w:val="24"/>
          <w:lang w:val="en-US" w:eastAsia="zh-CN"/>
        </w:rPr>
        <w:t>用于原料废铝入厂前检测。</w:t>
      </w:r>
    </w:p>
    <w:p w14:paraId="2918127F">
      <w:pPr>
        <w:bidi w:val="0"/>
        <w:spacing w:line="360" w:lineRule="auto"/>
        <w:ind w:firstLine="480" w:firstLineChars="200"/>
        <w:outlineLvl w:val="2"/>
        <w:rPr>
          <w:rFonts w:hint="eastAsia" w:ascii="Times New Roman" w:hAnsi="Times New Roman" w:eastAsia="宋体" w:cs="Times New Roman"/>
          <w:color w:val="0000FF"/>
          <w:sz w:val="24"/>
          <w:lang w:val="en-US" w:eastAsia="zh-CN"/>
        </w:rPr>
      </w:pPr>
      <w:r>
        <w:rPr>
          <w:rFonts w:hint="eastAsia" w:ascii="Times New Roman" w:hAnsi="Times New Roman" w:eastAsia="宋体" w:cs="Times New Roman"/>
          <w:color w:val="0000FF"/>
          <w:sz w:val="24"/>
          <w:lang w:val="en-US" w:eastAsia="zh-CN"/>
        </w:rPr>
        <w:t>（1）废铝来源</w:t>
      </w:r>
      <w:bookmarkEnd w:id="284"/>
    </w:p>
    <w:p w14:paraId="63728902">
      <w:pPr>
        <w:spacing w:line="360" w:lineRule="auto"/>
        <w:ind w:firstLine="484" w:firstLineChars="202"/>
        <w:rPr>
          <w:color w:val="auto"/>
          <w:sz w:val="24"/>
        </w:rPr>
      </w:pPr>
      <w:r>
        <w:rPr>
          <w:rFonts w:hint="eastAsia" w:ascii="宋体" w:hAnsi="宋体"/>
          <w:color w:val="0000FF"/>
          <w:sz w:val="24"/>
        </w:rPr>
        <w:t>项目原料废铝来源</w:t>
      </w:r>
      <w:r>
        <w:rPr>
          <w:rFonts w:hint="eastAsia" w:ascii="宋体" w:hAnsi="宋体" w:eastAsia="宋体"/>
          <w:color w:val="0000FF"/>
          <w:sz w:val="24"/>
          <w:lang w:val="en-US" w:eastAsia="zh-CN"/>
        </w:rPr>
        <w:t>分为两部分，一部分为</w:t>
      </w:r>
      <w:r>
        <w:rPr>
          <w:rFonts w:hint="eastAsia" w:ascii="宋体" w:hAnsi="宋体"/>
          <w:color w:val="0000FF"/>
          <w:sz w:val="24"/>
        </w:rPr>
        <w:t>下游企业废边角料及集中区铝加工企业，提供废铝的种类主要为变</w:t>
      </w:r>
      <w:r>
        <w:rPr>
          <w:rFonts w:hint="default" w:ascii="Times New Roman" w:hAnsi="Times New Roman" w:cs="Times New Roman"/>
          <w:color w:val="0000FF"/>
          <w:sz w:val="24"/>
        </w:rPr>
        <w:t>形铝及铝合金</w:t>
      </w:r>
      <w:r>
        <w:rPr>
          <w:rFonts w:hint="eastAsia" w:cs="Times New Roman"/>
          <w:color w:val="0000FF"/>
          <w:sz w:val="24"/>
          <w:lang w:val="en-US" w:eastAsia="zh-CN"/>
        </w:rPr>
        <w:t>回收</w:t>
      </w:r>
      <w:r>
        <w:rPr>
          <w:rFonts w:hint="default" w:ascii="Times New Roman" w:hAnsi="Times New Roman" w:cs="Times New Roman"/>
          <w:color w:val="0000FF"/>
          <w:sz w:val="24"/>
        </w:rPr>
        <w:t>料</w:t>
      </w:r>
      <w:r>
        <w:rPr>
          <w:rFonts w:hint="eastAsia" w:cs="Times New Roman"/>
          <w:color w:val="0000FF"/>
          <w:sz w:val="24"/>
          <w:lang w:val="en-US" w:eastAsia="zh-CN"/>
        </w:rPr>
        <w:t>、铝及铝合金屑和铝及铝合金碎片</w:t>
      </w:r>
      <w:r>
        <w:rPr>
          <w:rFonts w:hint="default" w:ascii="Times New Roman" w:hAnsi="Times New Roman" w:eastAsia="宋体" w:cs="Times New Roman"/>
          <w:color w:val="0000FF"/>
          <w:sz w:val="24"/>
          <w:lang w:eastAsia="zh-CN"/>
        </w:rPr>
        <w:t>；</w:t>
      </w:r>
      <w:r>
        <w:rPr>
          <w:rFonts w:hint="default" w:ascii="Times New Roman" w:hAnsi="Times New Roman" w:eastAsia="宋体" w:cs="Times New Roman"/>
          <w:color w:val="0000FF"/>
          <w:sz w:val="24"/>
          <w:lang w:val="en-US" w:eastAsia="zh-CN"/>
        </w:rPr>
        <w:t>另一部分为下游客户新能源汽车零部件制造企业，在生产过程中产生的残次品、报废品和加工过程产生的边角料、浇冒口等，</w:t>
      </w:r>
      <w:r>
        <w:rPr>
          <w:rFonts w:hint="eastAsia" w:ascii="宋体" w:hAnsi="宋体"/>
          <w:color w:val="0000FF"/>
          <w:sz w:val="24"/>
        </w:rPr>
        <w:t>废铝的种类主要为铸造铝合金回收料</w:t>
      </w:r>
      <w:r>
        <w:rPr>
          <w:rFonts w:hint="default" w:ascii="Times New Roman" w:hAnsi="Times New Roman" w:eastAsia="宋体" w:cs="Times New Roman"/>
          <w:color w:val="0000FF"/>
          <w:sz w:val="24"/>
          <w:lang w:val="en-US" w:eastAsia="zh-CN"/>
        </w:rPr>
        <w:t>。</w:t>
      </w:r>
    </w:p>
    <w:p w14:paraId="1B8A4072">
      <w:pPr>
        <w:numPr>
          <w:ilvl w:val="0"/>
          <w:numId w:val="0"/>
        </w:numPr>
        <w:spacing w:line="360" w:lineRule="auto"/>
        <w:ind w:firstLine="480" w:firstLineChars="200"/>
        <w:outlineLvl w:val="2"/>
        <w:rPr>
          <w:rFonts w:hint="default" w:ascii="Times New Roman" w:hAnsi="Times New Roman" w:cs="Times New Roman"/>
          <w:color w:val="0000FF"/>
          <w:sz w:val="24"/>
        </w:rPr>
      </w:pPr>
      <w:bookmarkStart w:id="285" w:name="_Toc6522"/>
      <w:r>
        <w:rPr>
          <w:rFonts w:hint="default" w:ascii="Times New Roman" w:hAnsi="Times New Roman" w:cs="Times New Roman" w:eastAsiaTheme="minorEastAsia"/>
          <w:color w:val="0000FF"/>
          <w:kern w:val="2"/>
          <w:sz w:val="24"/>
          <w:szCs w:val="24"/>
          <w:lang w:val="en-US" w:eastAsia="zh-CN" w:bidi="ar-SA"/>
        </w:rPr>
        <w:t>（2）</w:t>
      </w:r>
      <w:r>
        <w:rPr>
          <w:rFonts w:hint="default" w:ascii="Times New Roman" w:hAnsi="Times New Roman" w:cs="Times New Roman"/>
          <w:color w:val="0000FF"/>
          <w:sz w:val="24"/>
        </w:rPr>
        <w:t>废铝成分控制要求</w:t>
      </w:r>
      <w:bookmarkEnd w:id="285"/>
    </w:p>
    <w:p w14:paraId="11F3EDA0">
      <w:pPr>
        <w:bidi w:val="0"/>
        <w:spacing w:line="360" w:lineRule="auto"/>
        <w:ind w:firstLine="480" w:firstLineChars="200"/>
        <w:rPr>
          <w:rFonts w:hint="eastAsia" w:ascii="Times New Roman" w:hAnsi="Times New Roman" w:eastAsia="宋体" w:cs="Times New Roman"/>
          <w:color w:val="auto"/>
          <w:sz w:val="24"/>
          <w:lang w:val="en-US" w:eastAsia="zh-CN"/>
        </w:rPr>
      </w:pPr>
      <w:r>
        <w:rPr>
          <w:rFonts w:hint="eastAsia" w:ascii="宋体" w:hAnsi="宋体"/>
          <w:color w:val="0000FF"/>
          <w:sz w:val="24"/>
        </w:rPr>
        <w:t>拟建项目废铝来源广泛，主要包括铝加工生产企业产生的边角料</w:t>
      </w:r>
      <w:r>
        <w:rPr>
          <w:rFonts w:hint="eastAsia" w:ascii="宋体" w:hAnsi="宋体" w:eastAsia="宋体"/>
          <w:color w:val="0000FF"/>
          <w:sz w:val="24"/>
          <w:lang w:val="en-US" w:eastAsia="zh-CN"/>
        </w:rPr>
        <w:t>和下游客户新能源汽车零部件制造企业，生产过程中产生的残次品、报废品和加工过程产生的边角料、浇冒口等。</w:t>
      </w:r>
      <w:r>
        <w:rPr>
          <w:rFonts w:hint="eastAsia" w:ascii="宋体" w:hAnsi="宋体"/>
          <w:color w:val="0000FF"/>
          <w:sz w:val="24"/>
        </w:rPr>
        <w:t>这类原材料成分比较简单，基本未受油污污染，杂质少。</w:t>
      </w:r>
    </w:p>
    <w:p w14:paraId="3FA0439E">
      <w:pPr>
        <w:bidi w:val="0"/>
        <w:spacing w:line="360" w:lineRule="auto"/>
        <w:ind w:firstLine="480" w:firstLineChars="200"/>
        <w:rPr>
          <w:rFonts w:hint="eastAsia" w:ascii="Times New Roman" w:hAnsi="Times New Roman" w:eastAsia="宋体" w:cs="Times New Roman"/>
          <w:color w:val="0000FF"/>
          <w:sz w:val="24"/>
          <w:lang w:val="en-US" w:eastAsia="zh-CN"/>
        </w:rPr>
      </w:pPr>
      <w:r>
        <w:rPr>
          <w:rFonts w:hint="eastAsia" w:ascii="Times New Roman" w:hAnsi="Times New Roman" w:eastAsia="宋体" w:cs="Times New Roman"/>
          <w:color w:val="0000FF"/>
          <w:sz w:val="24"/>
          <w:lang w:val="en-US" w:eastAsia="zh-CN"/>
        </w:rPr>
        <w:t>结合《</w:t>
      </w:r>
      <w:r>
        <w:rPr>
          <w:rFonts w:hint="eastAsia" w:cs="Times New Roman"/>
          <w:color w:val="0000FF"/>
          <w:sz w:val="24"/>
          <w:lang w:val="en-US" w:eastAsia="zh-CN"/>
        </w:rPr>
        <w:t>回收铝</w:t>
      </w:r>
      <w:r>
        <w:rPr>
          <w:rFonts w:hint="eastAsia" w:ascii="Times New Roman" w:hAnsi="Times New Roman" w:eastAsia="宋体" w:cs="Times New Roman"/>
          <w:color w:val="0000FF"/>
          <w:sz w:val="24"/>
          <w:lang w:val="en-US" w:eastAsia="zh-CN"/>
        </w:rPr>
        <w:t>》</w:t>
      </w:r>
      <w:r>
        <w:rPr>
          <w:rFonts w:hint="eastAsia" w:cs="Times New Roman"/>
          <w:color w:val="0000FF"/>
          <w:sz w:val="24"/>
          <w:lang w:val="en-US" w:eastAsia="zh-CN"/>
        </w:rPr>
        <w:t>（</w:t>
      </w:r>
      <w:r>
        <w:rPr>
          <w:rFonts w:hint="eastAsia" w:ascii="Times New Roman" w:hAnsi="Times New Roman" w:eastAsia="宋体" w:cs="Times New Roman"/>
          <w:color w:val="0000FF"/>
          <w:sz w:val="24"/>
          <w:lang w:val="en-US" w:eastAsia="zh-CN"/>
        </w:rPr>
        <w:t>GB/T13586-20</w:t>
      </w:r>
      <w:r>
        <w:rPr>
          <w:rFonts w:hint="eastAsia" w:cs="Times New Roman"/>
          <w:color w:val="0000FF"/>
          <w:sz w:val="24"/>
          <w:lang w:val="en-US" w:eastAsia="zh-CN"/>
        </w:rPr>
        <w:t>21）</w:t>
      </w:r>
      <w:r>
        <w:rPr>
          <w:rFonts w:hint="eastAsia" w:ascii="Times New Roman" w:hAnsi="Times New Roman" w:eastAsia="宋体" w:cs="Times New Roman"/>
          <w:color w:val="0000FF"/>
          <w:sz w:val="24"/>
          <w:lang w:val="en-US" w:eastAsia="zh-CN"/>
        </w:rPr>
        <w:t>中相关要求，建设单位收购的废铝应满足如下要求：</w:t>
      </w:r>
    </w:p>
    <w:p w14:paraId="6B879392">
      <w:pPr>
        <w:bidi w:val="0"/>
        <w:spacing w:line="360" w:lineRule="auto"/>
        <w:jc w:val="center"/>
        <w:rPr>
          <w:rFonts w:hint="default" w:ascii="Times New Roman" w:hAnsi="Times New Roman" w:eastAsia="宋体" w:cs="Times New Roman"/>
          <w:b/>
          <w:bCs/>
          <w:color w:val="0000FF"/>
          <w:sz w:val="24"/>
          <w:lang w:val="en-US" w:eastAsia="zh-CN"/>
        </w:rPr>
      </w:pPr>
      <w:r>
        <w:rPr>
          <w:rFonts w:hint="eastAsia" w:ascii="Times New Roman" w:hAnsi="Times New Roman" w:eastAsia="宋体" w:cs="Times New Roman"/>
          <w:b/>
          <w:bCs/>
          <w:color w:val="0000FF"/>
          <w:sz w:val="24"/>
          <w:lang w:val="en-US" w:eastAsia="zh-CN"/>
        </w:rPr>
        <w:t>表</w:t>
      </w:r>
      <w:r>
        <w:rPr>
          <w:rFonts w:hint="eastAsia" w:cs="Times New Roman"/>
          <w:b/>
          <w:bCs/>
          <w:color w:val="0000FF"/>
          <w:sz w:val="24"/>
          <w:lang w:val="en-US" w:eastAsia="zh-CN"/>
        </w:rPr>
        <w:t>3-6</w:t>
      </w:r>
      <w:r>
        <w:rPr>
          <w:rFonts w:hint="eastAsia" w:ascii="Times New Roman" w:hAnsi="Times New Roman" w:eastAsia="宋体" w:cs="Times New Roman"/>
          <w:b/>
          <w:bCs/>
          <w:color w:val="0000FF"/>
          <w:sz w:val="24"/>
          <w:lang w:val="en-US" w:eastAsia="zh-CN"/>
        </w:rPr>
        <w:t xml:space="preserve"> 本项目废铝的类型与指标要求</w:t>
      </w:r>
    </w:p>
    <w:tbl>
      <w:tblPr>
        <w:tblStyle w:val="31"/>
        <w:tblW w:w="5000"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Layout w:type="fixed"/>
        <w:tblCellMar>
          <w:top w:w="0" w:type="dxa"/>
          <w:left w:w="108" w:type="dxa"/>
          <w:bottom w:w="0" w:type="dxa"/>
          <w:right w:w="108" w:type="dxa"/>
        </w:tblCellMar>
      </w:tblPr>
      <w:tblGrid>
        <w:gridCol w:w="1365"/>
        <w:gridCol w:w="819"/>
        <w:gridCol w:w="1477"/>
        <w:gridCol w:w="6301"/>
      </w:tblGrid>
      <w:tr w14:paraId="0C2C7DBD">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270" w:hRule="atLeast"/>
        </w:trPr>
        <w:tc>
          <w:tcPr>
            <w:tcW w:w="1837" w:type="pct"/>
            <w:gridSpan w:val="3"/>
            <w:tcBorders>
              <w:tl2br w:val="nil"/>
              <w:tr2bl w:val="nil"/>
            </w:tcBorders>
            <w:shd w:val="clear" w:color="auto" w:fill="auto"/>
            <w:noWrap/>
            <w:vAlign w:val="center"/>
          </w:tcPr>
          <w:p w14:paraId="5111B708">
            <w:pPr>
              <w:widowControl/>
              <w:jc w:val="center"/>
              <w:textAlignment w:val="center"/>
              <w:rPr>
                <w:rFonts w:hint="default" w:ascii="Times New Roman" w:hAnsi="Times New Roman" w:eastAsia="宋体" w:cs="Times New Roman"/>
                <w:b/>
                <w:bCs/>
                <w:color w:val="0000FF"/>
                <w:sz w:val="21"/>
                <w:szCs w:val="21"/>
              </w:rPr>
            </w:pPr>
            <w:r>
              <w:rPr>
                <w:rFonts w:hint="default" w:ascii="Times New Roman" w:hAnsi="Times New Roman" w:eastAsia="宋体" w:cs="Times New Roman"/>
                <w:b/>
                <w:bCs/>
                <w:color w:val="0000FF"/>
                <w:kern w:val="0"/>
                <w:sz w:val="21"/>
                <w:szCs w:val="21"/>
                <w:lang w:bidi="ar"/>
              </w:rPr>
              <w:t>废铝分类</w:t>
            </w:r>
          </w:p>
        </w:tc>
        <w:tc>
          <w:tcPr>
            <w:tcW w:w="3162" w:type="pct"/>
            <w:vMerge w:val="restart"/>
            <w:tcBorders>
              <w:tl2br w:val="nil"/>
              <w:tr2bl w:val="nil"/>
            </w:tcBorders>
            <w:shd w:val="clear" w:color="auto" w:fill="auto"/>
            <w:noWrap/>
            <w:vAlign w:val="center"/>
          </w:tcPr>
          <w:p w14:paraId="28639588">
            <w:pPr>
              <w:widowControl/>
              <w:jc w:val="center"/>
              <w:textAlignment w:val="center"/>
              <w:rPr>
                <w:rFonts w:hint="default" w:ascii="Times New Roman" w:hAnsi="Times New Roman" w:eastAsia="宋体" w:cs="Times New Roman"/>
                <w:color w:val="0000FF"/>
                <w:sz w:val="21"/>
                <w:szCs w:val="21"/>
              </w:rPr>
            </w:pPr>
            <w:r>
              <w:rPr>
                <w:rFonts w:hint="default" w:ascii="Times New Roman" w:hAnsi="Times New Roman" w:eastAsia="宋体" w:cs="Times New Roman"/>
                <w:b/>
                <w:bCs/>
                <w:color w:val="0000FF"/>
                <w:kern w:val="0"/>
                <w:sz w:val="21"/>
                <w:szCs w:val="21"/>
                <w:lang w:bidi="ar"/>
              </w:rPr>
              <w:t>要求</w:t>
            </w:r>
          </w:p>
        </w:tc>
      </w:tr>
      <w:tr w14:paraId="247A9007">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270" w:hRule="atLeast"/>
        </w:trPr>
        <w:tc>
          <w:tcPr>
            <w:tcW w:w="685" w:type="pct"/>
            <w:tcBorders>
              <w:tl2br w:val="nil"/>
              <w:tr2bl w:val="nil"/>
            </w:tcBorders>
            <w:shd w:val="clear" w:color="auto" w:fill="auto"/>
            <w:noWrap/>
            <w:vAlign w:val="center"/>
          </w:tcPr>
          <w:p w14:paraId="00986739">
            <w:pPr>
              <w:widowControl/>
              <w:jc w:val="center"/>
              <w:textAlignment w:val="center"/>
              <w:rPr>
                <w:rFonts w:hint="default" w:ascii="Times New Roman" w:hAnsi="Times New Roman" w:eastAsia="宋体" w:cs="Times New Roman"/>
                <w:b/>
                <w:bCs/>
                <w:color w:val="0000FF"/>
                <w:sz w:val="21"/>
                <w:szCs w:val="21"/>
              </w:rPr>
            </w:pPr>
            <w:r>
              <w:rPr>
                <w:rFonts w:hint="default" w:ascii="Times New Roman" w:hAnsi="Times New Roman" w:eastAsia="宋体" w:cs="Times New Roman"/>
                <w:b/>
                <w:bCs/>
                <w:color w:val="0000FF"/>
                <w:kern w:val="0"/>
                <w:sz w:val="21"/>
                <w:szCs w:val="21"/>
                <w:lang w:bidi="ar"/>
              </w:rPr>
              <w:t>类别</w:t>
            </w:r>
          </w:p>
        </w:tc>
        <w:tc>
          <w:tcPr>
            <w:tcW w:w="411" w:type="pct"/>
            <w:tcBorders>
              <w:tl2br w:val="nil"/>
              <w:tr2bl w:val="nil"/>
            </w:tcBorders>
            <w:shd w:val="clear" w:color="auto" w:fill="auto"/>
            <w:noWrap/>
            <w:vAlign w:val="center"/>
          </w:tcPr>
          <w:p w14:paraId="781970FF">
            <w:pPr>
              <w:widowControl/>
              <w:jc w:val="center"/>
              <w:textAlignment w:val="center"/>
              <w:rPr>
                <w:rFonts w:hint="default" w:ascii="Times New Roman" w:hAnsi="Times New Roman" w:eastAsia="宋体" w:cs="Times New Roman"/>
                <w:b/>
                <w:bCs/>
                <w:color w:val="0000FF"/>
                <w:sz w:val="21"/>
                <w:szCs w:val="21"/>
              </w:rPr>
            </w:pPr>
            <w:r>
              <w:rPr>
                <w:rFonts w:hint="default" w:ascii="Times New Roman" w:hAnsi="Times New Roman" w:eastAsia="宋体" w:cs="Times New Roman"/>
                <w:b/>
                <w:bCs/>
                <w:color w:val="0000FF"/>
                <w:kern w:val="0"/>
                <w:sz w:val="21"/>
                <w:szCs w:val="21"/>
                <w:lang w:bidi="ar"/>
              </w:rPr>
              <w:t>组别</w:t>
            </w:r>
          </w:p>
        </w:tc>
        <w:tc>
          <w:tcPr>
            <w:tcW w:w="741" w:type="pct"/>
            <w:tcBorders>
              <w:tl2br w:val="nil"/>
              <w:tr2bl w:val="nil"/>
            </w:tcBorders>
            <w:shd w:val="clear" w:color="auto" w:fill="auto"/>
            <w:noWrap/>
            <w:vAlign w:val="center"/>
          </w:tcPr>
          <w:p w14:paraId="1F2A5209">
            <w:pPr>
              <w:widowControl/>
              <w:jc w:val="center"/>
              <w:textAlignment w:val="center"/>
              <w:rPr>
                <w:rFonts w:hint="default" w:ascii="Times New Roman" w:hAnsi="Times New Roman" w:eastAsia="宋体" w:cs="Times New Roman"/>
                <w:b/>
                <w:bCs/>
                <w:color w:val="0000FF"/>
                <w:sz w:val="21"/>
                <w:szCs w:val="21"/>
              </w:rPr>
            </w:pPr>
            <w:r>
              <w:rPr>
                <w:rFonts w:hint="default" w:ascii="Times New Roman" w:hAnsi="Times New Roman" w:eastAsia="宋体" w:cs="Times New Roman"/>
                <w:b/>
                <w:bCs/>
                <w:color w:val="0000FF"/>
                <w:kern w:val="0"/>
                <w:sz w:val="21"/>
                <w:szCs w:val="21"/>
                <w:lang w:bidi="ar"/>
              </w:rPr>
              <w:t>废铝名称</w:t>
            </w:r>
          </w:p>
        </w:tc>
        <w:tc>
          <w:tcPr>
            <w:tcW w:w="3162" w:type="pct"/>
            <w:vMerge w:val="continue"/>
            <w:tcBorders>
              <w:tl2br w:val="nil"/>
              <w:tr2bl w:val="nil"/>
            </w:tcBorders>
            <w:shd w:val="clear" w:color="auto" w:fill="auto"/>
            <w:noWrap/>
            <w:vAlign w:val="center"/>
          </w:tcPr>
          <w:p w14:paraId="30C2A6FA">
            <w:pPr>
              <w:jc w:val="center"/>
              <w:rPr>
                <w:rFonts w:hint="default" w:ascii="Times New Roman" w:hAnsi="Times New Roman" w:eastAsia="宋体" w:cs="Times New Roman"/>
                <w:color w:val="0000FF"/>
                <w:sz w:val="21"/>
                <w:szCs w:val="21"/>
              </w:rPr>
            </w:pPr>
          </w:p>
        </w:tc>
      </w:tr>
      <w:tr w14:paraId="316362D1">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179" w:hRule="atLeast"/>
        </w:trPr>
        <w:tc>
          <w:tcPr>
            <w:tcW w:w="685" w:type="pct"/>
            <w:vMerge w:val="restart"/>
            <w:tcBorders>
              <w:tl2br w:val="nil"/>
              <w:tr2bl w:val="nil"/>
            </w:tcBorders>
            <w:shd w:val="clear" w:color="auto" w:fill="auto"/>
            <w:noWrap/>
            <w:vAlign w:val="center"/>
          </w:tcPr>
          <w:p w14:paraId="18BE75F5">
            <w:pPr>
              <w:jc w:val="center"/>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变形铝及铝合金废料</w:t>
            </w:r>
          </w:p>
        </w:tc>
        <w:tc>
          <w:tcPr>
            <w:tcW w:w="411" w:type="pct"/>
            <w:vMerge w:val="restart"/>
            <w:tcBorders>
              <w:tl2br w:val="nil"/>
              <w:tr2bl w:val="nil"/>
            </w:tcBorders>
            <w:shd w:val="clear" w:color="auto" w:fill="auto"/>
            <w:noWrap/>
            <w:vAlign w:val="center"/>
          </w:tcPr>
          <w:p w14:paraId="64C8E4EB">
            <w:pPr>
              <w:widowControl/>
              <w:jc w:val="center"/>
              <w:textAlignment w:val="center"/>
              <w:rPr>
                <w:rFonts w:hint="eastAsia" w:ascii="Times New Roman" w:hAnsi="Times New Roman" w:eastAsia="宋体" w:cs="Times New Roman"/>
                <w:color w:val="0000FF"/>
                <w:kern w:val="0"/>
                <w:sz w:val="21"/>
                <w:szCs w:val="21"/>
                <w:lang w:eastAsia="zh-CN" w:bidi="ar"/>
              </w:rPr>
            </w:pPr>
            <w:r>
              <w:rPr>
                <w:rFonts w:hint="eastAsia" w:cs="Times New Roman"/>
                <w:color w:val="0000FF"/>
                <w:kern w:val="0"/>
                <w:sz w:val="21"/>
                <w:szCs w:val="21"/>
                <w:lang w:val="en-US" w:eastAsia="zh-CN" w:bidi="ar"/>
              </w:rPr>
              <w:t>铝导体</w:t>
            </w:r>
          </w:p>
        </w:tc>
        <w:tc>
          <w:tcPr>
            <w:tcW w:w="741" w:type="pct"/>
            <w:tcBorders>
              <w:tl2br w:val="nil"/>
              <w:tr2bl w:val="nil"/>
            </w:tcBorders>
            <w:shd w:val="clear" w:color="auto" w:fill="auto"/>
            <w:noWrap/>
            <w:vAlign w:val="center"/>
          </w:tcPr>
          <w:p w14:paraId="0833C0FD">
            <w:pPr>
              <w:widowControl/>
              <w:jc w:val="center"/>
              <w:textAlignment w:val="center"/>
              <w:rPr>
                <w:rFonts w:hint="eastAsia" w:ascii="Times New Roman" w:hAnsi="Times New Roman" w:eastAsia="宋体" w:cs="Times New Roman"/>
                <w:color w:val="0000FF"/>
                <w:kern w:val="0"/>
                <w:sz w:val="21"/>
                <w:szCs w:val="21"/>
                <w:lang w:eastAsia="zh-CN" w:bidi="ar"/>
              </w:rPr>
            </w:pPr>
            <w:r>
              <w:rPr>
                <w:rFonts w:hint="default" w:ascii="Times New Roman" w:hAnsi="Times New Roman" w:eastAsia="宋体" w:cs="Times New Roman"/>
                <w:color w:val="0000FF"/>
                <w:kern w:val="0"/>
                <w:sz w:val="21"/>
                <w:szCs w:val="21"/>
                <w:lang w:bidi="ar"/>
              </w:rPr>
              <w:t>新的纯铝线</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缆</w:t>
            </w:r>
            <w:r>
              <w:rPr>
                <w:rFonts w:hint="eastAsia" w:cs="Times New Roman"/>
                <w:color w:val="0000FF"/>
                <w:kern w:val="0"/>
                <w:sz w:val="21"/>
                <w:szCs w:val="21"/>
                <w:lang w:eastAsia="zh-CN" w:bidi="ar"/>
              </w:rPr>
              <w:t>）</w:t>
            </w:r>
          </w:p>
        </w:tc>
        <w:tc>
          <w:tcPr>
            <w:tcW w:w="3162" w:type="pct"/>
            <w:tcBorders>
              <w:tl2br w:val="nil"/>
              <w:tr2bl w:val="nil"/>
            </w:tcBorders>
            <w:shd w:val="clear" w:color="auto" w:fill="auto"/>
            <w:noWrap/>
            <w:vAlign w:val="center"/>
          </w:tcPr>
          <w:p w14:paraId="62F64D1E">
            <w:pPr>
              <w:jc w:val="both"/>
              <w:rPr>
                <w:rFonts w:hint="eastAsia" w:ascii="Times New Roman" w:hAnsi="Times New Roman" w:eastAsia="宋体" w:cs="Times New Roman"/>
                <w:color w:val="0000FF"/>
                <w:sz w:val="21"/>
                <w:szCs w:val="21"/>
                <w:lang w:eastAsia="zh-CN"/>
              </w:rPr>
            </w:pPr>
            <w:r>
              <w:rPr>
                <w:rFonts w:hint="default" w:ascii="Times New Roman" w:hAnsi="Times New Roman" w:eastAsia="宋体" w:cs="Times New Roman"/>
                <w:color w:val="0000FF"/>
                <w:sz w:val="21"/>
                <w:szCs w:val="21"/>
              </w:rPr>
              <w:t>新的、洁净的纯铝电线、电缆构成的回收铝。无铝合金线、抛丝</w:t>
            </w:r>
            <w:r>
              <w:rPr>
                <w:rFonts w:hint="eastAsia" w:cs="Times New Roman"/>
                <w:color w:val="0000FF"/>
                <w:sz w:val="21"/>
                <w:szCs w:val="21"/>
                <w:lang w:eastAsia="zh-CN"/>
              </w:rPr>
              <w:t>（</w:t>
            </w:r>
            <w:r>
              <w:rPr>
                <w:rFonts w:hint="default" w:ascii="Times New Roman" w:hAnsi="Times New Roman" w:eastAsia="宋体" w:cs="Times New Roman"/>
                <w:color w:val="0000FF"/>
                <w:sz w:val="21"/>
                <w:szCs w:val="21"/>
              </w:rPr>
              <w:t>网</w:t>
            </w:r>
            <w:r>
              <w:rPr>
                <w:rFonts w:hint="eastAsia" w:cs="Times New Roman"/>
                <w:color w:val="0000FF"/>
                <w:sz w:val="21"/>
                <w:szCs w:val="21"/>
                <w:lang w:eastAsia="zh-CN"/>
              </w:rPr>
              <w:t>）</w:t>
            </w:r>
            <w:r>
              <w:rPr>
                <w:rFonts w:hint="default" w:ascii="Times New Roman" w:hAnsi="Times New Roman" w:eastAsia="宋体" w:cs="Times New Roman"/>
                <w:color w:val="0000FF"/>
                <w:sz w:val="21"/>
                <w:szCs w:val="21"/>
              </w:rPr>
              <w:t>、铁、绝缘皮和其他杂质</w:t>
            </w:r>
          </w:p>
        </w:tc>
      </w:tr>
      <w:tr w14:paraId="1C2AB91B">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178" w:hRule="atLeast"/>
        </w:trPr>
        <w:tc>
          <w:tcPr>
            <w:tcW w:w="685" w:type="pct"/>
            <w:vMerge w:val="continue"/>
            <w:tcBorders>
              <w:tl2br w:val="nil"/>
              <w:tr2bl w:val="nil"/>
            </w:tcBorders>
            <w:shd w:val="clear" w:color="auto" w:fill="auto"/>
            <w:noWrap/>
            <w:vAlign w:val="center"/>
          </w:tcPr>
          <w:p w14:paraId="1F23A49E">
            <w:pPr>
              <w:jc w:val="center"/>
              <w:textAlignment w:val="center"/>
              <w:rPr>
                <w:rFonts w:hint="default" w:ascii="Times New Roman" w:hAnsi="Times New Roman" w:eastAsia="宋体" w:cs="Times New Roman"/>
                <w:color w:val="0000FF"/>
                <w:kern w:val="0"/>
                <w:sz w:val="21"/>
                <w:szCs w:val="21"/>
                <w:lang w:bidi="ar"/>
              </w:rPr>
            </w:pPr>
          </w:p>
        </w:tc>
        <w:tc>
          <w:tcPr>
            <w:tcW w:w="411" w:type="pct"/>
            <w:vMerge w:val="continue"/>
            <w:tcBorders>
              <w:tl2br w:val="nil"/>
              <w:tr2bl w:val="nil"/>
            </w:tcBorders>
            <w:shd w:val="clear" w:color="auto" w:fill="auto"/>
            <w:noWrap/>
            <w:vAlign w:val="center"/>
          </w:tcPr>
          <w:p w14:paraId="14E0A901">
            <w:pPr>
              <w:widowControl/>
              <w:jc w:val="center"/>
              <w:textAlignment w:val="center"/>
              <w:rPr>
                <w:rFonts w:hint="default" w:ascii="Times New Roman" w:hAnsi="Times New Roman" w:eastAsia="宋体" w:cs="Times New Roman"/>
                <w:color w:val="0000FF"/>
                <w:kern w:val="0"/>
                <w:sz w:val="21"/>
                <w:szCs w:val="21"/>
                <w:lang w:bidi="ar"/>
              </w:rPr>
            </w:pPr>
          </w:p>
        </w:tc>
        <w:tc>
          <w:tcPr>
            <w:tcW w:w="741" w:type="pct"/>
            <w:tcBorders>
              <w:tl2br w:val="nil"/>
              <w:tr2bl w:val="nil"/>
            </w:tcBorders>
            <w:shd w:val="clear" w:color="auto" w:fill="auto"/>
            <w:noWrap/>
            <w:vAlign w:val="center"/>
          </w:tcPr>
          <w:p w14:paraId="085276E1">
            <w:pPr>
              <w:widowControl/>
              <w:jc w:val="center"/>
              <w:textAlignment w:val="center"/>
              <w:rPr>
                <w:rFonts w:hint="eastAsia" w:ascii="Times New Roman" w:hAnsi="Times New Roman" w:eastAsia="宋体" w:cs="Times New Roman"/>
                <w:color w:val="0000FF"/>
                <w:kern w:val="0"/>
                <w:sz w:val="21"/>
                <w:szCs w:val="21"/>
                <w:lang w:eastAsia="zh-CN" w:bidi="ar"/>
              </w:rPr>
            </w:pPr>
            <w:r>
              <w:rPr>
                <w:rFonts w:hint="default" w:ascii="Times New Roman" w:hAnsi="Times New Roman" w:eastAsia="宋体" w:cs="Times New Roman"/>
                <w:color w:val="0000FF"/>
                <w:kern w:val="0"/>
                <w:sz w:val="21"/>
                <w:szCs w:val="21"/>
                <w:lang w:bidi="ar"/>
              </w:rPr>
              <w:t>旧的纯铝线</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缆</w:t>
            </w:r>
            <w:r>
              <w:rPr>
                <w:rFonts w:hint="eastAsia" w:cs="Times New Roman"/>
                <w:color w:val="0000FF"/>
                <w:kern w:val="0"/>
                <w:sz w:val="21"/>
                <w:szCs w:val="21"/>
                <w:lang w:eastAsia="zh-CN" w:bidi="ar"/>
              </w:rPr>
              <w:t>）</w:t>
            </w:r>
          </w:p>
        </w:tc>
        <w:tc>
          <w:tcPr>
            <w:tcW w:w="3162" w:type="pct"/>
            <w:tcBorders>
              <w:tl2br w:val="nil"/>
              <w:tr2bl w:val="nil"/>
            </w:tcBorders>
            <w:shd w:val="clear" w:color="auto" w:fill="auto"/>
            <w:noWrap/>
            <w:vAlign w:val="center"/>
          </w:tcPr>
          <w:p w14:paraId="360E88E8">
            <w:pPr>
              <w:jc w:val="both"/>
              <w:rPr>
                <w:rFonts w:hint="eastAsia" w:ascii="Times New Roman" w:hAnsi="Times New Roman" w:eastAsia="宋体" w:cs="Times New Roman"/>
                <w:color w:val="0000FF"/>
                <w:sz w:val="21"/>
                <w:szCs w:val="21"/>
                <w:lang w:eastAsia="zh-CN"/>
              </w:rPr>
            </w:pPr>
            <w:r>
              <w:rPr>
                <w:rFonts w:hint="eastAsia" w:ascii="Times New Roman" w:hAnsi="Times New Roman" w:eastAsia="宋体" w:cs="Times New Roman"/>
                <w:color w:val="0000FF"/>
                <w:sz w:val="21"/>
                <w:szCs w:val="21"/>
                <w:lang w:eastAsia="zh-CN"/>
              </w:rPr>
              <w:t>旧的纯铝电线、电缆构成的回收铝。表面氧化物及污物低于回收铝总量的1%。无铝合金线、抛丝</w:t>
            </w:r>
            <w:r>
              <w:rPr>
                <w:rFonts w:hint="eastAsia" w:cs="Times New Roman"/>
                <w:color w:val="0000FF"/>
                <w:sz w:val="21"/>
                <w:szCs w:val="21"/>
                <w:lang w:eastAsia="zh-CN"/>
              </w:rPr>
              <w:t>（</w:t>
            </w:r>
            <w:r>
              <w:rPr>
                <w:rFonts w:hint="default" w:ascii="Times New Roman" w:hAnsi="Times New Roman" w:eastAsia="宋体" w:cs="Times New Roman"/>
                <w:color w:val="0000FF"/>
                <w:sz w:val="21"/>
                <w:szCs w:val="21"/>
              </w:rPr>
              <w:t>网</w:t>
            </w:r>
            <w:r>
              <w:rPr>
                <w:rFonts w:hint="eastAsia" w:cs="Times New Roman"/>
                <w:color w:val="0000FF"/>
                <w:sz w:val="21"/>
                <w:szCs w:val="21"/>
                <w:lang w:eastAsia="zh-CN"/>
              </w:rPr>
              <w:t>）</w:t>
            </w:r>
            <w:r>
              <w:rPr>
                <w:rFonts w:hint="eastAsia" w:ascii="Times New Roman" w:hAnsi="Times New Roman" w:eastAsia="宋体" w:cs="Times New Roman"/>
                <w:color w:val="0000FF"/>
                <w:sz w:val="21"/>
                <w:szCs w:val="21"/>
                <w:lang w:eastAsia="zh-CN"/>
              </w:rPr>
              <w:t>、铁、绝缘皮和其他杂质</w:t>
            </w:r>
          </w:p>
        </w:tc>
      </w:tr>
      <w:tr w14:paraId="114D368E">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178" w:hRule="atLeast"/>
        </w:trPr>
        <w:tc>
          <w:tcPr>
            <w:tcW w:w="685" w:type="pct"/>
            <w:vMerge w:val="continue"/>
            <w:tcBorders>
              <w:tl2br w:val="nil"/>
              <w:tr2bl w:val="nil"/>
            </w:tcBorders>
            <w:shd w:val="clear" w:color="auto" w:fill="auto"/>
            <w:noWrap/>
            <w:vAlign w:val="center"/>
          </w:tcPr>
          <w:p w14:paraId="125CA9AE">
            <w:pPr>
              <w:jc w:val="center"/>
              <w:textAlignment w:val="center"/>
              <w:rPr>
                <w:rFonts w:hint="default" w:ascii="Times New Roman" w:hAnsi="Times New Roman" w:eastAsia="宋体" w:cs="Times New Roman"/>
                <w:color w:val="0000FF"/>
                <w:kern w:val="0"/>
                <w:sz w:val="21"/>
                <w:szCs w:val="21"/>
                <w:lang w:bidi="ar"/>
              </w:rPr>
            </w:pPr>
          </w:p>
        </w:tc>
        <w:tc>
          <w:tcPr>
            <w:tcW w:w="411" w:type="pct"/>
            <w:vMerge w:val="continue"/>
            <w:tcBorders>
              <w:tl2br w:val="nil"/>
              <w:tr2bl w:val="nil"/>
            </w:tcBorders>
            <w:shd w:val="clear" w:color="auto" w:fill="auto"/>
            <w:noWrap/>
            <w:vAlign w:val="center"/>
          </w:tcPr>
          <w:p w14:paraId="5A1B39AA">
            <w:pPr>
              <w:widowControl/>
              <w:jc w:val="center"/>
              <w:textAlignment w:val="center"/>
              <w:rPr>
                <w:rFonts w:hint="default" w:ascii="Times New Roman" w:hAnsi="Times New Roman" w:eastAsia="宋体" w:cs="Times New Roman"/>
                <w:color w:val="0000FF"/>
                <w:kern w:val="0"/>
                <w:sz w:val="21"/>
                <w:szCs w:val="21"/>
                <w:lang w:bidi="ar"/>
              </w:rPr>
            </w:pPr>
          </w:p>
        </w:tc>
        <w:tc>
          <w:tcPr>
            <w:tcW w:w="741" w:type="pct"/>
            <w:tcBorders>
              <w:tl2br w:val="nil"/>
              <w:tr2bl w:val="nil"/>
            </w:tcBorders>
            <w:shd w:val="clear" w:color="auto" w:fill="auto"/>
            <w:noWrap/>
            <w:vAlign w:val="center"/>
          </w:tcPr>
          <w:p w14:paraId="5B4D2EE5">
            <w:pPr>
              <w:widowControl/>
              <w:jc w:val="center"/>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导电铝板</w:t>
            </w:r>
          </w:p>
        </w:tc>
        <w:tc>
          <w:tcPr>
            <w:tcW w:w="3162" w:type="pct"/>
            <w:tcBorders>
              <w:tl2br w:val="nil"/>
              <w:tr2bl w:val="nil"/>
            </w:tcBorders>
            <w:shd w:val="clear" w:color="auto" w:fill="auto"/>
            <w:noWrap/>
            <w:vAlign w:val="center"/>
          </w:tcPr>
          <w:p w14:paraId="51773CE3">
            <w:pPr>
              <w:jc w:val="both"/>
              <w:rPr>
                <w:rFonts w:hint="eastAsia" w:ascii="Times New Roman" w:hAnsi="Times New Roman" w:eastAsia="宋体" w:cs="Times New Roman"/>
                <w:color w:val="0000FF"/>
                <w:sz w:val="21"/>
                <w:szCs w:val="21"/>
                <w:lang w:eastAsia="zh-CN"/>
              </w:rPr>
            </w:pPr>
            <w:r>
              <w:rPr>
                <w:rFonts w:hint="eastAsia" w:ascii="Times New Roman" w:hAnsi="Times New Roman" w:eastAsia="宋体" w:cs="Times New Roman"/>
                <w:color w:val="0000FF"/>
                <w:sz w:val="21"/>
                <w:szCs w:val="21"/>
                <w:lang w:eastAsia="zh-CN"/>
              </w:rPr>
              <w:t>各种电器设备和设施中的铝导电板、导电排、导电母线等构成的回收铝。无夹杂物</w:t>
            </w:r>
          </w:p>
        </w:tc>
      </w:tr>
      <w:tr w14:paraId="47E17952">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302" w:hRule="atLeast"/>
        </w:trPr>
        <w:tc>
          <w:tcPr>
            <w:tcW w:w="685" w:type="pct"/>
            <w:vMerge w:val="continue"/>
            <w:tcBorders>
              <w:tl2br w:val="nil"/>
              <w:tr2bl w:val="nil"/>
            </w:tcBorders>
            <w:shd w:val="clear" w:color="auto" w:fill="auto"/>
            <w:vAlign w:val="center"/>
          </w:tcPr>
          <w:p w14:paraId="114CCE2C">
            <w:pPr>
              <w:widowControl/>
              <w:jc w:val="center"/>
              <w:textAlignment w:val="center"/>
              <w:rPr>
                <w:rFonts w:hint="default" w:ascii="Times New Roman" w:hAnsi="Times New Roman" w:eastAsia="宋体" w:cs="Times New Roman"/>
                <w:color w:val="auto"/>
                <w:sz w:val="21"/>
                <w:szCs w:val="21"/>
              </w:rPr>
            </w:pPr>
          </w:p>
        </w:tc>
        <w:tc>
          <w:tcPr>
            <w:tcW w:w="411" w:type="pct"/>
            <w:vMerge w:val="restart"/>
            <w:tcBorders>
              <w:tl2br w:val="nil"/>
              <w:tr2bl w:val="nil"/>
            </w:tcBorders>
            <w:shd w:val="clear" w:color="auto" w:fill="auto"/>
            <w:noWrap/>
            <w:vAlign w:val="center"/>
          </w:tcPr>
          <w:p w14:paraId="458C5151">
            <w:pPr>
              <w:widowControl/>
              <w:jc w:val="center"/>
              <w:textAlignment w:val="center"/>
              <w:rPr>
                <w:rFonts w:hint="default" w:ascii="Times New Roman" w:hAnsi="Times New Roman" w:eastAsia="宋体" w:cs="Times New Roman"/>
                <w:color w:val="0000FF"/>
                <w:sz w:val="21"/>
                <w:szCs w:val="21"/>
                <w:lang w:val="en-US" w:eastAsia="zh-CN"/>
              </w:rPr>
            </w:pPr>
            <w:r>
              <w:rPr>
                <w:rFonts w:hint="eastAsia" w:cs="Times New Roman"/>
                <w:color w:val="0000FF"/>
                <w:sz w:val="21"/>
                <w:szCs w:val="21"/>
                <w:lang w:val="en-US" w:eastAsia="zh-CN"/>
              </w:rPr>
              <w:t>铝罐</w:t>
            </w:r>
          </w:p>
        </w:tc>
        <w:tc>
          <w:tcPr>
            <w:tcW w:w="741" w:type="pct"/>
            <w:tcBorders>
              <w:tl2br w:val="nil"/>
              <w:tr2bl w:val="nil"/>
            </w:tcBorders>
            <w:shd w:val="clear" w:color="auto" w:fill="auto"/>
            <w:noWrap/>
            <w:vAlign w:val="center"/>
          </w:tcPr>
          <w:p w14:paraId="32019A87">
            <w:pPr>
              <w:widowControl/>
              <w:jc w:val="center"/>
              <w:textAlignment w:val="center"/>
              <w:rPr>
                <w:rFonts w:hint="default" w:ascii="Times New Roman" w:hAnsi="Times New Roman" w:eastAsia="宋体" w:cs="Times New Roman"/>
                <w:color w:val="0000FF"/>
                <w:sz w:val="21"/>
                <w:szCs w:val="21"/>
              </w:rPr>
            </w:pPr>
            <w:r>
              <w:rPr>
                <w:rFonts w:hint="default" w:ascii="Times New Roman" w:hAnsi="Times New Roman" w:eastAsia="宋体" w:cs="Times New Roman"/>
                <w:color w:val="0000FF"/>
                <w:kern w:val="0"/>
                <w:sz w:val="21"/>
                <w:szCs w:val="21"/>
                <w:lang w:bidi="ar"/>
              </w:rPr>
              <w:t>新铝罐料</w:t>
            </w:r>
          </w:p>
        </w:tc>
        <w:tc>
          <w:tcPr>
            <w:tcW w:w="3162" w:type="pct"/>
            <w:tcBorders>
              <w:tl2br w:val="nil"/>
              <w:tr2bl w:val="nil"/>
            </w:tcBorders>
            <w:shd w:val="clear" w:color="auto" w:fill="auto"/>
            <w:vAlign w:val="center"/>
          </w:tcPr>
          <w:p w14:paraId="47C65EFA">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新的、洁净的、低铜的铝罐</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表面可覆盖印刷涂层或透明漆</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及其边角料构成的回收铝。</w:t>
            </w:r>
          </w:p>
          <w:p w14:paraId="25512148">
            <w:pPr>
              <w:widowControl/>
              <w:jc w:val="both"/>
              <w:textAlignment w:val="center"/>
              <w:rPr>
                <w:rFonts w:hint="default" w:ascii="Times New Roman" w:hAnsi="Times New Roman" w:eastAsia="宋体" w:cs="Times New Roman"/>
                <w:color w:val="0000FF"/>
                <w:sz w:val="21"/>
                <w:szCs w:val="21"/>
              </w:rPr>
            </w:pPr>
            <w:r>
              <w:rPr>
                <w:rFonts w:hint="default" w:ascii="Times New Roman" w:hAnsi="Times New Roman" w:eastAsia="宋体" w:cs="Times New Roman"/>
                <w:color w:val="0000FF"/>
                <w:kern w:val="0"/>
                <w:sz w:val="21"/>
                <w:szCs w:val="21"/>
                <w:lang w:bidi="ar"/>
              </w:rPr>
              <w:t>油脂不超过回收铝总量的1%。无罐盖、铁、污物和其他杂物</w:t>
            </w:r>
          </w:p>
        </w:tc>
      </w:tr>
      <w:tr w14:paraId="3954C0D3">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90" w:hRule="atLeast"/>
        </w:trPr>
        <w:tc>
          <w:tcPr>
            <w:tcW w:w="685" w:type="pct"/>
            <w:vMerge w:val="continue"/>
            <w:tcBorders>
              <w:tl2br w:val="nil"/>
              <w:tr2bl w:val="nil"/>
            </w:tcBorders>
            <w:shd w:val="clear" w:color="auto" w:fill="auto"/>
            <w:vAlign w:val="center"/>
          </w:tcPr>
          <w:p w14:paraId="4121F5F0">
            <w:pPr>
              <w:jc w:val="center"/>
              <w:rPr>
                <w:rFonts w:hint="default" w:ascii="Times New Roman" w:hAnsi="Times New Roman" w:eastAsia="宋体" w:cs="Times New Roman"/>
                <w:color w:val="auto"/>
                <w:sz w:val="21"/>
                <w:szCs w:val="21"/>
              </w:rPr>
            </w:pPr>
          </w:p>
        </w:tc>
        <w:tc>
          <w:tcPr>
            <w:tcW w:w="411" w:type="pct"/>
            <w:vMerge w:val="continue"/>
            <w:tcBorders>
              <w:tl2br w:val="nil"/>
              <w:tr2bl w:val="nil"/>
            </w:tcBorders>
            <w:shd w:val="clear" w:color="auto" w:fill="auto"/>
            <w:noWrap/>
            <w:vAlign w:val="center"/>
          </w:tcPr>
          <w:p w14:paraId="0DAC1153">
            <w:pPr>
              <w:jc w:val="center"/>
              <w:rPr>
                <w:rFonts w:hint="default" w:ascii="Times New Roman" w:hAnsi="Times New Roman" w:eastAsia="宋体" w:cs="Times New Roman"/>
                <w:color w:val="0000FF"/>
                <w:sz w:val="21"/>
                <w:szCs w:val="21"/>
              </w:rPr>
            </w:pPr>
          </w:p>
        </w:tc>
        <w:tc>
          <w:tcPr>
            <w:tcW w:w="741" w:type="pct"/>
            <w:tcBorders>
              <w:tl2br w:val="nil"/>
              <w:tr2bl w:val="nil"/>
            </w:tcBorders>
            <w:shd w:val="clear" w:color="auto" w:fill="auto"/>
            <w:noWrap/>
            <w:vAlign w:val="center"/>
          </w:tcPr>
          <w:p w14:paraId="46058235">
            <w:pPr>
              <w:widowControl/>
              <w:jc w:val="center"/>
              <w:textAlignment w:val="center"/>
              <w:rPr>
                <w:rFonts w:hint="default" w:ascii="Times New Roman" w:hAnsi="Times New Roman" w:eastAsia="宋体" w:cs="Times New Roman"/>
                <w:color w:val="0000FF"/>
                <w:sz w:val="21"/>
                <w:szCs w:val="21"/>
              </w:rPr>
            </w:pPr>
            <w:r>
              <w:rPr>
                <w:rFonts w:hint="default" w:ascii="Times New Roman" w:hAnsi="Times New Roman" w:eastAsia="宋体" w:cs="Times New Roman"/>
                <w:color w:val="0000FF"/>
                <w:kern w:val="0"/>
                <w:sz w:val="21"/>
                <w:szCs w:val="21"/>
                <w:lang w:bidi="ar"/>
              </w:rPr>
              <w:t>旧铝罐</w:t>
            </w:r>
          </w:p>
        </w:tc>
        <w:tc>
          <w:tcPr>
            <w:tcW w:w="3162" w:type="pct"/>
            <w:tcBorders>
              <w:tl2br w:val="nil"/>
              <w:tr2bl w:val="nil"/>
            </w:tcBorders>
            <w:shd w:val="clear" w:color="auto" w:fill="auto"/>
            <w:vAlign w:val="center"/>
          </w:tcPr>
          <w:p w14:paraId="0931A7D2">
            <w:pPr>
              <w:widowControl/>
              <w:jc w:val="both"/>
              <w:textAlignment w:val="center"/>
              <w:rPr>
                <w:rFonts w:hint="default" w:ascii="Times New Roman" w:hAnsi="Times New Roman" w:eastAsia="宋体" w:cs="Times New Roman"/>
                <w:color w:val="0000FF"/>
                <w:sz w:val="21"/>
                <w:szCs w:val="21"/>
              </w:rPr>
            </w:pPr>
            <w:r>
              <w:rPr>
                <w:rFonts w:hint="default" w:ascii="Times New Roman" w:hAnsi="Times New Roman" w:eastAsia="宋体" w:cs="Times New Roman"/>
                <w:color w:val="0000FF"/>
                <w:kern w:val="0"/>
                <w:sz w:val="21"/>
                <w:szCs w:val="21"/>
                <w:lang w:bidi="ar"/>
              </w:rPr>
              <w:t>盛过食物或饮料的铝罐构成的回收铝。无其他金属、箔、锡罐、塑料瓶、纸、玻璃和其他非金属杂质</w:t>
            </w:r>
          </w:p>
        </w:tc>
      </w:tr>
      <w:tr w14:paraId="5B31C24F">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90" w:hRule="atLeast"/>
        </w:trPr>
        <w:tc>
          <w:tcPr>
            <w:tcW w:w="685" w:type="pct"/>
            <w:vMerge w:val="continue"/>
            <w:tcBorders>
              <w:tl2br w:val="nil"/>
              <w:tr2bl w:val="nil"/>
            </w:tcBorders>
            <w:shd w:val="clear" w:color="auto" w:fill="auto"/>
            <w:vAlign w:val="center"/>
          </w:tcPr>
          <w:p w14:paraId="1D0437B2">
            <w:pPr>
              <w:jc w:val="center"/>
              <w:rPr>
                <w:rFonts w:hint="default" w:ascii="Times New Roman" w:hAnsi="Times New Roman" w:eastAsia="宋体" w:cs="Times New Roman"/>
                <w:color w:val="auto"/>
                <w:sz w:val="21"/>
                <w:szCs w:val="21"/>
              </w:rPr>
            </w:pPr>
          </w:p>
        </w:tc>
        <w:tc>
          <w:tcPr>
            <w:tcW w:w="411" w:type="pct"/>
            <w:vMerge w:val="restart"/>
            <w:tcBorders>
              <w:tl2br w:val="nil"/>
              <w:tr2bl w:val="nil"/>
            </w:tcBorders>
            <w:shd w:val="clear" w:color="auto" w:fill="auto"/>
            <w:noWrap/>
            <w:vAlign w:val="center"/>
          </w:tcPr>
          <w:p w14:paraId="7A81A3C2">
            <w:pPr>
              <w:jc w:val="center"/>
              <w:rPr>
                <w:rFonts w:hint="eastAsia" w:ascii="Times New Roman" w:hAnsi="Times New Roman" w:eastAsia="宋体" w:cs="Times New Roman"/>
                <w:color w:val="0000FF"/>
                <w:sz w:val="21"/>
                <w:szCs w:val="21"/>
                <w:lang w:val="en-US" w:eastAsia="zh-CN"/>
              </w:rPr>
            </w:pPr>
            <w:r>
              <w:rPr>
                <w:rFonts w:hint="eastAsia" w:cs="Times New Roman"/>
                <w:color w:val="0000FF"/>
                <w:sz w:val="21"/>
                <w:szCs w:val="21"/>
                <w:lang w:val="en-US" w:eastAsia="zh-CN"/>
              </w:rPr>
              <w:t>铝箔</w:t>
            </w:r>
          </w:p>
        </w:tc>
        <w:tc>
          <w:tcPr>
            <w:tcW w:w="741" w:type="pct"/>
            <w:tcBorders>
              <w:tl2br w:val="nil"/>
              <w:tr2bl w:val="nil"/>
            </w:tcBorders>
            <w:shd w:val="clear" w:color="auto" w:fill="auto"/>
            <w:noWrap/>
            <w:vAlign w:val="center"/>
          </w:tcPr>
          <w:p w14:paraId="2687933C">
            <w:pPr>
              <w:widowControl/>
              <w:jc w:val="center"/>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新铝箔</w:t>
            </w:r>
          </w:p>
        </w:tc>
        <w:tc>
          <w:tcPr>
            <w:tcW w:w="3162" w:type="pct"/>
            <w:tcBorders>
              <w:tl2br w:val="nil"/>
              <w:tr2bl w:val="nil"/>
            </w:tcBorders>
            <w:shd w:val="clear" w:color="auto" w:fill="auto"/>
            <w:vAlign w:val="center"/>
          </w:tcPr>
          <w:p w14:paraId="64FAF39D">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洁净的、新的、无涂层的铝箔构成的回收铝。</w:t>
            </w:r>
          </w:p>
          <w:p w14:paraId="0583085D">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无阳极氧化膜、无涂层、纸、塑料和其他杂质</w:t>
            </w:r>
          </w:p>
        </w:tc>
      </w:tr>
      <w:tr w14:paraId="6693A288">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90" w:hRule="atLeast"/>
        </w:trPr>
        <w:tc>
          <w:tcPr>
            <w:tcW w:w="685" w:type="pct"/>
            <w:vMerge w:val="continue"/>
            <w:tcBorders>
              <w:tl2br w:val="nil"/>
              <w:tr2bl w:val="nil"/>
            </w:tcBorders>
            <w:shd w:val="clear" w:color="auto" w:fill="auto"/>
            <w:vAlign w:val="center"/>
          </w:tcPr>
          <w:p w14:paraId="4D045C74">
            <w:pPr>
              <w:jc w:val="center"/>
              <w:rPr>
                <w:rFonts w:hint="default" w:ascii="Times New Roman" w:hAnsi="Times New Roman" w:eastAsia="宋体" w:cs="Times New Roman"/>
                <w:color w:val="auto"/>
                <w:sz w:val="21"/>
                <w:szCs w:val="21"/>
              </w:rPr>
            </w:pPr>
          </w:p>
        </w:tc>
        <w:tc>
          <w:tcPr>
            <w:tcW w:w="411" w:type="pct"/>
            <w:vMerge w:val="continue"/>
            <w:tcBorders>
              <w:tl2br w:val="nil"/>
              <w:tr2bl w:val="nil"/>
            </w:tcBorders>
            <w:shd w:val="clear" w:color="auto" w:fill="auto"/>
            <w:noWrap/>
            <w:vAlign w:val="center"/>
          </w:tcPr>
          <w:p w14:paraId="6E122100">
            <w:pPr>
              <w:jc w:val="center"/>
              <w:rPr>
                <w:rFonts w:hint="eastAsia" w:cs="Times New Roman"/>
                <w:color w:val="0000FF"/>
                <w:sz w:val="21"/>
                <w:szCs w:val="21"/>
                <w:lang w:val="en-US" w:eastAsia="zh-CN"/>
              </w:rPr>
            </w:pPr>
          </w:p>
        </w:tc>
        <w:tc>
          <w:tcPr>
            <w:tcW w:w="741" w:type="pct"/>
            <w:tcBorders>
              <w:tl2br w:val="nil"/>
              <w:tr2bl w:val="nil"/>
            </w:tcBorders>
            <w:shd w:val="clear" w:color="auto" w:fill="auto"/>
            <w:noWrap/>
            <w:vAlign w:val="center"/>
          </w:tcPr>
          <w:p w14:paraId="445EE441">
            <w:pPr>
              <w:widowControl/>
              <w:jc w:val="center"/>
              <w:textAlignment w:val="center"/>
              <w:rPr>
                <w:rFonts w:hint="eastAsia" w:ascii="Times New Roman" w:hAnsi="Times New Roman" w:eastAsia="宋体" w:cs="Times New Roman"/>
                <w:color w:val="0000FF"/>
                <w:kern w:val="0"/>
                <w:sz w:val="21"/>
                <w:szCs w:val="21"/>
                <w:lang w:val="en-US" w:eastAsia="zh-CN" w:bidi="ar"/>
              </w:rPr>
            </w:pPr>
            <w:r>
              <w:rPr>
                <w:rFonts w:hint="eastAsia" w:cs="Times New Roman"/>
                <w:color w:val="0000FF"/>
                <w:kern w:val="0"/>
                <w:sz w:val="21"/>
                <w:szCs w:val="21"/>
                <w:lang w:val="en-US" w:eastAsia="zh-CN" w:bidi="ar"/>
              </w:rPr>
              <w:t>旧铝箔</w:t>
            </w:r>
          </w:p>
        </w:tc>
        <w:tc>
          <w:tcPr>
            <w:tcW w:w="3162" w:type="pct"/>
            <w:tcBorders>
              <w:tl2br w:val="nil"/>
              <w:tr2bl w:val="nil"/>
            </w:tcBorders>
            <w:shd w:val="clear" w:color="auto" w:fill="auto"/>
            <w:vAlign w:val="center"/>
          </w:tcPr>
          <w:p w14:paraId="2718BCC3">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无涂层的的家用包装铝箔、锂离子电池箔和容器箔等构成的回收铝。有机残留物低于回收铝总量的5%。无雷达条、化学腐蚀箔、复合箔、铁、纸、塑料和其他非金属杂质。锂离子电池箔的游离镍不高于0.05%，游离钻不高于0.05%，游离锰不高于0.05%，游离铁不高于0.5%</w:t>
            </w:r>
          </w:p>
        </w:tc>
      </w:tr>
      <w:tr w14:paraId="33E1527B">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90" w:hRule="atLeast"/>
        </w:trPr>
        <w:tc>
          <w:tcPr>
            <w:tcW w:w="685" w:type="pct"/>
            <w:vMerge w:val="continue"/>
            <w:tcBorders>
              <w:tl2br w:val="nil"/>
              <w:tr2bl w:val="nil"/>
            </w:tcBorders>
            <w:shd w:val="clear" w:color="auto" w:fill="auto"/>
            <w:vAlign w:val="center"/>
          </w:tcPr>
          <w:p w14:paraId="661099CB">
            <w:pPr>
              <w:jc w:val="center"/>
              <w:rPr>
                <w:rFonts w:hint="default" w:ascii="Times New Roman" w:hAnsi="Times New Roman" w:eastAsia="宋体" w:cs="Times New Roman"/>
                <w:color w:val="auto"/>
                <w:sz w:val="21"/>
                <w:szCs w:val="21"/>
              </w:rPr>
            </w:pPr>
          </w:p>
        </w:tc>
        <w:tc>
          <w:tcPr>
            <w:tcW w:w="411" w:type="pct"/>
            <w:tcBorders>
              <w:tl2br w:val="nil"/>
              <w:tr2bl w:val="nil"/>
            </w:tcBorders>
            <w:shd w:val="clear" w:color="auto" w:fill="auto"/>
            <w:noWrap/>
            <w:vAlign w:val="center"/>
          </w:tcPr>
          <w:p w14:paraId="65F466FD">
            <w:pPr>
              <w:jc w:val="center"/>
              <w:rPr>
                <w:rFonts w:hint="eastAsia" w:cs="Times New Roman"/>
                <w:color w:val="0000FF"/>
                <w:sz w:val="21"/>
                <w:szCs w:val="21"/>
                <w:lang w:val="en-US" w:eastAsia="zh-CN"/>
              </w:rPr>
            </w:pPr>
            <w:r>
              <w:rPr>
                <w:rFonts w:hint="eastAsia" w:cs="Times New Roman"/>
                <w:color w:val="0000FF"/>
                <w:sz w:val="21"/>
                <w:szCs w:val="21"/>
                <w:lang w:val="en-US" w:eastAsia="zh-CN"/>
              </w:rPr>
              <w:t>铝挤压材</w:t>
            </w:r>
          </w:p>
        </w:tc>
        <w:tc>
          <w:tcPr>
            <w:tcW w:w="741" w:type="pct"/>
            <w:tcBorders>
              <w:tl2br w:val="nil"/>
              <w:tr2bl w:val="nil"/>
            </w:tcBorders>
            <w:shd w:val="clear" w:color="auto" w:fill="auto"/>
            <w:noWrap/>
            <w:vAlign w:val="center"/>
          </w:tcPr>
          <w:p w14:paraId="0B3BA8C4">
            <w:pPr>
              <w:widowControl/>
              <w:jc w:val="center"/>
              <w:textAlignment w:val="center"/>
              <w:rPr>
                <w:rFonts w:hint="eastAsia" w:cs="Times New Roman"/>
                <w:color w:val="0000FF"/>
                <w:kern w:val="0"/>
                <w:sz w:val="21"/>
                <w:szCs w:val="21"/>
                <w:lang w:val="en-US" w:eastAsia="zh-CN" w:bidi="ar"/>
              </w:rPr>
            </w:pPr>
            <w:r>
              <w:rPr>
                <w:rFonts w:hint="eastAsia" w:cs="Times New Roman"/>
                <w:color w:val="0000FF"/>
                <w:kern w:val="0"/>
                <w:sz w:val="21"/>
                <w:szCs w:val="21"/>
                <w:lang w:val="en-US" w:eastAsia="zh-CN" w:bidi="ar"/>
              </w:rPr>
              <w:t>门窗铝材</w:t>
            </w:r>
          </w:p>
        </w:tc>
        <w:tc>
          <w:tcPr>
            <w:tcW w:w="3162" w:type="pct"/>
            <w:tcBorders>
              <w:tl2br w:val="nil"/>
              <w:tr2bl w:val="nil"/>
            </w:tcBorders>
            <w:shd w:val="clear" w:color="auto" w:fill="auto"/>
            <w:vAlign w:val="center"/>
          </w:tcPr>
          <w:p w14:paraId="72448912">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洁净的挤压铝材</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以6063牌号为主，带有机涂层和隔热条或隔热胶</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构成的回收铝。</w:t>
            </w:r>
          </w:p>
          <w:p w14:paraId="69252A9A">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无锌、铁、毛毡、塑料、纸、纸板、污物或其他任何夹杂物</w:t>
            </w:r>
          </w:p>
        </w:tc>
      </w:tr>
      <w:tr w14:paraId="23ACED06">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90" w:hRule="atLeast"/>
        </w:trPr>
        <w:tc>
          <w:tcPr>
            <w:tcW w:w="685" w:type="pct"/>
            <w:tcBorders>
              <w:tl2br w:val="nil"/>
              <w:tr2bl w:val="nil"/>
            </w:tcBorders>
            <w:shd w:val="clear" w:color="auto" w:fill="auto"/>
            <w:vAlign w:val="center"/>
          </w:tcPr>
          <w:p w14:paraId="6C4B045E">
            <w:pPr>
              <w:jc w:val="center"/>
              <w:rPr>
                <w:rFonts w:hint="default" w:ascii="Times New Roman" w:hAnsi="Times New Roman" w:eastAsia="宋体" w:cs="Times New Roman"/>
                <w:color w:val="auto"/>
                <w:sz w:val="21"/>
                <w:szCs w:val="21"/>
              </w:rPr>
            </w:pPr>
          </w:p>
        </w:tc>
        <w:tc>
          <w:tcPr>
            <w:tcW w:w="411" w:type="pct"/>
            <w:tcBorders>
              <w:tl2br w:val="nil"/>
              <w:tr2bl w:val="nil"/>
            </w:tcBorders>
            <w:shd w:val="clear" w:color="auto" w:fill="auto"/>
            <w:noWrap/>
            <w:vAlign w:val="center"/>
          </w:tcPr>
          <w:p w14:paraId="5BCFD70C">
            <w:pPr>
              <w:jc w:val="center"/>
              <w:rPr>
                <w:rFonts w:hint="default" w:cs="Times New Roman"/>
                <w:color w:val="0000FF"/>
                <w:sz w:val="21"/>
                <w:szCs w:val="21"/>
                <w:lang w:val="en-US" w:eastAsia="zh-CN"/>
              </w:rPr>
            </w:pPr>
            <w:r>
              <w:rPr>
                <w:rFonts w:hint="eastAsia" w:cs="Times New Roman"/>
                <w:color w:val="0000FF"/>
                <w:sz w:val="21"/>
                <w:szCs w:val="21"/>
                <w:lang w:val="en-US" w:eastAsia="zh-CN"/>
              </w:rPr>
              <w:t>其他</w:t>
            </w:r>
          </w:p>
        </w:tc>
        <w:tc>
          <w:tcPr>
            <w:tcW w:w="741" w:type="pct"/>
            <w:tcBorders>
              <w:tl2br w:val="nil"/>
              <w:tr2bl w:val="nil"/>
            </w:tcBorders>
            <w:shd w:val="clear" w:color="auto" w:fill="auto"/>
            <w:noWrap/>
            <w:vAlign w:val="center"/>
          </w:tcPr>
          <w:p w14:paraId="37B29C8F">
            <w:pPr>
              <w:widowControl/>
              <w:jc w:val="center"/>
              <w:textAlignment w:val="center"/>
              <w:rPr>
                <w:rFonts w:hint="default" w:cs="Times New Roman"/>
                <w:color w:val="0000FF"/>
                <w:kern w:val="0"/>
                <w:sz w:val="21"/>
                <w:szCs w:val="21"/>
                <w:lang w:val="en-US" w:eastAsia="zh-CN" w:bidi="ar"/>
              </w:rPr>
            </w:pPr>
            <w:r>
              <w:rPr>
                <w:rFonts w:hint="eastAsia" w:cs="Times New Roman"/>
                <w:color w:val="0000FF"/>
                <w:kern w:val="0"/>
                <w:sz w:val="21"/>
                <w:szCs w:val="21"/>
                <w:lang w:val="en-US" w:eastAsia="zh-CN" w:bidi="ar"/>
              </w:rPr>
              <w:t>纯铝加工余料及几何废料</w:t>
            </w:r>
          </w:p>
        </w:tc>
        <w:tc>
          <w:tcPr>
            <w:tcW w:w="3162" w:type="pct"/>
            <w:tcBorders>
              <w:tl2br w:val="nil"/>
              <w:tr2bl w:val="nil"/>
            </w:tcBorders>
            <w:shd w:val="clear" w:color="auto" w:fill="auto"/>
            <w:vAlign w:val="center"/>
          </w:tcPr>
          <w:p w14:paraId="1CDD557C">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洁净无涂层的纯铝加工余料或几何废料</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最小厚度不小于0.38mm</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构成的回收铝。</w:t>
            </w:r>
          </w:p>
          <w:p w14:paraId="38619420">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油脂不超过回收铝总量的1%。无其他铝合金、抛丝</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网</w:t>
            </w:r>
            <w:r>
              <w:rPr>
                <w:rFonts w:hint="eastAsia" w:cs="Times New Roman"/>
                <w:color w:val="0000FF"/>
                <w:kern w:val="0"/>
                <w:sz w:val="21"/>
                <w:szCs w:val="21"/>
                <w:lang w:eastAsia="zh-CN" w:bidi="ar"/>
              </w:rPr>
              <w:t>）</w:t>
            </w:r>
            <w:r>
              <w:rPr>
                <w:rFonts w:hint="default" w:ascii="Times New Roman" w:hAnsi="Times New Roman" w:eastAsia="宋体" w:cs="Times New Roman"/>
                <w:color w:val="0000FF"/>
                <w:kern w:val="0"/>
                <w:sz w:val="21"/>
                <w:szCs w:val="21"/>
                <w:lang w:bidi="ar"/>
              </w:rPr>
              <w:t>、直径小于12.7mm的冲片、污物和其他非金属杂质</w:t>
            </w:r>
          </w:p>
        </w:tc>
      </w:tr>
      <w:tr w14:paraId="621F2392">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630" w:hRule="atLeast"/>
        </w:trPr>
        <w:tc>
          <w:tcPr>
            <w:tcW w:w="685" w:type="pct"/>
            <w:tcBorders>
              <w:tl2br w:val="nil"/>
              <w:tr2bl w:val="nil"/>
            </w:tcBorders>
            <w:shd w:val="clear" w:color="auto" w:fill="auto"/>
            <w:vAlign w:val="center"/>
          </w:tcPr>
          <w:p w14:paraId="294E7D12">
            <w:pPr>
              <w:jc w:val="center"/>
              <w:rPr>
                <w:rFonts w:hint="default" w:ascii="Times New Roman" w:hAnsi="Times New Roman" w:eastAsia="宋体" w:cs="Times New Roman"/>
                <w:color w:val="0000FF"/>
                <w:sz w:val="21"/>
                <w:szCs w:val="21"/>
                <w:lang w:val="en-US" w:eastAsia="zh-CN"/>
              </w:rPr>
            </w:pPr>
            <w:r>
              <w:rPr>
                <w:rFonts w:hint="eastAsia" w:ascii="Times New Roman" w:hAnsi="Times New Roman" w:eastAsia="宋体" w:cs="Times New Roman"/>
                <w:color w:val="0000FF"/>
                <w:sz w:val="21"/>
                <w:szCs w:val="21"/>
                <w:lang w:val="en-US" w:eastAsia="zh-CN"/>
              </w:rPr>
              <w:t>铸造铝合金废料</w:t>
            </w:r>
          </w:p>
        </w:tc>
        <w:tc>
          <w:tcPr>
            <w:tcW w:w="411" w:type="pct"/>
            <w:tcBorders>
              <w:tl2br w:val="nil"/>
              <w:tr2bl w:val="nil"/>
            </w:tcBorders>
            <w:shd w:val="clear" w:color="auto" w:fill="auto"/>
            <w:noWrap/>
            <w:vAlign w:val="center"/>
          </w:tcPr>
          <w:p w14:paraId="526E41D2">
            <w:pPr>
              <w:jc w:val="center"/>
              <w:rPr>
                <w:rFonts w:hint="default" w:ascii="Times New Roman" w:hAnsi="Times New Roman" w:eastAsia="宋体" w:cs="Times New Roman"/>
                <w:color w:val="0000FF"/>
                <w:sz w:val="21"/>
                <w:szCs w:val="21"/>
                <w:lang w:val="en-US" w:eastAsia="zh-CN"/>
              </w:rPr>
            </w:pPr>
            <w:r>
              <w:rPr>
                <w:rFonts w:hint="eastAsia" w:ascii="Times New Roman" w:hAnsi="Times New Roman" w:eastAsia="宋体" w:cs="Times New Roman"/>
                <w:color w:val="0000FF"/>
                <w:sz w:val="21"/>
                <w:szCs w:val="21"/>
                <w:lang w:val="en-US" w:eastAsia="zh-CN"/>
              </w:rPr>
              <w:t>交通用铝铸件</w:t>
            </w:r>
          </w:p>
        </w:tc>
        <w:tc>
          <w:tcPr>
            <w:tcW w:w="741" w:type="pct"/>
            <w:tcBorders>
              <w:tl2br w:val="nil"/>
              <w:tr2bl w:val="nil"/>
            </w:tcBorders>
            <w:shd w:val="clear" w:color="auto" w:fill="auto"/>
            <w:noWrap/>
            <w:vAlign w:val="center"/>
          </w:tcPr>
          <w:p w14:paraId="596F5306">
            <w:pPr>
              <w:widowControl/>
              <w:jc w:val="center"/>
              <w:textAlignment w:val="center"/>
              <w:rPr>
                <w:rFonts w:hint="default" w:ascii="Times New Roman" w:hAnsi="Times New Roman" w:eastAsia="宋体" w:cs="Times New Roman"/>
                <w:color w:val="0000FF"/>
                <w:kern w:val="0"/>
                <w:sz w:val="21"/>
                <w:szCs w:val="21"/>
                <w:lang w:bidi="ar"/>
              </w:rPr>
            </w:pPr>
            <w:r>
              <w:rPr>
                <w:rFonts w:hint="eastAsia" w:cs="Times New Roman"/>
                <w:color w:val="0000FF"/>
                <w:sz w:val="21"/>
                <w:szCs w:val="21"/>
                <w:lang w:val="en-US" w:eastAsia="zh-CN"/>
              </w:rPr>
              <w:t>车辆</w:t>
            </w:r>
            <w:r>
              <w:rPr>
                <w:rFonts w:hint="eastAsia" w:ascii="Times New Roman" w:hAnsi="Times New Roman" w:eastAsia="宋体" w:cs="Times New Roman"/>
                <w:color w:val="0000FF"/>
                <w:sz w:val="21"/>
                <w:szCs w:val="21"/>
                <w:lang w:val="en-US" w:eastAsia="zh-CN"/>
              </w:rPr>
              <w:t>铝铸件</w:t>
            </w:r>
          </w:p>
        </w:tc>
        <w:tc>
          <w:tcPr>
            <w:tcW w:w="3162" w:type="pct"/>
            <w:tcBorders>
              <w:tl2br w:val="nil"/>
              <w:tr2bl w:val="nil"/>
            </w:tcBorders>
            <w:shd w:val="clear" w:color="auto" w:fill="auto"/>
            <w:vAlign w:val="center"/>
          </w:tcPr>
          <w:p w14:paraId="68377F6E">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失去原使用功能的、各种洁净的车辆用铝铸件构成的回收铝。铸件尺寸应达到目视容易鉴别的程度。油污和油脂低于回收铝总量的2%。无污物、黄铜、轴套及非金属物品</w:t>
            </w:r>
          </w:p>
        </w:tc>
      </w:tr>
      <w:tr w14:paraId="1BD18168">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630" w:hRule="atLeast"/>
        </w:trPr>
        <w:tc>
          <w:tcPr>
            <w:tcW w:w="1096" w:type="pct"/>
            <w:gridSpan w:val="2"/>
            <w:tcBorders>
              <w:tl2br w:val="nil"/>
              <w:tr2bl w:val="nil"/>
            </w:tcBorders>
            <w:shd w:val="clear" w:color="auto" w:fill="auto"/>
            <w:vAlign w:val="center"/>
          </w:tcPr>
          <w:p w14:paraId="6FF17AF5">
            <w:pPr>
              <w:jc w:val="center"/>
              <w:rPr>
                <w:rFonts w:hint="eastAsia" w:ascii="Times New Roman" w:hAnsi="Times New Roman" w:eastAsia="宋体" w:cs="Times New Roman"/>
                <w:color w:val="0000FF"/>
                <w:sz w:val="21"/>
                <w:szCs w:val="21"/>
                <w:lang w:val="en-US" w:eastAsia="zh-CN"/>
              </w:rPr>
            </w:pPr>
            <w:r>
              <w:rPr>
                <w:rFonts w:hint="eastAsia" w:ascii="Times New Roman" w:hAnsi="Times New Roman" w:eastAsia="宋体" w:cs="Times New Roman"/>
                <w:color w:val="0000FF"/>
                <w:sz w:val="21"/>
                <w:szCs w:val="21"/>
                <w:lang w:val="en-US" w:eastAsia="zh-CN"/>
              </w:rPr>
              <w:t>铝及铝合金屑</w:t>
            </w:r>
          </w:p>
        </w:tc>
        <w:tc>
          <w:tcPr>
            <w:tcW w:w="741" w:type="pct"/>
            <w:tcBorders>
              <w:tl2br w:val="nil"/>
              <w:tr2bl w:val="nil"/>
            </w:tcBorders>
            <w:shd w:val="clear" w:color="auto" w:fill="auto"/>
            <w:noWrap/>
            <w:vAlign w:val="center"/>
          </w:tcPr>
          <w:p w14:paraId="0E75BAE3">
            <w:pPr>
              <w:widowControl/>
              <w:jc w:val="center"/>
              <w:textAlignment w:val="center"/>
              <w:rPr>
                <w:rFonts w:hint="eastAsia" w:cs="Times New Roman"/>
                <w:color w:val="0000FF"/>
                <w:sz w:val="21"/>
                <w:szCs w:val="21"/>
                <w:lang w:val="en-US" w:eastAsia="zh-CN"/>
              </w:rPr>
            </w:pPr>
            <w:r>
              <w:rPr>
                <w:rFonts w:hint="eastAsia" w:cs="Times New Roman"/>
                <w:color w:val="0000FF"/>
                <w:sz w:val="21"/>
                <w:szCs w:val="21"/>
                <w:lang w:val="en-US" w:eastAsia="zh-CN"/>
              </w:rPr>
              <w:t>同牌号铝屑</w:t>
            </w:r>
          </w:p>
        </w:tc>
        <w:tc>
          <w:tcPr>
            <w:tcW w:w="3162" w:type="pct"/>
            <w:tcBorders>
              <w:tl2br w:val="nil"/>
              <w:tr2bl w:val="nil"/>
            </w:tcBorders>
            <w:shd w:val="clear" w:color="auto" w:fill="auto"/>
            <w:vAlign w:val="center"/>
          </w:tcPr>
          <w:p w14:paraId="76B1E600">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同牌号的、洁净的铝合金屑构成的回收铝通过孔径840μm网筛的细屑不大于回收铝总量的3%，不含氧化物。</w:t>
            </w:r>
          </w:p>
          <w:p w14:paraId="49635F4F">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不准许混人污物、铁、不锈钢、镁、油、易燃液体、水分和其他非金属物品</w:t>
            </w:r>
          </w:p>
        </w:tc>
      </w:tr>
      <w:tr w14:paraId="47FE2E69">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630" w:hRule="atLeast"/>
        </w:trPr>
        <w:tc>
          <w:tcPr>
            <w:tcW w:w="1096" w:type="pct"/>
            <w:gridSpan w:val="2"/>
            <w:tcBorders>
              <w:tl2br w:val="nil"/>
              <w:tr2bl w:val="nil"/>
            </w:tcBorders>
            <w:shd w:val="clear" w:color="auto" w:fill="auto"/>
            <w:vAlign w:val="center"/>
          </w:tcPr>
          <w:p w14:paraId="056648BA">
            <w:pPr>
              <w:jc w:val="center"/>
              <w:rPr>
                <w:rFonts w:hint="eastAsia" w:ascii="Times New Roman" w:hAnsi="Times New Roman" w:eastAsia="宋体" w:cs="Times New Roman"/>
                <w:color w:val="0000FF"/>
                <w:sz w:val="21"/>
                <w:szCs w:val="21"/>
                <w:lang w:val="en-US" w:eastAsia="zh-CN"/>
              </w:rPr>
            </w:pPr>
            <w:r>
              <w:rPr>
                <w:rFonts w:hint="eastAsia" w:ascii="Times New Roman" w:hAnsi="Times New Roman" w:eastAsia="宋体" w:cs="Times New Roman"/>
                <w:color w:val="0000FF"/>
                <w:sz w:val="21"/>
                <w:szCs w:val="21"/>
                <w:lang w:val="en-US" w:eastAsia="zh-CN"/>
              </w:rPr>
              <w:t>铝及铝合金碎片</w:t>
            </w:r>
          </w:p>
        </w:tc>
        <w:tc>
          <w:tcPr>
            <w:tcW w:w="741" w:type="pct"/>
            <w:tcBorders>
              <w:tl2br w:val="nil"/>
              <w:tr2bl w:val="nil"/>
            </w:tcBorders>
            <w:shd w:val="clear" w:color="auto" w:fill="auto"/>
            <w:noWrap/>
            <w:vAlign w:val="center"/>
          </w:tcPr>
          <w:p w14:paraId="11FDD1CB">
            <w:pPr>
              <w:widowControl/>
              <w:jc w:val="center"/>
              <w:textAlignment w:val="center"/>
              <w:rPr>
                <w:rFonts w:hint="eastAsia" w:cs="Times New Roman"/>
                <w:color w:val="0000FF"/>
                <w:sz w:val="21"/>
                <w:szCs w:val="21"/>
                <w:lang w:val="en-US" w:eastAsia="zh-CN"/>
              </w:rPr>
            </w:pPr>
            <w:r>
              <w:rPr>
                <w:rFonts w:hint="eastAsia" w:cs="Times New Roman"/>
                <w:color w:val="0000FF"/>
                <w:sz w:val="21"/>
                <w:szCs w:val="21"/>
                <w:lang w:val="en-US" w:eastAsia="zh-CN"/>
              </w:rPr>
              <w:t>铝破碎料</w:t>
            </w:r>
          </w:p>
        </w:tc>
        <w:tc>
          <w:tcPr>
            <w:tcW w:w="3162" w:type="pct"/>
            <w:tcBorders>
              <w:tl2br w:val="nil"/>
              <w:tr2bl w:val="nil"/>
            </w:tcBorders>
            <w:shd w:val="clear" w:color="auto" w:fill="auto"/>
            <w:vAlign w:val="center"/>
          </w:tcPr>
          <w:p w14:paraId="038AA599">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从电气电子产品、家具、机械设备、拆解汽车、锂离子电池的破碎料中分选出来的回收铝。由机械或人工分离出的铝及铝合金的干燥切片或破碎料构成。</w:t>
            </w:r>
          </w:p>
          <w:p w14:paraId="179AD91A">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锌低于1%，镁低于1%，铁不超过1%，非金属总含量不超过2%，</w:t>
            </w:r>
          </w:p>
          <w:p w14:paraId="484CCE19">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橡胶和塑料不超过1%。</w:t>
            </w:r>
          </w:p>
          <w:p w14:paraId="25429DA7">
            <w:pPr>
              <w:widowControl/>
              <w:jc w:val="both"/>
              <w:textAlignment w:val="center"/>
              <w:rPr>
                <w:rFonts w:hint="default" w:ascii="Times New Roman" w:hAnsi="Times New Roman" w:eastAsia="宋体" w:cs="Times New Roman"/>
                <w:color w:val="0000FF"/>
                <w:kern w:val="0"/>
                <w:sz w:val="21"/>
                <w:szCs w:val="21"/>
                <w:lang w:bidi="ar"/>
              </w:rPr>
            </w:pPr>
            <w:r>
              <w:rPr>
                <w:rFonts w:hint="default" w:ascii="Times New Roman" w:hAnsi="Times New Roman" w:eastAsia="宋体" w:cs="Times New Roman"/>
                <w:color w:val="0000FF"/>
                <w:kern w:val="0"/>
                <w:sz w:val="21"/>
                <w:szCs w:val="21"/>
                <w:lang w:bidi="ar"/>
              </w:rPr>
              <w:t>无过度氧化的材料和气胎罐及密封的，或加压密封的容器。最大尺寸应不大于150mm</w:t>
            </w:r>
          </w:p>
        </w:tc>
      </w:tr>
    </w:tbl>
    <w:p w14:paraId="6F3B11E6">
      <w:pPr>
        <w:spacing w:line="360" w:lineRule="auto"/>
        <w:outlineLvl w:val="1"/>
        <w:rPr>
          <w:rFonts w:hint="eastAsia"/>
          <w:b/>
          <w:bCs/>
          <w:color w:val="auto"/>
          <w:sz w:val="24"/>
          <w:szCs w:val="24"/>
        </w:rPr>
      </w:pPr>
      <w:bookmarkStart w:id="286" w:name="_Toc12685"/>
    </w:p>
    <w:p w14:paraId="4CCB51A3">
      <w:pPr>
        <w:spacing w:line="360" w:lineRule="auto"/>
        <w:outlineLvl w:val="1"/>
        <w:rPr>
          <w:rFonts w:hint="eastAsia"/>
          <w:b/>
          <w:bCs/>
          <w:color w:val="auto"/>
          <w:sz w:val="24"/>
          <w:szCs w:val="24"/>
          <w:lang w:val="en-US" w:eastAsia="zh-CN"/>
        </w:rPr>
      </w:pPr>
      <w:r>
        <w:rPr>
          <w:rFonts w:hint="eastAsia"/>
          <w:b/>
          <w:bCs/>
          <w:color w:val="auto"/>
          <w:sz w:val="24"/>
          <w:szCs w:val="24"/>
        </w:rPr>
        <w:t>3.1.</w:t>
      </w:r>
      <w:r>
        <w:rPr>
          <w:rFonts w:hint="eastAsia"/>
          <w:b/>
          <w:bCs/>
          <w:color w:val="auto"/>
          <w:sz w:val="24"/>
          <w:szCs w:val="24"/>
          <w:lang w:val="en-US" w:eastAsia="zh-CN"/>
        </w:rPr>
        <w:t>5</w:t>
      </w:r>
      <w:r>
        <w:rPr>
          <w:rFonts w:hint="eastAsia"/>
          <w:b/>
          <w:bCs/>
          <w:color w:val="auto"/>
          <w:sz w:val="24"/>
          <w:szCs w:val="24"/>
        </w:rPr>
        <w:t xml:space="preserve"> </w:t>
      </w:r>
      <w:r>
        <w:rPr>
          <w:rFonts w:hint="eastAsia"/>
          <w:b/>
          <w:bCs/>
          <w:color w:val="auto"/>
          <w:sz w:val="24"/>
          <w:szCs w:val="24"/>
          <w:lang w:val="en-US" w:eastAsia="zh-CN"/>
        </w:rPr>
        <w:t>生产工艺</w:t>
      </w:r>
      <w:bookmarkEnd w:id="286"/>
    </w:p>
    <w:p w14:paraId="3AA9F31E">
      <w:pPr>
        <w:spacing w:line="360" w:lineRule="auto"/>
        <w:ind w:firstLine="480" w:firstLineChars="200"/>
        <w:rPr>
          <w:color w:val="auto"/>
          <w:sz w:val="24"/>
          <w:szCs w:val="32"/>
        </w:rPr>
      </w:pPr>
      <w:bookmarkStart w:id="287" w:name="_Toc408478047"/>
      <w:r>
        <w:rPr>
          <w:color w:val="auto"/>
          <w:sz w:val="24"/>
          <w:szCs w:val="32"/>
        </w:rPr>
        <w:t>项目生产工艺流程如下：</w:t>
      </w:r>
    </w:p>
    <w:p w14:paraId="216203F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b w:val="0"/>
          <w:bCs w:val="0"/>
          <w:color w:val="auto"/>
          <w:sz w:val="24"/>
          <w:szCs w:val="32"/>
          <w:lang w:val="en-US" w:eastAsia="zh-CN"/>
        </w:rPr>
      </w:pPr>
      <w:r>
        <w:rPr>
          <w:rFonts w:hint="eastAsia"/>
          <w:b w:val="0"/>
          <w:bCs w:val="0"/>
          <w:color w:val="auto"/>
          <w:sz w:val="24"/>
          <w:szCs w:val="32"/>
          <w:lang w:val="en-US" w:eastAsia="zh-CN"/>
        </w:rPr>
        <w:t>现有铝硅系铸造铝合金锭生产工艺未发生变化，与环评及验收阶段一致，具体如下：</w:t>
      </w:r>
    </w:p>
    <w:p w14:paraId="6AE95A3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rPr>
      </w:pPr>
      <w:r>
        <w:rPr>
          <w:color w:val="auto"/>
        </w:rPr>
        <w:drawing>
          <wp:inline distT="0" distB="0" distL="114300" distR="114300">
            <wp:extent cx="5227320" cy="6336030"/>
            <wp:effectExtent l="0" t="0" r="11430" b="7620"/>
            <wp:docPr id="6" name="图片 26" descr="C:/Users/Administrator/Desktop/1.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6" descr="C:/Users/Administrator/Desktop/1.png1"/>
                    <pic:cNvPicPr>
                      <a:picLocks noChangeAspect="1"/>
                    </pic:cNvPicPr>
                  </pic:nvPicPr>
                  <pic:blipFill>
                    <a:blip r:embed="rId22"/>
                    <a:srcRect l="5154" r="5154"/>
                    <a:stretch>
                      <a:fillRect/>
                    </a:stretch>
                  </pic:blipFill>
                  <pic:spPr>
                    <a:xfrm>
                      <a:off x="0" y="0"/>
                      <a:ext cx="5227320" cy="6336030"/>
                    </a:xfrm>
                    <a:prstGeom prst="rect">
                      <a:avLst/>
                    </a:prstGeom>
                    <a:noFill/>
                    <a:ln>
                      <a:noFill/>
                    </a:ln>
                  </pic:spPr>
                </pic:pic>
              </a:graphicData>
            </a:graphic>
          </wp:inline>
        </w:drawing>
      </w:r>
    </w:p>
    <w:p w14:paraId="70DF1DE6">
      <w:pPr>
        <w:spacing w:line="360" w:lineRule="auto"/>
        <w:jc w:val="center"/>
        <w:rPr>
          <w:b/>
          <w:bCs/>
          <w:color w:val="auto"/>
          <w:sz w:val="24"/>
        </w:rPr>
      </w:pPr>
      <w:r>
        <w:rPr>
          <w:b/>
          <w:bCs/>
          <w:color w:val="auto"/>
          <w:sz w:val="24"/>
        </w:rPr>
        <w:t>图</w:t>
      </w:r>
      <w:r>
        <w:rPr>
          <w:rFonts w:hint="eastAsia"/>
          <w:b/>
          <w:bCs/>
          <w:color w:val="auto"/>
          <w:sz w:val="24"/>
          <w:lang w:val="en-US" w:eastAsia="zh-CN"/>
        </w:rPr>
        <w:t>3-1</w:t>
      </w:r>
      <w:r>
        <w:rPr>
          <w:b/>
          <w:bCs/>
          <w:color w:val="auto"/>
          <w:sz w:val="24"/>
        </w:rPr>
        <w:t xml:space="preserve"> </w:t>
      </w:r>
      <w:r>
        <w:rPr>
          <w:rFonts w:hint="eastAsia"/>
          <w:b/>
          <w:bCs/>
          <w:color w:val="auto"/>
          <w:sz w:val="24"/>
          <w:lang w:val="en-US" w:eastAsia="zh-CN"/>
        </w:rPr>
        <w:t>铝硅系铸造铝合金锭</w:t>
      </w:r>
      <w:r>
        <w:rPr>
          <w:b/>
          <w:bCs/>
          <w:color w:val="auto"/>
          <w:sz w:val="24"/>
        </w:rPr>
        <w:t>生产工艺流程及产污节点图</w:t>
      </w:r>
    </w:p>
    <w:p w14:paraId="2FD2F66B">
      <w:pPr>
        <w:spacing w:line="360" w:lineRule="auto"/>
        <w:ind w:firstLine="482" w:firstLineChars="200"/>
        <w:rPr>
          <w:b/>
          <w:bCs/>
          <w:color w:val="auto"/>
          <w:sz w:val="24"/>
          <w:szCs w:val="32"/>
        </w:rPr>
      </w:pPr>
      <w:r>
        <w:rPr>
          <w:b/>
          <w:bCs/>
          <w:color w:val="auto"/>
          <w:sz w:val="24"/>
          <w:szCs w:val="32"/>
        </w:rPr>
        <w:t>工艺流程说明：</w:t>
      </w:r>
    </w:p>
    <w:p w14:paraId="1DF871A2">
      <w:pPr>
        <w:spacing w:line="360" w:lineRule="auto"/>
        <w:ind w:firstLine="480" w:firstLineChars="200"/>
        <w:rPr>
          <w:rFonts w:hint="eastAsia"/>
          <w:color w:val="auto"/>
          <w:sz w:val="24"/>
          <w:szCs w:val="32"/>
          <w:lang w:val="en-US" w:eastAsia="zh-CN"/>
        </w:rPr>
      </w:pPr>
      <w:r>
        <w:rPr>
          <w:rFonts w:hint="eastAsia"/>
          <w:color w:val="auto"/>
          <w:sz w:val="24"/>
          <w:szCs w:val="32"/>
          <w:lang w:val="en-US" w:eastAsia="zh-CN"/>
        </w:rPr>
        <w:t>1、废铝预处理系统分为：磁选工序、人工分选工序</w:t>
      </w:r>
    </w:p>
    <w:p w14:paraId="4B82C722">
      <w:pPr>
        <w:spacing w:line="360" w:lineRule="auto"/>
        <w:ind w:firstLine="480" w:firstLineChars="200"/>
        <w:rPr>
          <w:color w:val="auto"/>
          <w:sz w:val="24"/>
          <w:szCs w:val="32"/>
        </w:rPr>
      </w:pPr>
      <w:r>
        <w:rPr>
          <w:rFonts w:hint="eastAsia"/>
          <w:color w:val="auto"/>
          <w:sz w:val="24"/>
          <w:szCs w:val="32"/>
          <w:lang w:eastAsia="zh-CN"/>
        </w:rPr>
        <w:t>（</w:t>
      </w:r>
      <w:r>
        <w:rPr>
          <w:rFonts w:hint="eastAsia"/>
          <w:color w:val="auto"/>
          <w:sz w:val="24"/>
          <w:szCs w:val="32"/>
          <w:lang w:val="en-US" w:eastAsia="zh-CN"/>
        </w:rPr>
        <w:t>1</w:t>
      </w:r>
      <w:r>
        <w:rPr>
          <w:rFonts w:hint="eastAsia"/>
          <w:color w:val="auto"/>
          <w:sz w:val="24"/>
          <w:szCs w:val="32"/>
          <w:lang w:eastAsia="zh-CN"/>
        </w:rPr>
        <w:t>）</w:t>
      </w:r>
      <w:r>
        <w:rPr>
          <w:rFonts w:hint="eastAsia"/>
          <w:color w:val="auto"/>
          <w:sz w:val="24"/>
          <w:szCs w:val="32"/>
        </w:rPr>
        <w:t>磁选</w:t>
      </w:r>
      <w:r>
        <w:rPr>
          <w:rFonts w:hint="eastAsia"/>
          <w:color w:val="auto"/>
          <w:sz w:val="24"/>
          <w:szCs w:val="32"/>
          <w:lang w:eastAsia="zh-CN"/>
        </w:rPr>
        <w:t>：</w:t>
      </w:r>
      <w:r>
        <w:rPr>
          <w:rFonts w:hint="eastAsia"/>
          <w:color w:val="auto"/>
          <w:sz w:val="24"/>
          <w:szCs w:val="32"/>
        </w:rPr>
        <w:t>铁元素是铝合金熔炼配制中的有害杂质，须在熔炼前去除。将废铝通过磁选机分离出废铁及其合金</w:t>
      </w:r>
      <w:r>
        <w:rPr>
          <w:rFonts w:hint="eastAsia"/>
          <w:color w:val="auto"/>
          <w:sz w:val="24"/>
          <w:szCs w:val="32"/>
          <w:lang w:eastAsia="zh-CN"/>
        </w:rPr>
        <w:t>（</w:t>
      </w:r>
      <w:r>
        <w:rPr>
          <w:rFonts w:hint="eastAsia"/>
          <w:color w:val="auto"/>
          <w:sz w:val="24"/>
          <w:szCs w:val="32"/>
        </w:rPr>
        <w:t>S</w:t>
      </w:r>
      <w:r>
        <w:rPr>
          <w:rFonts w:hint="eastAsia"/>
          <w:color w:val="auto"/>
          <w:sz w:val="24"/>
          <w:szCs w:val="32"/>
          <w:vertAlign w:val="subscript"/>
        </w:rPr>
        <w:t>1-1</w:t>
      </w:r>
      <w:r>
        <w:rPr>
          <w:rFonts w:hint="eastAsia"/>
          <w:color w:val="auto"/>
          <w:sz w:val="24"/>
          <w:szCs w:val="32"/>
          <w:lang w:eastAsia="zh-CN"/>
        </w:rPr>
        <w:t>）</w:t>
      </w:r>
      <w:r>
        <w:rPr>
          <w:rFonts w:hint="eastAsia"/>
          <w:color w:val="auto"/>
          <w:sz w:val="24"/>
          <w:szCs w:val="32"/>
        </w:rPr>
        <w:t>，采用干式磁选。废铁及其合金在磁场区受电磁力吸引被分离，并集中收集。</w:t>
      </w:r>
    </w:p>
    <w:p w14:paraId="20400D7D">
      <w:p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2</w:t>
      </w:r>
      <w:r>
        <w:rPr>
          <w:rFonts w:hint="eastAsia"/>
          <w:color w:val="auto"/>
          <w:sz w:val="24"/>
          <w:szCs w:val="32"/>
          <w:lang w:eastAsia="zh-CN"/>
        </w:rPr>
        <w:t>）</w:t>
      </w:r>
      <w:r>
        <w:rPr>
          <w:rFonts w:hint="eastAsia"/>
          <w:color w:val="auto"/>
          <w:sz w:val="24"/>
          <w:szCs w:val="32"/>
          <w:lang w:val="en-US" w:eastAsia="zh-CN"/>
        </w:rPr>
        <w:t>人工分选：分选线上由人工分拣出废铜等其它有色金属、橡胶等杂质（S</w:t>
      </w:r>
      <w:r>
        <w:rPr>
          <w:rFonts w:hint="eastAsia"/>
          <w:color w:val="auto"/>
          <w:sz w:val="24"/>
          <w:szCs w:val="32"/>
          <w:vertAlign w:val="subscript"/>
          <w:lang w:val="en-US" w:eastAsia="zh-CN"/>
        </w:rPr>
        <w:t>1-2</w:t>
      </w:r>
      <w:r>
        <w:rPr>
          <w:rFonts w:hint="eastAsia"/>
          <w:color w:val="auto"/>
          <w:sz w:val="24"/>
          <w:szCs w:val="32"/>
          <w:lang w:val="en-US" w:eastAsia="zh-CN"/>
        </w:rPr>
        <w:t>）。废铝进行分类，按不同合金牌号等分类堆放料格中。</w:t>
      </w:r>
    </w:p>
    <w:p w14:paraId="6C805002">
      <w:pPr>
        <w:spacing w:line="360" w:lineRule="auto"/>
        <w:ind w:firstLine="480" w:firstLineChars="200"/>
        <w:rPr>
          <w:color w:val="auto"/>
          <w:sz w:val="24"/>
          <w:szCs w:val="32"/>
        </w:rPr>
      </w:pPr>
      <w:r>
        <w:rPr>
          <w:rFonts w:hint="eastAsia"/>
          <w:color w:val="auto"/>
          <w:sz w:val="24"/>
          <w:szCs w:val="32"/>
          <w:lang w:val="en-US" w:eastAsia="zh-CN"/>
        </w:rPr>
        <w:t>在</w:t>
      </w:r>
      <w:r>
        <w:rPr>
          <w:rFonts w:hint="eastAsia"/>
          <w:color w:val="auto"/>
          <w:sz w:val="24"/>
          <w:szCs w:val="32"/>
        </w:rPr>
        <w:t>收购废铝时，采取了控制废铝质量措施。</w:t>
      </w:r>
      <w:r>
        <w:rPr>
          <w:rFonts w:hint="eastAsia"/>
          <w:color w:val="auto"/>
          <w:sz w:val="24"/>
          <w:szCs w:val="32"/>
          <w:lang w:val="en-US" w:eastAsia="zh-CN"/>
        </w:rPr>
        <w:t>在废铝预处理时</w:t>
      </w:r>
      <w:r>
        <w:rPr>
          <w:rFonts w:hint="eastAsia"/>
          <w:color w:val="auto"/>
          <w:sz w:val="24"/>
          <w:szCs w:val="32"/>
        </w:rPr>
        <w:t>，磁选出的废铁合金和人工分选出的杂质、塑料约占废铝原料用料的0.5%。</w:t>
      </w:r>
    </w:p>
    <w:p w14:paraId="5E040720">
      <w:pPr>
        <w:spacing w:line="360" w:lineRule="auto"/>
        <w:ind w:firstLine="480" w:firstLineChars="200"/>
        <w:rPr>
          <w:rFonts w:hint="default" w:eastAsia="宋体"/>
          <w:color w:val="auto"/>
          <w:sz w:val="24"/>
          <w:szCs w:val="32"/>
          <w:lang w:val="en-US" w:eastAsia="zh-CN"/>
        </w:rPr>
      </w:pPr>
      <w:r>
        <w:rPr>
          <w:rFonts w:hint="eastAsia"/>
          <w:color w:val="auto"/>
          <w:sz w:val="24"/>
          <w:szCs w:val="32"/>
          <w:lang w:val="en-US" w:eastAsia="zh-CN"/>
        </w:rPr>
        <w:t>2、熔炼、精炼系统分为：备料、投料、升温熔化、熔炼、搅拌扒渣、炉前分析、成分调整、精炼除气、精炼后扒渣、变质处理、静置。</w:t>
      </w:r>
    </w:p>
    <w:p w14:paraId="7ADB7399">
      <w:p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1</w:t>
      </w:r>
      <w:r>
        <w:rPr>
          <w:rFonts w:hint="eastAsia"/>
          <w:color w:val="auto"/>
          <w:sz w:val="24"/>
          <w:szCs w:val="32"/>
          <w:lang w:eastAsia="zh-CN"/>
        </w:rPr>
        <w:t>）</w:t>
      </w:r>
      <w:r>
        <w:rPr>
          <w:rFonts w:hint="eastAsia"/>
          <w:color w:val="auto"/>
          <w:sz w:val="24"/>
          <w:szCs w:val="32"/>
          <w:lang w:val="en-US" w:eastAsia="zh-CN"/>
        </w:rPr>
        <w:t>备料：项目根据生产的合金牌号，结合相关标准，将所需原料按比例配备并按相关顺序入炉。根据生产合金牌号的成分要求，将商品铝锭、处理后废铝、合金及其添加剂按比例调配成炉料，再投入熔炼炉进行铝合金熔炼。</w:t>
      </w:r>
    </w:p>
    <w:p w14:paraId="4B35ED1A">
      <w:pPr>
        <w:spacing w:line="360" w:lineRule="auto"/>
        <w:ind w:firstLine="480" w:firstLineChars="200"/>
        <w:rPr>
          <w:color w:val="auto"/>
          <w:sz w:val="24"/>
          <w:szCs w:val="32"/>
        </w:rPr>
      </w:pPr>
      <w:r>
        <w:rPr>
          <w:rFonts w:hint="eastAsia"/>
          <w:color w:val="auto"/>
          <w:sz w:val="24"/>
          <w:szCs w:val="32"/>
        </w:rPr>
        <w:t>项目原料主要为工业一二级废铝，另外还有用于调整铝熔液成分的含Si、Cu等元素的金属或金属合金。按生产合金牌号的成分要求，把各种原材料按比例调配成炉料。对合金成分范围要求窄的产品，通常采用成分已知的废铝</w:t>
      </w:r>
      <w:r>
        <w:rPr>
          <w:rFonts w:hint="eastAsia"/>
          <w:color w:val="auto"/>
          <w:sz w:val="24"/>
          <w:szCs w:val="32"/>
          <w:lang w:eastAsia="zh-CN"/>
        </w:rPr>
        <w:t>；</w:t>
      </w:r>
      <w:r>
        <w:rPr>
          <w:rFonts w:hint="eastAsia"/>
          <w:color w:val="auto"/>
          <w:sz w:val="24"/>
          <w:szCs w:val="32"/>
        </w:rPr>
        <w:t>对合金成分范围要求宽的产品，通常采用废铝和合金原料</w:t>
      </w:r>
      <w:r>
        <w:rPr>
          <w:rFonts w:hint="eastAsia"/>
          <w:color w:val="auto"/>
          <w:sz w:val="24"/>
          <w:szCs w:val="32"/>
          <w:lang w:eastAsia="zh-CN"/>
        </w:rPr>
        <w:t>（</w:t>
      </w:r>
      <w:r>
        <w:rPr>
          <w:rFonts w:hint="eastAsia"/>
          <w:color w:val="auto"/>
          <w:sz w:val="24"/>
          <w:szCs w:val="32"/>
        </w:rPr>
        <w:t>中间合金</w:t>
      </w:r>
      <w:r>
        <w:rPr>
          <w:rFonts w:hint="eastAsia"/>
          <w:color w:val="auto"/>
          <w:sz w:val="24"/>
          <w:szCs w:val="32"/>
          <w:lang w:eastAsia="zh-CN"/>
        </w:rPr>
        <w:t>）</w:t>
      </w:r>
      <w:r>
        <w:rPr>
          <w:rFonts w:hint="eastAsia"/>
          <w:color w:val="auto"/>
          <w:sz w:val="24"/>
          <w:szCs w:val="32"/>
        </w:rPr>
        <w:t>，在成分出现偏差时加适量的电解铝锭。</w:t>
      </w:r>
    </w:p>
    <w:p w14:paraId="2883B241">
      <w:p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2</w:t>
      </w:r>
      <w:r>
        <w:rPr>
          <w:rFonts w:hint="eastAsia"/>
          <w:color w:val="auto"/>
          <w:sz w:val="24"/>
          <w:szCs w:val="32"/>
          <w:lang w:eastAsia="zh-CN"/>
        </w:rPr>
        <w:t>）</w:t>
      </w:r>
      <w:r>
        <w:rPr>
          <w:rFonts w:hint="eastAsia"/>
          <w:color w:val="auto"/>
          <w:sz w:val="24"/>
          <w:szCs w:val="32"/>
          <w:lang w:val="en-US" w:eastAsia="zh-CN"/>
        </w:rPr>
        <w:t>投料</w:t>
      </w:r>
    </w:p>
    <w:p w14:paraId="4675CCD2">
      <w:pPr>
        <w:spacing w:line="360" w:lineRule="auto"/>
        <w:ind w:firstLine="480" w:firstLineChars="200"/>
        <w:rPr>
          <w:color w:val="auto"/>
          <w:sz w:val="24"/>
          <w:szCs w:val="32"/>
        </w:rPr>
      </w:pPr>
      <w:r>
        <w:rPr>
          <w:rFonts w:hint="eastAsia"/>
          <w:color w:val="auto"/>
          <w:sz w:val="24"/>
          <w:szCs w:val="32"/>
        </w:rPr>
        <w:t>投料</w:t>
      </w:r>
      <w:r>
        <w:rPr>
          <w:rFonts w:hint="eastAsia"/>
          <w:color w:val="auto"/>
          <w:sz w:val="24"/>
          <w:szCs w:val="32"/>
          <w:lang w:eastAsia="zh-CN"/>
        </w:rPr>
        <w:t>：</w:t>
      </w:r>
      <w:r>
        <w:rPr>
          <w:rFonts w:hint="eastAsia"/>
          <w:color w:val="auto"/>
          <w:sz w:val="24"/>
          <w:szCs w:val="32"/>
        </w:rPr>
        <w:t>加原材料前，将加料平台用叉车运至炉门口，保持加料平台同炉门平台在同一高度。将准备好的原材料用叉车运至加料平台，然后用专用的推料耙将原料缓缓推入炉膛。原料的高度不能高于炉门，避免原料过高，碰撞炉门或砸坏炉膛。这样，按装炉规程，先将电解铝等比较好的金属材料装炉熔化，等熔炼炉有一半熔液后</w:t>
      </w:r>
      <w:r>
        <w:rPr>
          <w:rFonts w:hint="eastAsia"/>
          <w:color w:val="auto"/>
          <w:sz w:val="24"/>
          <w:szCs w:val="32"/>
          <w:lang w:eastAsia="zh-CN"/>
        </w:rPr>
        <w:t>（</w:t>
      </w:r>
      <w:r>
        <w:rPr>
          <w:rFonts w:hint="eastAsia"/>
          <w:color w:val="auto"/>
          <w:sz w:val="24"/>
          <w:szCs w:val="32"/>
        </w:rPr>
        <w:t>温度控制在680~720摄氏度之间</w:t>
      </w:r>
      <w:r>
        <w:rPr>
          <w:rFonts w:hint="eastAsia"/>
          <w:color w:val="auto"/>
          <w:sz w:val="24"/>
          <w:szCs w:val="32"/>
          <w:lang w:eastAsia="zh-CN"/>
        </w:rPr>
        <w:t>）</w:t>
      </w:r>
      <w:r>
        <w:rPr>
          <w:rFonts w:hint="eastAsia"/>
          <w:color w:val="auto"/>
          <w:sz w:val="24"/>
          <w:szCs w:val="32"/>
        </w:rPr>
        <w:t>，再分批次</w:t>
      </w:r>
      <w:r>
        <w:rPr>
          <w:rFonts w:hint="eastAsia"/>
          <w:color w:val="auto"/>
          <w:sz w:val="24"/>
          <w:szCs w:val="32"/>
          <w:lang w:eastAsia="zh-CN"/>
        </w:rPr>
        <w:t>（</w:t>
      </w:r>
      <w:r>
        <w:rPr>
          <w:rFonts w:hint="eastAsia"/>
          <w:color w:val="auto"/>
          <w:sz w:val="24"/>
          <w:szCs w:val="32"/>
        </w:rPr>
        <w:t>3~5批次</w:t>
      </w:r>
      <w:r>
        <w:rPr>
          <w:rFonts w:hint="eastAsia"/>
          <w:color w:val="auto"/>
          <w:sz w:val="24"/>
          <w:szCs w:val="32"/>
          <w:lang w:eastAsia="zh-CN"/>
        </w:rPr>
        <w:t>）</w:t>
      </w:r>
      <w:r>
        <w:rPr>
          <w:rFonts w:hint="eastAsia"/>
          <w:color w:val="auto"/>
          <w:sz w:val="24"/>
          <w:szCs w:val="32"/>
        </w:rPr>
        <w:t>加入废铝，搅拌熔化、升温。分批加料可以利用熔炼炉的余热进行炉料预热。预热可以缩短熔炼时间，提高熔炼炉的产能和效率。</w:t>
      </w:r>
    </w:p>
    <w:p w14:paraId="37A877F0">
      <w:pPr>
        <w:spacing w:line="360" w:lineRule="auto"/>
        <w:ind w:firstLine="480" w:firstLineChars="200"/>
        <w:rPr>
          <w:color w:val="auto"/>
          <w:sz w:val="24"/>
          <w:szCs w:val="32"/>
        </w:rPr>
      </w:pPr>
      <w:r>
        <w:rPr>
          <w:rFonts w:hint="eastAsia"/>
          <w:color w:val="auto"/>
          <w:sz w:val="24"/>
          <w:szCs w:val="32"/>
        </w:rPr>
        <w:t>熔炼炉加料过程中炉门口处会有烟气</w:t>
      </w:r>
      <w:r>
        <w:rPr>
          <w:rFonts w:hint="eastAsia"/>
          <w:color w:val="auto"/>
          <w:sz w:val="24"/>
          <w:szCs w:val="32"/>
          <w:lang w:eastAsia="zh-CN"/>
        </w:rPr>
        <w:t>（</w:t>
      </w:r>
      <w:r>
        <w:rPr>
          <w:rFonts w:hint="eastAsia"/>
          <w:color w:val="auto"/>
          <w:sz w:val="24"/>
          <w:szCs w:val="32"/>
        </w:rPr>
        <w:t>G1</w:t>
      </w:r>
      <w:r>
        <w:rPr>
          <w:rFonts w:hint="eastAsia"/>
          <w:color w:val="auto"/>
          <w:sz w:val="24"/>
          <w:szCs w:val="32"/>
          <w:lang w:eastAsia="zh-CN"/>
        </w:rPr>
        <w:t>）</w:t>
      </w:r>
      <w:r>
        <w:rPr>
          <w:rFonts w:hint="eastAsia"/>
          <w:color w:val="auto"/>
          <w:sz w:val="24"/>
          <w:szCs w:val="32"/>
        </w:rPr>
        <w:t>从炉门口逸出，炉门上方设集气罩，投料产生的烟</w:t>
      </w:r>
      <w:r>
        <w:rPr>
          <w:rFonts w:hint="eastAsia"/>
          <w:color w:val="auto"/>
          <w:sz w:val="24"/>
          <w:szCs w:val="32"/>
          <w:lang w:eastAsia="zh-CN"/>
        </w:rPr>
        <w:t>（</w:t>
      </w:r>
      <w:r>
        <w:rPr>
          <w:rFonts w:hint="eastAsia"/>
          <w:color w:val="auto"/>
          <w:sz w:val="24"/>
          <w:szCs w:val="32"/>
        </w:rPr>
        <w:t>粉</w:t>
      </w:r>
      <w:r>
        <w:rPr>
          <w:rFonts w:hint="eastAsia"/>
          <w:color w:val="auto"/>
          <w:sz w:val="24"/>
          <w:szCs w:val="32"/>
          <w:lang w:eastAsia="zh-CN"/>
        </w:rPr>
        <w:t>）</w:t>
      </w:r>
      <w:r>
        <w:rPr>
          <w:rFonts w:hint="eastAsia"/>
          <w:color w:val="auto"/>
          <w:sz w:val="24"/>
          <w:szCs w:val="32"/>
        </w:rPr>
        <w:t>尘由集气罩引至</w:t>
      </w:r>
      <w:r>
        <w:rPr>
          <w:rFonts w:hint="eastAsia"/>
          <w:color w:val="auto"/>
          <w:sz w:val="24"/>
          <w:szCs w:val="32"/>
          <w:lang w:val="en-US" w:eastAsia="zh-CN"/>
        </w:rPr>
        <w:t>废气处理</w:t>
      </w:r>
      <w:r>
        <w:rPr>
          <w:rFonts w:hint="eastAsia"/>
          <w:color w:val="auto"/>
          <w:sz w:val="24"/>
          <w:szCs w:val="32"/>
        </w:rPr>
        <w:t>系统进行除尘，最后经2</w:t>
      </w:r>
      <w:r>
        <w:rPr>
          <w:rFonts w:hint="eastAsia"/>
          <w:color w:val="auto"/>
          <w:sz w:val="24"/>
          <w:szCs w:val="32"/>
          <w:lang w:val="en-US" w:eastAsia="zh-CN"/>
        </w:rPr>
        <w:t>4.5</w:t>
      </w:r>
      <w:r>
        <w:rPr>
          <w:rFonts w:hint="eastAsia"/>
          <w:color w:val="auto"/>
          <w:sz w:val="24"/>
          <w:szCs w:val="32"/>
        </w:rPr>
        <w:t>m高排气简排放。</w:t>
      </w:r>
    </w:p>
    <w:p w14:paraId="18B54712">
      <w:p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3</w:t>
      </w:r>
      <w:r>
        <w:rPr>
          <w:rFonts w:hint="eastAsia"/>
          <w:color w:val="auto"/>
          <w:sz w:val="24"/>
          <w:szCs w:val="32"/>
          <w:lang w:eastAsia="zh-CN"/>
        </w:rPr>
        <w:t>）</w:t>
      </w:r>
      <w:r>
        <w:rPr>
          <w:rFonts w:hint="eastAsia"/>
          <w:color w:val="auto"/>
          <w:sz w:val="24"/>
          <w:szCs w:val="32"/>
          <w:lang w:val="en-US" w:eastAsia="zh-CN"/>
        </w:rPr>
        <w:t>升温熔化、熔炼：加料工序完成后，升温点火，进行熔化。本项目熔铝炉选择天然气为燃料，升温时间通常为4~5小时，炉膛内烟气温度达到1100度左右，铝熔液温度控制在700度左右。</w:t>
      </w:r>
    </w:p>
    <w:p w14:paraId="629537A2">
      <w:pPr>
        <w:spacing w:line="360" w:lineRule="auto"/>
        <w:ind w:firstLine="480" w:firstLineChars="200"/>
        <w:rPr>
          <w:color w:val="auto"/>
          <w:sz w:val="24"/>
          <w:szCs w:val="32"/>
        </w:rPr>
      </w:pPr>
      <w:r>
        <w:rPr>
          <w:rFonts w:hint="eastAsia"/>
          <w:color w:val="auto"/>
          <w:sz w:val="24"/>
          <w:szCs w:val="32"/>
        </w:rPr>
        <w:t>升温熔化、熔炼过程中会产生含烟尘、S</w:t>
      </w:r>
      <w:r>
        <w:rPr>
          <w:rFonts w:hint="eastAsia"/>
          <w:color w:val="auto"/>
          <w:sz w:val="24"/>
          <w:szCs w:val="32"/>
          <w:lang w:val="en-US" w:eastAsia="zh-CN"/>
        </w:rPr>
        <w:t>O</w:t>
      </w:r>
      <w:r>
        <w:rPr>
          <w:rFonts w:hint="eastAsia"/>
          <w:color w:val="auto"/>
          <w:sz w:val="24"/>
          <w:szCs w:val="32"/>
          <w:vertAlign w:val="subscript"/>
        </w:rPr>
        <w:t>2</w:t>
      </w:r>
      <w:r>
        <w:rPr>
          <w:rFonts w:hint="eastAsia"/>
          <w:color w:val="auto"/>
          <w:sz w:val="24"/>
          <w:szCs w:val="32"/>
        </w:rPr>
        <w:t>、NO</w:t>
      </w:r>
      <w:r>
        <w:rPr>
          <w:rFonts w:hint="eastAsia"/>
          <w:color w:val="auto"/>
          <w:sz w:val="24"/>
          <w:szCs w:val="32"/>
          <w:vertAlign w:val="baseline"/>
          <w:lang w:val="en-US" w:eastAsia="zh-CN"/>
        </w:rPr>
        <w:t>x</w:t>
      </w:r>
      <w:r>
        <w:rPr>
          <w:rFonts w:hint="eastAsia"/>
          <w:color w:val="auto"/>
          <w:sz w:val="24"/>
          <w:szCs w:val="32"/>
        </w:rPr>
        <w:t>、二噁英类等熔炼烟气</w:t>
      </w:r>
      <w:r>
        <w:rPr>
          <w:rFonts w:hint="eastAsia"/>
          <w:color w:val="auto"/>
          <w:sz w:val="24"/>
          <w:szCs w:val="32"/>
          <w:lang w:eastAsia="zh-CN"/>
        </w:rPr>
        <w:t>（</w:t>
      </w:r>
      <w:r>
        <w:rPr>
          <w:rFonts w:hint="eastAsia"/>
          <w:color w:val="auto"/>
          <w:sz w:val="24"/>
          <w:szCs w:val="32"/>
        </w:rPr>
        <w:t>G2</w:t>
      </w:r>
      <w:r>
        <w:rPr>
          <w:rFonts w:hint="eastAsia"/>
          <w:color w:val="auto"/>
          <w:sz w:val="24"/>
          <w:szCs w:val="32"/>
          <w:lang w:eastAsia="zh-CN"/>
        </w:rPr>
        <w:t>）</w:t>
      </w:r>
      <w:r>
        <w:rPr>
          <w:rFonts w:hint="eastAsia"/>
          <w:color w:val="auto"/>
          <w:sz w:val="24"/>
          <w:szCs w:val="32"/>
        </w:rPr>
        <w:t>，本项目炉门采用气动压紧装置密闭炉口方式，且炉内保持一定负压，从而保障在熔炼过程中无烟气泄漏。熔炼烟气主要通过蓄热式烧嘴换热后排到烟气管道内，然后通过</w:t>
      </w:r>
      <w:r>
        <w:rPr>
          <w:rFonts w:hint="eastAsia"/>
          <w:color w:val="auto"/>
          <w:sz w:val="24"/>
          <w:szCs w:val="32"/>
          <w:lang w:val="en-US" w:eastAsia="zh-CN"/>
        </w:rPr>
        <w:t>废气处理</w:t>
      </w:r>
      <w:r>
        <w:rPr>
          <w:rFonts w:hint="eastAsia"/>
          <w:color w:val="auto"/>
          <w:sz w:val="24"/>
          <w:szCs w:val="32"/>
        </w:rPr>
        <w:t>系统处理后，最后经2</w:t>
      </w:r>
      <w:r>
        <w:rPr>
          <w:rFonts w:hint="eastAsia"/>
          <w:color w:val="auto"/>
          <w:sz w:val="24"/>
          <w:szCs w:val="32"/>
          <w:lang w:val="en-US" w:eastAsia="zh-CN"/>
        </w:rPr>
        <w:t>4.5</w:t>
      </w:r>
      <w:r>
        <w:rPr>
          <w:rFonts w:hint="eastAsia"/>
          <w:color w:val="auto"/>
          <w:sz w:val="24"/>
          <w:szCs w:val="32"/>
        </w:rPr>
        <w:t>m高排气筒排放。</w:t>
      </w:r>
    </w:p>
    <w:p w14:paraId="1037C125">
      <w:pPr>
        <w:spacing w:line="360" w:lineRule="auto"/>
        <w:ind w:firstLine="480" w:firstLineChars="200"/>
        <w:rPr>
          <w:rFonts w:hint="default"/>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4</w:t>
      </w:r>
      <w:r>
        <w:rPr>
          <w:rFonts w:hint="eastAsia"/>
          <w:color w:val="auto"/>
          <w:sz w:val="24"/>
          <w:szCs w:val="32"/>
          <w:lang w:eastAsia="zh-CN"/>
        </w:rPr>
        <w:t>）</w:t>
      </w:r>
      <w:r>
        <w:rPr>
          <w:rFonts w:hint="eastAsia"/>
          <w:color w:val="auto"/>
          <w:sz w:val="24"/>
          <w:szCs w:val="32"/>
          <w:lang w:val="en-US" w:eastAsia="zh-CN"/>
        </w:rPr>
        <w:t>搅拌扒渣：待炉内原料熔化为液态后，关闭天然气，打开炉门，进行搅拌。搅拌用叉车带动特制的专用耙子进行，在炉内前后左右各个方向充分进行。搅拌的目的是使炉内的原料充分熔化。搅拌作业完成后，将铝渣慢慢扒出，首先在熔炼炉平台上稍作停顿，让铝渣带出的铝液回流至炉内，然后将事先准备好的灰斗放置在炉门口，将铝渣扒出，装进灰斗。用叉车将铝渣运至回转炉。</w:t>
      </w:r>
    </w:p>
    <w:p w14:paraId="39E71E55">
      <w:pPr>
        <w:spacing w:line="360" w:lineRule="auto"/>
        <w:ind w:firstLine="480" w:firstLineChars="200"/>
        <w:rPr>
          <w:color w:val="auto"/>
          <w:sz w:val="24"/>
          <w:szCs w:val="32"/>
        </w:rPr>
      </w:pPr>
      <w:r>
        <w:rPr>
          <w:rFonts w:hint="eastAsia"/>
          <w:color w:val="auto"/>
          <w:sz w:val="24"/>
          <w:szCs w:val="32"/>
        </w:rPr>
        <w:t>熔炼炉搅拌、扒渣过程中炉门口处会有烟气</w:t>
      </w:r>
      <w:r>
        <w:rPr>
          <w:rFonts w:hint="eastAsia"/>
          <w:color w:val="auto"/>
          <w:sz w:val="24"/>
          <w:szCs w:val="32"/>
          <w:lang w:eastAsia="zh-CN"/>
        </w:rPr>
        <w:t>（</w:t>
      </w:r>
      <w:r>
        <w:rPr>
          <w:rFonts w:hint="eastAsia"/>
          <w:color w:val="auto"/>
          <w:sz w:val="24"/>
          <w:szCs w:val="32"/>
        </w:rPr>
        <w:t>G3</w:t>
      </w:r>
      <w:r>
        <w:rPr>
          <w:rFonts w:hint="eastAsia"/>
          <w:color w:val="auto"/>
          <w:sz w:val="24"/>
          <w:szCs w:val="32"/>
          <w:lang w:eastAsia="zh-CN"/>
        </w:rPr>
        <w:t>）</w:t>
      </w:r>
      <w:r>
        <w:rPr>
          <w:rFonts w:hint="eastAsia"/>
          <w:color w:val="auto"/>
          <w:sz w:val="24"/>
          <w:szCs w:val="32"/>
        </w:rPr>
        <w:t>从炉门口逸出，炉门上方设集气罩，产生的烟尘由集气罩引至</w:t>
      </w:r>
      <w:r>
        <w:rPr>
          <w:rFonts w:hint="eastAsia"/>
          <w:color w:val="auto"/>
          <w:sz w:val="24"/>
          <w:szCs w:val="32"/>
          <w:lang w:val="en-US" w:eastAsia="zh-CN"/>
        </w:rPr>
        <w:t>废气处理系统</w:t>
      </w:r>
      <w:r>
        <w:rPr>
          <w:rFonts w:hint="eastAsia"/>
          <w:color w:val="auto"/>
          <w:sz w:val="24"/>
          <w:szCs w:val="32"/>
        </w:rPr>
        <w:t>处理后，最后经</w:t>
      </w:r>
      <w:r>
        <w:rPr>
          <w:rFonts w:hint="eastAsia"/>
          <w:color w:val="auto"/>
          <w:sz w:val="24"/>
          <w:szCs w:val="32"/>
          <w:lang w:val="en-US" w:eastAsia="zh-CN"/>
        </w:rPr>
        <w:t>24.5</w:t>
      </w:r>
      <w:r>
        <w:rPr>
          <w:rFonts w:hint="eastAsia"/>
          <w:color w:val="auto"/>
          <w:sz w:val="24"/>
          <w:szCs w:val="32"/>
        </w:rPr>
        <w:t>m高排气筒排放。</w:t>
      </w:r>
    </w:p>
    <w:p w14:paraId="7C6BC45A">
      <w:p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5</w:t>
      </w:r>
      <w:r>
        <w:rPr>
          <w:rFonts w:hint="eastAsia"/>
          <w:color w:val="auto"/>
          <w:sz w:val="24"/>
          <w:szCs w:val="32"/>
          <w:lang w:eastAsia="zh-CN"/>
        </w:rPr>
        <w:t>）</w:t>
      </w:r>
      <w:r>
        <w:rPr>
          <w:rFonts w:hint="eastAsia"/>
          <w:color w:val="auto"/>
          <w:sz w:val="24"/>
          <w:szCs w:val="32"/>
          <w:lang w:val="en-US" w:eastAsia="zh-CN"/>
        </w:rPr>
        <w:t>炉前分析、成分调整：熔炼炉内熔化好的铝熔体进入到精炼炉内，立即取样，进行炉前分析，根据不同产品的成分要求，加入硅、铜等金属原料，调整铝液成分。</w:t>
      </w:r>
    </w:p>
    <w:p w14:paraId="5C3950D4">
      <w:pPr>
        <w:spacing w:line="360" w:lineRule="auto"/>
        <w:ind w:firstLine="480" w:firstLineChars="200"/>
        <w:rPr>
          <w:rFonts w:hint="eastAsia" w:eastAsia="宋体"/>
          <w:color w:val="auto"/>
          <w:sz w:val="24"/>
          <w:szCs w:val="32"/>
          <w:lang w:eastAsia="zh-CN"/>
        </w:rPr>
      </w:pPr>
      <w:r>
        <w:rPr>
          <w:rFonts w:hint="eastAsia"/>
          <w:color w:val="auto"/>
          <w:sz w:val="24"/>
          <w:szCs w:val="32"/>
          <w:lang w:eastAsia="zh-CN"/>
        </w:rPr>
        <w:t>（</w:t>
      </w:r>
      <w:r>
        <w:rPr>
          <w:rFonts w:hint="eastAsia"/>
          <w:color w:val="auto"/>
          <w:sz w:val="24"/>
          <w:szCs w:val="32"/>
          <w:lang w:val="en-US" w:eastAsia="zh-CN"/>
        </w:rPr>
        <w:t>6</w:t>
      </w:r>
      <w:r>
        <w:rPr>
          <w:rFonts w:hint="eastAsia"/>
          <w:color w:val="auto"/>
          <w:sz w:val="24"/>
          <w:szCs w:val="32"/>
          <w:lang w:eastAsia="zh-CN"/>
        </w:rPr>
        <w:t>）</w:t>
      </w:r>
      <w:r>
        <w:rPr>
          <w:rFonts w:hint="eastAsia"/>
          <w:color w:val="auto"/>
          <w:sz w:val="24"/>
          <w:szCs w:val="32"/>
          <w:lang w:val="en-US" w:eastAsia="zh-CN"/>
        </w:rPr>
        <w:t>精炼除气：</w:t>
      </w:r>
      <w:r>
        <w:rPr>
          <w:rFonts w:hint="eastAsia"/>
          <w:color w:val="auto"/>
          <w:sz w:val="24"/>
          <w:szCs w:val="32"/>
          <w:lang w:eastAsia="zh-CN"/>
        </w:rPr>
        <w:t>精炼的目的是为了进一步除去铝熔体中的杂质，在精炼阶段需要加入精炼剂，并通入氮气以避免炉料再次氧化。一般采用精炼、静置和过滤等方法除去熔体中的气体、非金属夹杂物等，使熔体净化。在精炼过程中，通常会采用精炼剂、防锈剂等进行除渣、除气、纯净熔体、细化晶粒、改善铝合金的性能。</w:t>
      </w:r>
    </w:p>
    <w:p w14:paraId="4639B7CE">
      <w:pPr>
        <w:spacing w:line="360" w:lineRule="auto"/>
        <w:ind w:firstLine="480" w:firstLineChars="200"/>
        <w:rPr>
          <w:color w:val="auto"/>
          <w:sz w:val="24"/>
          <w:szCs w:val="32"/>
        </w:rPr>
      </w:pPr>
      <w:r>
        <w:rPr>
          <w:rFonts w:hint="eastAsia"/>
          <w:color w:val="auto"/>
          <w:sz w:val="24"/>
          <w:szCs w:val="32"/>
        </w:rPr>
        <w:t>项目精炼时间根据产品的要求确定。精炼炉内温度保持在660~710°C，保证精炼时间15min以上，静置约10~20min。在精炼净化过程中，铝液熔体先后经过静置、扒渣、搅拌、除气、取样分析、调质等工序，其中除气工序约1h，精炼剂由氮气作为载体通入铝液熔体。</w:t>
      </w:r>
    </w:p>
    <w:p w14:paraId="569E5E61">
      <w:pPr>
        <w:numPr>
          <w:ilvl w:val="0"/>
          <w:numId w:val="0"/>
        </w:numPr>
        <w:spacing w:line="360" w:lineRule="auto"/>
        <w:ind w:left="0" w:leftChars="0" w:firstLine="480" w:firstLineChars="200"/>
        <w:rPr>
          <w:rFonts w:hint="eastAsia"/>
          <w:color w:val="auto"/>
          <w:sz w:val="24"/>
          <w:szCs w:val="32"/>
          <w:lang w:val="en-US" w:eastAsia="zh-CN"/>
        </w:rPr>
      </w:pPr>
      <w:r>
        <w:rPr>
          <w:rFonts w:hint="eastAsia" w:ascii="Times New Roman" w:hAnsi="Times New Roman" w:eastAsia="宋体" w:cs="Times New Roman"/>
          <w:color w:val="auto"/>
          <w:kern w:val="2"/>
          <w:sz w:val="24"/>
          <w:szCs w:val="32"/>
          <w:lang w:val="en-US" w:eastAsia="zh-CN" w:bidi="ar-SA"/>
        </w:rPr>
        <w:t>①</w:t>
      </w:r>
      <w:r>
        <w:rPr>
          <w:rFonts w:hint="eastAsia"/>
          <w:color w:val="auto"/>
          <w:sz w:val="24"/>
          <w:szCs w:val="32"/>
          <w:lang w:val="en-US" w:eastAsia="zh-CN"/>
        </w:rPr>
        <w:t>氮气吹脱：本项目使用的惰性气体为N</w:t>
      </w:r>
      <w:r>
        <w:rPr>
          <w:rFonts w:hint="eastAsia"/>
          <w:color w:val="auto"/>
          <w:sz w:val="24"/>
          <w:szCs w:val="32"/>
          <w:vertAlign w:val="subscript"/>
          <w:lang w:val="en-US" w:eastAsia="zh-CN"/>
        </w:rPr>
        <w:t>2</w:t>
      </w:r>
      <w:r>
        <w:rPr>
          <w:rFonts w:hint="eastAsia"/>
          <w:color w:val="auto"/>
          <w:sz w:val="24"/>
          <w:szCs w:val="32"/>
          <w:lang w:val="en-US" w:eastAsia="zh-CN"/>
        </w:rPr>
        <w:t>，N</w:t>
      </w:r>
      <w:r>
        <w:rPr>
          <w:rFonts w:hint="eastAsia"/>
          <w:color w:val="auto"/>
          <w:sz w:val="24"/>
          <w:szCs w:val="32"/>
          <w:vertAlign w:val="subscript"/>
          <w:lang w:val="en-US" w:eastAsia="zh-CN"/>
        </w:rPr>
        <w:t>2</w:t>
      </w:r>
      <w:r>
        <w:rPr>
          <w:rFonts w:hint="eastAsia"/>
          <w:color w:val="auto"/>
          <w:sz w:val="24"/>
          <w:szCs w:val="32"/>
          <w:lang w:val="en-US" w:eastAsia="zh-CN"/>
        </w:rPr>
        <w:t>吹入铝液后，形成许多细小的气泡，夹杂与气泡相遇后会被吸附在气泡表面上并随气泡浮出熔体表面。根据分压差脱气原理，氮气泡中最初的平衡氢分压约为0，铝液中的平衡氢分压不为0，二者存在压差，使溶于金属中的氢不断扩散至气泡中，直至气泡中氢的平衡分压与铝液中氢的平衡分压相等。氮气气泡在和熔体接触及运动的过程中吸附气体，同时吸附除杂，并带出表面。气泡浮出液面后，熔体中的氢气将逸出进入大气，铝液表面的氧化物不能自动脱离气相而重新溶于铝液中，待聚集到一定数量时，即可机械去除。吹气过程中采用较低的通气</w:t>
      </w:r>
    </w:p>
    <w:p w14:paraId="2DB7A6CC">
      <w:pPr>
        <w:numPr>
          <w:ilvl w:val="0"/>
          <w:numId w:val="0"/>
        </w:numPr>
        <w:spacing w:line="360" w:lineRule="auto"/>
        <w:ind w:firstLine="480" w:firstLineChars="200"/>
        <w:rPr>
          <w:color w:val="auto"/>
          <w:sz w:val="24"/>
          <w:szCs w:val="32"/>
        </w:rPr>
      </w:pPr>
      <w:r>
        <w:rPr>
          <w:rFonts w:hint="eastAsia"/>
          <w:color w:val="auto"/>
          <w:sz w:val="24"/>
          <w:szCs w:val="32"/>
        </w:rPr>
        <w:t>压力和速度，这样可以扩大气泡的表面积，减缓气泡上升速度，从而去除较多的气体。吹脱法目的是除气，同时也能起到除杂的作用。</w:t>
      </w:r>
    </w:p>
    <w:p w14:paraId="53ED78E1">
      <w:pPr>
        <w:numPr>
          <w:ilvl w:val="0"/>
          <w:numId w:val="0"/>
        </w:numPr>
        <w:spacing w:line="360" w:lineRule="auto"/>
        <w:ind w:left="0" w:leftChars="0" w:firstLine="400" w:firstLineChars="0"/>
        <w:rPr>
          <w:rFonts w:hint="default" w:eastAsia="宋体"/>
          <w:color w:val="auto"/>
          <w:sz w:val="24"/>
          <w:szCs w:val="32"/>
          <w:lang w:val="en-US" w:eastAsia="zh-CN"/>
        </w:rPr>
      </w:pPr>
      <w:r>
        <w:rPr>
          <w:rFonts w:hint="eastAsia" w:ascii="Times New Roman" w:hAnsi="Times New Roman" w:eastAsia="宋体" w:cs="Times New Roman"/>
          <w:color w:val="auto"/>
          <w:kern w:val="2"/>
          <w:sz w:val="24"/>
          <w:szCs w:val="32"/>
          <w:lang w:val="en-US" w:eastAsia="zh-CN" w:bidi="ar-SA"/>
        </w:rPr>
        <w:t>②</w:t>
      </w:r>
      <w:r>
        <w:rPr>
          <w:rFonts w:hint="eastAsia"/>
          <w:color w:val="auto"/>
          <w:sz w:val="24"/>
          <w:szCs w:val="32"/>
          <w:lang w:val="en-US" w:eastAsia="zh-CN"/>
        </w:rPr>
        <w:t>精炼：本项目使用的粉状精炼剂，主要成分为：Na：23%，K：32%，Si：5%，Al：3.5%，Cl：26%，Mg：8%，C：2.5%，不含氟化物。</w:t>
      </w:r>
    </w:p>
    <w:p w14:paraId="2351CAA4">
      <w:pPr>
        <w:numPr>
          <w:ilvl w:val="0"/>
          <w:numId w:val="0"/>
        </w:numPr>
        <w:spacing w:line="360" w:lineRule="auto"/>
        <w:ind w:firstLine="480" w:firstLineChars="200"/>
        <w:rPr>
          <w:color w:val="auto"/>
          <w:sz w:val="24"/>
          <w:szCs w:val="32"/>
        </w:rPr>
      </w:pPr>
      <w:r>
        <w:rPr>
          <w:rFonts w:hint="eastAsia"/>
          <w:color w:val="auto"/>
          <w:sz w:val="24"/>
          <w:szCs w:val="32"/>
        </w:rPr>
        <w:t>本项目精炼除气过程中产生的废气</w:t>
      </w:r>
      <w:r>
        <w:rPr>
          <w:rFonts w:hint="eastAsia"/>
          <w:color w:val="auto"/>
          <w:sz w:val="24"/>
          <w:szCs w:val="32"/>
          <w:lang w:eastAsia="zh-CN"/>
        </w:rPr>
        <w:t>（</w:t>
      </w:r>
      <w:r>
        <w:rPr>
          <w:rFonts w:hint="eastAsia"/>
          <w:color w:val="auto"/>
          <w:sz w:val="24"/>
          <w:szCs w:val="32"/>
        </w:rPr>
        <w:t>G4</w:t>
      </w:r>
      <w:r>
        <w:rPr>
          <w:rFonts w:hint="eastAsia"/>
          <w:color w:val="auto"/>
          <w:sz w:val="24"/>
          <w:szCs w:val="32"/>
          <w:lang w:eastAsia="zh-CN"/>
        </w:rPr>
        <w:t>）</w:t>
      </w:r>
      <w:r>
        <w:rPr>
          <w:rFonts w:hint="eastAsia"/>
          <w:color w:val="auto"/>
          <w:sz w:val="24"/>
          <w:szCs w:val="32"/>
        </w:rPr>
        <w:t>主要含烟</w:t>
      </w:r>
      <w:r>
        <w:rPr>
          <w:rFonts w:hint="eastAsia"/>
          <w:color w:val="auto"/>
          <w:sz w:val="24"/>
          <w:szCs w:val="32"/>
          <w:lang w:eastAsia="zh-CN"/>
        </w:rPr>
        <w:t>（</w:t>
      </w:r>
      <w:r>
        <w:rPr>
          <w:rFonts w:hint="eastAsia"/>
          <w:color w:val="auto"/>
          <w:sz w:val="24"/>
          <w:szCs w:val="32"/>
        </w:rPr>
        <w:t>粉</w:t>
      </w:r>
      <w:r>
        <w:rPr>
          <w:rFonts w:hint="eastAsia"/>
          <w:color w:val="auto"/>
          <w:sz w:val="24"/>
          <w:szCs w:val="32"/>
          <w:lang w:eastAsia="zh-CN"/>
        </w:rPr>
        <w:t>）</w:t>
      </w:r>
      <w:r>
        <w:rPr>
          <w:rFonts w:hint="eastAsia"/>
          <w:color w:val="auto"/>
          <w:sz w:val="24"/>
          <w:szCs w:val="32"/>
        </w:rPr>
        <w:t>尘、HC1等污染物，通过除尘净化系统处理后，最后经2</w:t>
      </w:r>
      <w:r>
        <w:rPr>
          <w:rFonts w:hint="eastAsia"/>
          <w:color w:val="auto"/>
          <w:sz w:val="24"/>
          <w:szCs w:val="32"/>
          <w:lang w:val="en-US" w:eastAsia="zh-CN"/>
        </w:rPr>
        <w:t>4.5</w:t>
      </w:r>
      <w:r>
        <w:rPr>
          <w:rFonts w:hint="eastAsia"/>
          <w:color w:val="auto"/>
          <w:sz w:val="24"/>
          <w:szCs w:val="32"/>
        </w:rPr>
        <w:t>m高排气筒排放。</w:t>
      </w:r>
    </w:p>
    <w:p w14:paraId="61AF73A1">
      <w:pPr>
        <w:numPr>
          <w:ilvl w:val="0"/>
          <w:numId w:val="0"/>
        </w:num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7</w:t>
      </w:r>
      <w:r>
        <w:rPr>
          <w:rFonts w:hint="eastAsia"/>
          <w:color w:val="auto"/>
          <w:sz w:val="24"/>
          <w:szCs w:val="32"/>
          <w:lang w:eastAsia="zh-CN"/>
        </w:rPr>
        <w:t>）</w:t>
      </w:r>
      <w:r>
        <w:rPr>
          <w:rFonts w:hint="eastAsia"/>
          <w:color w:val="auto"/>
          <w:sz w:val="24"/>
          <w:szCs w:val="32"/>
          <w:lang w:val="en-US" w:eastAsia="zh-CN"/>
        </w:rPr>
        <w:t>精炼后扒渣：在精炼工序中用熔剂熔炼会产生一定量的熔渣浮于表面，浮渣对熔体有保护作用，但浮渣太多又会影响热传递，因而浮渣要定时耙出清除，通过机械方式清除，这部分熔渣含有一定量的铝，因此项目设置回转炉回收其中的铝料。精炼温度一般控制在750</w:t>
      </w:r>
      <w:r>
        <w:rPr>
          <w:rFonts w:hint="default" w:ascii="Times New Roman" w:hAnsi="Times New Roman" w:cs="Times New Roman"/>
          <w:color w:val="auto"/>
          <w:sz w:val="24"/>
          <w:szCs w:val="32"/>
          <w:lang w:val="en-US" w:eastAsia="zh-CN"/>
        </w:rPr>
        <w:t>℃</w:t>
      </w:r>
      <w:r>
        <w:rPr>
          <w:rFonts w:hint="eastAsia"/>
          <w:color w:val="auto"/>
          <w:sz w:val="24"/>
          <w:szCs w:val="32"/>
          <w:lang w:val="en-US" w:eastAsia="zh-CN"/>
        </w:rPr>
        <w:t>以下，以减少烧损。精炼炉扒渣过程中炉门口处会有烟气（G5）从炉门口逸出，炉门上方设集气罩，产生的烟尘由集气罩引至除尘净化系统处理后，最后经24.5m高排气筒排放。</w:t>
      </w:r>
    </w:p>
    <w:p w14:paraId="334CB932">
      <w:pPr>
        <w:numPr>
          <w:ilvl w:val="0"/>
          <w:numId w:val="0"/>
        </w:num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8</w:t>
      </w:r>
      <w:r>
        <w:rPr>
          <w:rFonts w:hint="eastAsia"/>
          <w:color w:val="auto"/>
          <w:sz w:val="24"/>
          <w:szCs w:val="32"/>
          <w:lang w:eastAsia="zh-CN"/>
        </w:rPr>
        <w:t>）</w:t>
      </w:r>
      <w:r>
        <w:rPr>
          <w:rFonts w:hint="eastAsia"/>
          <w:color w:val="auto"/>
          <w:sz w:val="24"/>
          <w:szCs w:val="32"/>
          <w:lang w:val="en-US" w:eastAsia="zh-CN"/>
        </w:rPr>
        <w:t>变质处理：根据客户或产品性能要求如果需要做变质处理，经静置后的铝液需要加入防锈剂进行变质处理。</w:t>
      </w:r>
    </w:p>
    <w:p w14:paraId="441EB420">
      <w:pPr>
        <w:numPr>
          <w:ilvl w:val="0"/>
          <w:numId w:val="0"/>
        </w:num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9</w:t>
      </w:r>
      <w:r>
        <w:rPr>
          <w:rFonts w:hint="eastAsia"/>
          <w:color w:val="auto"/>
          <w:sz w:val="24"/>
          <w:szCs w:val="32"/>
          <w:lang w:eastAsia="zh-CN"/>
        </w:rPr>
        <w:t>）</w:t>
      </w:r>
      <w:r>
        <w:rPr>
          <w:rFonts w:hint="eastAsia"/>
          <w:color w:val="auto"/>
          <w:sz w:val="24"/>
          <w:szCs w:val="32"/>
          <w:lang w:val="en-US" w:eastAsia="zh-CN"/>
        </w:rPr>
        <w:t>静置：精炼变质后的铝液静置10~20min再进行铸造。</w:t>
      </w:r>
    </w:p>
    <w:p w14:paraId="281D8137">
      <w:pPr>
        <w:numPr>
          <w:ilvl w:val="0"/>
          <w:numId w:val="0"/>
        </w:numPr>
        <w:spacing w:line="360" w:lineRule="auto"/>
        <w:ind w:firstLine="480" w:firstLineChars="200"/>
        <w:rPr>
          <w:rFonts w:hint="default" w:eastAsia="宋体"/>
          <w:color w:val="auto"/>
          <w:sz w:val="24"/>
          <w:szCs w:val="32"/>
          <w:lang w:val="en-US" w:eastAsia="zh-CN"/>
        </w:rPr>
      </w:pPr>
      <w:r>
        <w:rPr>
          <w:rFonts w:hint="eastAsia"/>
          <w:color w:val="auto"/>
          <w:sz w:val="24"/>
          <w:szCs w:val="32"/>
          <w:lang w:val="en-US" w:eastAsia="zh-CN"/>
        </w:rPr>
        <w:t>3、铝渣处理系统</w:t>
      </w:r>
    </w:p>
    <w:p w14:paraId="620AA967">
      <w:pPr>
        <w:numPr>
          <w:ilvl w:val="0"/>
          <w:numId w:val="0"/>
        </w:numPr>
        <w:spacing w:line="360" w:lineRule="auto"/>
        <w:ind w:firstLine="480" w:firstLineChars="200"/>
        <w:rPr>
          <w:color w:val="auto"/>
          <w:sz w:val="24"/>
          <w:szCs w:val="32"/>
        </w:rPr>
      </w:pPr>
      <w:r>
        <w:rPr>
          <w:rFonts w:hint="eastAsia"/>
          <w:color w:val="auto"/>
          <w:sz w:val="24"/>
          <w:szCs w:val="32"/>
        </w:rPr>
        <w:t>熔炼、精炼过程产生的铝渣主要成分为金属铝、氧化铝、氧化硅、铁和氧化亚铁，约占99%以上，其次为钛、锰等金属，约占0.8%以上。由于废铝渣主要成份均不在《国家危险废物名录》目录中，同时类比同类企业废铝渣处理情况，均将铝渣判定为一般工业固体废物。</w:t>
      </w:r>
    </w:p>
    <w:p w14:paraId="68086581">
      <w:pPr>
        <w:numPr>
          <w:ilvl w:val="0"/>
          <w:numId w:val="0"/>
        </w:numPr>
        <w:spacing w:line="360" w:lineRule="auto"/>
        <w:ind w:firstLine="480" w:firstLineChars="200"/>
        <w:rPr>
          <w:color w:val="auto"/>
          <w:sz w:val="24"/>
          <w:szCs w:val="32"/>
        </w:rPr>
      </w:pPr>
      <w:r>
        <w:rPr>
          <w:rFonts w:hint="eastAsia"/>
          <w:color w:val="auto"/>
          <w:sz w:val="24"/>
          <w:szCs w:val="32"/>
        </w:rPr>
        <w:t>项目配套建设铝灰回收系统。铝灰处理采取“回转炉+冷灰桶、布袋除尘器”工艺，即通过回转炉旋转搅拌、沉淀而达到提取铝液的目的。铝渣在回转炉内加热过程为内热式，液态铝渣首先入回转炉，利用铝渣自燃产生高温(在自燃造成高温的时间内，等待高温铝渣及灰与间隔搅拌起升温的作用)，在旋转作用下铝成分自动聚合，从而提高了铝熔化速度和铝水温度，并降低了铝水粘度，有利于铝水和铝灰剥离。经回转炉处理后得到的较纯铝汤返回熔炼炉作为原料利用，铝灰进入冷灰桶(卧式)进一步处理。</w:t>
      </w:r>
    </w:p>
    <w:p w14:paraId="552246A9">
      <w:pPr>
        <w:numPr>
          <w:ilvl w:val="0"/>
          <w:numId w:val="0"/>
        </w:numPr>
        <w:spacing w:line="360" w:lineRule="auto"/>
        <w:ind w:firstLine="480" w:firstLineChars="200"/>
        <w:rPr>
          <w:rFonts w:hint="default" w:ascii="Times New Roman" w:hAnsi="Times New Roman" w:eastAsia="宋体" w:cs="Times New Roman"/>
          <w:color w:val="auto"/>
          <w:sz w:val="24"/>
          <w:szCs w:val="32"/>
          <w:lang w:val="en-US" w:eastAsia="zh-CN"/>
        </w:rPr>
      </w:pPr>
      <w:r>
        <w:rPr>
          <w:rFonts w:hint="eastAsia"/>
          <w:color w:val="auto"/>
          <w:sz w:val="24"/>
          <w:szCs w:val="32"/>
        </w:rPr>
        <w:t>冷灰桶设导流板与棍棒，利用棍棒自身重量和桶身旋转将块状热灰压碎，加大散热</w:t>
      </w:r>
      <w:r>
        <w:rPr>
          <w:rFonts w:hint="eastAsia"/>
          <w:color w:val="auto"/>
          <w:sz w:val="24"/>
          <w:szCs w:val="32"/>
          <w:lang w:val="en-US" w:eastAsia="zh-CN"/>
        </w:rPr>
        <w:t>面积，加快散热速度；同时，因热灰被均匀压碎、压散，冷灰桶末端可快速冷却至</w:t>
      </w:r>
      <w:r>
        <w:rPr>
          <w:rFonts w:hint="default" w:ascii="Times New Roman" w:hAnsi="Times New Roman" w:cs="Times New Roman"/>
          <w:color w:val="auto"/>
          <w:sz w:val="24"/>
          <w:szCs w:val="32"/>
          <w:lang w:val="en-US" w:eastAsia="zh-CN"/>
        </w:rPr>
        <w:t>50~60℃以下</w:t>
      </w:r>
      <w:r>
        <w:rPr>
          <w:rFonts w:hint="eastAsia" w:ascii="Times New Roman" w:hAnsi="Times New Roman" w:cs="Times New Roman"/>
          <w:color w:val="auto"/>
          <w:sz w:val="24"/>
          <w:szCs w:val="32"/>
          <w:lang w:val="en-US" w:eastAsia="zh-CN"/>
        </w:rPr>
        <w:t>，有利于筛选。铝灰在冷却桶中经冷却、球磨后，流经2.5m钢网（40~60目）筛选，分成细灰和粗颗粒铝灰。其中，细灰降至灰斗后袋装储存，其中Mn、Si、Fe、Al，外售给水泥厂做填料或炼钢厂作脱氧剂;粗颗粒铝灰分流至冷灰桶底部出灰口，卸至灰斗后重新加入回转炉，既作为冷却剂，又可以二次提炼。</w:t>
      </w:r>
    </w:p>
    <w:p w14:paraId="1A742C7B">
      <w:pPr>
        <w:numPr>
          <w:ilvl w:val="0"/>
          <w:numId w:val="0"/>
        </w:numPr>
        <w:spacing w:line="360" w:lineRule="auto"/>
        <w:ind w:firstLine="480" w:firstLineChars="200"/>
        <w:rPr>
          <w:color w:val="auto"/>
          <w:sz w:val="24"/>
          <w:szCs w:val="32"/>
        </w:rPr>
      </w:pPr>
      <w:r>
        <w:rPr>
          <w:rFonts w:hint="eastAsia"/>
          <w:color w:val="auto"/>
          <w:sz w:val="24"/>
          <w:szCs w:val="32"/>
        </w:rPr>
        <w:t>回转炉产生的废气</w:t>
      </w:r>
      <w:r>
        <w:rPr>
          <w:rFonts w:hint="eastAsia"/>
          <w:color w:val="auto"/>
          <w:sz w:val="24"/>
          <w:szCs w:val="32"/>
          <w:lang w:eastAsia="zh-CN"/>
        </w:rPr>
        <w:t>（</w:t>
      </w:r>
      <w:r>
        <w:rPr>
          <w:rFonts w:hint="eastAsia"/>
          <w:color w:val="auto"/>
          <w:sz w:val="24"/>
          <w:szCs w:val="32"/>
        </w:rPr>
        <w:t>G6</w:t>
      </w:r>
      <w:r>
        <w:rPr>
          <w:rFonts w:hint="eastAsia"/>
          <w:color w:val="auto"/>
          <w:sz w:val="24"/>
          <w:szCs w:val="32"/>
          <w:lang w:eastAsia="zh-CN"/>
        </w:rPr>
        <w:t>）</w:t>
      </w:r>
      <w:r>
        <w:rPr>
          <w:rFonts w:hint="eastAsia"/>
          <w:color w:val="auto"/>
          <w:sz w:val="24"/>
          <w:szCs w:val="32"/>
        </w:rPr>
        <w:t>与冷灰桶产生的废气</w:t>
      </w:r>
      <w:r>
        <w:rPr>
          <w:rFonts w:hint="eastAsia"/>
          <w:color w:val="auto"/>
          <w:sz w:val="24"/>
          <w:szCs w:val="32"/>
          <w:lang w:eastAsia="zh-CN"/>
        </w:rPr>
        <w:t>（</w:t>
      </w:r>
      <w:r>
        <w:rPr>
          <w:rFonts w:hint="eastAsia"/>
          <w:color w:val="auto"/>
          <w:sz w:val="24"/>
          <w:szCs w:val="32"/>
        </w:rPr>
        <w:t>G7</w:t>
      </w:r>
      <w:r>
        <w:rPr>
          <w:rFonts w:hint="eastAsia"/>
          <w:color w:val="auto"/>
          <w:sz w:val="24"/>
          <w:szCs w:val="32"/>
          <w:lang w:eastAsia="zh-CN"/>
        </w:rPr>
        <w:t>）</w:t>
      </w:r>
      <w:r>
        <w:rPr>
          <w:rFonts w:hint="eastAsia"/>
          <w:color w:val="auto"/>
          <w:sz w:val="24"/>
          <w:szCs w:val="32"/>
        </w:rPr>
        <w:t>主要污染物为粉尘，分别通过各自的集气罩引入除尘净化系统除尘处理后，最后经2</w:t>
      </w:r>
      <w:r>
        <w:rPr>
          <w:rFonts w:hint="eastAsia"/>
          <w:color w:val="auto"/>
          <w:sz w:val="24"/>
          <w:szCs w:val="32"/>
          <w:lang w:val="en-US" w:eastAsia="zh-CN"/>
        </w:rPr>
        <w:t>4.5</w:t>
      </w:r>
      <w:r>
        <w:rPr>
          <w:rFonts w:hint="eastAsia"/>
          <w:color w:val="auto"/>
          <w:sz w:val="24"/>
          <w:szCs w:val="32"/>
        </w:rPr>
        <w:t>m高排气筒排放。</w:t>
      </w:r>
    </w:p>
    <w:bookmarkEnd w:id="287"/>
    <w:p w14:paraId="58219275">
      <w:pPr>
        <w:spacing w:line="360" w:lineRule="auto"/>
        <w:outlineLvl w:val="1"/>
        <w:rPr>
          <w:b/>
          <w:bCs/>
          <w:color w:val="auto"/>
          <w:sz w:val="28"/>
          <w:szCs w:val="28"/>
        </w:rPr>
      </w:pPr>
      <w:bookmarkStart w:id="288" w:name="_Toc9996"/>
      <w:r>
        <w:rPr>
          <w:b/>
          <w:bCs/>
          <w:color w:val="auto"/>
          <w:sz w:val="28"/>
          <w:szCs w:val="28"/>
        </w:rPr>
        <w:t>3.3</w:t>
      </w:r>
      <w:r>
        <w:rPr>
          <w:rFonts w:hint="eastAsia"/>
          <w:b/>
          <w:bCs/>
          <w:color w:val="auto"/>
          <w:sz w:val="28"/>
          <w:szCs w:val="28"/>
        </w:rPr>
        <w:t>污染源及其治理措施分析</w:t>
      </w:r>
      <w:bookmarkEnd w:id="288"/>
    </w:p>
    <w:p w14:paraId="2001E943">
      <w:pPr>
        <w:spacing w:line="360" w:lineRule="auto"/>
        <w:outlineLvl w:val="2"/>
        <w:rPr>
          <w:rFonts w:hint="eastAsia"/>
          <w:b/>
          <w:bCs/>
          <w:color w:val="auto"/>
          <w:sz w:val="24"/>
          <w:lang w:eastAsia="zh-CN"/>
        </w:rPr>
      </w:pPr>
      <w:bookmarkStart w:id="289" w:name="_Toc23051"/>
      <w:r>
        <w:rPr>
          <w:b/>
          <w:bCs/>
          <w:color w:val="auto"/>
          <w:sz w:val="24"/>
        </w:rPr>
        <w:t>3.3.1</w:t>
      </w:r>
      <w:bookmarkEnd w:id="289"/>
      <w:r>
        <w:rPr>
          <w:rFonts w:hint="eastAsia"/>
          <w:b/>
          <w:bCs/>
          <w:color w:val="auto"/>
          <w:sz w:val="24"/>
        </w:rPr>
        <w:t>废气污染源及其治理措施分析</w:t>
      </w:r>
    </w:p>
    <w:p w14:paraId="387DF31D">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default" w:ascii="Times New Roman" w:hAnsi="Times New Roman" w:cs="Times New Roman"/>
          <w:b w:val="0"/>
          <w:bCs w:val="0"/>
          <w:color w:val="auto"/>
          <w:sz w:val="24"/>
          <w:lang w:val="en-US" w:eastAsia="zh-CN"/>
        </w:rPr>
      </w:pPr>
      <w:r>
        <w:rPr>
          <w:rFonts w:hint="eastAsia" w:ascii="Times New Roman" w:hAnsi="Times New Roman" w:cs="Times New Roman"/>
          <w:b w:val="0"/>
          <w:bCs w:val="0"/>
          <w:color w:val="auto"/>
          <w:sz w:val="24"/>
          <w:lang w:val="en-US" w:eastAsia="zh-CN"/>
        </w:rPr>
        <w:t>1、有组织废气</w:t>
      </w:r>
    </w:p>
    <w:p w14:paraId="15168C1E">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eastAsia" w:ascii="Times New Roman" w:hAnsi="Times New Roman" w:cs="Times New Roman"/>
          <w:b w:val="0"/>
          <w:bCs w:val="0"/>
          <w:color w:val="auto"/>
          <w:sz w:val="24"/>
          <w:lang w:val="en-US" w:eastAsia="zh-CN"/>
        </w:rPr>
      </w:pPr>
      <w:r>
        <w:rPr>
          <w:rFonts w:hint="default" w:ascii="Times New Roman" w:hAnsi="Times New Roman" w:cs="Times New Roman"/>
          <w:b w:val="0"/>
          <w:bCs w:val="0"/>
          <w:color w:val="auto"/>
          <w:sz w:val="24"/>
          <w:lang w:eastAsia="zh-CN"/>
        </w:rPr>
        <w:t>根据工艺过程及现场调查，本项目废气污染源主要为熔炼</w:t>
      </w:r>
      <w:r>
        <w:rPr>
          <w:rFonts w:hint="eastAsia" w:ascii="Times New Roman" w:hAnsi="Times New Roman" w:cs="Times New Roman"/>
          <w:b w:val="0"/>
          <w:bCs w:val="0"/>
          <w:color w:val="auto"/>
          <w:sz w:val="24"/>
          <w:lang w:eastAsia="zh-CN"/>
        </w:rPr>
        <w:t>、</w:t>
      </w:r>
      <w:r>
        <w:rPr>
          <w:rFonts w:hint="eastAsia" w:ascii="Times New Roman" w:hAnsi="Times New Roman" w:cs="Times New Roman"/>
          <w:b w:val="0"/>
          <w:bCs w:val="0"/>
          <w:color w:val="auto"/>
          <w:sz w:val="24"/>
          <w:lang w:val="en-US" w:eastAsia="zh-CN"/>
        </w:rPr>
        <w:t>精炼</w:t>
      </w:r>
      <w:r>
        <w:rPr>
          <w:rFonts w:hint="default" w:ascii="Times New Roman" w:hAnsi="Times New Roman" w:cs="Times New Roman"/>
          <w:b w:val="0"/>
          <w:bCs w:val="0"/>
          <w:color w:val="auto"/>
          <w:sz w:val="24"/>
          <w:lang w:eastAsia="zh-CN"/>
        </w:rPr>
        <w:t>烟气（含天然气燃烧废气）和铝渣处理</w:t>
      </w:r>
      <w:r>
        <w:rPr>
          <w:rFonts w:hint="eastAsia" w:ascii="Times New Roman" w:hAnsi="Times New Roman" w:cs="Times New Roman"/>
          <w:b w:val="0"/>
          <w:bCs w:val="0"/>
          <w:color w:val="auto"/>
          <w:sz w:val="24"/>
          <w:lang w:val="en-US" w:eastAsia="zh-CN"/>
        </w:rPr>
        <w:t>废气，熔炼、精炼烟气主要成分为</w:t>
      </w:r>
      <w:r>
        <w:rPr>
          <w:rFonts w:hint="eastAsia" w:ascii="Times New Roman" w:hAnsi="Times New Roman" w:cs="Times New Roman"/>
          <w:color w:val="auto"/>
          <w:szCs w:val="21"/>
          <w:lang w:val="en-US" w:eastAsia="zh-CN"/>
        </w:rPr>
        <w:t>颗粒物</w:t>
      </w:r>
      <w:r>
        <w:rPr>
          <w:rFonts w:hint="default" w:ascii="Times New Roman" w:hAnsi="Times New Roman" w:cs="Times New Roman"/>
          <w:color w:val="auto"/>
          <w:szCs w:val="21"/>
        </w:rPr>
        <w:t>、SO</w:t>
      </w:r>
      <w:r>
        <w:rPr>
          <w:rFonts w:hint="default" w:ascii="Times New Roman" w:hAnsi="Times New Roman" w:cs="Times New Roman"/>
          <w:color w:val="auto"/>
          <w:szCs w:val="21"/>
          <w:vertAlign w:val="subscript"/>
        </w:rPr>
        <w:t>2</w:t>
      </w:r>
      <w:r>
        <w:rPr>
          <w:rFonts w:hint="default" w:ascii="Times New Roman" w:hAnsi="Times New Roman" w:cs="Times New Roman"/>
          <w:color w:val="auto"/>
          <w:szCs w:val="21"/>
        </w:rPr>
        <w:t>、NO</w:t>
      </w:r>
      <w:r>
        <w:rPr>
          <w:rFonts w:hint="default" w:ascii="Times New Roman" w:hAnsi="Times New Roman" w:cs="Times New Roman"/>
          <w:color w:val="auto"/>
          <w:szCs w:val="21"/>
          <w:vertAlign w:val="subscript"/>
        </w:rPr>
        <w:t>X</w:t>
      </w:r>
      <w:r>
        <w:rPr>
          <w:rFonts w:hint="default" w:ascii="Times New Roman" w:hAnsi="Times New Roman" w:cs="Times New Roman"/>
          <w:color w:val="auto"/>
          <w:szCs w:val="21"/>
        </w:rPr>
        <w:t>、HCl、二噁英类</w:t>
      </w:r>
      <w:r>
        <w:rPr>
          <w:rFonts w:hint="eastAsia" w:ascii="Times New Roman" w:hAnsi="Times New Roman" w:cs="Times New Roman"/>
          <w:color w:val="auto"/>
          <w:szCs w:val="21"/>
          <w:lang w:eastAsia="zh-CN"/>
        </w:rPr>
        <w:t>，</w:t>
      </w:r>
      <w:r>
        <w:rPr>
          <w:rFonts w:hint="eastAsia" w:ascii="Times New Roman" w:hAnsi="Times New Roman" w:cs="Times New Roman"/>
          <w:color w:val="auto"/>
          <w:szCs w:val="21"/>
          <w:lang w:val="en-US" w:eastAsia="zh-CN"/>
        </w:rPr>
        <w:t>铝渣处理废气主要成分为颗粒物。熔炼、精炼烟气经SNCR装置（为</w:t>
      </w:r>
      <w:r>
        <w:rPr>
          <w:rFonts w:hint="eastAsia"/>
          <w:color w:val="auto"/>
          <w:sz w:val="24"/>
          <w:szCs w:val="32"/>
          <w:lang w:val="en-US" w:eastAsia="zh-CN"/>
        </w:rPr>
        <w:t>安徽瑞瑟科金属材料有限公司接手该项目后新增的环保设备</w:t>
      </w:r>
      <w:r>
        <w:rPr>
          <w:rFonts w:hint="eastAsia" w:ascii="Times New Roman" w:hAnsi="Times New Roman" w:cs="Times New Roman"/>
          <w:color w:val="auto"/>
          <w:szCs w:val="21"/>
          <w:lang w:val="en-US" w:eastAsia="zh-CN"/>
        </w:rPr>
        <w:t>）+烟气急冷装置处理后与</w:t>
      </w:r>
      <w:r>
        <w:rPr>
          <w:rFonts w:hint="default" w:ascii="Times New Roman" w:hAnsi="Times New Roman" w:cs="Times New Roman"/>
          <w:b w:val="0"/>
          <w:bCs w:val="0"/>
          <w:color w:val="auto"/>
          <w:sz w:val="24"/>
          <w:lang w:eastAsia="zh-CN"/>
        </w:rPr>
        <w:t>铝渣处理</w:t>
      </w:r>
      <w:r>
        <w:rPr>
          <w:rFonts w:hint="eastAsia" w:ascii="Times New Roman" w:hAnsi="Times New Roman" w:cs="Times New Roman"/>
          <w:b w:val="0"/>
          <w:bCs w:val="0"/>
          <w:color w:val="auto"/>
          <w:sz w:val="24"/>
          <w:lang w:val="en-US" w:eastAsia="zh-CN"/>
        </w:rPr>
        <w:t>废气经活性炭喷粉+重力沉降除尘+布袋除尘器+碱喷淋装置处理后通过1根24.5m高的排气筒排放。</w:t>
      </w:r>
    </w:p>
    <w:p w14:paraId="4B508D4B">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jc w:val="center"/>
        <w:textAlignment w:val="auto"/>
        <w:rPr>
          <w:rFonts w:ascii="Times New Roman" w:hAnsi="Times New Roman"/>
          <w:b/>
          <w:bCs/>
          <w:color w:val="auto"/>
          <w:szCs w:val="22"/>
        </w:rPr>
      </w:pPr>
      <w:r>
        <w:rPr>
          <w:rFonts w:ascii="Times New Roman" w:hAnsi="Times New Roman"/>
          <w:color w:val="auto"/>
          <w:kern w:val="0"/>
        </w:rPr>
        <w:object>
          <v:shape id="_x0000_i1025" o:spt="75" type="#_x0000_t75" style="height:140.95pt;width:361.8pt;" o:ole="t" filled="f" o:preferrelative="t" stroked="f" coordsize="21600,21600">
            <v:path/>
            <v:fill on="f" focussize="0,0"/>
            <v:stroke on="f"/>
            <v:imagedata r:id="rId24" o:title=""/>
            <o:lock v:ext="edit" aspectratio="f"/>
            <w10:wrap type="none"/>
            <w10:anchorlock/>
          </v:shape>
          <o:OLEObject Type="Embed" ProgID="RFFlow4" ShapeID="_x0000_i1025" DrawAspect="Content" ObjectID="_1468075725" r:id="rId23">
            <o:LockedField>false</o:LockedField>
          </o:OLEObject>
        </w:object>
      </w:r>
    </w:p>
    <w:p w14:paraId="51E390DD">
      <w:pPr>
        <w:pStyle w:val="12"/>
        <w:tabs>
          <w:tab w:val="left" w:pos="420"/>
        </w:tabs>
        <w:spacing w:after="0" w:line="240" w:lineRule="auto"/>
        <w:ind w:left="0" w:leftChars="0"/>
        <w:jc w:val="center"/>
        <w:rPr>
          <w:rFonts w:hint="eastAsia"/>
          <w:b/>
          <w:bCs/>
          <w:color w:val="auto"/>
          <w:sz w:val="24"/>
          <w:szCs w:val="22"/>
        </w:rPr>
      </w:pPr>
      <w:r>
        <w:rPr>
          <w:rFonts w:hint="eastAsia"/>
          <w:b/>
          <w:bCs/>
          <w:color w:val="auto"/>
          <w:sz w:val="24"/>
          <w:szCs w:val="22"/>
        </w:rPr>
        <w:t>图3</w:t>
      </w:r>
      <w:r>
        <w:rPr>
          <w:rFonts w:hint="eastAsia"/>
          <w:b/>
          <w:bCs/>
          <w:color w:val="auto"/>
          <w:sz w:val="24"/>
          <w:szCs w:val="22"/>
          <w:lang w:val="en-US" w:eastAsia="zh-CN"/>
        </w:rPr>
        <w:t>-2</w:t>
      </w:r>
      <w:r>
        <w:rPr>
          <w:rFonts w:hint="eastAsia"/>
          <w:b/>
          <w:bCs/>
          <w:color w:val="auto"/>
          <w:sz w:val="24"/>
          <w:szCs w:val="22"/>
        </w:rPr>
        <w:t xml:space="preserve"> 1</w:t>
      </w:r>
      <w:r>
        <w:rPr>
          <w:b/>
          <w:bCs/>
          <w:color w:val="auto"/>
          <w:sz w:val="24"/>
          <w:szCs w:val="22"/>
        </w:rPr>
        <w:t>#排气筒废气收集、处理流程图</w:t>
      </w:r>
    </w:p>
    <w:p w14:paraId="5BA9AB55">
      <w:pPr>
        <w:keepNext w:val="0"/>
        <w:keepLines w:val="0"/>
        <w:pageBreakBefore w:val="0"/>
        <w:widowControl w:val="0"/>
        <w:kinsoku/>
        <w:wordWrap w:val="0"/>
        <w:overflowPunct/>
        <w:topLinePunct/>
        <w:autoSpaceDE/>
        <w:autoSpaceDN/>
        <w:bidi w:val="0"/>
        <w:adjustRightInd w:val="0"/>
        <w:snapToGrid w:val="0"/>
        <w:spacing w:line="360" w:lineRule="auto"/>
        <w:jc w:val="both"/>
        <w:textAlignment w:val="auto"/>
        <w:rPr>
          <w:rFonts w:hint="eastAsia"/>
          <w:color w:val="auto"/>
          <w:sz w:val="24"/>
          <w:szCs w:val="32"/>
          <w:lang w:val="en-US" w:eastAsia="zh-CN"/>
        </w:rPr>
      </w:pPr>
      <w:r>
        <w:rPr>
          <w:rFonts w:hint="eastAsia"/>
          <w:color w:val="auto"/>
          <w:sz w:val="24"/>
          <w:szCs w:val="32"/>
          <w:lang w:val="en-US" w:eastAsia="zh-CN"/>
        </w:rPr>
        <w:drawing>
          <wp:inline distT="0" distB="0" distL="114300" distR="114300">
            <wp:extent cx="6185535" cy="6569075"/>
            <wp:effectExtent l="0" t="0" r="5715" b="3175"/>
            <wp:docPr id="29" name="图片 2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
                    <pic:cNvPicPr>
                      <a:picLocks noChangeAspect="1"/>
                    </pic:cNvPicPr>
                  </pic:nvPicPr>
                  <pic:blipFill>
                    <a:blip r:embed="rId25"/>
                    <a:stretch>
                      <a:fillRect/>
                    </a:stretch>
                  </pic:blipFill>
                  <pic:spPr>
                    <a:xfrm>
                      <a:off x="0" y="0"/>
                      <a:ext cx="6185535" cy="6569075"/>
                    </a:xfrm>
                    <a:prstGeom prst="rect">
                      <a:avLst/>
                    </a:prstGeom>
                  </pic:spPr>
                </pic:pic>
              </a:graphicData>
            </a:graphic>
          </wp:inline>
        </w:drawing>
      </w:r>
    </w:p>
    <w:p w14:paraId="5F84F81C">
      <w:pPr>
        <w:keepNext w:val="0"/>
        <w:keepLines w:val="0"/>
        <w:pageBreakBefore w:val="0"/>
        <w:widowControl w:val="0"/>
        <w:kinsoku/>
        <w:wordWrap w:val="0"/>
        <w:overflowPunct/>
        <w:topLinePunct/>
        <w:autoSpaceDE/>
        <w:autoSpaceDN/>
        <w:bidi w:val="0"/>
        <w:adjustRightInd w:val="0"/>
        <w:snapToGrid w:val="0"/>
        <w:spacing w:line="360" w:lineRule="auto"/>
        <w:jc w:val="center"/>
        <w:textAlignment w:val="auto"/>
        <w:rPr>
          <w:rFonts w:hint="default"/>
          <w:b/>
          <w:bCs/>
          <w:color w:val="auto"/>
          <w:sz w:val="24"/>
          <w:szCs w:val="32"/>
          <w:lang w:val="en-US" w:eastAsia="zh-CN"/>
        </w:rPr>
      </w:pPr>
      <w:r>
        <w:rPr>
          <w:rFonts w:hint="eastAsia"/>
          <w:b/>
          <w:bCs/>
          <w:color w:val="auto"/>
          <w:sz w:val="24"/>
          <w:szCs w:val="32"/>
          <w:lang w:val="en-US" w:eastAsia="zh-CN"/>
        </w:rPr>
        <w:t>图3-3 项目DA001排气筒</w:t>
      </w:r>
    </w:p>
    <w:p w14:paraId="08381D0D">
      <w:pPr>
        <w:keepNext w:val="0"/>
        <w:keepLines w:val="0"/>
        <w:pageBreakBefore w:val="0"/>
        <w:widowControl w:val="0"/>
        <w:kinsoku/>
        <w:wordWrap w:val="0"/>
        <w:overflowPunct/>
        <w:topLinePunct/>
        <w:autoSpaceDE/>
        <w:autoSpaceDN/>
        <w:bidi w:val="0"/>
        <w:adjustRightInd w:val="0"/>
        <w:snapToGrid w:val="0"/>
        <w:spacing w:line="360" w:lineRule="auto"/>
        <w:ind w:firstLine="480" w:firstLineChars="200"/>
        <w:jc w:val="both"/>
        <w:textAlignment w:val="auto"/>
        <w:rPr>
          <w:rFonts w:hint="default" w:ascii="Times New Roman" w:hAnsi="Times New Roman" w:cs="Times New Roman"/>
          <w:b w:val="0"/>
          <w:bCs w:val="0"/>
          <w:color w:val="auto"/>
          <w:sz w:val="24"/>
          <w:lang w:val="en-US" w:eastAsia="zh-CN"/>
        </w:rPr>
      </w:pPr>
      <w:r>
        <w:rPr>
          <w:rFonts w:hint="eastAsia"/>
          <w:color w:val="auto"/>
          <w:sz w:val="24"/>
          <w:szCs w:val="32"/>
          <w:lang w:val="en-US" w:eastAsia="zh-CN"/>
        </w:rPr>
        <w:t>由于安徽瑞瑟科金属材料有限公司接手该项目后未取得排污许可证，目前未开展例行检测，故本次例行检测数据来源于</w:t>
      </w:r>
      <w:r>
        <w:rPr>
          <w:rFonts w:hint="eastAsia"/>
          <w:color w:val="auto"/>
          <w:kern w:val="24"/>
          <w:sz w:val="24"/>
          <w:lang w:val="en-US" w:eastAsia="zh-CN"/>
        </w:rPr>
        <w:t>安徽省裕康铝业有限公司经营该项目期间开展的例行监测数据，颗粒物、二氧化硫、氮氧化物数据采用安徽省裕康铝业有限公司经营该项目期间2024年8月1日~9月30日在线监测数据。</w:t>
      </w:r>
      <w:r>
        <w:rPr>
          <w:rFonts w:hint="default" w:ascii="Times New Roman" w:hAnsi="Times New Roman" w:cs="Times New Roman"/>
          <w:b w:val="0"/>
          <w:bCs w:val="0"/>
          <w:color w:val="auto"/>
          <w:sz w:val="24"/>
          <w:lang w:val="en-US" w:eastAsia="zh-CN"/>
        </w:rPr>
        <w:t>具体检测结果如下：</w:t>
      </w:r>
    </w:p>
    <w:p w14:paraId="49079B1E">
      <w:pPr>
        <w:wordWrap w:val="0"/>
        <w:topLinePunct/>
        <w:adjustRightInd w:val="0"/>
        <w:snapToGrid w:val="0"/>
        <w:spacing w:line="360" w:lineRule="auto"/>
        <w:jc w:val="center"/>
        <w:rPr>
          <w:b/>
          <w:bCs/>
          <w:color w:val="auto"/>
          <w:sz w:val="24"/>
          <w:szCs w:val="32"/>
        </w:rPr>
        <w:sectPr>
          <w:pgSz w:w="11906" w:h="16838"/>
          <w:pgMar w:top="1440" w:right="1080" w:bottom="1440" w:left="1080" w:header="708" w:footer="709" w:gutter="0"/>
          <w:pgBorders>
            <w:top w:val="none" w:sz="0" w:space="0"/>
            <w:left w:val="none" w:sz="0" w:space="0"/>
            <w:bottom w:val="none" w:sz="0" w:space="0"/>
            <w:right w:val="none" w:sz="0" w:space="0"/>
          </w:pgBorders>
          <w:pgNumType w:fmt="numberInDash"/>
          <w:cols w:space="0" w:num="1"/>
          <w:docGrid w:linePitch="360" w:charSpace="0"/>
        </w:sectPr>
      </w:pPr>
    </w:p>
    <w:p w14:paraId="778B597C">
      <w:pPr>
        <w:wordWrap w:val="0"/>
        <w:topLinePunct/>
        <w:adjustRightInd w:val="0"/>
        <w:snapToGrid w:val="0"/>
        <w:spacing w:line="360" w:lineRule="auto"/>
        <w:jc w:val="center"/>
        <w:rPr>
          <w:rFonts w:hint="eastAsia"/>
          <w:b/>
          <w:bCs/>
          <w:color w:val="auto"/>
          <w:sz w:val="24"/>
          <w:szCs w:val="32"/>
          <w:lang w:val="en-US" w:eastAsia="zh-CN"/>
        </w:rPr>
      </w:pPr>
      <w:r>
        <w:rPr>
          <w:b/>
          <w:bCs/>
          <w:color w:val="auto"/>
          <w:sz w:val="24"/>
          <w:szCs w:val="32"/>
        </w:rPr>
        <w:t>表3-</w:t>
      </w:r>
      <w:r>
        <w:rPr>
          <w:rFonts w:hint="eastAsia"/>
          <w:b/>
          <w:bCs/>
          <w:color w:val="auto"/>
          <w:sz w:val="24"/>
          <w:szCs w:val="32"/>
          <w:lang w:val="en-US" w:eastAsia="zh-CN"/>
        </w:rPr>
        <w:t>7 DA001排气筒颗粒物、二氧化硫、氮氧化物在线监测数据达标情况一览表</w:t>
      </w:r>
    </w:p>
    <w:tbl>
      <w:tblPr>
        <w:tblStyle w:val="121"/>
        <w:tblW w:w="498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23"/>
        <w:gridCol w:w="2170"/>
        <w:gridCol w:w="2170"/>
        <w:gridCol w:w="2170"/>
        <w:gridCol w:w="2170"/>
        <w:gridCol w:w="2170"/>
        <w:gridCol w:w="2170"/>
      </w:tblGrid>
      <w:tr w14:paraId="58E274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Merge w:val="restart"/>
            <w:vAlign w:val="center"/>
          </w:tcPr>
          <w:p w14:paraId="57D70C5C">
            <w:pPr>
              <w:pStyle w:val="9"/>
              <w:spacing w:after="0"/>
              <w:jc w:val="center"/>
              <w:rPr>
                <w:b/>
                <w:bCs/>
                <w:color w:val="auto"/>
                <w:kern w:val="0"/>
                <w:szCs w:val="21"/>
              </w:rPr>
            </w:pPr>
            <w:r>
              <w:rPr>
                <w:rFonts w:hint="eastAsia"/>
                <w:b/>
                <w:bCs/>
                <w:color w:val="auto"/>
                <w:kern w:val="0"/>
                <w:szCs w:val="21"/>
              </w:rPr>
              <w:t>时间</w:t>
            </w:r>
          </w:p>
        </w:tc>
        <w:tc>
          <w:tcPr>
            <w:tcW w:w="1534" w:type="pct"/>
            <w:gridSpan w:val="2"/>
            <w:vAlign w:val="center"/>
          </w:tcPr>
          <w:p w14:paraId="49729C79">
            <w:pPr>
              <w:pStyle w:val="9"/>
              <w:spacing w:after="0"/>
              <w:jc w:val="center"/>
              <w:rPr>
                <w:b/>
                <w:bCs/>
                <w:color w:val="auto"/>
                <w:kern w:val="0"/>
                <w:szCs w:val="21"/>
              </w:rPr>
            </w:pPr>
            <w:r>
              <w:rPr>
                <w:rFonts w:hint="eastAsia"/>
                <w:b/>
                <w:bCs/>
                <w:color w:val="auto"/>
                <w:kern w:val="0"/>
                <w:szCs w:val="21"/>
              </w:rPr>
              <w:t>烟尘</w:t>
            </w:r>
          </w:p>
        </w:tc>
        <w:tc>
          <w:tcPr>
            <w:tcW w:w="1534" w:type="pct"/>
            <w:gridSpan w:val="2"/>
            <w:vAlign w:val="center"/>
          </w:tcPr>
          <w:p w14:paraId="076AF305">
            <w:pPr>
              <w:pStyle w:val="9"/>
              <w:spacing w:after="0"/>
              <w:jc w:val="center"/>
              <w:rPr>
                <w:b/>
                <w:bCs/>
                <w:color w:val="auto"/>
                <w:kern w:val="0"/>
                <w:szCs w:val="21"/>
              </w:rPr>
            </w:pPr>
            <w:r>
              <w:rPr>
                <w:rFonts w:hint="eastAsia"/>
                <w:b/>
                <w:bCs/>
                <w:color w:val="auto"/>
                <w:kern w:val="0"/>
                <w:szCs w:val="21"/>
              </w:rPr>
              <w:t>二氧化硫</w:t>
            </w:r>
          </w:p>
        </w:tc>
        <w:tc>
          <w:tcPr>
            <w:tcW w:w="1534" w:type="pct"/>
            <w:gridSpan w:val="2"/>
            <w:vAlign w:val="center"/>
          </w:tcPr>
          <w:p w14:paraId="04A134C5">
            <w:pPr>
              <w:pStyle w:val="9"/>
              <w:spacing w:after="0"/>
              <w:jc w:val="center"/>
              <w:rPr>
                <w:b/>
                <w:bCs/>
                <w:color w:val="auto"/>
                <w:kern w:val="0"/>
                <w:szCs w:val="21"/>
              </w:rPr>
            </w:pPr>
            <w:r>
              <w:rPr>
                <w:rFonts w:hint="eastAsia"/>
                <w:b/>
                <w:bCs/>
                <w:color w:val="auto"/>
                <w:kern w:val="0"/>
                <w:szCs w:val="21"/>
              </w:rPr>
              <w:t>氮氧化物</w:t>
            </w:r>
          </w:p>
        </w:tc>
      </w:tr>
      <w:tr w14:paraId="6E29E0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397" w:type="pct"/>
            <w:vMerge w:val="continue"/>
            <w:vAlign w:val="center"/>
          </w:tcPr>
          <w:p w14:paraId="1F09BA72">
            <w:pPr>
              <w:pStyle w:val="9"/>
              <w:spacing w:after="0"/>
              <w:jc w:val="center"/>
              <w:rPr>
                <w:b/>
                <w:bCs/>
                <w:color w:val="auto"/>
                <w:kern w:val="0"/>
                <w:szCs w:val="21"/>
              </w:rPr>
            </w:pPr>
          </w:p>
        </w:tc>
        <w:tc>
          <w:tcPr>
            <w:tcW w:w="767" w:type="pct"/>
            <w:vAlign w:val="center"/>
          </w:tcPr>
          <w:p w14:paraId="23A05E16">
            <w:pPr>
              <w:pStyle w:val="9"/>
              <w:spacing w:after="0" w:line="240" w:lineRule="auto"/>
              <w:jc w:val="center"/>
              <w:rPr>
                <w:b/>
                <w:bCs/>
                <w:color w:val="auto"/>
                <w:kern w:val="0"/>
                <w:szCs w:val="21"/>
              </w:rPr>
            </w:pPr>
            <w:r>
              <w:rPr>
                <w:rFonts w:hint="eastAsia"/>
                <w:b/>
                <w:bCs/>
                <w:color w:val="auto"/>
                <w:kern w:val="0"/>
                <w:szCs w:val="21"/>
              </w:rPr>
              <w:t>浓度</w:t>
            </w:r>
            <w:r>
              <w:rPr>
                <w:b/>
                <w:bCs/>
                <w:color w:val="auto"/>
                <w:kern w:val="0"/>
                <w:szCs w:val="21"/>
              </w:rPr>
              <w:t>mg/m</w:t>
            </w:r>
            <w:r>
              <w:rPr>
                <w:b/>
                <w:bCs/>
                <w:color w:val="auto"/>
                <w:kern w:val="0"/>
                <w:szCs w:val="21"/>
                <w:vertAlign w:val="superscript"/>
              </w:rPr>
              <w:t>3</w:t>
            </w:r>
          </w:p>
        </w:tc>
        <w:tc>
          <w:tcPr>
            <w:tcW w:w="767" w:type="pct"/>
            <w:vAlign w:val="center"/>
          </w:tcPr>
          <w:p w14:paraId="6CF893D6">
            <w:pPr>
              <w:pStyle w:val="9"/>
              <w:spacing w:after="0" w:line="240" w:lineRule="auto"/>
              <w:jc w:val="center"/>
              <w:rPr>
                <w:b/>
                <w:bCs/>
                <w:color w:val="auto"/>
                <w:kern w:val="0"/>
                <w:szCs w:val="21"/>
              </w:rPr>
            </w:pPr>
            <w:r>
              <w:rPr>
                <w:rFonts w:hint="eastAsia"/>
                <w:b/>
                <w:bCs/>
                <w:color w:val="auto"/>
                <w:kern w:val="0"/>
                <w:szCs w:val="21"/>
              </w:rPr>
              <w:t>排放量k</w:t>
            </w:r>
            <w:r>
              <w:rPr>
                <w:b/>
                <w:bCs/>
                <w:color w:val="auto"/>
                <w:kern w:val="0"/>
                <w:szCs w:val="21"/>
              </w:rPr>
              <w:t>g/d</w:t>
            </w:r>
          </w:p>
        </w:tc>
        <w:tc>
          <w:tcPr>
            <w:tcW w:w="767" w:type="pct"/>
            <w:vAlign w:val="center"/>
          </w:tcPr>
          <w:p w14:paraId="02EFB41B">
            <w:pPr>
              <w:pStyle w:val="9"/>
              <w:spacing w:after="0" w:line="240" w:lineRule="auto"/>
              <w:jc w:val="center"/>
              <w:rPr>
                <w:b/>
                <w:bCs/>
                <w:color w:val="auto"/>
                <w:kern w:val="0"/>
                <w:szCs w:val="21"/>
              </w:rPr>
            </w:pPr>
            <w:r>
              <w:rPr>
                <w:rFonts w:hint="eastAsia"/>
                <w:b/>
                <w:bCs/>
                <w:color w:val="auto"/>
                <w:kern w:val="0"/>
                <w:szCs w:val="21"/>
              </w:rPr>
              <w:t>浓度</w:t>
            </w:r>
            <w:r>
              <w:rPr>
                <w:b/>
                <w:bCs/>
                <w:color w:val="auto"/>
                <w:kern w:val="0"/>
                <w:szCs w:val="21"/>
              </w:rPr>
              <w:t>mg/m</w:t>
            </w:r>
            <w:r>
              <w:rPr>
                <w:b/>
                <w:bCs/>
                <w:color w:val="auto"/>
                <w:kern w:val="0"/>
                <w:szCs w:val="21"/>
                <w:vertAlign w:val="superscript"/>
              </w:rPr>
              <w:t>3</w:t>
            </w:r>
          </w:p>
        </w:tc>
        <w:tc>
          <w:tcPr>
            <w:tcW w:w="767" w:type="pct"/>
            <w:vAlign w:val="center"/>
          </w:tcPr>
          <w:p w14:paraId="163B5A1A">
            <w:pPr>
              <w:pStyle w:val="9"/>
              <w:spacing w:after="0" w:line="240" w:lineRule="auto"/>
              <w:jc w:val="center"/>
              <w:rPr>
                <w:b/>
                <w:bCs/>
                <w:color w:val="auto"/>
                <w:kern w:val="0"/>
                <w:szCs w:val="21"/>
              </w:rPr>
            </w:pPr>
            <w:r>
              <w:rPr>
                <w:rFonts w:hint="eastAsia"/>
                <w:b/>
                <w:bCs/>
                <w:color w:val="auto"/>
                <w:kern w:val="0"/>
                <w:szCs w:val="21"/>
              </w:rPr>
              <w:t>排放量k</w:t>
            </w:r>
            <w:r>
              <w:rPr>
                <w:b/>
                <w:bCs/>
                <w:color w:val="auto"/>
                <w:kern w:val="0"/>
                <w:szCs w:val="21"/>
              </w:rPr>
              <w:t>g/d</w:t>
            </w:r>
          </w:p>
        </w:tc>
        <w:tc>
          <w:tcPr>
            <w:tcW w:w="767" w:type="pct"/>
            <w:vAlign w:val="center"/>
          </w:tcPr>
          <w:p w14:paraId="51C719F2">
            <w:pPr>
              <w:pStyle w:val="9"/>
              <w:spacing w:after="0" w:line="240" w:lineRule="auto"/>
              <w:jc w:val="center"/>
              <w:rPr>
                <w:b/>
                <w:bCs/>
                <w:color w:val="auto"/>
                <w:kern w:val="0"/>
                <w:szCs w:val="21"/>
              </w:rPr>
            </w:pPr>
            <w:r>
              <w:rPr>
                <w:rFonts w:hint="eastAsia"/>
                <w:b/>
                <w:bCs/>
                <w:color w:val="auto"/>
                <w:kern w:val="0"/>
                <w:szCs w:val="21"/>
              </w:rPr>
              <w:t>浓度</w:t>
            </w:r>
            <w:r>
              <w:rPr>
                <w:b/>
                <w:bCs/>
                <w:color w:val="auto"/>
                <w:kern w:val="0"/>
                <w:szCs w:val="21"/>
              </w:rPr>
              <w:t>mg/m</w:t>
            </w:r>
            <w:r>
              <w:rPr>
                <w:b/>
                <w:bCs/>
                <w:color w:val="auto"/>
                <w:kern w:val="0"/>
                <w:szCs w:val="21"/>
                <w:vertAlign w:val="superscript"/>
              </w:rPr>
              <w:t>3</w:t>
            </w:r>
          </w:p>
        </w:tc>
        <w:tc>
          <w:tcPr>
            <w:tcW w:w="767" w:type="pct"/>
            <w:vAlign w:val="center"/>
          </w:tcPr>
          <w:p w14:paraId="7F870D5E">
            <w:pPr>
              <w:pStyle w:val="9"/>
              <w:spacing w:after="0" w:line="240" w:lineRule="auto"/>
              <w:jc w:val="center"/>
              <w:rPr>
                <w:b/>
                <w:bCs/>
                <w:color w:val="auto"/>
                <w:kern w:val="0"/>
                <w:szCs w:val="21"/>
              </w:rPr>
            </w:pPr>
            <w:r>
              <w:rPr>
                <w:rFonts w:hint="eastAsia"/>
                <w:b/>
                <w:bCs/>
                <w:color w:val="auto"/>
                <w:kern w:val="0"/>
                <w:szCs w:val="21"/>
              </w:rPr>
              <w:t>排放量k</w:t>
            </w:r>
            <w:r>
              <w:rPr>
                <w:b/>
                <w:bCs/>
                <w:color w:val="auto"/>
                <w:kern w:val="0"/>
                <w:szCs w:val="21"/>
              </w:rPr>
              <w:t>g/d</w:t>
            </w:r>
          </w:p>
        </w:tc>
      </w:tr>
      <w:tr w14:paraId="605D77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97" w:type="pct"/>
            <w:vAlign w:val="center"/>
          </w:tcPr>
          <w:p w14:paraId="41DB805C">
            <w:pPr>
              <w:jc w:val="center"/>
              <w:rPr>
                <w:color w:val="auto"/>
                <w:kern w:val="0"/>
                <w:szCs w:val="21"/>
              </w:rPr>
            </w:pPr>
            <w:r>
              <w:rPr>
                <w:rFonts w:hint="eastAsia" w:cs="Times New Roman"/>
                <w:color w:val="auto"/>
                <w:lang w:val="en-US" w:eastAsia="zh-CN"/>
              </w:rPr>
              <w:t>8月1</w:t>
            </w:r>
            <w:r>
              <w:rPr>
                <w:rFonts w:hint="default" w:ascii="Times New Roman" w:hAnsi="Times New Roman" w:cs="Times New Roman"/>
                <w:color w:val="auto"/>
                <w:lang w:val="en-US" w:eastAsia="zh-CN"/>
              </w:rPr>
              <w:t>日</w:t>
            </w:r>
          </w:p>
        </w:tc>
        <w:tc>
          <w:tcPr>
            <w:tcW w:w="2170" w:type="dxa"/>
            <w:vAlign w:val="center"/>
          </w:tcPr>
          <w:p w14:paraId="4E545FF4">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4.834</w:t>
            </w:r>
          </w:p>
        </w:tc>
        <w:tc>
          <w:tcPr>
            <w:tcW w:w="2170" w:type="dxa"/>
            <w:shd w:val="clear" w:color="auto" w:fill="auto"/>
            <w:vAlign w:val="center"/>
          </w:tcPr>
          <w:p w14:paraId="17B22714">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13.046</w:t>
            </w:r>
          </w:p>
        </w:tc>
        <w:tc>
          <w:tcPr>
            <w:tcW w:w="2170" w:type="dxa"/>
            <w:vAlign w:val="center"/>
          </w:tcPr>
          <w:p w14:paraId="59894978">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8.703</w:t>
            </w:r>
          </w:p>
        </w:tc>
        <w:tc>
          <w:tcPr>
            <w:tcW w:w="2170" w:type="dxa"/>
            <w:shd w:val="clear" w:color="auto" w:fill="auto"/>
            <w:vAlign w:val="center"/>
          </w:tcPr>
          <w:p w14:paraId="234891DD">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23.487</w:t>
            </w:r>
          </w:p>
        </w:tc>
        <w:tc>
          <w:tcPr>
            <w:tcW w:w="2170" w:type="dxa"/>
            <w:shd w:val="clear" w:color="auto" w:fill="auto"/>
            <w:vAlign w:val="center"/>
          </w:tcPr>
          <w:p w14:paraId="04DA941A">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12.515</w:t>
            </w:r>
          </w:p>
        </w:tc>
        <w:tc>
          <w:tcPr>
            <w:tcW w:w="2170" w:type="dxa"/>
            <w:shd w:val="clear" w:color="auto" w:fill="auto"/>
            <w:vAlign w:val="center"/>
          </w:tcPr>
          <w:p w14:paraId="0B322585">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33.775</w:t>
            </w:r>
          </w:p>
        </w:tc>
      </w:tr>
      <w:tr w14:paraId="7422C1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213B2FD">
            <w:pPr>
              <w:jc w:val="center"/>
              <w:rPr>
                <w:color w:val="auto"/>
                <w:kern w:val="0"/>
                <w:szCs w:val="21"/>
              </w:rPr>
            </w:pPr>
            <w:r>
              <w:rPr>
                <w:rFonts w:hint="eastAsia" w:cs="Times New Roman"/>
                <w:color w:val="auto"/>
                <w:lang w:val="en-US" w:eastAsia="zh-CN"/>
              </w:rPr>
              <w:t>8月2</w:t>
            </w:r>
            <w:r>
              <w:rPr>
                <w:rFonts w:hint="default" w:ascii="Times New Roman" w:hAnsi="Times New Roman" w:cs="Times New Roman"/>
                <w:color w:val="auto"/>
                <w:lang w:val="en-US" w:eastAsia="zh-CN"/>
              </w:rPr>
              <w:t>日</w:t>
            </w:r>
          </w:p>
        </w:tc>
        <w:tc>
          <w:tcPr>
            <w:tcW w:w="2170" w:type="dxa"/>
            <w:vAlign w:val="center"/>
          </w:tcPr>
          <w:p w14:paraId="504AA12F">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5.18</w:t>
            </w:r>
          </w:p>
        </w:tc>
        <w:tc>
          <w:tcPr>
            <w:tcW w:w="2170" w:type="dxa"/>
            <w:shd w:val="clear" w:color="auto" w:fill="auto"/>
            <w:vAlign w:val="center"/>
          </w:tcPr>
          <w:p w14:paraId="52C90B68">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13.331</w:t>
            </w:r>
          </w:p>
        </w:tc>
        <w:tc>
          <w:tcPr>
            <w:tcW w:w="2170" w:type="dxa"/>
            <w:vAlign w:val="center"/>
          </w:tcPr>
          <w:p w14:paraId="655E966A">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4.924</w:t>
            </w:r>
          </w:p>
        </w:tc>
        <w:tc>
          <w:tcPr>
            <w:tcW w:w="2170" w:type="dxa"/>
            <w:shd w:val="clear" w:color="auto" w:fill="auto"/>
            <w:vAlign w:val="center"/>
          </w:tcPr>
          <w:p w14:paraId="46592B3D">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12.672</w:t>
            </w:r>
          </w:p>
        </w:tc>
        <w:tc>
          <w:tcPr>
            <w:tcW w:w="2170" w:type="dxa"/>
            <w:shd w:val="clear" w:color="auto" w:fill="auto"/>
            <w:vAlign w:val="center"/>
          </w:tcPr>
          <w:p w14:paraId="70390A6B">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19.493</w:t>
            </w:r>
          </w:p>
        </w:tc>
        <w:tc>
          <w:tcPr>
            <w:tcW w:w="2170" w:type="dxa"/>
            <w:shd w:val="clear" w:color="auto" w:fill="auto"/>
            <w:vAlign w:val="center"/>
          </w:tcPr>
          <w:p w14:paraId="47464EEC">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50.167</w:t>
            </w:r>
          </w:p>
        </w:tc>
      </w:tr>
      <w:tr w14:paraId="7D3F60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1E523D1D">
            <w:pPr>
              <w:jc w:val="center"/>
              <w:rPr>
                <w:color w:val="auto"/>
                <w:kern w:val="0"/>
                <w:szCs w:val="21"/>
              </w:rPr>
            </w:pPr>
            <w:r>
              <w:rPr>
                <w:rFonts w:hint="eastAsia" w:cs="Times New Roman"/>
                <w:color w:val="auto"/>
                <w:lang w:val="en-US" w:eastAsia="zh-CN"/>
              </w:rPr>
              <w:t>8月3</w:t>
            </w:r>
            <w:r>
              <w:rPr>
                <w:rFonts w:hint="default" w:ascii="Times New Roman" w:hAnsi="Times New Roman" w:cs="Times New Roman"/>
                <w:color w:val="auto"/>
                <w:lang w:val="en-US" w:eastAsia="zh-CN"/>
              </w:rPr>
              <w:t>日</w:t>
            </w:r>
          </w:p>
        </w:tc>
        <w:tc>
          <w:tcPr>
            <w:tcW w:w="2170" w:type="dxa"/>
            <w:vAlign w:val="center"/>
          </w:tcPr>
          <w:p w14:paraId="317D85BD">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5.163</w:t>
            </w:r>
          </w:p>
        </w:tc>
        <w:tc>
          <w:tcPr>
            <w:tcW w:w="2170" w:type="dxa"/>
            <w:shd w:val="clear" w:color="auto" w:fill="auto"/>
            <w:vAlign w:val="center"/>
          </w:tcPr>
          <w:p w14:paraId="11204832">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13.685</w:t>
            </w:r>
          </w:p>
        </w:tc>
        <w:tc>
          <w:tcPr>
            <w:tcW w:w="2170" w:type="dxa"/>
            <w:vAlign w:val="center"/>
          </w:tcPr>
          <w:p w14:paraId="4673ED09">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5.95</w:t>
            </w:r>
          </w:p>
        </w:tc>
        <w:tc>
          <w:tcPr>
            <w:tcW w:w="2170" w:type="dxa"/>
            <w:shd w:val="clear" w:color="auto" w:fill="auto"/>
            <w:vAlign w:val="center"/>
          </w:tcPr>
          <w:p w14:paraId="0B5B251B">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15.771</w:t>
            </w:r>
          </w:p>
        </w:tc>
        <w:tc>
          <w:tcPr>
            <w:tcW w:w="2170" w:type="dxa"/>
            <w:shd w:val="clear" w:color="auto" w:fill="auto"/>
            <w:vAlign w:val="center"/>
          </w:tcPr>
          <w:p w14:paraId="505D89E2">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19.426</w:t>
            </w:r>
          </w:p>
        </w:tc>
        <w:tc>
          <w:tcPr>
            <w:tcW w:w="2170" w:type="dxa"/>
            <w:shd w:val="clear" w:color="auto" w:fill="auto"/>
            <w:vAlign w:val="center"/>
          </w:tcPr>
          <w:p w14:paraId="7285F254">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51.489</w:t>
            </w:r>
          </w:p>
        </w:tc>
      </w:tr>
      <w:tr w14:paraId="492682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3E91CB3A">
            <w:pPr>
              <w:jc w:val="center"/>
              <w:rPr>
                <w:color w:val="auto"/>
                <w:kern w:val="0"/>
                <w:szCs w:val="21"/>
              </w:rPr>
            </w:pPr>
            <w:r>
              <w:rPr>
                <w:rFonts w:hint="eastAsia" w:cs="Times New Roman"/>
                <w:color w:val="auto"/>
                <w:lang w:val="en-US" w:eastAsia="zh-CN"/>
              </w:rPr>
              <w:t>8月4</w:t>
            </w:r>
            <w:r>
              <w:rPr>
                <w:rFonts w:hint="default" w:ascii="Times New Roman" w:hAnsi="Times New Roman" w:cs="Times New Roman"/>
                <w:color w:val="auto"/>
                <w:lang w:val="en-US" w:eastAsia="zh-CN"/>
              </w:rPr>
              <w:t>日</w:t>
            </w:r>
          </w:p>
        </w:tc>
        <w:tc>
          <w:tcPr>
            <w:tcW w:w="2170" w:type="dxa"/>
            <w:vAlign w:val="center"/>
          </w:tcPr>
          <w:p w14:paraId="3B45F1FF">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4.965</w:t>
            </w:r>
          </w:p>
        </w:tc>
        <w:tc>
          <w:tcPr>
            <w:tcW w:w="2170" w:type="dxa"/>
            <w:shd w:val="clear" w:color="auto" w:fill="auto"/>
            <w:vAlign w:val="center"/>
          </w:tcPr>
          <w:p w14:paraId="6A3293DD">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12.686</w:t>
            </w:r>
          </w:p>
        </w:tc>
        <w:tc>
          <w:tcPr>
            <w:tcW w:w="2170" w:type="dxa"/>
            <w:vAlign w:val="center"/>
          </w:tcPr>
          <w:p w14:paraId="4F7058CD">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5.159</w:t>
            </w:r>
          </w:p>
        </w:tc>
        <w:tc>
          <w:tcPr>
            <w:tcW w:w="2170" w:type="dxa"/>
            <w:shd w:val="clear" w:color="auto" w:fill="auto"/>
            <w:vAlign w:val="center"/>
          </w:tcPr>
          <w:p w14:paraId="47582E1A">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13.182</w:t>
            </w:r>
          </w:p>
        </w:tc>
        <w:tc>
          <w:tcPr>
            <w:tcW w:w="2170" w:type="dxa"/>
            <w:shd w:val="clear" w:color="auto" w:fill="auto"/>
            <w:vAlign w:val="center"/>
          </w:tcPr>
          <w:p w14:paraId="171B2521">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15.482</w:t>
            </w:r>
          </w:p>
        </w:tc>
        <w:tc>
          <w:tcPr>
            <w:tcW w:w="2170" w:type="dxa"/>
            <w:shd w:val="clear" w:color="auto" w:fill="auto"/>
            <w:vAlign w:val="center"/>
          </w:tcPr>
          <w:p w14:paraId="77902F20">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39.558</w:t>
            </w:r>
          </w:p>
        </w:tc>
      </w:tr>
      <w:tr w14:paraId="07F644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3CA4B59">
            <w:pPr>
              <w:jc w:val="center"/>
              <w:rPr>
                <w:color w:val="auto"/>
                <w:kern w:val="0"/>
                <w:szCs w:val="21"/>
              </w:rPr>
            </w:pPr>
            <w:r>
              <w:rPr>
                <w:rFonts w:hint="eastAsia" w:cs="Times New Roman"/>
                <w:color w:val="auto"/>
                <w:lang w:val="en-US" w:eastAsia="zh-CN"/>
              </w:rPr>
              <w:t>8月5</w:t>
            </w:r>
            <w:r>
              <w:rPr>
                <w:rFonts w:hint="default" w:ascii="Times New Roman" w:hAnsi="Times New Roman" w:cs="Times New Roman"/>
                <w:color w:val="auto"/>
                <w:lang w:val="en-US" w:eastAsia="zh-CN"/>
              </w:rPr>
              <w:t>日</w:t>
            </w:r>
          </w:p>
        </w:tc>
        <w:tc>
          <w:tcPr>
            <w:tcW w:w="2170" w:type="dxa"/>
            <w:vAlign w:val="center"/>
          </w:tcPr>
          <w:p w14:paraId="715761A1">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5.517</w:t>
            </w:r>
          </w:p>
        </w:tc>
        <w:tc>
          <w:tcPr>
            <w:tcW w:w="2170" w:type="dxa"/>
            <w:shd w:val="clear" w:color="auto" w:fill="auto"/>
            <w:vAlign w:val="center"/>
          </w:tcPr>
          <w:p w14:paraId="3C480419">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14.81</w:t>
            </w:r>
          </w:p>
        </w:tc>
        <w:tc>
          <w:tcPr>
            <w:tcW w:w="2170" w:type="dxa"/>
            <w:vAlign w:val="center"/>
          </w:tcPr>
          <w:p w14:paraId="45E5CC36">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15.727</w:t>
            </w:r>
          </w:p>
        </w:tc>
        <w:tc>
          <w:tcPr>
            <w:tcW w:w="2170" w:type="dxa"/>
            <w:shd w:val="clear" w:color="auto" w:fill="auto"/>
            <w:vAlign w:val="center"/>
          </w:tcPr>
          <w:p w14:paraId="693044E7">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42.223</w:t>
            </w:r>
          </w:p>
        </w:tc>
        <w:tc>
          <w:tcPr>
            <w:tcW w:w="2170" w:type="dxa"/>
            <w:shd w:val="clear" w:color="auto" w:fill="auto"/>
            <w:vAlign w:val="center"/>
          </w:tcPr>
          <w:p w14:paraId="5BA5B93A">
            <w:pPr>
              <w:keepNext w:val="0"/>
              <w:keepLines w:val="0"/>
              <w:widowControl/>
              <w:suppressLineNumbers w:val="0"/>
              <w:jc w:val="center"/>
              <w:textAlignment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i w:val="0"/>
                <w:iCs w:val="0"/>
                <w:color w:val="auto"/>
                <w:kern w:val="0"/>
                <w:sz w:val="21"/>
                <w:szCs w:val="21"/>
                <w:u w:val="none"/>
                <w:lang w:val="en-US" w:eastAsia="zh-CN" w:bidi="ar"/>
              </w:rPr>
              <w:t>13.699</w:t>
            </w:r>
          </w:p>
        </w:tc>
        <w:tc>
          <w:tcPr>
            <w:tcW w:w="2170" w:type="dxa"/>
            <w:shd w:val="clear" w:color="auto" w:fill="auto"/>
            <w:vAlign w:val="center"/>
          </w:tcPr>
          <w:p w14:paraId="7A52855F">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u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36.777</w:t>
            </w:r>
          </w:p>
        </w:tc>
      </w:tr>
      <w:tr w14:paraId="337F3C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6415B356">
            <w:pPr>
              <w:jc w:val="center"/>
              <w:rPr>
                <w:rFonts w:hint="eastAsia" w:cs="Times New Roman"/>
                <w:color w:val="auto"/>
                <w:lang w:val="en-US" w:eastAsia="zh-CN"/>
              </w:rPr>
            </w:pPr>
            <w:r>
              <w:rPr>
                <w:rFonts w:hint="eastAsia" w:cs="Times New Roman"/>
                <w:color w:val="auto"/>
                <w:lang w:val="en-US" w:eastAsia="zh-CN"/>
              </w:rPr>
              <w:t>8月6</w:t>
            </w:r>
            <w:r>
              <w:rPr>
                <w:rFonts w:hint="default" w:ascii="Times New Roman" w:hAnsi="Times New Roman" w:cs="Times New Roman"/>
                <w:color w:val="auto"/>
                <w:lang w:val="en-US" w:eastAsia="zh-CN"/>
              </w:rPr>
              <w:t>日</w:t>
            </w:r>
          </w:p>
        </w:tc>
        <w:tc>
          <w:tcPr>
            <w:tcW w:w="2170" w:type="dxa"/>
            <w:vAlign w:val="center"/>
          </w:tcPr>
          <w:p w14:paraId="4AFF910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3.839</w:t>
            </w:r>
          </w:p>
        </w:tc>
        <w:tc>
          <w:tcPr>
            <w:tcW w:w="2170" w:type="dxa"/>
            <w:shd w:val="clear" w:color="auto" w:fill="auto"/>
            <w:vAlign w:val="center"/>
          </w:tcPr>
          <w:p w14:paraId="445B6B7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0.835</w:t>
            </w:r>
          </w:p>
        </w:tc>
        <w:tc>
          <w:tcPr>
            <w:tcW w:w="2170" w:type="dxa"/>
            <w:vAlign w:val="center"/>
          </w:tcPr>
          <w:p w14:paraId="104E308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2.423</w:t>
            </w:r>
          </w:p>
        </w:tc>
        <w:tc>
          <w:tcPr>
            <w:tcW w:w="2170" w:type="dxa"/>
            <w:shd w:val="clear" w:color="auto" w:fill="auto"/>
            <w:vAlign w:val="center"/>
          </w:tcPr>
          <w:p w14:paraId="46C60FA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0.527</w:t>
            </w:r>
          </w:p>
        </w:tc>
        <w:tc>
          <w:tcPr>
            <w:tcW w:w="2170" w:type="dxa"/>
            <w:shd w:val="clear" w:color="auto" w:fill="auto"/>
            <w:vAlign w:val="center"/>
          </w:tcPr>
          <w:p w14:paraId="574AAE2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1.148</w:t>
            </w:r>
          </w:p>
        </w:tc>
        <w:tc>
          <w:tcPr>
            <w:tcW w:w="2170" w:type="dxa"/>
            <w:shd w:val="clear" w:color="auto" w:fill="auto"/>
            <w:vAlign w:val="center"/>
          </w:tcPr>
          <w:p w14:paraId="673338B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0.25</w:t>
            </w:r>
          </w:p>
        </w:tc>
      </w:tr>
      <w:tr w14:paraId="6D9493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EA7CB24">
            <w:pPr>
              <w:jc w:val="center"/>
              <w:rPr>
                <w:rFonts w:hint="eastAsia" w:cs="Times New Roman"/>
                <w:color w:val="auto"/>
                <w:lang w:val="en-US" w:eastAsia="zh-CN"/>
              </w:rPr>
            </w:pPr>
            <w:r>
              <w:rPr>
                <w:rFonts w:hint="eastAsia" w:cs="Times New Roman"/>
                <w:color w:val="auto"/>
                <w:lang w:val="en-US" w:eastAsia="zh-CN"/>
              </w:rPr>
              <w:t>8月7</w:t>
            </w:r>
            <w:r>
              <w:rPr>
                <w:rFonts w:hint="default" w:ascii="Times New Roman" w:hAnsi="Times New Roman" w:cs="Times New Roman"/>
                <w:color w:val="auto"/>
                <w:lang w:val="en-US" w:eastAsia="zh-CN"/>
              </w:rPr>
              <w:t>日</w:t>
            </w:r>
          </w:p>
        </w:tc>
        <w:tc>
          <w:tcPr>
            <w:tcW w:w="2170" w:type="dxa"/>
            <w:vAlign w:val="center"/>
          </w:tcPr>
          <w:p w14:paraId="24E9717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4.49</w:t>
            </w:r>
          </w:p>
        </w:tc>
        <w:tc>
          <w:tcPr>
            <w:tcW w:w="2170" w:type="dxa"/>
            <w:shd w:val="clear" w:color="auto" w:fill="auto"/>
            <w:vAlign w:val="center"/>
          </w:tcPr>
          <w:p w14:paraId="3D76209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4.845</w:t>
            </w:r>
          </w:p>
        </w:tc>
        <w:tc>
          <w:tcPr>
            <w:tcW w:w="2170" w:type="dxa"/>
            <w:vAlign w:val="center"/>
          </w:tcPr>
          <w:p w14:paraId="2DA8AF6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6.931</w:t>
            </w:r>
          </w:p>
        </w:tc>
        <w:tc>
          <w:tcPr>
            <w:tcW w:w="2170" w:type="dxa"/>
            <w:shd w:val="clear" w:color="auto" w:fill="auto"/>
            <w:vAlign w:val="center"/>
          </w:tcPr>
          <w:p w14:paraId="0A902C6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7.478</w:t>
            </w:r>
          </w:p>
        </w:tc>
        <w:tc>
          <w:tcPr>
            <w:tcW w:w="2170" w:type="dxa"/>
            <w:shd w:val="clear" w:color="auto" w:fill="auto"/>
            <w:vAlign w:val="center"/>
          </w:tcPr>
          <w:p w14:paraId="4C13267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10.205</w:t>
            </w:r>
          </w:p>
        </w:tc>
        <w:tc>
          <w:tcPr>
            <w:tcW w:w="2170" w:type="dxa"/>
            <w:shd w:val="clear" w:color="auto" w:fill="auto"/>
            <w:vAlign w:val="center"/>
          </w:tcPr>
          <w:p w14:paraId="55DF9D4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11.011</w:t>
            </w:r>
          </w:p>
        </w:tc>
      </w:tr>
      <w:tr w14:paraId="599C81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395A345">
            <w:pPr>
              <w:jc w:val="center"/>
              <w:rPr>
                <w:rFonts w:hint="eastAsia" w:cs="Times New Roman"/>
                <w:color w:val="auto"/>
                <w:lang w:val="en-US" w:eastAsia="zh-CN"/>
              </w:rPr>
            </w:pPr>
            <w:r>
              <w:rPr>
                <w:rFonts w:hint="eastAsia" w:cs="Times New Roman"/>
                <w:color w:val="auto"/>
                <w:lang w:val="en-US" w:eastAsia="zh-CN"/>
              </w:rPr>
              <w:t>8月8</w:t>
            </w:r>
            <w:r>
              <w:rPr>
                <w:rFonts w:hint="default" w:ascii="Times New Roman" w:hAnsi="Times New Roman" w:cs="Times New Roman"/>
                <w:color w:val="auto"/>
                <w:lang w:val="en-US" w:eastAsia="zh-CN"/>
              </w:rPr>
              <w:t>日</w:t>
            </w:r>
          </w:p>
        </w:tc>
        <w:tc>
          <w:tcPr>
            <w:tcW w:w="2170" w:type="dxa"/>
            <w:vAlign w:val="center"/>
          </w:tcPr>
          <w:p w14:paraId="0D3AC78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4.801</w:t>
            </w:r>
          </w:p>
        </w:tc>
        <w:tc>
          <w:tcPr>
            <w:tcW w:w="2170" w:type="dxa"/>
            <w:shd w:val="clear" w:color="auto" w:fill="auto"/>
            <w:vAlign w:val="center"/>
          </w:tcPr>
          <w:p w14:paraId="1EE35A8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12.954</w:t>
            </w:r>
          </w:p>
        </w:tc>
        <w:tc>
          <w:tcPr>
            <w:tcW w:w="2170" w:type="dxa"/>
            <w:vAlign w:val="center"/>
          </w:tcPr>
          <w:p w14:paraId="5BA1263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11.392</w:t>
            </w:r>
          </w:p>
        </w:tc>
        <w:tc>
          <w:tcPr>
            <w:tcW w:w="2170" w:type="dxa"/>
            <w:shd w:val="clear" w:color="auto" w:fill="auto"/>
            <w:vAlign w:val="center"/>
          </w:tcPr>
          <w:p w14:paraId="60CAD5B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30.737</w:t>
            </w:r>
          </w:p>
        </w:tc>
        <w:tc>
          <w:tcPr>
            <w:tcW w:w="2170" w:type="dxa"/>
            <w:shd w:val="clear" w:color="auto" w:fill="auto"/>
            <w:vAlign w:val="center"/>
          </w:tcPr>
          <w:p w14:paraId="02EB2A0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19.751</w:t>
            </w:r>
          </w:p>
        </w:tc>
        <w:tc>
          <w:tcPr>
            <w:tcW w:w="2170" w:type="dxa"/>
            <w:shd w:val="clear" w:color="auto" w:fill="auto"/>
            <w:vAlign w:val="center"/>
          </w:tcPr>
          <w:p w14:paraId="28BA3BF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53.293</w:t>
            </w:r>
          </w:p>
        </w:tc>
      </w:tr>
      <w:tr w14:paraId="781BA5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DDA7D74">
            <w:pPr>
              <w:jc w:val="center"/>
              <w:rPr>
                <w:rFonts w:hint="eastAsia" w:cs="Times New Roman"/>
                <w:color w:val="auto"/>
                <w:lang w:val="en-US" w:eastAsia="zh-CN"/>
              </w:rPr>
            </w:pPr>
            <w:r>
              <w:rPr>
                <w:rFonts w:hint="eastAsia" w:cs="Times New Roman"/>
                <w:color w:val="auto"/>
                <w:lang w:val="en-US" w:eastAsia="zh-CN"/>
              </w:rPr>
              <w:t>8月9</w:t>
            </w:r>
            <w:r>
              <w:rPr>
                <w:rFonts w:hint="default" w:ascii="Times New Roman" w:hAnsi="Times New Roman" w:cs="Times New Roman"/>
                <w:color w:val="auto"/>
                <w:lang w:val="en-US" w:eastAsia="zh-CN"/>
              </w:rPr>
              <w:t>日</w:t>
            </w:r>
          </w:p>
        </w:tc>
        <w:tc>
          <w:tcPr>
            <w:tcW w:w="2170" w:type="dxa"/>
            <w:vAlign w:val="center"/>
          </w:tcPr>
          <w:p w14:paraId="345EC58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5.111</w:t>
            </w:r>
          </w:p>
        </w:tc>
        <w:tc>
          <w:tcPr>
            <w:tcW w:w="2170" w:type="dxa"/>
            <w:shd w:val="clear" w:color="auto" w:fill="auto"/>
            <w:vAlign w:val="center"/>
          </w:tcPr>
          <w:p w14:paraId="1CD9236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13.844</w:t>
            </w:r>
          </w:p>
        </w:tc>
        <w:tc>
          <w:tcPr>
            <w:tcW w:w="2170" w:type="dxa"/>
            <w:vAlign w:val="center"/>
          </w:tcPr>
          <w:p w14:paraId="693EFB1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10.274</w:t>
            </w:r>
          </w:p>
        </w:tc>
        <w:tc>
          <w:tcPr>
            <w:tcW w:w="2170" w:type="dxa"/>
            <w:shd w:val="clear" w:color="auto" w:fill="auto"/>
            <w:vAlign w:val="center"/>
          </w:tcPr>
          <w:p w14:paraId="7ACA525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27.827</w:t>
            </w:r>
          </w:p>
        </w:tc>
        <w:tc>
          <w:tcPr>
            <w:tcW w:w="2170" w:type="dxa"/>
            <w:shd w:val="clear" w:color="auto" w:fill="auto"/>
            <w:vAlign w:val="center"/>
          </w:tcPr>
          <w:p w14:paraId="2066FD3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19.998</w:t>
            </w:r>
          </w:p>
        </w:tc>
        <w:tc>
          <w:tcPr>
            <w:tcW w:w="2170" w:type="dxa"/>
            <w:shd w:val="clear" w:color="auto" w:fill="auto"/>
            <w:vAlign w:val="center"/>
          </w:tcPr>
          <w:p w14:paraId="1A78FA9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54.166</w:t>
            </w:r>
          </w:p>
        </w:tc>
      </w:tr>
      <w:tr w14:paraId="62FCE9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70BBBF35">
            <w:pPr>
              <w:jc w:val="center"/>
              <w:rPr>
                <w:rFonts w:hint="eastAsia" w:cs="Times New Roman"/>
                <w:color w:val="auto"/>
                <w:lang w:val="en-US" w:eastAsia="zh-CN"/>
              </w:rPr>
            </w:pPr>
            <w:r>
              <w:rPr>
                <w:rFonts w:hint="eastAsia" w:cs="Times New Roman"/>
                <w:color w:val="auto"/>
                <w:lang w:val="en-US" w:eastAsia="zh-CN"/>
              </w:rPr>
              <w:t>8月10</w:t>
            </w:r>
            <w:r>
              <w:rPr>
                <w:rFonts w:hint="default" w:ascii="Times New Roman" w:hAnsi="Times New Roman" w:cs="Times New Roman"/>
                <w:color w:val="auto"/>
                <w:lang w:val="en-US" w:eastAsia="zh-CN"/>
              </w:rPr>
              <w:t>日</w:t>
            </w:r>
          </w:p>
        </w:tc>
        <w:tc>
          <w:tcPr>
            <w:tcW w:w="2170" w:type="dxa"/>
            <w:vAlign w:val="center"/>
          </w:tcPr>
          <w:p w14:paraId="36A8A7A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5.404</w:t>
            </w:r>
          </w:p>
        </w:tc>
        <w:tc>
          <w:tcPr>
            <w:tcW w:w="2170" w:type="dxa"/>
            <w:shd w:val="clear" w:color="auto" w:fill="auto"/>
            <w:vAlign w:val="center"/>
          </w:tcPr>
          <w:p w14:paraId="28DEB70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14.232</w:t>
            </w:r>
          </w:p>
        </w:tc>
        <w:tc>
          <w:tcPr>
            <w:tcW w:w="2170" w:type="dxa"/>
            <w:vAlign w:val="center"/>
          </w:tcPr>
          <w:p w14:paraId="0FF9422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15.992</w:t>
            </w:r>
          </w:p>
        </w:tc>
        <w:tc>
          <w:tcPr>
            <w:tcW w:w="2170" w:type="dxa"/>
            <w:shd w:val="clear" w:color="auto" w:fill="auto"/>
            <w:vAlign w:val="center"/>
          </w:tcPr>
          <w:p w14:paraId="57CC78A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42.114</w:t>
            </w:r>
          </w:p>
        </w:tc>
        <w:tc>
          <w:tcPr>
            <w:tcW w:w="2170" w:type="dxa"/>
            <w:shd w:val="clear" w:color="auto" w:fill="auto"/>
            <w:vAlign w:val="center"/>
          </w:tcPr>
          <w:p w14:paraId="694977F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21.574</w:t>
            </w:r>
          </w:p>
        </w:tc>
        <w:tc>
          <w:tcPr>
            <w:tcW w:w="2170" w:type="dxa"/>
            <w:shd w:val="clear" w:color="auto" w:fill="auto"/>
            <w:vAlign w:val="center"/>
          </w:tcPr>
          <w:p w14:paraId="5CD8A02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56.814</w:t>
            </w:r>
          </w:p>
        </w:tc>
      </w:tr>
      <w:tr w14:paraId="6473D1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11CDD2A3">
            <w:pPr>
              <w:jc w:val="center"/>
              <w:rPr>
                <w:rFonts w:hint="eastAsia" w:cs="Times New Roman"/>
                <w:color w:val="auto"/>
                <w:lang w:val="en-US" w:eastAsia="zh-CN"/>
              </w:rPr>
            </w:pPr>
            <w:r>
              <w:rPr>
                <w:rFonts w:hint="eastAsia" w:cs="Times New Roman"/>
                <w:color w:val="auto"/>
                <w:lang w:val="en-US" w:eastAsia="zh-CN"/>
              </w:rPr>
              <w:t>8月11</w:t>
            </w:r>
            <w:r>
              <w:rPr>
                <w:rFonts w:hint="default" w:ascii="Times New Roman" w:hAnsi="Times New Roman" w:cs="Times New Roman"/>
                <w:color w:val="auto"/>
                <w:lang w:val="en-US" w:eastAsia="zh-CN"/>
              </w:rPr>
              <w:t>日</w:t>
            </w:r>
          </w:p>
        </w:tc>
        <w:tc>
          <w:tcPr>
            <w:tcW w:w="2170" w:type="dxa"/>
            <w:vAlign w:val="center"/>
          </w:tcPr>
          <w:p w14:paraId="793E80A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5.506</w:t>
            </w:r>
          </w:p>
        </w:tc>
        <w:tc>
          <w:tcPr>
            <w:tcW w:w="2170" w:type="dxa"/>
            <w:shd w:val="clear" w:color="auto" w:fill="auto"/>
            <w:vAlign w:val="center"/>
          </w:tcPr>
          <w:p w14:paraId="5264890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15.321</w:t>
            </w:r>
          </w:p>
        </w:tc>
        <w:tc>
          <w:tcPr>
            <w:tcW w:w="2170" w:type="dxa"/>
            <w:vAlign w:val="center"/>
          </w:tcPr>
          <w:p w14:paraId="1B392AE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15.903</w:t>
            </w:r>
          </w:p>
        </w:tc>
        <w:tc>
          <w:tcPr>
            <w:tcW w:w="2170" w:type="dxa"/>
            <w:shd w:val="clear" w:color="auto" w:fill="auto"/>
            <w:vAlign w:val="center"/>
          </w:tcPr>
          <w:p w14:paraId="18E3769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44.247</w:t>
            </w:r>
          </w:p>
        </w:tc>
        <w:tc>
          <w:tcPr>
            <w:tcW w:w="2170" w:type="dxa"/>
            <w:shd w:val="clear" w:color="auto" w:fill="auto"/>
            <w:vAlign w:val="center"/>
          </w:tcPr>
          <w:p w14:paraId="5642D1A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20.002</w:t>
            </w:r>
          </w:p>
        </w:tc>
        <w:tc>
          <w:tcPr>
            <w:tcW w:w="2170" w:type="dxa"/>
            <w:shd w:val="clear" w:color="auto" w:fill="auto"/>
            <w:vAlign w:val="center"/>
          </w:tcPr>
          <w:p w14:paraId="378F05A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55.653</w:t>
            </w:r>
          </w:p>
        </w:tc>
      </w:tr>
      <w:tr w14:paraId="309DCD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763E1EB">
            <w:pPr>
              <w:jc w:val="center"/>
              <w:rPr>
                <w:rFonts w:hint="eastAsia" w:cs="Times New Roman"/>
                <w:color w:val="auto"/>
                <w:lang w:val="en-US" w:eastAsia="zh-CN"/>
              </w:rPr>
            </w:pPr>
            <w:r>
              <w:rPr>
                <w:rFonts w:hint="eastAsia" w:cs="Times New Roman"/>
                <w:color w:val="auto"/>
                <w:lang w:val="en-US" w:eastAsia="zh-CN"/>
              </w:rPr>
              <w:t>8月12</w:t>
            </w:r>
            <w:r>
              <w:rPr>
                <w:rFonts w:hint="default" w:ascii="Times New Roman" w:hAnsi="Times New Roman" w:cs="Times New Roman"/>
                <w:color w:val="auto"/>
                <w:lang w:val="en-US" w:eastAsia="zh-CN"/>
              </w:rPr>
              <w:t>日</w:t>
            </w:r>
          </w:p>
        </w:tc>
        <w:tc>
          <w:tcPr>
            <w:tcW w:w="2170" w:type="dxa"/>
            <w:vAlign w:val="center"/>
          </w:tcPr>
          <w:p w14:paraId="4D4F0F6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5.95</w:t>
            </w:r>
          </w:p>
        </w:tc>
        <w:tc>
          <w:tcPr>
            <w:tcW w:w="2170" w:type="dxa"/>
            <w:shd w:val="clear" w:color="auto" w:fill="auto"/>
            <w:vAlign w:val="center"/>
          </w:tcPr>
          <w:p w14:paraId="3098D6B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16.879</w:t>
            </w:r>
          </w:p>
        </w:tc>
        <w:tc>
          <w:tcPr>
            <w:tcW w:w="2170" w:type="dxa"/>
            <w:vAlign w:val="center"/>
          </w:tcPr>
          <w:p w14:paraId="2EF5724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11.007</w:t>
            </w:r>
          </w:p>
        </w:tc>
        <w:tc>
          <w:tcPr>
            <w:tcW w:w="2170" w:type="dxa"/>
            <w:shd w:val="clear" w:color="auto" w:fill="auto"/>
            <w:vAlign w:val="center"/>
          </w:tcPr>
          <w:p w14:paraId="68BFFCD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31.221</w:t>
            </w:r>
          </w:p>
        </w:tc>
        <w:tc>
          <w:tcPr>
            <w:tcW w:w="2170" w:type="dxa"/>
            <w:shd w:val="clear" w:color="auto" w:fill="auto"/>
            <w:vAlign w:val="center"/>
          </w:tcPr>
          <w:p w14:paraId="7E9B15B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18.718</w:t>
            </w:r>
          </w:p>
        </w:tc>
        <w:tc>
          <w:tcPr>
            <w:tcW w:w="2170" w:type="dxa"/>
            <w:shd w:val="clear" w:color="auto" w:fill="auto"/>
            <w:vAlign w:val="center"/>
          </w:tcPr>
          <w:p w14:paraId="7B212D4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53.095</w:t>
            </w:r>
          </w:p>
        </w:tc>
      </w:tr>
      <w:tr w14:paraId="30F015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17E8A0AE">
            <w:pPr>
              <w:jc w:val="center"/>
              <w:rPr>
                <w:rFonts w:hint="eastAsia" w:cs="Times New Roman"/>
                <w:color w:val="auto"/>
                <w:lang w:val="en-US" w:eastAsia="zh-CN"/>
              </w:rPr>
            </w:pPr>
            <w:r>
              <w:rPr>
                <w:rFonts w:hint="eastAsia" w:cs="Times New Roman"/>
                <w:color w:val="auto"/>
                <w:lang w:val="en-US" w:eastAsia="zh-CN"/>
              </w:rPr>
              <w:t>8月13</w:t>
            </w:r>
            <w:r>
              <w:rPr>
                <w:rFonts w:hint="default" w:ascii="Times New Roman" w:hAnsi="Times New Roman" w:cs="Times New Roman"/>
                <w:color w:val="auto"/>
                <w:lang w:val="en-US" w:eastAsia="zh-CN"/>
              </w:rPr>
              <w:t>日</w:t>
            </w:r>
          </w:p>
        </w:tc>
        <w:tc>
          <w:tcPr>
            <w:tcW w:w="2170" w:type="dxa"/>
            <w:vAlign w:val="center"/>
          </w:tcPr>
          <w:p w14:paraId="0B46525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5.877</w:t>
            </w:r>
          </w:p>
        </w:tc>
        <w:tc>
          <w:tcPr>
            <w:tcW w:w="2170" w:type="dxa"/>
            <w:shd w:val="clear" w:color="auto" w:fill="auto"/>
            <w:vAlign w:val="center"/>
          </w:tcPr>
          <w:p w14:paraId="65699A2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16.328</w:t>
            </w:r>
          </w:p>
        </w:tc>
        <w:tc>
          <w:tcPr>
            <w:tcW w:w="2170" w:type="dxa"/>
            <w:vAlign w:val="center"/>
          </w:tcPr>
          <w:p w14:paraId="38EBA25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8.05</w:t>
            </w:r>
          </w:p>
        </w:tc>
        <w:tc>
          <w:tcPr>
            <w:tcW w:w="2170" w:type="dxa"/>
            <w:shd w:val="clear" w:color="auto" w:fill="auto"/>
            <w:vAlign w:val="center"/>
          </w:tcPr>
          <w:p w14:paraId="00EC855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22.366</w:t>
            </w:r>
          </w:p>
        </w:tc>
        <w:tc>
          <w:tcPr>
            <w:tcW w:w="2170" w:type="dxa"/>
            <w:shd w:val="clear" w:color="auto" w:fill="auto"/>
            <w:vAlign w:val="center"/>
          </w:tcPr>
          <w:p w14:paraId="456C1BE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29.216</w:t>
            </w:r>
          </w:p>
        </w:tc>
        <w:tc>
          <w:tcPr>
            <w:tcW w:w="2170" w:type="dxa"/>
            <w:shd w:val="clear" w:color="auto" w:fill="auto"/>
            <w:vAlign w:val="center"/>
          </w:tcPr>
          <w:p w14:paraId="0D91752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81.174</w:t>
            </w:r>
          </w:p>
        </w:tc>
      </w:tr>
      <w:tr w14:paraId="1A60CC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13D736B">
            <w:pPr>
              <w:jc w:val="center"/>
              <w:rPr>
                <w:rFonts w:hint="eastAsia" w:cs="Times New Roman"/>
                <w:color w:val="auto"/>
                <w:lang w:val="en-US" w:eastAsia="zh-CN"/>
              </w:rPr>
            </w:pPr>
            <w:r>
              <w:rPr>
                <w:rFonts w:hint="eastAsia" w:cs="Times New Roman"/>
                <w:color w:val="auto"/>
                <w:lang w:val="en-US" w:eastAsia="zh-CN"/>
              </w:rPr>
              <w:t>8月14</w:t>
            </w:r>
            <w:r>
              <w:rPr>
                <w:rFonts w:hint="default" w:ascii="Times New Roman" w:hAnsi="Times New Roman" w:cs="Times New Roman"/>
                <w:color w:val="auto"/>
                <w:lang w:val="en-US" w:eastAsia="zh-CN"/>
              </w:rPr>
              <w:t>日</w:t>
            </w:r>
          </w:p>
        </w:tc>
        <w:tc>
          <w:tcPr>
            <w:tcW w:w="2170" w:type="dxa"/>
            <w:vAlign w:val="center"/>
          </w:tcPr>
          <w:p w14:paraId="42A04B5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6.959</w:t>
            </w:r>
          </w:p>
        </w:tc>
        <w:tc>
          <w:tcPr>
            <w:tcW w:w="2170" w:type="dxa"/>
            <w:shd w:val="clear" w:color="auto" w:fill="auto"/>
            <w:vAlign w:val="center"/>
          </w:tcPr>
          <w:p w14:paraId="23766F7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16.99</w:t>
            </w:r>
          </w:p>
        </w:tc>
        <w:tc>
          <w:tcPr>
            <w:tcW w:w="2170" w:type="dxa"/>
            <w:vAlign w:val="center"/>
          </w:tcPr>
          <w:p w14:paraId="37C2E04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6.707</w:t>
            </w:r>
          </w:p>
        </w:tc>
        <w:tc>
          <w:tcPr>
            <w:tcW w:w="2170" w:type="dxa"/>
            <w:shd w:val="clear" w:color="auto" w:fill="auto"/>
            <w:vAlign w:val="center"/>
          </w:tcPr>
          <w:p w14:paraId="5916E9C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16.376</w:t>
            </w:r>
          </w:p>
        </w:tc>
        <w:tc>
          <w:tcPr>
            <w:tcW w:w="2170" w:type="dxa"/>
            <w:shd w:val="clear" w:color="auto" w:fill="auto"/>
            <w:vAlign w:val="center"/>
          </w:tcPr>
          <w:p w14:paraId="57BBC41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23.398</w:t>
            </w:r>
          </w:p>
        </w:tc>
        <w:tc>
          <w:tcPr>
            <w:tcW w:w="2170" w:type="dxa"/>
            <w:shd w:val="clear" w:color="auto" w:fill="auto"/>
            <w:vAlign w:val="center"/>
          </w:tcPr>
          <w:p w14:paraId="0F20A0A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57.125</w:t>
            </w:r>
          </w:p>
        </w:tc>
      </w:tr>
      <w:tr w14:paraId="051520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2014A15A">
            <w:pPr>
              <w:jc w:val="center"/>
              <w:rPr>
                <w:rFonts w:hint="eastAsia" w:cs="Times New Roman"/>
                <w:color w:val="auto"/>
                <w:lang w:val="en-US" w:eastAsia="zh-CN"/>
              </w:rPr>
            </w:pPr>
            <w:r>
              <w:rPr>
                <w:rFonts w:hint="eastAsia" w:cs="Times New Roman"/>
                <w:color w:val="auto"/>
                <w:lang w:val="en-US" w:eastAsia="zh-CN"/>
              </w:rPr>
              <w:t>8月15</w:t>
            </w:r>
            <w:r>
              <w:rPr>
                <w:rFonts w:hint="default" w:ascii="Times New Roman" w:hAnsi="Times New Roman" w:cs="Times New Roman"/>
                <w:color w:val="auto"/>
                <w:lang w:val="en-US" w:eastAsia="zh-CN"/>
              </w:rPr>
              <w:t>日</w:t>
            </w:r>
          </w:p>
        </w:tc>
        <w:tc>
          <w:tcPr>
            <w:tcW w:w="2170" w:type="dxa"/>
            <w:vAlign w:val="center"/>
          </w:tcPr>
          <w:p w14:paraId="3409951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6.827</w:t>
            </w:r>
          </w:p>
        </w:tc>
        <w:tc>
          <w:tcPr>
            <w:tcW w:w="2170" w:type="dxa"/>
            <w:shd w:val="clear" w:color="auto" w:fill="auto"/>
            <w:vAlign w:val="center"/>
          </w:tcPr>
          <w:p w14:paraId="0E3B024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17.447</w:t>
            </w:r>
          </w:p>
        </w:tc>
        <w:tc>
          <w:tcPr>
            <w:tcW w:w="2170" w:type="dxa"/>
            <w:vAlign w:val="center"/>
          </w:tcPr>
          <w:p w14:paraId="4A9D5F1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6.328</w:t>
            </w:r>
          </w:p>
        </w:tc>
        <w:tc>
          <w:tcPr>
            <w:tcW w:w="2170" w:type="dxa"/>
            <w:shd w:val="clear" w:color="auto" w:fill="auto"/>
            <w:vAlign w:val="center"/>
          </w:tcPr>
          <w:p w14:paraId="4562519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16.171</w:t>
            </w:r>
          </w:p>
        </w:tc>
        <w:tc>
          <w:tcPr>
            <w:tcW w:w="2170" w:type="dxa"/>
            <w:shd w:val="clear" w:color="auto" w:fill="auto"/>
            <w:vAlign w:val="center"/>
          </w:tcPr>
          <w:p w14:paraId="6CF4157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22.789</w:t>
            </w:r>
          </w:p>
        </w:tc>
        <w:tc>
          <w:tcPr>
            <w:tcW w:w="2170" w:type="dxa"/>
            <w:shd w:val="clear" w:color="auto" w:fill="auto"/>
            <w:vAlign w:val="center"/>
          </w:tcPr>
          <w:p w14:paraId="456A8C7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58.24</w:t>
            </w:r>
          </w:p>
        </w:tc>
      </w:tr>
      <w:tr w14:paraId="258723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308B1F15">
            <w:pPr>
              <w:jc w:val="center"/>
              <w:rPr>
                <w:rFonts w:hint="eastAsia" w:cs="Times New Roman"/>
                <w:color w:val="auto"/>
                <w:lang w:val="en-US" w:eastAsia="zh-CN"/>
              </w:rPr>
            </w:pPr>
            <w:r>
              <w:rPr>
                <w:rFonts w:hint="eastAsia" w:cs="Times New Roman"/>
                <w:color w:val="auto"/>
                <w:lang w:val="en-US" w:eastAsia="zh-CN"/>
              </w:rPr>
              <w:t>8月16</w:t>
            </w:r>
            <w:r>
              <w:rPr>
                <w:rFonts w:hint="default" w:ascii="Times New Roman" w:hAnsi="Times New Roman" w:cs="Times New Roman"/>
                <w:color w:val="auto"/>
                <w:lang w:val="en-US" w:eastAsia="zh-CN"/>
              </w:rPr>
              <w:t>日</w:t>
            </w:r>
          </w:p>
        </w:tc>
        <w:tc>
          <w:tcPr>
            <w:tcW w:w="2170" w:type="dxa"/>
            <w:vAlign w:val="center"/>
          </w:tcPr>
          <w:p w14:paraId="20ABFB9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6.11</w:t>
            </w:r>
          </w:p>
        </w:tc>
        <w:tc>
          <w:tcPr>
            <w:tcW w:w="2170" w:type="dxa"/>
            <w:shd w:val="clear" w:color="auto" w:fill="auto"/>
            <w:vAlign w:val="center"/>
          </w:tcPr>
          <w:p w14:paraId="657C611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16.136</w:t>
            </w:r>
          </w:p>
        </w:tc>
        <w:tc>
          <w:tcPr>
            <w:tcW w:w="2170" w:type="dxa"/>
            <w:vAlign w:val="center"/>
          </w:tcPr>
          <w:p w14:paraId="7A65630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8.047</w:t>
            </w:r>
          </w:p>
        </w:tc>
        <w:tc>
          <w:tcPr>
            <w:tcW w:w="2170" w:type="dxa"/>
            <w:shd w:val="clear" w:color="auto" w:fill="auto"/>
            <w:vAlign w:val="center"/>
          </w:tcPr>
          <w:p w14:paraId="4569339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21.251</w:t>
            </w:r>
          </w:p>
        </w:tc>
        <w:tc>
          <w:tcPr>
            <w:tcW w:w="2170" w:type="dxa"/>
            <w:shd w:val="clear" w:color="auto" w:fill="auto"/>
            <w:vAlign w:val="center"/>
          </w:tcPr>
          <w:p w14:paraId="47A4AA6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24.75</w:t>
            </w:r>
          </w:p>
        </w:tc>
        <w:tc>
          <w:tcPr>
            <w:tcW w:w="2170" w:type="dxa"/>
            <w:shd w:val="clear" w:color="auto" w:fill="auto"/>
            <w:vAlign w:val="center"/>
          </w:tcPr>
          <w:p w14:paraId="75BE291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65.36</w:t>
            </w:r>
          </w:p>
        </w:tc>
      </w:tr>
      <w:tr w14:paraId="30E110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7DE91D98">
            <w:pPr>
              <w:jc w:val="center"/>
              <w:rPr>
                <w:rFonts w:hint="eastAsia" w:cs="Times New Roman"/>
                <w:color w:val="auto"/>
                <w:lang w:val="en-US" w:eastAsia="zh-CN"/>
              </w:rPr>
            </w:pPr>
            <w:r>
              <w:rPr>
                <w:rFonts w:hint="eastAsia" w:cs="Times New Roman"/>
                <w:color w:val="auto"/>
                <w:lang w:val="en-US" w:eastAsia="zh-CN"/>
              </w:rPr>
              <w:t>8月17</w:t>
            </w:r>
            <w:r>
              <w:rPr>
                <w:rFonts w:hint="default" w:ascii="Times New Roman" w:hAnsi="Times New Roman" w:cs="Times New Roman"/>
                <w:color w:val="auto"/>
                <w:lang w:val="en-US" w:eastAsia="zh-CN"/>
              </w:rPr>
              <w:t>日</w:t>
            </w:r>
          </w:p>
        </w:tc>
        <w:tc>
          <w:tcPr>
            <w:tcW w:w="2170" w:type="dxa"/>
            <w:vAlign w:val="center"/>
          </w:tcPr>
          <w:p w14:paraId="5763CB4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6.079</w:t>
            </w:r>
          </w:p>
        </w:tc>
        <w:tc>
          <w:tcPr>
            <w:tcW w:w="2170" w:type="dxa"/>
            <w:shd w:val="clear" w:color="auto" w:fill="auto"/>
            <w:vAlign w:val="center"/>
          </w:tcPr>
          <w:p w14:paraId="3B14B66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15.878</w:t>
            </w:r>
          </w:p>
        </w:tc>
        <w:tc>
          <w:tcPr>
            <w:tcW w:w="2170" w:type="dxa"/>
            <w:vAlign w:val="center"/>
          </w:tcPr>
          <w:p w14:paraId="0F868C3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8.482</w:t>
            </w:r>
          </w:p>
        </w:tc>
        <w:tc>
          <w:tcPr>
            <w:tcW w:w="2170" w:type="dxa"/>
            <w:shd w:val="clear" w:color="auto" w:fill="auto"/>
            <w:vAlign w:val="center"/>
          </w:tcPr>
          <w:p w14:paraId="4EF6F03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22.153</w:t>
            </w:r>
          </w:p>
        </w:tc>
        <w:tc>
          <w:tcPr>
            <w:tcW w:w="2170" w:type="dxa"/>
            <w:shd w:val="clear" w:color="auto" w:fill="auto"/>
            <w:vAlign w:val="center"/>
          </w:tcPr>
          <w:p w14:paraId="27C2927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29.007</w:t>
            </w:r>
          </w:p>
        </w:tc>
        <w:tc>
          <w:tcPr>
            <w:tcW w:w="2170" w:type="dxa"/>
            <w:shd w:val="clear" w:color="auto" w:fill="auto"/>
            <w:vAlign w:val="center"/>
          </w:tcPr>
          <w:p w14:paraId="700AE80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75.759</w:t>
            </w:r>
          </w:p>
        </w:tc>
      </w:tr>
      <w:tr w14:paraId="12AF09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23932072">
            <w:pPr>
              <w:jc w:val="center"/>
              <w:rPr>
                <w:rFonts w:hint="eastAsia" w:cs="Times New Roman"/>
                <w:color w:val="auto"/>
                <w:lang w:val="en-US" w:eastAsia="zh-CN"/>
              </w:rPr>
            </w:pPr>
            <w:r>
              <w:rPr>
                <w:rFonts w:hint="eastAsia" w:cs="Times New Roman"/>
                <w:color w:val="auto"/>
                <w:lang w:val="en-US" w:eastAsia="zh-CN"/>
              </w:rPr>
              <w:t>8月18</w:t>
            </w:r>
            <w:r>
              <w:rPr>
                <w:rFonts w:hint="default" w:ascii="Times New Roman" w:hAnsi="Times New Roman" w:cs="Times New Roman"/>
                <w:color w:val="auto"/>
                <w:lang w:val="en-US" w:eastAsia="zh-CN"/>
              </w:rPr>
              <w:t>日</w:t>
            </w:r>
          </w:p>
        </w:tc>
        <w:tc>
          <w:tcPr>
            <w:tcW w:w="2170" w:type="dxa"/>
            <w:vAlign w:val="center"/>
          </w:tcPr>
          <w:p w14:paraId="076F455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5.975</w:t>
            </w:r>
          </w:p>
        </w:tc>
        <w:tc>
          <w:tcPr>
            <w:tcW w:w="2170" w:type="dxa"/>
            <w:shd w:val="clear" w:color="auto" w:fill="auto"/>
            <w:vAlign w:val="center"/>
          </w:tcPr>
          <w:p w14:paraId="73BF58B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16.172</w:t>
            </w:r>
          </w:p>
        </w:tc>
        <w:tc>
          <w:tcPr>
            <w:tcW w:w="2170" w:type="dxa"/>
            <w:vAlign w:val="center"/>
          </w:tcPr>
          <w:p w14:paraId="245FC7C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7.314</w:t>
            </w:r>
          </w:p>
        </w:tc>
        <w:tc>
          <w:tcPr>
            <w:tcW w:w="2170" w:type="dxa"/>
            <w:shd w:val="clear" w:color="auto" w:fill="auto"/>
            <w:vAlign w:val="center"/>
          </w:tcPr>
          <w:p w14:paraId="38D743F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19.795</w:t>
            </w:r>
          </w:p>
        </w:tc>
        <w:tc>
          <w:tcPr>
            <w:tcW w:w="2170" w:type="dxa"/>
            <w:shd w:val="clear" w:color="auto" w:fill="auto"/>
            <w:vAlign w:val="center"/>
          </w:tcPr>
          <w:p w14:paraId="6D84EF8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34.69</w:t>
            </w:r>
          </w:p>
        </w:tc>
        <w:tc>
          <w:tcPr>
            <w:tcW w:w="2170" w:type="dxa"/>
            <w:shd w:val="clear" w:color="auto" w:fill="auto"/>
            <w:vAlign w:val="center"/>
          </w:tcPr>
          <w:p w14:paraId="7C763E8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93.887</w:t>
            </w:r>
          </w:p>
        </w:tc>
      </w:tr>
      <w:tr w14:paraId="2DAE56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0E8C06F">
            <w:pPr>
              <w:jc w:val="center"/>
              <w:rPr>
                <w:rFonts w:hint="eastAsia" w:cs="Times New Roman"/>
                <w:color w:val="auto"/>
                <w:lang w:val="en-US" w:eastAsia="zh-CN"/>
              </w:rPr>
            </w:pPr>
            <w:r>
              <w:rPr>
                <w:rFonts w:hint="eastAsia" w:cs="Times New Roman"/>
                <w:color w:val="auto"/>
                <w:lang w:val="en-US" w:eastAsia="zh-CN"/>
              </w:rPr>
              <w:t>8月19</w:t>
            </w:r>
            <w:r>
              <w:rPr>
                <w:rFonts w:hint="default" w:ascii="Times New Roman" w:hAnsi="Times New Roman" w:cs="Times New Roman"/>
                <w:color w:val="auto"/>
                <w:lang w:val="en-US" w:eastAsia="zh-CN"/>
              </w:rPr>
              <w:t>日</w:t>
            </w:r>
          </w:p>
        </w:tc>
        <w:tc>
          <w:tcPr>
            <w:tcW w:w="2170" w:type="dxa"/>
            <w:vAlign w:val="center"/>
          </w:tcPr>
          <w:p w14:paraId="52A0BCF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5.397</w:t>
            </w:r>
          </w:p>
        </w:tc>
        <w:tc>
          <w:tcPr>
            <w:tcW w:w="2170" w:type="dxa"/>
            <w:shd w:val="clear" w:color="auto" w:fill="auto"/>
            <w:vAlign w:val="center"/>
          </w:tcPr>
          <w:p w14:paraId="05A25E0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1.47</w:t>
            </w:r>
          </w:p>
        </w:tc>
        <w:tc>
          <w:tcPr>
            <w:tcW w:w="2170" w:type="dxa"/>
            <w:vAlign w:val="center"/>
          </w:tcPr>
          <w:p w14:paraId="22D062C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1.591</w:t>
            </w:r>
          </w:p>
        </w:tc>
        <w:tc>
          <w:tcPr>
            <w:tcW w:w="2170" w:type="dxa"/>
            <w:shd w:val="clear" w:color="auto" w:fill="auto"/>
            <w:vAlign w:val="center"/>
          </w:tcPr>
          <w:p w14:paraId="3C7989B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0.433</w:t>
            </w:r>
          </w:p>
        </w:tc>
        <w:tc>
          <w:tcPr>
            <w:tcW w:w="2170" w:type="dxa"/>
            <w:shd w:val="clear" w:color="auto" w:fill="auto"/>
            <w:vAlign w:val="center"/>
          </w:tcPr>
          <w:p w14:paraId="50723B1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7.397</w:t>
            </w:r>
          </w:p>
        </w:tc>
        <w:tc>
          <w:tcPr>
            <w:tcW w:w="2170" w:type="dxa"/>
            <w:shd w:val="clear" w:color="auto" w:fill="auto"/>
            <w:vAlign w:val="center"/>
          </w:tcPr>
          <w:p w14:paraId="3D179D5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2.015</w:t>
            </w:r>
          </w:p>
        </w:tc>
      </w:tr>
      <w:tr w14:paraId="691454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DE6A9C7">
            <w:pPr>
              <w:jc w:val="center"/>
              <w:rPr>
                <w:rFonts w:hint="eastAsia" w:cs="Times New Roman"/>
                <w:color w:val="auto"/>
                <w:lang w:val="en-US" w:eastAsia="zh-CN"/>
              </w:rPr>
            </w:pPr>
            <w:r>
              <w:rPr>
                <w:rFonts w:hint="eastAsia" w:cs="Times New Roman"/>
                <w:color w:val="auto"/>
                <w:lang w:val="en-US" w:eastAsia="zh-CN"/>
              </w:rPr>
              <w:t>8月20</w:t>
            </w:r>
            <w:r>
              <w:rPr>
                <w:rFonts w:hint="default" w:ascii="Times New Roman" w:hAnsi="Times New Roman" w:cs="Times New Roman"/>
                <w:color w:val="auto"/>
                <w:lang w:val="en-US" w:eastAsia="zh-CN"/>
              </w:rPr>
              <w:t>日</w:t>
            </w:r>
          </w:p>
        </w:tc>
        <w:tc>
          <w:tcPr>
            <w:tcW w:w="2170" w:type="dxa"/>
            <w:vAlign w:val="center"/>
          </w:tcPr>
          <w:p w14:paraId="289DCEE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5.06</w:t>
            </w:r>
          </w:p>
        </w:tc>
        <w:tc>
          <w:tcPr>
            <w:tcW w:w="2170" w:type="dxa"/>
            <w:shd w:val="clear" w:color="auto" w:fill="auto"/>
            <w:vAlign w:val="center"/>
          </w:tcPr>
          <w:p w14:paraId="0D5C47F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3.073</w:t>
            </w:r>
          </w:p>
        </w:tc>
        <w:tc>
          <w:tcPr>
            <w:tcW w:w="2170" w:type="dxa"/>
            <w:vAlign w:val="center"/>
          </w:tcPr>
          <w:p w14:paraId="5792BCD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0.687</w:t>
            </w:r>
          </w:p>
        </w:tc>
        <w:tc>
          <w:tcPr>
            <w:tcW w:w="2170" w:type="dxa"/>
            <w:shd w:val="clear" w:color="auto" w:fill="auto"/>
            <w:vAlign w:val="center"/>
          </w:tcPr>
          <w:p w14:paraId="3188F6E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0.417</w:t>
            </w:r>
          </w:p>
        </w:tc>
        <w:tc>
          <w:tcPr>
            <w:tcW w:w="2170" w:type="dxa"/>
            <w:shd w:val="clear" w:color="auto" w:fill="auto"/>
            <w:vAlign w:val="center"/>
          </w:tcPr>
          <w:p w14:paraId="77CCC6F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13.4</w:t>
            </w:r>
          </w:p>
        </w:tc>
        <w:tc>
          <w:tcPr>
            <w:tcW w:w="2170" w:type="dxa"/>
            <w:shd w:val="clear" w:color="auto" w:fill="auto"/>
            <w:vAlign w:val="center"/>
          </w:tcPr>
          <w:p w14:paraId="0905E44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8.138</w:t>
            </w:r>
          </w:p>
        </w:tc>
      </w:tr>
      <w:tr w14:paraId="6E2DA9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168ADFFB">
            <w:pPr>
              <w:jc w:val="center"/>
              <w:rPr>
                <w:rFonts w:hint="eastAsia" w:cs="Times New Roman"/>
                <w:color w:val="auto"/>
                <w:lang w:val="en-US" w:eastAsia="zh-CN"/>
              </w:rPr>
            </w:pPr>
            <w:r>
              <w:rPr>
                <w:rFonts w:hint="eastAsia" w:cs="Times New Roman"/>
                <w:color w:val="auto"/>
                <w:lang w:val="en-US" w:eastAsia="zh-CN"/>
              </w:rPr>
              <w:t>8月21</w:t>
            </w:r>
            <w:r>
              <w:rPr>
                <w:rFonts w:hint="default" w:ascii="Times New Roman" w:hAnsi="Times New Roman" w:cs="Times New Roman"/>
                <w:color w:val="auto"/>
                <w:lang w:val="en-US" w:eastAsia="zh-CN"/>
              </w:rPr>
              <w:t>日</w:t>
            </w:r>
          </w:p>
        </w:tc>
        <w:tc>
          <w:tcPr>
            <w:tcW w:w="2170" w:type="dxa"/>
            <w:vAlign w:val="center"/>
          </w:tcPr>
          <w:p w14:paraId="195666E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5.573</w:t>
            </w:r>
          </w:p>
        </w:tc>
        <w:tc>
          <w:tcPr>
            <w:tcW w:w="2170" w:type="dxa"/>
            <w:shd w:val="clear" w:color="auto" w:fill="auto"/>
            <w:vAlign w:val="center"/>
          </w:tcPr>
          <w:p w14:paraId="7F95193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14.751</w:t>
            </w:r>
          </w:p>
        </w:tc>
        <w:tc>
          <w:tcPr>
            <w:tcW w:w="2170" w:type="dxa"/>
            <w:vAlign w:val="center"/>
          </w:tcPr>
          <w:p w14:paraId="256358A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5.3</w:t>
            </w:r>
          </w:p>
        </w:tc>
        <w:tc>
          <w:tcPr>
            <w:tcW w:w="2170" w:type="dxa"/>
            <w:shd w:val="clear" w:color="auto" w:fill="auto"/>
            <w:vAlign w:val="center"/>
          </w:tcPr>
          <w:p w14:paraId="0CBC958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14.03</w:t>
            </w:r>
          </w:p>
        </w:tc>
        <w:tc>
          <w:tcPr>
            <w:tcW w:w="2170" w:type="dxa"/>
            <w:shd w:val="clear" w:color="auto" w:fill="auto"/>
            <w:vAlign w:val="center"/>
          </w:tcPr>
          <w:p w14:paraId="12ADCBB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26.435</w:t>
            </w:r>
          </w:p>
        </w:tc>
        <w:tc>
          <w:tcPr>
            <w:tcW w:w="2170" w:type="dxa"/>
            <w:shd w:val="clear" w:color="auto" w:fill="auto"/>
            <w:vAlign w:val="center"/>
          </w:tcPr>
          <w:p w14:paraId="2DF558F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69.972</w:t>
            </w:r>
          </w:p>
        </w:tc>
      </w:tr>
      <w:tr w14:paraId="15DA1C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275B03E9">
            <w:pPr>
              <w:jc w:val="center"/>
              <w:rPr>
                <w:rFonts w:hint="eastAsia" w:cs="Times New Roman"/>
                <w:color w:val="auto"/>
                <w:lang w:val="en-US" w:eastAsia="zh-CN"/>
              </w:rPr>
            </w:pPr>
            <w:r>
              <w:rPr>
                <w:rFonts w:hint="eastAsia" w:cs="Times New Roman"/>
                <w:color w:val="auto"/>
                <w:lang w:val="en-US" w:eastAsia="zh-CN"/>
              </w:rPr>
              <w:t>8月22</w:t>
            </w:r>
            <w:r>
              <w:rPr>
                <w:rFonts w:hint="default" w:ascii="Times New Roman" w:hAnsi="Times New Roman" w:cs="Times New Roman"/>
                <w:color w:val="auto"/>
                <w:lang w:val="en-US" w:eastAsia="zh-CN"/>
              </w:rPr>
              <w:t>日</w:t>
            </w:r>
          </w:p>
        </w:tc>
        <w:tc>
          <w:tcPr>
            <w:tcW w:w="2170" w:type="dxa"/>
            <w:vAlign w:val="center"/>
          </w:tcPr>
          <w:p w14:paraId="524DEB1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5.628</w:t>
            </w:r>
          </w:p>
        </w:tc>
        <w:tc>
          <w:tcPr>
            <w:tcW w:w="2170" w:type="dxa"/>
            <w:shd w:val="clear" w:color="auto" w:fill="auto"/>
            <w:vAlign w:val="center"/>
          </w:tcPr>
          <w:p w14:paraId="61635B9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16.074</w:t>
            </w:r>
          </w:p>
        </w:tc>
        <w:tc>
          <w:tcPr>
            <w:tcW w:w="2170" w:type="dxa"/>
            <w:vAlign w:val="center"/>
          </w:tcPr>
          <w:p w14:paraId="6AE93AC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8.535</w:t>
            </w:r>
          </w:p>
        </w:tc>
        <w:tc>
          <w:tcPr>
            <w:tcW w:w="2170" w:type="dxa"/>
            <w:shd w:val="clear" w:color="auto" w:fill="auto"/>
            <w:vAlign w:val="center"/>
          </w:tcPr>
          <w:p w14:paraId="3F0BB30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24.375</w:t>
            </w:r>
          </w:p>
        </w:tc>
        <w:tc>
          <w:tcPr>
            <w:tcW w:w="2170" w:type="dxa"/>
            <w:shd w:val="clear" w:color="auto" w:fill="auto"/>
            <w:vAlign w:val="center"/>
          </w:tcPr>
          <w:p w14:paraId="4A24A73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23.81</w:t>
            </w:r>
          </w:p>
        </w:tc>
        <w:tc>
          <w:tcPr>
            <w:tcW w:w="2170" w:type="dxa"/>
            <w:shd w:val="clear" w:color="auto" w:fill="auto"/>
            <w:vAlign w:val="center"/>
          </w:tcPr>
          <w:p w14:paraId="340046B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67.998</w:t>
            </w:r>
          </w:p>
        </w:tc>
      </w:tr>
      <w:tr w14:paraId="154C33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61416C1C">
            <w:pPr>
              <w:jc w:val="center"/>
              <w:rPr>
                <w:rFonts w:hint="eastAsia" w:cs="Times New Roman"/>
                <w:color w:val="auto"/>
                <w:lang w:val="en-US" w:eastAsia="zh-CN"/>
              </w:rPr>
            </w:pPr>
            <w:r>
              <w:rPr>
                <w:rFonts w:hint="eastAsia" w:cs="Times New Roman"/>
                <w:color w:val="auto"/>
                <w:lang w:val="en-US" w:eastAsia="zh-CN"/>
              </w:rPr>
              <w:t>8月23</w:t>
            </w:r>
            <w:r>
              <w:rPr>
                <w:rFonts w:hint="default" w:ascii="Times New Roman" w:hAnsi="Times New Roman" w:cs="Times New Roman"/>
                <w:color w:val="auto"/>
                <w:lang w:val="en-US" w:eastAsia="zh-CN"/>
              </w:rPr>
              <w:t>日</w:t>
            </w:r>
          </w:p>
        </w:tc>
        <w:tc>
          <w:tcPr>
            <w:tcW w:w="2170" w:type="dxa"/>
            <w:vAlign w:val="center"/>
          </w:tcPr>
          <w:p w14:paraId="582887A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6.249</w:t>
            </w:r>
          </w:p>
        </w:tc>
        <w:tc>
          <w:tcPr>
            <w:tcW w:w="2170" w:type="dxa"/>
            <w:shd w:val="clear" w:color="auto" w:fill="auto"/>
            <w:vAlign w:val="center"/>
          </w:tcPr>
          <w:p w14:paraId="7C0E0BC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16.221</w:t>
            </w:r>
          </w:p>
        </w:tc>
        <w:tc>
          <w:tcPr>
            <w:tcW w:w="2170" w:type="dxa"/>
            <w:vAlign w:val="center"/>
          </w:tcPr>
          <w:p w14:paraId="1D626DE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11.061</w:t>
            </w:r>
          </w:p>
        </w:tc>
        <w:tc>
          <w:tcPr>
            <w:tcW w:w="2170" w:type="dxa"/>
            <w:shd w:val="clear" w:color="auto" w:fill="auto"/>
            <w:vAlign w:val="center"/>
          </w:tcPr>
          <w:p w14:paraId="1353352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28.712</w:t>
            </w:r>
          </w:p>
        </w:tc>
        <w:tc>
          <w:tcPr>
            <w:tcW w:w="2170" w:type="dxa"/>
            <w:shd w:val="clear" w:color="auto" w:fill="auto"/>
            <w:vAlign w:val="center"/>
          </w:tcPr>
          <w:p w14:paraId="2ACB5E8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33.678</w:t>
            </w:r>
          </w:p>
        </w:tc>
        <w:tc>
          <w:tcPr>
            <w:tcW w:w="2170" w:type="dxa"/>
            <w:shd w:val="clear" w:color="auto" w:fill="auto"/>
            <w:vAlign w:val="center"/>
          </w:tcPr>
          <w:p w14:paraId="0D0B7AA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87.419</w:t>
            </w:r>
          </w:p>
        </w:tc>
      </w:tr>
      <w:tr w14:paraId="6D74ED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3887621">
            <w:pPr>
              <w:jc w:val="center"/>
              <w:rPr>
                <w:rFonts w:hint="eastAsia" w:cs="Times New Roman"/>
                <w:color w:val="auto"/>
                <w:lang w:val="en-US" w:eastAsia="zh-CN"/>
              </w:rPr>
            </w:pPr>
            <w:r>
              <w:rPr>
                <w:rFonts w:hint="eastAsia" w:cs="Times New Roman"/>
                <w:color w:val="auto"/>
                <w:lang w:val="en-US" w:eastAsia="zh-CN"/>
              </w:rPr>
              <w:t>8月24</w:t>
            </w:r>
            <w:r>
              <w:rPr>
                <w:rFonts w:hint="default" w:ascii="Times New Roman" w:hAnsi="Times New Roman" w:cs="Times New Roman"/>
                <w:color w:val="auto"/>
                <w:lang w:val="en-US" w:eastAsia="zh-CN"/>
              </w:rPr>
              <w:t>日</w:t>
            </w:r>
          </w:p>
        </w:tc>
        <w:tc>
          <w:tcPr>
            <w:tcW w:w="2170" w:type="dxa"/>
            <w:vAlign w:val="center"/>
          </w:tcPr>
          <w:p w14:paraId="472A10D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6.137</w:t>
            </w:r>
          </w:p>
        </w:tc>
        <w:tc>
          <w:tcPr>
            <w:tcW w:w="2170" w:type="dxa"/>
            <w:shd w:val="clear" w:color="auto" w:fill="auto"/>
            <w:vAlign w:val="center"/>
          </w:tcPr>
          <w:p w14:paraId="2041D78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16.215</w:t>
            </w:r>
          </w:p>
        </w:tc>
        <w:tc>
          <w:tcPr>
            <w:tcW w:w="2170" w:type="dxa"/>
            <w:vAlign w:val="center"/>
          </w:tcPr>
          <w:p w14:paraId="15ACC43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13.485</w:t>
            </w:r>
          </w:p>
        </w:tc>
        <w:tc>
          <w:tcPr>
            <w:tcW w:w="2170" w:type="dxa"/>
            <w:shd w:val="clear" w:color="auto" w:fill="auto"/>
            <w:vAlign w:val="center"/>
          </w:tcPr>
          <w:p w14:paraId="16C1194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35.628</w:t>
            </w:r>
          </w:p>
        </w:tc>
        <w:tc>
          <w:tcPr>
            <w:tcW w:w="2170" w:type="dxa"/>
            <w:shd w:val="clear" w:color="auto" w:fill="auto"/>
            <w:vAlign w:val="center"/>
          </w:tcPr>
          <w:p w14:paraId="18410CC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21.887</w:t>
            </w:r>
          </w:p>
        </w:tc>
        <w:tc>
          <w:tcPr>
            <w:tcW w:w="2170" w:type="dxa"/>
            <w:shd w:val="clear" w:color="auto" w:fill="auto"/>
            <w:vAlign w:val="center"/>
          </w:tcPr>
          <w:p w14:paraId="3CC1819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57.825</w:t>
            </w:r>
          </w:p>
        </w:tc>
      </w:tr>
      <w:tr w14:paraId="233912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7D4724D0">
            <w:pPr>
              <w:jc w:val="center"/>
              <w:rPr>
                <w:rFonts w:hint="eastAsia" w:cs="Times New Roman"/>
                <w:color w:val="auto"/>
                <w:lang w:val="en-US" w:eastAsia="zh-CN"/>
              </w:rPr>
            </w:pPr>
            <w:r>
              <w:rPr>
                <w:rFonts w:hint="eastAsia" w:cs="Times New Roman"/>
                <w:color w:val="auto"/>
                <w:lang w:val="en-US" w:eastAsia="zh-CN"/>
              </w:rPr>
              <w:t>8月24</w:t>
            </w:r>
            <w:r>
              <w:rPr>
                <w:rFonts w:hint="default" w:ascii="Times New Roman" w:hAnsi="Times New Roman" w:cs="Times New Roman"/>
                <w:color w:val="auto"/>
                <w:lang w:val="en-US" w:eastAsia="zh-CN"/>
              </w:rPr>
              <w:t>日</w:t>
            </w:r>
          </w:p>
        </w:tc>
        <w:tc>
          <w:tcPr>
            <w:tcW w:w="2170" w:type="dxa"/>
            <w:vAlign w:val="center"/>
          </w:tcPr>
          <w:p w14:paraId="75039DA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5.772</w:t>
            </w:r>
          </w:p>
        </w:tc>
        <w:tc>
          <w:tcPr>
            <w:tcW w:w="2170" w:type="dxa"/>
            <w:shd w:val="clear" w:color="auto" w:fill="auto"/>
            <w:vAlign w:val="center"/>
          </w:tcPr>
          <w:p w14:paraId="3429581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16.511</w:t>
            </w:r>
          </w:p>
        </w:tc>
        <w:tc>
          <w:tcPr>
            <w:tcW w:w="2170" w:type="dxa"/>
            <w:vAlign w:val="center"/>
          </w:tcPr>
          <w:p w14:paraId="748CAC6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9.365</w:t>
            </w:r>
          </w:p>
        </w:tc>
        <w:tc>
          <w:tcPr>
            <w:tcW w:w="2170" w:type="dxa"/>
            <w:shd w:val="clear" w:color="auto" w:fill="auto"/>
            <w:vAlign w:val="center"/>
          </w:tcPr>
          <w:p w14:paraId="5BB67D6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26.792</w:t>
            </w:r>
          </w:p>
        </w:tc>
        <w:tc>
          <w:tcPr>
            <w:tcW w:w="2170" w:type="dxa"/>
            <w:shd w:val="clear" w:color="auto" w:fill="auto"/>
            <w:vAlign w:val="center"/>
          </w:tcPr>
          <w:p w14:paraId="570A904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19.901</w:t>
            </w:r>
          </w:p>
        </w:tc>
        <w:tc>
          <w:tcPr>
            <w:tcW w:w="2170" w:type="dxa"/>
            <w:shd w:val="clear" w:color="auto" w:fill="auto"/>
            <w:vAlign w:val="center"/>
          </w:tcPr>
          <w:p w14:paraId="35A6191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56.931</w:t>
            </w:r>
          </w:p>
        </w:tc>
      </w:tr>
      <w:tr w14:paraId="20C77D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70AF098A">
            <w:pPr>
              <w:jc w:val="center"/>
              <w:rPr>
                <w:rFonts w:hint="eastAsia" w:cs="Times New Roman"/>
                <w:color w:val="auto"/>
                <w:lang w:val="en-US" w:eastAsia="zh-CN"/>
              </w:rPr>
            </w:pPr>
            <w:r>
              <w:rPr>
                <w:rFonts w:hint="eastAsia" w:cs="Times New Roman"/>
                <w:color w:val="auto"/>
                <w:lang w:val="en-US" w:eastAsia="zh-CN"/>
              </w:rPr>
              <w:t>8月26</w:t>
            </w:r>
            <w:r>
              <w:rPr>
                <w:rFonts w:hint="default" w:ascii="Times New Roman" w:hAnsi="Times New Roman" w:cs="Times New Roman"/>
                <w:color w:val="auto"/>
                <w:lang w:val="en-US" w:eastAsia="zh-CN"/>
              </w:rPr>
              <w:t>日</w:t>
            </w:r>
          </w:p>
        </w:tc>
        <w:tc>
          <w:tcPr>
            <w:tcW w:w="2170" w:type="dxa"/>
            <w:vAlign w:val="center"/>
          </w:tcPr>
          <w:p w14:paraId="7FD9BD2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6.308</w:t>
            </w:r>
          </w:p>
        </w:tc>
        <w:tc>
          <w:tcPr>
            <w:tcW w:w="2170" w:type="dxa"/>
            <w:shd w:val="clear" w:color="auto" w:fill="auto"/>
            <w:vAlign w:val="center"/>
          </w:tcPr>
          <w:p w14:paraId="0604302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17.576</w:t>
            </w:r>
          </w:p>
        </w:tc>
        <w:tc>
          <w:tcPr>
            <w:tcW w:w="2170" w:type="dxa"/>
            <w:vAlign w:val="center"/>
          </w:tcPr>
          <w:p w14:paraId="2D9BB80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10.024</w:t>
            </w:r>
          </w:p>
        </w:tc>
        <w:tc>
          <w:tcPr>
            <w:tcW w:w="2170" w:type="dxa"/>
            <w:shd w:val="clear" w:color="auto" w:fill="auto"/>
            <w:vAlign w:val="center"/>
          </w:tcPr>
          <w:p w14:paraId="75FDE15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27.93</w:t>
            </w:r>
          </w:p>
        </w:tc>
        <w:tc>
          <w:tcPr>
            <w:tcW w:w="2170" w:type="dxa"/>
            <w:shd w:val="clear" w:color="auto" w:fill="auto"/>
            <w:vAlign w:val="center"/>
          </w:tcPr>
          <w:p w14:paraId="7DBE383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17.645</w:t>
            </w:r>
          </w:p>
        </w:tc>
        <w:tc>
          <w:tcPr>
            <w:tcW w:w="2170" w:type="dxa"/>
            <w:shd w:val="clear" w:color="auto" w:fill="auto"/>
            <w:vAlign w:val="center"/>
          </w:tcPr>
          <w:p w14:paraId="6A86C6B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49.164</w:t>
            </w:r>
          </w:p>
        </w:tc>
      </w:tr>
      <w:tr w14:paraId="099A82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7C4D073">
            <w:pPr>
              <w:jc w:val="center"/>
              <w:rPr>
                <w:rFonts w:hint="eastAsia" w:cs="Times New Roman"/>
                <w:color w:val="auto"/>
                <w:lang w:val="en-US" w:eastAsia="zh-CN"/>
              </w:rPr>
            </w:pPr>
            <w:r>
              <w:rPr>
                <w:rFonts w:hint="eastAsia" w:cs="Times New Roman"/>
                <w:color w:val="auto"/>
                <w:lang w:val="en-US" w:eastAsia="zh-CN"/>
              </w:rPr>
              <w:t>8月27</w:t>
            </w:r>
            <w:r>
              <w:rPr>
                <w:rFonts w:hint="default" w:ascii="Times New Roman" w:hAnsi="Times New Roman" w:cs="Times New Roman"/>
                <w:color w:val="auto"/>
                <w:lang w:val="en-US" w:eastAsia="zh-CN"/>
              </w:rPr>
              <w:t>日</w:t>
            </w:r>
          </w:p>
        </w:tc>
        <w:tc>
          <w:tcPr>
            <w:tcW w:w="2170" w:type="dxa"/>
            <w:vAlign w:val="center"/>
          </w:tcPr>
          <w:p w14:paraId="3D766CD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6.317</w:t>
            </w:r>
          </w:p>
        </w:tc>
        <w:tc>
          <w:tcPr>
            <w:tcW w:w="2170" w:type="dxa"/>
            <w:shd w:val="clear" w:color="auto" w:fill="auto"/>
            <w:vAlign w:val="center"/>
          </w:tcPr>
          <w:p w14:paraId="4AF029A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16.384</w:t>
            </w:r>
          </w:p>
        </w:tc>
        <w:tc>
          <w:tcPr>
            <w:tcW w:w="2170" w:type="dxa"/>
            <w:vAlign w:val="center"/>
          </w:tcPr>
          <w:p w14:paraId="30B97F4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15.822</w:t>
            </w:r>
          </w:p>
        </w:tc>
        <w:tc>
          <w:tcPr>
            <w:tcW w:w="2170" w:type="dxa"/>
            <w:shd w:val="clear" w:color="auto" w:fill="auto"/>
            <w:vAlign w:val="center"/>
          </w:tcPr>
          <w:p w14:paraId="5C51AC6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41.039</w:t>
            </w:r>
          </w:p>
        </w:tc>
        <w:tc>
          <w:tcPr>
            <w:tcW w:w="2170" w:type="dxa"/>
            <w:shd w:val="clear" w:color="auto" w:fill="auto"/>
            <w:vAlign w:val="center"/>
          </w:tcPr>
          <w:p w14:paraId="187371D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31.085</w:t>
            </w:r>
          </w:p>
        </w:tc>
        <w:tc>
          <w:tcPr>
            <w:tcW w:w="2170" w:type="dxa"/>
            <w:shd w:val="clear" w:color="auto" w:fill="auto"/>
            <w:vAlign w:val="center"/>
          </w:tcPr>
          <w:p w14:paraId="2FAFA65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80.63</w:t>
            </w:r>
          </w:p>
        </w:tc>
      </w:tr>
      <w:tr w14:paraId="3D0355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E1B922B">
            <w:pPr>
              <w:jc w:val="center"/>
              <w:rPr>
                <w:rFonts w:hint="eastAsia" w:cs="Times New Roman"/>
                <w:color w:val="auto"/>
                <w:lang w:val="en-US" w:eastAsia="zh-CN"/>
              </w:rPr>
            </w:pPr>
            <w:r>
              <w:rPr>
                <w:rFonts w:hint="eastAsia" w:cs="Times New Roman"/>
                <w:color w:val="auto"/>
                <w:lang w:val="en-US" w:eastAsia="zh-CN"/>
              </w:rPr>
              <w:t>8月28</w:t>
            </w:r>
            <w:r>
              <w:rPr>
                <w:rFonts w:hint="default" w:ascii="Times New Roman" w:hAnsi="Times New Roman" w:cs="Times New Roman"/>
                <w:color w:val="auto"/>
                <w:lang w:val="en-US" w:eastAsia="zh-CN"/>
              </w:rPr>
              <w:t>日</w:t>
            </w:r>
          </w:p>
        </w:tc>
        <w:tc>
          <w:tcPr>
            <w:tcW w:w="2170" w:type="dxa"/>
            <w:vAlign w:val="center"/>
          </w:tcPr>
          <w:p w14:paraId="0C2CC0B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4.293</w:t>
            </w:r>
          </w:p>
        </w:tc>
        <w:tc>
          <w:tcPr>
            <w:tcW w:w="2170" w:type="dxa"/>
            <w:shd w:val="clear" w:color="auto" w:fill="auto"/>
            <w:vAlign w:val="center"/>
          </w:tcPr>
          <w:p w14:paraId="54AA180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8.114</w:t>
            </w:r>
          </w:p>
        </w:tc>
        <w:tc>
          <w:tcPr>
            <w:tcW w:w="2170" w:type="dxa"/>
            <w:vAlign w:val="center"/>
          </w:tcPr>
          <w:p w14:paraId="120ECFD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9.081</w:t>
            </w:r>
          </w:p>
        </w:tc>
        <w:tc>
          <w:tcPr>
            <w:tcW w:w="2170" w:type="dxa"/>
            <w:shd w:val="clear" w:color="auto" w:fill="auto"/>
            <w:vAlign w:val="center"/>
          </w:tcPr>
          <w:p w14:paraId="1AE390A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17.162</w:t>
            </w:r>
          </w:p>
        </w:tc>
        <w:tc>
          <w:tcPr>
            <w:tcW w:w="2170" w:type="dxa"/>
            <w:shd w:val="clear" w:color="auto" w:fill="auto"/>
            <w:vAlign w:val="center"/>
          </w:tcPr>
          <w:p w14:paraId="585A109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19.937</w:t>
            </w:r>
          </w:p>
        </w:tc>
        <w:tc>
          <w:tcPr>
            <w:tcW w:w="2170" w:type="dxa"/>
            <w:shd w:val="clear" w:color="auto" w:fill="auto"/>
            <w:vAlign w:val="center"/>
          </w:tcPr>
          <w:p w14:paraId="154914E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37.68</w:t>
            </w:r>
          </w:p>
        </w:tc>
      </w:tr>
      <w:tr w14:paraId="211964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DFBD888">
            <w:pPr>
              <w:jc w:val="center"/>
              <w:rPr>
                <w:rFonts w:hint="eastAsia" w:cs="Times New Roman"/>
                <w:color w:val="auto"/>
                <w:lang w:val="en-US" w:eastAsia="zh-CN"/>
              </w:rPr>
            </w:pPr>
            <w:r>
              <w:rPr>
                <w:rFonts w:hint="eastAsia" w:cs="Times New Roman"/>
                <w:color w:val="auto"/>
                <w:lang w:val="en-US" w:eastAsia="zh-CN"/>
              </w:rPr>
              <w:t>8月29</w:t>
            </w:r>
            <w:r>
              <w:rPr>
                <w:rFonts w:hint="default" w:ascii="Times New Roman" w:hAnsi="Times New Roman" w:cs="Times New Roman"/>
                <w:color w:val="auto"/>
                <w:lang w:val="en-US" w:eastAsia="zh-CN"/>
              </w:rPr>
              <w:t>日</w:t>
            </w:r>
          </w:p>
        </w:tc>
        <w:tc>
          <w:tcPr>
            <w:tcW w:w="2170" w:type="dxa"/>
            <w:vAlign w:val="center"/>
          </w:tcPr>
          <w:p w14:paraId="7B0BB9D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4.757</w:t>
            </w:r>
          </w:p>
        </w:tc>
        <w:tc>
          <w:tcPr>
            <w:tcW w:w="2170" w:type="dxa"/>
            <w:shd w:val="clear" w:color="auto" w:fill="auto"/>
            <w:vAlign w:val="center"/>
          </w:tcPr>
          <w:p w14:paraId="18D6646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10.729</w:t>
            </w:r>
          </w:p>
        </w:tc>
        <w:tc>
          <w:tcPr>
            <w:tcW w:w="2170" w:type="dxa"/>
            <w:vAlign w:val="center"/>
          </w:tcPr>
          <w:p w14:paraId="039235D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11.105</w:t>
            </w:r>
          </w:p>
        </w:tc>
        <w:tc>
          <w:tcPr>
            <w:tcW w:w="2170" w:type="dxa"/>
            <w:shd w:val="clear" w:color="auto" w:fill="auto"/>
            <w:vAlign w:val="center"/>
          </w:tcPr>
          <w:p w14:paraId="15CB65C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25.049</w:t>
            </w:r>
          </w:p>
        </w:tc>
        <w:tc>
          <w:tcPr>
            <w:tcW w:w="2170" w:type="dxa"/>
            <w:shd w:val="clear" w:color="auto" w:fill="auto"/>
            <w:vAlign w:val="center"/>
          </w:tcPr>
          <w:p w14:paraId="769B1CD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29.428</w:t>
            </w:r>
          </w:p>
        </w:tc>
        <w:tc>
          <w:tcPr>
            <w:tcW w:w="2170" w:type="dxa"/>
            <w:shd w:val="clear" w:color="auto" w:fill="auto"/>
            <w:vAlign w:val="center"/>
          </w:tcPr>
          <w:p w14:paraId="19EFBA3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66.38</w:t>
            </w:r>
          </w:p>
        </w:tc>
      </w:tr>
      <w:tr w14:paraId="178C4B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14C514D7">
            <w:pPr>
              <w:jc w:val="center"/>
              <w:rPr>
                <w:rFonts w:hint="eastAsia" w:cs="Times New Roman"/>
                <w:color w:val="auto"/>
                <w:lang w:val="en-US" w:eastAsia="zh-CN"/>
              </w:rPr>
            </w:pPr>
            <w:r>
              <w:rPr>
                <w:rFonts w:hint="eastAsia" w:cs="Times New Roman"/>
                <w:color w:val="auto"/>
                <w:lang w:val="en-US" w:eastAsia="zh-CN"/>
              </w:rPr>
              <w:t>8月30</w:t>
            </w:r>
            <w:r>
              <w:rPr>
                <w:rFonts w:hint="default" w:ascii="Times New Roman" w:hAnsi="Times New Roman" w:cs="Times New Roman"/>
                <w:color w:val="auto"/>
                <w:lang w:val="en-US" w:eastAsia="zh-CN"/>
              </w:rPr>
              <w:t>日</w:t>
            </w:r>
          </w:p>
        </w:tc>
        <w:tc>
          <w:tcPr>
            <w:tcW w:w="2170" w:type="dxa"/>
            <w:vAlign w:val="center"/>
          </w:tcPr>
          <w:p w14:paraId="4340A07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4.372</w:t>
            </w:r>
          </w:p>
        </w:tc>
        <w:tc>
          <w:tcPr>
            <w:tcW w:w="2170" w:type="dxa"/>
            <w:shd w:val="clear" w:color="auto" w:fill="auto"/>
            <w:vAlign w:val="center"/>
          </w:tcPr>
          <w:p w14:paraId="4B3AB3B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11.822</w:t>
            </w:r>
          </w:p>
        </w:tc>
        <w:tc>
          <w:tcPr>
            <w:tcW w:w="2170" w:type="dxa"/>
            <w:vAlign w:val="center"/>
          </w:tcPr>
          <w:p w14:paraId="7A2BAE3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3.402</w:t>
            </w:r>
          </w:p>
        </w:tc>
        <w:tc>
          <w:tcPr>
            <w:tcW w:w="2170" w:type="dxa"/>
            <w:shd w:val="clear" w:color="auto" w:fill="auto"/>
            <w:vAlign w:val="center"/>
          </w:tcPr>
          <w:p w14:paraId="01B497B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9.199</w:t>
            </w:r>
          </w:p>
        </w:tc>
        <w:tc>
          <w:tcPr>
            <w:tcW w:w="2170" w:type="dxa"/>
            <w:shd w:val="clear" w:color="auto" w:fill="auto"/>
            <w:vAlign w:val="center"/>
          </w:tcPr>
          <w:p w14:paraId="2D1BF7D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27.352</w:t>
            </w:r>
          </w:p>
        </w:tc>
        <w:tc>
          <w:tcPr>
            <w:tcW w:w="2170" w:type="dxa"/>
            <w:shd w:val="clear" w:color="auto" w:fill="auto"/>
            <w:vAlign w:val="center"/>
          </w:tcPr>
          <w:p w14:paraId="2A35D82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73.966</w:t>
            </w:r>
          </w:p>
        </w:tc>
      </w:tr>
      <w:tr w14:paraId="275AA0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66CBCA1">
            <w:pPr>
              <w:jc w:val="center"/>
              <w:rPr>
                <w:rFonts w:hint="eastAsia" w:cs="Times New Roman"/>
                <w:color w:val="auto"/>
                <w:lang w:val="en-US" w:eastAsia="zh-CN"/>
              </w:rPr>
            </w:pPr>
            <w:r>
              <w:rPr>
                <w:rFonts w:hint="eastAsia" w:cs="Times New Roman"/>
                <w:color w:val="auto"/>
                <w:lang w:val="en-US" w:eastAsia="zh-CN"/>
              </w:rPr>
              <w:t>8月31</w:t>
            </w:r>
            <w:r>
              <w:rPr>
                <w:rFonts w:hint="default" w:ascii="Times New Roman" w:hAnsi="Times New Roman" w:cs="Times New Roman"/>
                <w:color w:val="auto"/>
                <w:lang w:val="en-US" w:eastAsia="zh-CN"/>
              </w:rPr>
              <w:t>日</w:t>
            </w:r>
          </w:p>
        </w:tc>
        <w:tc>
          <w:tcPr>
            <w:tcW w:w="2170" w:type="dxa"/>
            <w:vAlign w:val="center"/>
          </w:tcPr>
          <w:p w14:paraId="1EA8480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4.809</w:t>
            </w:r>
          </w:p>
        </w:tc>
        <w:tc>
          <w:tcPr>
            <w:tcW w:w="2170" w:type="dxa"/>
            <w:shd w:val="clear" w:color="auto" w:fill="auto"/>
            <w:vAlign w:val="center"/>
          </w:tcPr>
          <w:p w14:paraId="5FD352F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11.997</w:t>
            </w:r>
          </w:p>
        </w:tc>
        <w:tc>
          <w:tcPr>
            <w:tcW w:w="2170" w:type="dxa"/>
            <w:vAlign w:val="center"/>
          </w:tcPr>
          <w:p w14:paraId="64C38D0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3.124</w:t>
            </w:r>
          </w:p>
        </w:tc>
        <w:tc>
          <w:tcPr>
            <w:tcW w:w="2170" w:type="dxa"/>
            <w:shd w:val="clear" w:color="auto" w:fill="auto"/>
            <w:vAlign w:val="center"/>
          </w:tcPr>
          <w:p w14:paraId="6C46ECF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7.794</w:t>
            </w:r>
          </w:p>
        </w:tc>
        <w:tc>
          <w:tcPr>
            <w:tcW w:w="2170" w:type="dxa"/>
            <w:shd w:val="clear" w:color="auto" w:fill="auto"/>
            <w:vAlign w:val="center"/>
          </w:tcPr>
          <w:p w14:paraId="71090A3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22.271</w:t>
            </w:r>
          </w:p>
        </w:tc>
        <w:tc>
          <w:tcPr>
            <w:tcW w:w="2170" w:type="dxa"/>
            <w:shd w:val="clear" w:color="auto" w:fill="auto"/>
            <w:vAlign w:val="center"/>
          </w:tcPr>
          <w:p w14:paraId="341A60E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55.563</w:t>
            </w:r>
          </w:p>
        </w:tc>
      </w:tr>
      <w:tr w14:paraId="5BE374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10BC2FB8">
            <w:pPr>
              <w:jc w:val="center"/>
              <w:rPr>
                <w:rFonts w:hint="default" w:cs="Times New Roman"/>
                <w:color w:val="auto"/>
                <w:lang w:val="en-US" w:eastAsia="zh-CN"/>
              </w:rPr>
            </w:pPr>
            <w:r>
              <w:rPr>
                <w:rFonts w:hint="eastAsia" w:cs="Times New Roman"/>
                <w:color w:val="auto"/>
                <w:lang w:val="en-US" w:eastAsia="zh-CN"/>
              </w:rPr>
              <w:t>平均值</w:t>
            </w:r>
          </w:p>
        </w:tc>
        <w:tc>
          <w:tcPr>
            <w:tcW w:w="2170" w:type="dxa"/>
            <w:vAlign w:val="center"/>
          </w:tcPr>
          <w:p w14:paraId="0C35F3E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5.459</w:t>
            </w:r>
          </w:p>
        </w:tc>
        <w:tc>
          <w:tcPr>
            <w:tcW w:w="2170" w:type="dxa"/>
            <w:shd w:val="clear" w:color="auto" w:fill="auto"/>
            <w:vAlign w:val="center"/>
          </w:tcPr>
          <w:p w14:paraId="372E134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767" w:type="pct"/>
            <w:vAlign w:val="center"/>
          </w:tcPr>
          <w:p w14:paraId="210A3B5A">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eastAsia" w:ascii="Times New Roman" w:hAnsi="Times New Roman" w:eastAsia="Arial Unicode MS" w:cs="Times New Roman"/>
                <w:i w:val="0"/>
                <w:iCs w:val="0"/>
                <w:color w:val="auto"/>
                <w:kern w:val="0"/>
                <w:sz w:val="21"/>
                <w:szCs w:val="21"/>
                <w:u w:val="none"/>
                <w:lang w:val="en-US" w:eastAsia="zh-CN" w:bidi="ar"/>
              </w:rPr>
              <w:t>8.448</w:t>
            </w:r>
          </w:p>
        </w:tc>
        <w:tc>
          <w:tcPr>
            <w:tcW w:w="767" w:type="pct"/>
            <w:shd w:val="clear" w:color="auto" w:fill="auto"/>
            <w:vAlign w:val="center"/>
          </w:tcPr>
          <w:p w14:paraId="275F67F7">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eastAsia"/>
                <w:color w:val="auto"/>
                <w:kern w:val="0"/>
                <w:szCs w:val="21"/>
              </w:rPr>
              <w:t>/</w:t>
            </w:r>
          </w:p>
        </w:tc>
        <w:tc>
          <w:tcPr>
            <w:tcW w:w="767" w:type="pct"/>
            <w:shd w:val="clear" w:color="auto" w:fill="auto"/>
            <w:vAlign w:val="center"/>
          </w:tcPr>
          <w:p w14:paraId="551374C7">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eastAsia" w:ascii="Times New Roman" w:hAnsi="Times New Roman" w:eastAsia="Arial Unicode MS" w:cs="Times New Roman"/>
                <w:i w:val="0"/>
                <w:iCs w:val="0"/>
                <w:color w:val="auto"/>
                <w:kern w:val="0"/>
                <w:sz w:val="21"/>
                <w:szCs w:val="21"/>
                <w:u w:val="none"/>
                <w:lang w:val="en-US" w:eastAsia="zh-CN" w:bidi="ar"/>
              </w:rPr>
              <w:t>20.97</w:t>
            </w:r>
          </w:p>
        </w:tc>
        <w:tc>
          <w:tcPr>
            <w:tcW w:w="767" w:type="pct"/>
            <w:shd w:val="clear" w:color="auto" w:fill="auto"/>
            <w:vAlign w:val="center"/>
          </w:tcPr>
          <w:p w14:paraId="175582A0">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eastAsia"/>
                <w:color w:val="auto"/>
                <w:kern w:val="0"/>
                <w:szCs w:val="21"/>
              </w:rPr>
              <w:t>/</w:t>
            </w:r>
          </w:p>
        </w:tc>
      </w:tr>
      <w:tr w14:paraId="62D00C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29A36A3">
            <w:pPr>
              <w:jc w:val="center"/>
              <w:rPr>
                <w:rFonts w:hint="default" w:cs="Times New Roman"/>
                <w:color w:val="auto"/>
                <w:lang w:val="en-US" w:eastAsia="zh-CN"/>
              </w:rPr>
            </w:pPr>
            <w:r>
              <w:rPr>
                <w:rFonts w:hint="eastAsia" w:cs="Times New Roman"/>
                <w:color w:val="auto"/>
                <w:lang w:val="en-US" w:eastAsia="zh-CN"/>
              </w:rPr>
              <w:t>9月1日</w:t>
            </w:r>
          </w:p>
        </w:tc>
        <w:tc>
          <w:tcPr>
            <w:tcW w:w="2170" w:type="dxa"/>
            <w:vAlign w:val="center"/>
          </w:tcPr>
          <w:p w14:paraId="4B6F34E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5.315</w:t>
            </w:r>
          </w:p>
        </w:tc>
        <w:tc>
          <w:tcPr>
            <w:tcW w:w="2170" w:type="dxa"/>
            <w:shd w:val="clear" w:color="auto" w:fill="auto"/>
            <w:vAlign w:val="center"/>
          </w:tcPr>
          <w:p w14:paraId="33D2CD0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10.732</w:t>
            </w:r>
          </w:p>
        </w:tc>
        <w:tc>
          <w:tcPr>
            <w:tcW w:w="2170" w:type="dxa"/>
            <w:vAlign w:val="center"/>
          </w:tcPr>
          <w:p w14:paraId="1129E286">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2.713</w:t>
            </w:r>
          </w:p>
        </w:tc>
        <w:tc>
          <w:tcPr>
            <w:tcW w:w="2170" w:type="dxa"/>
            <w:shd w:val="clear" w:color="auto" w:fill="auto"/>
            <w:vAlign w:val="center"/>
          </w:tcPr>
          <w:p w14:paraId="2E2DA494">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5.478</w:t>
            </w:r>
          </w:p>
        </w:tc>
        <w:tc>
          <w:tcPr>
            <w:tcW w:w="2170" w:type="dxa"/>
            <w:shd w:val="clear" w:color="auto" w:fill="auto"/>
            <w:vAlign w:val="center"/>
          </w:tcPr>
          <w:p w14:paraId="35982A00">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30.466</w:t>
            </w:r>
          </w:p>
        </w:tc>
        <w:tc>
          <w:tcPr>
            <w:tcW w:w="2170" w:type="dxa"/>
            <w:shd w:val="clear" w:color="auto" w:fill="auto"/>
            <w:vAlign w:val="center"/>
          </w:tcPr>
          <w:p w14:paraId="1F29BCBF">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61.522</w:t>
            </w:r>
          </w:p>
        </w:tc>
      </w:tr>
      <w:tr w14:paraId="2649CA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342D784">
            <w:pPr>
              <w:jc w:val="center"/>
              <w:rPr>
                <w:rFonts w:hint="eastAsia" w:cs="Times New Roman"/>
                <w:color w:val="auto"/>
                <w:lang w:val="en-US" w:eastAsia="zh-CN"/>
              </w:rPr>
            </w:pPr>
            <w:r>
              <w:rPr>
                <w:rFonts w:hint="eastAsia" w:cs="Times New Roman"/>
                <w:color w:val="auto"/>
                <w:lang w:val="en-US" w:eastAsia="zh-CN"/>
              </w:rPr>
              <w:t>9月2日</w:t>
            </w:r>
          </w:p>
        </w:tc>
        <w:tc>
          <w:tcPr>
            <w:tcW w:w="2170" w:type="dxa"/>
            <w:vAlign w:val="center"/>
          </w:tcPr>
          <w:p w14:paraId="4AF0DA4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6.283</w:t>
            </w:r>
          </w:p>
        </w:tc>
        <w:tc>
          <w:tcPr>
            <w:tcW w:w="2170" w:type="dxa"/>
            <w:shd w:val="clear" w:color="auto" w:fill="auto"/>
            <w:vAlign w:val="center"/>
          </w:tcPr>
          <w:p w14:paraId="5018ED2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18.359</w:t>
            </w:r>
          </w:p>
        </w:tc>
        <w:tc>
          <w:tcPr>
            <w:tcW w:w="2170" w:type="dxa"/>
            <w:vAlign w:val="center"/>
          </w:tcPr>
          <w:p w14:paraId="3425B2E5">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6.265</w:t>
            </w:r>
          </w:p>
        </w:tc>
        <w:tc>
          <w:tcPr>
            <w:tcW w:w="2170" w:type="dxa"/>
            <w:shd w:val="clear" w:color="auto" w:fill="auto"/>
            <w:vAlign w:val="center"/>
          </w:tcPr>
          <w:p w14:paraId="2C6D6772">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18.306</w:t>
            </w:r>
          </w:p>
        </w:tc>
        <w:tc>
          <w:tcPr>
            <w:tcW w:w="2170" w:type="dxa"/>
            <w:shd w:val="clear" w:color="auto" w:fill="auto"/>
            <w:vAlign w:val="center"/>
          </w:tcPr>
          <w:p w14:paraId="71282C65">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14.855</w:t>
            </w:r>
          </w:p>
        </w:tc>
        <w:tc>
          <w:tcPr>
            <w:tcW w:w="2170" w:type="dxa"/>
            <w:shd w:val="clear" w:color="auto" w:fill="auto"/>
            <w:vAlign w:val="center"/>
          </w:tcPr>
          <w:p w14:paraId="62DB9646">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43.406</w:t>
            </w:r>
          </w:p>
        </w:tc>
      </w:tr>
      <w:tr w14:paraId="1C31C0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3AA7EAF4">
            <w:pPr>
              <w:jc w:val="center"/>
              <w:rPr>
                <w:rFonts w:hint="eastAsia" w:cs="Times New Roman"/>
                <w:color w:val="auto"/>
                <w:lang w:val="en-US" w:eastAsia="zh-CN"/>
              </w:rPr>
            </w:pPr>
            <w:r>
              <w:rPr>
                <w:rFonts w:hint="eastAsia" w:cs="Times New Roman"/>
                <w:color w:val="auto"/>
                <w:lang w:val="en-US" w:eastAsia="zh-CN"/>
              </w:rPr>
              <w:t>9月3日</w:t>
            </w:r>
          </w:p>
        </w:tc>
        <w:tc>
          <w:tcPr>
            <w:tcW w:w="2170" w:type="dxa"/>
            <w:vAlign w:val="center"/>
          </w:tcPr>
          <w:p w14:paraId="2CFE87E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7.481</w:t>
            </w:r>
          </w:p>
        </w:tc>
        <w:tc>
          <w:tcPr>
            <w:tcW w:w="2170" w:type="dxa"/>
            <w:shd w:val="clear" w:color="auto" w:fill="auto"/>
            <w:vAlign w:val="center"/>
          </w:tcPr>
          <w:p w14:paraId="48D5550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22.94</w:t>
            </w:r>
          </w:p>
        </w:tc>
        <w:tc>
          <w:tcPr>
            <w:tcW w:w="2170" w:type="dxa"/>
            <w:vAlign w:val="center"/>
          </w:tcPr>
          <w:p w14:paraId="6328BA8E">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1.286</w:t>
            </w:r>
          </w:p>
        </w:tc>
        <w:tc>
          <w:tcPr>
            <w:tcW w:w="2170" w:type="dxa"/>
            <w:shd w:val="clear" w:color="auto" w:fill="auto"/>
            <w:vAlign w:val="center"/>
          </w:tcPr>
          <w:p w14:paraId="56D1F61A">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3.942</w:t>
            </w:r>
          </w:p>
        </w:tc>
        <w:tc>
          <w:tcPr>
            <w:tcW w:w="2170" w:type="dxa"/>
            <w:shd w:val="clear" w:color="auto" w:fill="auto"/>
            <w:vAlign w:val="center"/>
          </w:tcPr>
          <w:p w14:paraId="1EC86899">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0.095</w:t>
            </w:r>
          </w:p>
        </w:tc>
        <w:tc>
          <w:tcPr>
            <w:tcW w:w="2170" w:type="dxa"/>
            <w:shd w:val="clear" w:color="auto" w:fill="auto"/>
            <w:vAlign w:val="center"/>
          </w:tcPr>
          <w:p w14:paraId="1DD1E90C">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0.291</w:t>
            </w:r>
          </w:p>
        </w:tc>
      </w:tr>
      <w:tr w14:paraId="368765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3DADB112">
            <w:pPr>
              <w:jc w:val="center"/>
              <w:rPr>
                <w:rFonts w:hint="eastAsia" w:cs="Times New Roman"/>
                <w:color w:val="auto"/>
                <w:lang w:val="en-US" w:eastAsia="zh-CN"/>
              </w:rPr>
            </w:pPr>
            <w:r>
              <w:rPr>
                <w:rFonts w:hint="eastAsia" w:cs="Times New Roman"/>
                <w:color w:val="auto"/>
                <w:lang w:val="en-US" w:eastAsia="zh-CN"/>
              </w:rPr>
              <w:t>9月4日</w:t>
            </w:r>
          </w:p>
        </w:tc>
        <w:tc>
          <w:tcPr>
            <w:tcW w:w="2170" w:type="dxa"/>
            <w:vAlign w:val="center"/>
          </w:tcPr>
          <w:p w14:paraId="45A612B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7.993</w:t>
            </w:r>
          </w:p>
        </w:tc>
        <w:tc>
          <w:tcPr>
            <w:tcW w:w="2170" w:type="dxa"/>
            <w:shd w:val="clear" w:color="auto" w:fill="auto"/>
            <w:vAlign w:val="center"/>
          </w:tcPr>
          <w:p w14:paraId="1ADADAC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23.682</w:t>
            </w:r>
          </w:p>
        </w:tc>
        <w:tc>
          <w:tcPr>
            <w:tcW w:w="2170" w:type="dxa"/>
            <w:vAlign w:val="center"/>
          </w:tcPr>
          <w:p w14:paraId="55E1DD45">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4.606</w:t>
            </w:r>
          </w:p>
        </w:tc>
        <w:tc>
          <w:tcPr>
            <w:tcW w:w="2170" w:type="dxa"/>
            <w:shd w:val="clear" w:color="auto" w:fill="auto"/>
            <w:vAlign w:val="center"/>
          </w:tcPr>
          <w:p w14:paraId="1E5E2105">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13.649</w:t>
            </w:r>
          </w:p>
        </w:tc>
        <w:tc>
          <w:tcPr>
            <w:tcW w:w="2170" w:type="dxa"/>
            <w:shd w:val="clear" w:color="auto" w:fill="auto"/>
            <w:vAlign w:val="center"/>
          </w:tcPr>
          <w:p w14:paraId="5C6E8F29">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9.341</w:t>
            </w:r>
          </w:p>
        </w:tc>
        <w:tc>
          <w:tcPr>
            <w:tcW w:w="2170" w:type="dxa"/>
            <w:shd w:val="clear" w:color="auto" w:fill="auto"/>
            <w:vAlign w:val="center"/>
          </w:tcPr>
          <w:p w14:paraId="5FFBE339">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27.676</w:t>
            </w:r>
          </w:p>
        </w:tc>
      </w:tr>
      <w:tr w14:paraId="177A70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3661F27">
            <w:pPr>
              <w:jc w:val="center"/>
              <w:rPr>
                <w:rFonts w:hint="eastAsia" w:cs="Times New Roman"/>
                <w:color w:val="auto"/>
                <w:lang w:val="en-US" w:eastAsia="zh-CN"/>
              </w:rPr>
            </w:pPr>
            <w:r>
              <w:rPr>
                <w:rFonts w:hint="eastAsia" w:cs="Times New Roman"/>
                <w:color w:val="auto"/>
                <w:lang w:val="en-US" w:eastAsia="zh-CN"/>
              </w:rPr>
              <w:t>9月5日</w:t>
            </w:r>
          </w:p>
        </w:tc>
        <w:tc>
          <w:tcPr>
            <w:tcW w:w="2170" w:type="dxa"/>
            <w:vAlign w:val="center"/>
          </w:tcPr>
          <w:p w14:paraId="08BFCE8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8.819</w:t>
            </w:r>
          </w:p>
        </w:tc>
        <w:tc>
          <w:tcPr>
            <w:tcW w:w="2170" w:type="dxa"/>
            <w:shd w:val="clear" w:color="auto" w:fill="auto"/>
            <w:vAlign w:val="center"/>
          </w:tcPr>
          <w:p w14:paraId="18291F6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25.407</w:t>
            </w:r>
          </w:p>
        </w:tc>
        <w:tc>
          <w:tcPr>
            <w:tcW w:w="2170" w:type="dxa"/>
            <w:vAlign w:val="center"/>
          </w:tcPr>
          <w:p w14:paraId="2C26216E">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11.41</w:t>
            </w:r>
          </w:p>
        </w:tc>
        <w:tc>
          <w:tcPr>
            <w:tcW w:w="2170" w:type="dxa"/>
            <w:shd w:val="clear" w:color="auto" w:fill="auto"/>
            <w:vAlign w:val="center"/>
          </w:tcPr>
          <w:p w14:paraId="7700997A">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32.874</w:t>
            </w:r>
          </w:p>
        </w:tc>
        <w:tc>
          <w:tcPr>
            <w:tcW w:w="2170" w:type="dxa"/>
            <w:shd w:val="clear" w:color="auto" w:fill="auto"/>
            <w:vAlign w:val="center"/>
          </w:tcPr>
          <w:p w14:paraId="1C766F88">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14.53</w:t>
            </w:r>
          </w:p>
        </w:tc>
        <w:tc>
          <w:tcPr>
            <w:tcW w:w="2170" w:type="dxa"/>
            <w:shd w:val="clear" w:color="auto" w:fill="auto"/>
            <w:vAlign w:val="center"/>
          </w:tcPr>
          <w:p w14:paraId="4C49AEC2">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41.864</w:t>
            </w:r>
          </w:p>
        </w:tc>
      </w:tr>
      <w:tr w14:paraId="713068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3C28EEDF">
            <w:pPr>
              <w:jc w:val="center"/>
              <w:rPr>
                <w:rFonts w:hint="eastAsia" w:cs="Times New Roman"/>
                <w:color w:val="auto"/>
                <w:lang w:val="en-US" w:eastAsia="zh-CN"/>
              </w:rPr>
            </w:pPr>
            <w:r>
              <w:rPr>
                <w:rFonts w:hint="eastAsia" w:cs="Times New Roman"/>
                <w:color w:val="auto"/>
                <w:lang w:val="en-US" w:eastAsia="zh-CN"/>
              </w:rPr>
              <w:t>9月6日</w:t>
            </w:r>
          </w:p>
        </w:tc>
        <w:tc>
          <w:tcPr>
            <w:tcW w:w="2170" w:type="dxa"/>
            <w:vAlign w:val="center"/>
          </w:tcPr>
          <w:p w14:paraId="614C3E1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6.424</w:t>
            </w:r>
          </w:p>
        </w:tc>
        <w:tc>
          <w:tcPr>
            <w:tcW w:w="2170" w:type="dxa"/>
            <w:shd w:val="clear" w:color="auto" w:fill="auto"/>
            <w:vAlign w:val="center"/>
          </w:tcPr>
          <w:p w14:paraId="7314D72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20.063</w:t>
            </w:r>
          </w:p>
        </w:tc>
        <w:tc>
          <w:tcPr>
            <w:tcW w:w="2170" w:type="dxa"/>
            <w:vAlign w:val="center"/>
          </w:tcPr>
          <w:p w14:paraId="7E9EDA01">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7.188</w:t>
            </w:r>
          </w:p>
        </w:tc>
        <w:tc>
          <w:tcPr>
            <w:tcW w:w="2170" w:type="dxa"/>
            <w:shd w:val="clear" w:color="auto" w:fill="auto"/>
            <w:vAlign w:val="center"/>
          </w:tcPr>
          <w:p w14:paraId="513E5A6A">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22.448</w:t>
            </w:r>
          </w:p>
        </w:tc>
        <w:tc>
          <w:tcPr>
            <w:tcW w:w="2170" w:type="dxa"/>
            <w:shd w:val="clear" w:color="auto" w:fill="auto"/>
            <w:vAlign w:val="center"/>
          </w:tcPr>
          <w:p w14:paraId="36AD92D9">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15.252</w:t>
            </w:r>
          </w:p>
        </w:tc>
        <w:tc>
          <w:tcPr>
            <w:tcW w:w="2170" w:type="dxa"/>
            <w:shd w:val="clear" w:color="auto" w:fill="auto"/>
            <w:vAlign w:val="center"/>
          </w:tcPr>
          <w:p w14:paraId="33618FB0">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47.637</w:t>
            </w:r>
          </w:p>
        </w:tc>
      </w:tr>
      <w:tr w14:paraId="621181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3050DC4A">
            <w:pPr>
              <w:jc w:val="center"/>
              <w:rPr>
                <w:rFonts w:hint="eastAsia" w:cs="Times New Roman"/>
                <w:color w:val="auto"/>
                <w:lang w:val="en-US" w:eastAsia="zh-CN"/>
              </w:rPr>
            </w:pPr>
            <w:r>
              <w:rPr>
                <w:rFonts w:hint="eastAsia" w:cs="Times New Roman"/>
                <w:color w:val="auto"/>
                <w:lang w:val="en-US" w:eastAsia="zh-CN"/>
              </w:rPr>
              <w:t>9月7日</w:t>
            </w:r>
          </w:p>
        </w:tc>
        <w:tc>
          <w:tcPr>
            <w:tcW w:w="2170" w:type="dxa"/>
            <w:vAlign w:val="center"/>
          </w:tcPr>
          <w:p w14:paraId="1C7D93F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5.33</w:t>
            </w:r>
          </w:p>
        </w:tc>
        <w:tc>
          <w:tcPr>
            <w:tcW w:w="2170" w:type="dxa"/>
            <w:shd w:val="clear" w:color="auto" w:fill="auto"/>
            <w:vAlign w:val="center"/>
          </w:tcPr>
          <w:p w14:paraId="0386DEB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13.357</w:t>
            </w:r>
          </w:p>
        </w:tc>
        <w:tc>
          <w:tcPr>
            <w:tcW w:w="2170" w:type="dxa"/>
            <w:vAlign w:val="center"/>
          </w:tcPr>
          <w:p w14:paraId="0DAE5393">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8.127</w:t>
            </w:r>
          </w:p>
        </w:tc>
        <w:tc>
          <w:tcPr>
            <w:tcW w:w="2170" w:type="dxa"/>
            <w:shd w:val="clear" w:color="auto" w:fill="auto"/>
            <w:vAlign w:val="center"/>
          </w:tcPr>
          <w:p w14:paraId="0305AA01">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20.367</w:t>
            </w:r>
          </w:p>
        </w:tc>
        <w:tc>
          <w:tcPr>
            <w:tcW w:w="2170" w:type="dxa"/>
            <w:shd w:val="clear" w:color="auto" w:fill="auto"/>
            <w:vAlign w:val="center"/>
          </w:tcPr>
          <w:p w14:paraId="2BECD9F8">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21.852</w:t>
            </w:r>
          </w:p>
        </w:tc>
        <w:tc>
          <w:tcPr>
            <w:tcW w:w="2170" w:type="dxa"/>
            <w:shd w:val="clear" w:color="auto" w:fill="auto"/>
            <w:vAlign w:val="center"/>
          </w:tcPr>
          <w:p w14:paraId="5A7DF718">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54.765</w:t>
            </w:r>
          </w:p>
        </w:tc>
      </w:tr>
      <w:tr w14:paraId="2A068F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2E67FC86">
            <w:pPr>
              <w:jc w:val="center"/>
              <w:rPr>
                <w:rFonts w:hint="eastAsia" w:cs="Times New Roman"/>
                <w:color w:val="auto"/>
                <w:lang w:val="en-US" w:eastAsia="zh-CN"/>
              </w:rPr>
            </w:pPr>
            <w:r>
              <w:rPr>
                <w:rFonts w:hint="eastAsia" w:cs="Times New Roman"/>
                <w:color w:val="auto"/>
                <w:lang w:val="en-US" w:eastAsia="zh-CN"/>
              </w:rPr>
              <w:t>9月8日</w:t>
            </w:r>
          </w:p>
        </w:tc>
        <w:tc>
          <w:tcPr>
            <w:tcW w:w="2170" w:type="dxa"/>
            <w:vAlign w:val="center"/>
          </w:tcPr>
          <w:p w14:paraId="457F33A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6.032</w:t>
            </w:r>
          </w:p>
        </w:tc>
        <w:tc>
          <w:tcPr>
            <w:tcW w:w="2170" w:type="dxa"/>
            <w:shd w:val="clear" w:color="auto" w:fill="auto"/>
            <w:vAlign w:val="center"/>
          </w:tcPr>
          <w:p w14:paraId="49BFB16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16.622</w:t>
            </w:r>
          </w:p>
        </w:tc>
        <w:tc>
          <w:tcPr>
            <w:tcW w:w="2170" w:type="dxa"/>
            <w:vAlign w:val="center"/>
          </w:tcPr>
          <w:p w14:paraId="7AF8A681">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9.84</w:t>
            </w:r>
          </w:p>
        </w:tc>
        <w:tc>
          <w:tcPr>
            <w:tcW w:w="2170" w:type="dxa"/>
            <w:shd w:val="clear" w:color="auto" w:fill="auto"/>
            <w:vAlign w:val="center"/>
          </w:tcPr>
          <w:p w14:paraId="5CFE8967">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27.118</w:t>
            </w:r>
          </w:p>
        </w:tc>
        <w:tc>
          <w:tcPr>
            <w:tcW w:w="2170" w:type="dxa"/>
            <w:shd w:val="clear" w:color="auto" w:fill="auto"/>
            <w:vAlign w:val="center"/>
          </w:tcPr>
          <w:p w14:paraId="0ADB9AFD">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15.452</w:t>
            </w:r>
          </w:p>
        </w:tc>
        <w:tc>
          <w:tcPr>
            <w:tcW w:w="2170" w:type="dxa"/>
            <w:shd w:val="clear" w:color="auto" w:fill="auto"/>
            <w:vAlign w:val="center"/>
          </w:tcPr>
          <w:p w14:paraId="78CF902C">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42.581</w:t>
            </w:r>
          </w:p>
        </w:tc>
      </w:tr>
      <w:tr w14:paraId="44A994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C68E4BE">
            <w:pPr>
              <w:jc w:val="center"/>
              <w:rPr>
                <w:rFonts w:hint="eastAsia" w:cs="Times New Roman"/>
                <w:color w:val="auto"/>
                <w:lang w:val="en-US" w:eastAsia="zh-CN"/>
              </w:rPr>
            </w:pPr>
            <w:r>
              <w:rPr>
                <w:rFonts w:hint="eastAsia" w:cs="Times New Roman"/>
                <w:color w:val="auto"/>
                <w:lang w:val="en-US" w:eastAsia="zh-CN"/>
              </w:rPr>
              <w:t>9月9日</w:t>
            </w:r>
          </w:p>
        </w:tc>
        <w:tc>
          <w:tcPr>
            <w:tcW w:w="2170" w:type="dxa"/>
            <w:vAlign w:val="center"/>
          </w:tcPr>
          <w:p w14:paraId="49D723C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6.917</w:t>
            </w:r>
          </w:p>
        </w:tc>
        <w:tc>
          <w:tcPr>
            <w:tcW w:w="2170" w:type="dxa"/>
            <w:shd w:val="clear" w:color="auto" w:fill="auto"/>
            <w:vAlign w:val="center"/>
          </w:tcPr>
          <w:p w14:paraId="4DE4359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17.647</w:t>
            </w:r>
          </w:p>
        </w:tc>
        <w:tc>
          <w:tcPr>
            <w:tcW w:w="2170" w:type="dxa"/>
            <w:vAlign w:val="center"/>
          </w:tcPr>
          <w:p w14:paraId="7245FBF2">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12.16</w:t>
            </w:r>
          </w:p>
        </w:tc>
        <w:tc>
          <w:tcPr>
            <w:tcW w:w="2170" w:type="dxa"/>
            <w:shd w:val="clear" w:color="auto" w:fill="auto"/>
            <w:vAlign w:val="center"/>
          </w:tcPr>
          <w:p w14:paraId="7D429831">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31.023</w:t>
            </w:r>
          </w:p>
        </w:tc>
        <w:tc>
          <w:tcPr>
            <w:tcW w:w="2170" w:type="dxa"/>
            <w:shd w:val="clear" w:color="auto" w:fill="auto"/>
            <w:vAlign w:val="center"/>
          </w:tcPr>
          <w:p w14:paraId="7C2A3200">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19.953</w:t>
            </w:r>
          </w:p>
        </w:tc>
        <w:tc>
          <w:tcPr>
            <w:tcW w:w="2170" w:type="dxa"/>
            <w:shd w:val="clear" w:color="auto" w:fill="auto"/>
            <w:vAlign w:val="center"/>
          </w:tcPr>
          <w:p w14:paraId="1D5BD3B7">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50.906</w:t>
            </w:r>
          </w:p>
        </w:tc>
      </w:tr>
      <w:tr w14:paraId="156112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D456B06">
            <w:pPr>
              <w:jc w:val="center"/>
              <w:rPr>
                <w:rFonts w:hint="eastAsia" w:cs="Times New Roman"/>
                <w:color w:val="auto"/>
                <w:lang w:val="en-US" w:eastAsia="zh-CN"/>
              </w:rPr>
            </w:pPr>
            <w:r>
              <w:rPr>
                <w:rFonts w:hint="eastAsia" w:cs="Times New Roman"/>
                <w:color w:val="auto"/>
                <w:lang w:val="en-US" w:eastAsia="zh-CN"/>
              </w:rPr>
              <w:t>9月10日</w:t>
            </w:r>
          </w:p>
        </w:tc>
        <w:tc>
          <w:tcPr>
            <w:tcW w:w="2170" w:type="dxa"/>
            <w:vAlign w:val="center"/>
          </w:tcPr>
          <w:p w14:paraId="1837038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5.854</w:t>
            </w:r>
          </w:p>
        </w:tc>
        <w:tc>
          <w:tcPr>
            <w:tcW w:w="2170" w:type="dxa"/>
            <w:shd w:val="clear" w:color="auto" w:fill="auto"/>
            <w:vAlign w:val="center"/>
          </w:tcPr>
          <w:p w14:paraId="32752F4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16.498</w:t>
            </w:r>
          </w:p>
        </w:tc>
        <w:tc>
          <w:tcPr>
            <w:tcW w:w="2170" w:type="dxa"/>
            <w:vAlign w:val="center"/>
          </w:tcPr>
          <w:p w14:paraId="1139103A">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8.854</w:t>
            </w:r>
          </w:p>
        </w:tc>
        <w:tc>
          <w:tcPr>
            <w:tcW w:w="2170" w:type="dxa"/>
            <w:shd w:val="clear" w:color="auto" w:fill="auto"/>
            <w:vAlign w:val="center"/>
          </w:tcPr>
          <w:p w14:paraId="66AC9B2A">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24.95</w:t>
            </w:r>
          </w:p>
        </w:tc>
        <w:tc>
          <w:tcPr>
            <w:tcW w:w="2170" w:type="dxa"/>
            <w:shd w:val="clear" w:color="auto" w:fill="auto"/>
            <w:vAlign w:val="center"/>
          </w:tcPr>
          <w:p w14:paraId="3ED01BA9">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22.383</w:t>
            </w:r>
          </w:p>
        </w:tc>
        <w:tc>
          <w:tcPr>
            <w:tcW w:w="2170" w:type="dxa"/>
            <w:shd w:val="clear" w:color="auto" w:fill="auto"/>
            <w:vAlign w:val="center"/>
          </w:tcPr>
          <w:p w14:paraId="5967D7D2">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63.075</w:t>
            </w:r>
          </w:p>
        </w:tc>
      </w:tr>
      <w:tr w14:paraId="37DE48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374B8D2F">
            <w:pPr>
              <w:jc w:val="center"/>
              <w:rPr>
                <w:rFonts w:hint="eastAsia" w:cs="Times New Roman"/>
                <w:color w:val="auto"/>
                <w:lang w:val="en-US" w:eastAsia="zh-CN"/>
              </w:rPr>
            </w:pPr>
            <w:r>
              <w:rPr>
                <w:rFonts w:hint="eastAsia" w:cs="Times New Roman"/>
                <w:color w:val="auto"/>
                <w:lang w:val="en-US" w:eastAsia="zh-CN"/>
              </w:rPr>
              <w:t>9月11日</w:t>
            </w:r>
          </w:p>
        </w:tc>
        <w:tc>
          <w:tcPr>
            <w:tcW w:w="2170" w:type="dxa"/>
            <w:vAlign w:val="center"/>
          </w:tcPr>
          <w:p w14:paraId="2CBD0EC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7.575</w:t>
            </w:r>
          </w:p>
        </w:tc>
        <w:tc>
          <w:tcPr>
            <w:tcW w:w="2170" w:type="dxa"/>
            <w:shd w:val="clear" w:color="auto" w:fill="auto"/>
            <w:vAlign w:val="center"/>
          </w:tcPr>
          <w:p w14:paraId="3AE12C9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24.128</w:t>
            </w:r>
          </w:p>
        </w:tc>
        <w:tc>
          <w:tcPr>
            <w:tcW w:w="2170" w:type="dxa"/>
            <w:vAlign w:val="center"/>
          </w:tcPr>
          <w:p w14:paraId="10692F08">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4.89</w:t>
            </w:r>
          </w:p>
        </w:tc>
        <w:tc>
          <w:tcPr>
            <w:tcW w:w="2170" w:type="dxa"/>
            <w:shd w:val="clear" w:color="auto" w:fill="auto"/>
            <w:vAlign w:val="center"/>
          </w:tcPr>
          <w:p w14:paraId="6B373398">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15.575</w:t>
            </w:r>
          </w:p>
        </w:tc>
        <w:tc>
          <w:tcPr>
            <w:tcW w:w="2170" w:type="dxa"/>
            <w:shd w:val="clear" w:color="auto" w:fill="auto"/>
            <w:vAlign w:val="center"/>
          </w:tcPr>
          <w:p w14:paraId="5C3346DD">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17.006</w:t>
            </w:r>
          </w:p>
        </w:tc>
        <w:tc>
          <w:tcPr>
            <w:tcW w:w="2170" w:type="dxa"/>
            <w:shd w:val="clear" w:color="auto" w:fill="auto"/>
            <w:vAlign w:val="center"/>
          </w:tcPr>
          <w:p w14:paraId="05847825">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54.168</w:t>
            </w:r>
          </w:p>
        </w:tc>
      </w:tr>
      <w:tr w14:paraId="18E225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1CC09D4">
            <w:pPr>
              <w:jc w:val="center"/>
              <w:rPr>
                <w:rFonts w:hint="eastAsia" w:cs="Times New Roman"/>
                <w:color w:val="auto"/>
                <w:lang w:val="en-US" w:eastAsia="zh-CN"/>
              </w:rPr>
            </w:pPr>
            <w:r>
              <w:rPr>
                <w:rFonts w:hint="eastAsia" w:cs="Times New Roman"/>
                <w:color w:val="auto"/>
                <w:lang w:val="en-US" w:eastAsia="zh-CN"/>
              </w:rPr>
              <w:t>9月12日</w:t>
            </w:r>
          </w:p>
        </w:tc>
        <w:tc>
          <w:tcPr>
            <w:tcW w:w="2170" w:type="dxa"/>
            <w:vAlign w:val="center"/>
          </w:tcPr>
          <w:p w14:paraId="5CE3251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9.005</w:t>
            </w:r>
          </w:p>
        </w:tc>
        <w:tc>
          <w:tcPr>
            <w:tcW w:w="2170" w:type="dxa"/>
            <w:shd w:val="clear" w:color="auto" w:fill="auto"/>
            <w:vAlign w:val="center"/>
          </w:tcPr>
          <w:p w14:paraId="79A563F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20.797</w:t>
            </w:r>
          </w:p>
        </w:tc>
        <w:tc>
          <w:tcPr>
            <w:tcW w:w="2170" w:type="dxa"/>
            <w:vAlign w:val="center"/>
          </w:tcPr>
          <w:p w14:paraId="6F796BFF">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3.738</w:t>
            </w:r>
          </w:p>
        </w:tc>
        <w:tc>
          <w:tcPr>
            <w:tcW w:w="2170" w:type="dxa"/>
            <w:shd w:val="clear" w:color="auto" w:fill="auto"/>
            <w:vAlign w:val="center"/>
          </w:tcPr>
          <w:p w14:paraId="3DE1C760">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8.633</w:t>
            </w:r>
          </w:p>
        </w:tc>
        <w:tc>
          <w:tcPr>
            <w:tcW w:w="2170" w:type="dxa"/>
            <w:shd w:val="clear" w:color="auto" w:fill="auto"/>
            <w:vAlign w:val="center"/>
          </w:tcPr>
          <w:p w14:paraId="4A806F4A">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17.761</w:t>
            </w:r>
          </w:p>
        </w:tc>
        <w:tc>
          <w:tcPr>
            <w:tcW w:w="2170" w:type="dxa"/>
            <w:shd w:val="clear" w:color="auto" w:fill="auto"/>
            <w:vAlign w:val="center"/>
          </w:tcPr>
          <w:p w14:paraId="048AA81F">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41.021</w:t>
            </w:r>
          </w:p>
        </w:tc>
      </w:tr>
      <w:tr w14:paraId="34C16B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09EEA46">
            <w:pPr>
              <w:jc w:val="center"/>
              <w:rPr>
                <w:rFonts w:hint="eastAsia" w:cs="Times New Roman"/>
                <w:color w:val="auto"/>
                <w:lang w:val="en-US" w:eastAsia="zh-CN"/>
              </w:rPr>
            </w:pPr>
            <w:r>
              <w:rPr>
                <w:rFonts w:hint="eastAsia" w:cs="Times New Roman"/>
                <w:color w:val="auto"/>
                <w:lang w:val="en-US" w:eastAsia="zh-CN"/>
              </w:rPr>
              <w:t>9月13日</w:t>
            </w:r>
          </w:p>
        </w:tc>
        <w:tc>
          <w:tcPr>
            <w:tcW w:w="2170" w:type="dxa"/>
            <w:vAlign w:val="center"/>
          </w:tcPr>
          <w:p w14:paraId="5BC21F1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7.34</w:t>
            </w:r>
          </w:p>
        </w:tc>
        <w:tc>
          <w:tcPr>
            <w:tcW w:w="2170" w:type="dxa"/>
            <w:shd w:val="clear" w:color="auto" w:fill="auto"/>
            <w:vAlign w:val="center"/>
          </w:tcPr>
          <w:p w14:paraId="4B063AF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19.62</w:t>
            </w:r>
          </w:p>
        </w:tc>
        <w:tc>
          <w:tcPr>
            <w:tcW w:w="2170" w:type="dxa"/>
            <w:vAlign w:val="center"/>
          </w:tcPr>
          <w:p w14:paraId="12CCD289">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3.368</w:t>
            </w:r>
          </w:p>
        </w:tc>
        <w:tc>
          <w:tcPr>
            <w:tcW w:w="2170" w:type="dxa"/>
            <w:shd w:val="clear" w:color="auto" w:fill="auto"/>
            <w:vAlign w:val="center"/>
          </w:tcPr>
          <w:p w14:paraId="07AEA412">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9.002</w:t>
            </w:r>
          </w:p>
        </w:tc>
        <w:tc>
          <w:tcPr>
            <w:tcW w:w="2170" w:type="dxa"/>
            <w:shd w:val="clear" w:color="auto" w:fill="auto"/>
            <w:vAlign w:val="center"/>
          </w:tcPr>
          <w:p w14:paraId="6397D874">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29.471</w:t>
            </w:r>
          </w:p>
        </w:tc>
        <w:tc>
          <w:tcPr>
            <w:tcW w:w="2170" w:type="dxa"/>
            <w:shd w:val="clear" w:color="auto" w:fill="auto"/>
            <w:vAlign w:val="center"/>
          </w:tcPr>
          <w:p w14:paraId="1DF50924">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78.781</w:t>
            </w:r>
          </w:p>
        </w:tc>
      </w:tr>
      <w:tr w14:paraId="14AF2F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2ABBC453">
            <w:pPr>
              <w:jc w:val="center"/>
              <w:rPr>
                <w:rFonts w:hint="eastAsia" w:cs="Times New Roman"/>
                <w:color w:val="auto"/>
                <w:lang w:val="en-US" w:eastAsia="zh-CN"/>
              </w:rPr>
            </w:pPr>
            <w:r>
              <w:rPr>
                <w:rFonts w:hint="eastAsia" w:cs="Times New Roman"/>
                <w:color w:val="auto"/>
                <w:lang w:val="en-US" w:eastAsia="zh-CN"/>
              </w:rPr>
              <w:t>9月14日</w:t>
            </w:r>
          </w:p>
        </w:tc>
        <w:tc>
          <w:tcPr>
            <w:tcW w:w="2170" w:type="dxa"/>
            <w:vAlign w:val="center"/>
          </w:tcPr>
          <w:p w14:paraId="5186D2A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6.632</w:t>
            </w:r>
          </w:p>
        </w:tc>
        <w:tc>
          <w:tcPr>
            <w:tcW w:w="2170" w:type="dxa"/>
            <w:shd w:val="clear" w:color="auto" w:fill="auto"/>
            <w:vAlign w:val="center"/>
          </w:tcPr>
          <w:p w14:paraId="21E2CE9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19.089</w:t>
            </w:r>
          </w:p>
        </w:tc>
        <w:tc>
          <w:tcPr>
            <w:tcW w:w="2170" w:type="dxa"/>
            <w:vAlign w:val="center"/>
          </w:tcPr>
          <w:p w14:paraId="7A56D0CA">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8.603</w:t>
            </w:r>
          </w:p>
        </w:tc>
        <w:tc>
          <w:tcPr>
            <w:tcW w:w="2170" w:type="dxa"/>
            <w:shd w:val="clear" w:color="auto" w:fill="auto"/>
            <w:vAlign w:val="center"/>
          </w:tcPr>
          <w:p w14:paraId="554282A3">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24.764</w:t>
            </w:r>
          </w:p>
        </w:tc>
        <w:tc>
          <w:tcPr>
            <w:tcW w:w="2170" w:type="dxa"/>
            <w:shd w:val="clear" w:color="auto" w:fill="auto"/>
            <w:vAlign w:val="center"/>
          </w:tcPr>
          <w:p w14:paraId="07EF2B41">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22.793</w:t>
            </w:r>
          </w:p>
        </w:tc>
        <w:tc>
          <w:tcPr>
            <w:tcW w:w="2170" w:type="dxa"/>
            <w:shd w:val="clear" w:color="auto" w:fill="auto"/>
            <w:vAlign w:val="center"/>
          </w:tcPr>
          <w:p w14:paraId="77A80661">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65.609</w:t>
            </w:r>
          </w:p>
        </w:tc>
      </w:tr>
      <w:tr w14:paraId="1E0023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7F5F380">
            <w:pPr>
              <w:jc w:val="center"/>
              <w:rPr>
                <w:rFonts w:hint="eastAsia" w:cs="Times New Roman"/>
                <w:color w:val="auto"/>
                <w:lang w:val="en-US" w:eastAsia="zh-CN"/>
              </w:rPr>
            </w:pPr>
            <w:r>
              <w:rPr>
                <w:rFonts w:hint="eastAsia" w:cs="Times New Roman"/>
                <w:color w:val="auto"/>
                <w:lang w:val="en-US" w:eastAsia="zh-CN"/>
              </w:rPr>
              <w:t>9月15日</w:t>
            </w:r>
          </w:p>
        </w:tc>
        <w:tc>
          <w:tcPr>
            <w:tcW w:w="2170" w:type="dxa"/>
            <w:vAlign w:val="center"/>
          </w:tcPr>
          <w:p w14:paraId="75EB0CB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7.297</w:t>
            </w:r>
          </w:p>
        </w:tc>
        <w:tc>
          <w:tcPr>
            <w:tcW w:w="2170" w:type="dxa"/>
            <w:shd w:val="clear" w:color="auto" w:fill="auto"/>
            <w:vAlign w:val="center"/>
          </w:tcPr>
          <w:p w14:paraId="4A807F1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21.065</w:t>
            </w:r>
          </w:p>
        </w:tc>
        <w:tc>
          <w:tcPr>
            <w:tcW w:w="2170" w:type="dxa"/>
            <w:vAlign w:val="center"/>
          </w:tcPr>
          <w:p w14:paraId="6DD304B1">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5.479</w:t>
            </w:r>
          </w:p>
        </w:tc>
        <w:tc>
          <w:tcPr>
            <w:tcW w:w="2170" w:type="dxa"/>
            <w:shd w:val="clear" w:color="auto" w:fill="auto"/>
            <w:vAlign w:val="center"/>
          </w:tcPr>
          <w:p w14:paraId="322777C8">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15.818</w:t>
            </w:r>
          </w:p>
        </w:tc>
        <w:tc>
          <w:tcPr>
            <w:tcW w:w="2170" w:type="dxa"/>
            <w:shd w:val="clear" w:color="auto" w:fill="auto"/>
            <w:vAlign w:val="center"/>
          </w:tcPr>
          <w:p w14:paraId="6FE39522">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23.595</w:t>
            </w:r>
          </w:p>
        </w:tc>
        <w:tc>
          <w:tcPr>
            <w:tcW w:w="2170" w:type="dxa"/>
            <w:shd w:val="clear" w:color="auto" w:fill="auto"/>
            <w:vAlign w:val="center"/>
          </w:tcPr>
          <w:p w14:paraId="350F8A1C">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68.114</w:t>
            </w:r>
          </w:p>
        </w:tc>
      </w:tr>
      <w:tr w14:paraId="04E676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673DCD1">
            <w:pPr>
              <w:jc w:val="center"/>
              <w:rPr>
                <w:rFonts w:hint="eastAsia" w:cs="Times New Roman"/>
                <w:color w:val="auto"/>
                <w:lang w:val="en-US" w:eastAsia="zh-CN"/>
              </w:rPr>
            </w:pPr>
            <w:r>
              <w:rPr>
                <w:rFonts w:hint="eastAsia" w:cs="Times New Roman"/>
                <w:color w:val="auto"/>
                <w:lang w:val="en-US" w:eastAsia="zh-CN"/>
              </w:rPr>
              <w:t>9月16日</w:t>
            </w:r>
          </w:p>
        </w:tc>
        <w:tc>
          <w:tcPr>
            <w:tcW w:w="2170" w:type="dxa"/>
            <w:vAlign w:val="center"/>
          </w:tcPr>
          <w:p w14:paraId="3F3C0ED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6.568</w:t>
            </w:r>
          </w:p>
        </w:tc>
        <w:tc>
          <w:tcPr>
            <w:tcW w:w="2170" w:type="dxa"/>
            <w:shd w:val="clear" w:color="auto" w:fill="auto"/>
            <w:vAlign w:val="center"/>
          </w:tcPr>
          <w:p w14:paraId="5F24D87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19.988</w:t>
            </w:r>
          </w:p>
        </w:tc>
        <w:tc>
          <w:tcPr>
            <w:tcW w:w="2170" w:type="dxa"/>
            <w:vAlign w:val="center"/>
          </w:tcPr>
          <w:p w14:paraId="05D7B986">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8.693</w:t>
            </w:r>
          </w:p>
        </w:tc>
        <w:tc>
          <w:tcPr>
            <w:tcW w:w="2170" w:type="dxa"/>
            <w:shd w:val="clear" w:color="auto" w:fill="auto"/>
            <w:vAlign w:val="center"/>
          </w:tcPr>
          <w:p w14:paraId="338B527C">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26.454</w:t>
            </w:r>
          </w:p>
        </w:tc>
        <w:tc>
          <w:tcPr>
            <w:tcW w:w="2170" w:type="dxa"/>
            <w:shd w:val="clear" w:color="auto" w:fill="auto"/>
            <w:vAlign w:val="center"/>
          </w:tcPr>
          <w:p w14:paraId="47E0FD4B">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17.423</w:t>
            </w:r>
          </w:p>
        </w:tc>
        <w:tc>
          <w:tcPr>
            <w:tcW w:w="2170" w:type="dxa"/>
            <w:shd w:val="clear" w:color="auto" w:fill="auto"/>
            <w:vAlign w:val="center"/>
          </w:tcPr>
          <w:p w14:paraId="4CE14381">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53.021</w:t>
            </w:r>
          </w:p>
        </w:tc>
      </w:tr>
      <w:tr w14:paraId="285099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7A38CE2E">
            <w:pPr>
              <w:jc w:val="center"/>
              <w:rPr>
                <w:rFonts w:hint="eastAsia" w:cs="Times New Roman"/>
                <w:color w:val="auto"/>
                <w:lang w:val="en-US" w:eastAsia="zh-CN"/>
              </w:rPr>
            </w:pPr>
            <w:r>
              <w:rPr>
                <w:rFonts w:hint="eastAsia" w:cs="Times New Roman"/>
                <w:color w:val="auto"/>
                <w:lang w:val="en-US" w:eastAsia="zh-CN"/>
              </w:rPr>
              <w:t>9月17日</w:t>
            </w:r>
          </w:p>
        </w:tc>
        <w:tc>
          <w:tcPr>
            <w:tcW w:w="2170" w:type="dxa"/>
            <w:vAlign w:val="center"/>
          </w:tcPr>
          <w:p w14:paraId="49C70AF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6.331</w:t>
            </w:r>
          </w:p>
        </w:tc>
        <w:tc>
          <w:tcPr>
            <w:tcW w:w="2170" w:type="dxa"/>
            <w:shd w:val="clear" w:color="auto" w:fill="auto"/>
            <w:vAlign w:val="center"/>
          </w:tcPr>
          <w:p w14:paraId="58B7DA4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3.642</w:t>
            </w:r>
          </w:p>
        </w:tc>
        <w:tc>
          <w:tcPr>
            <w:tcW w:w="2170" w:type="dxa"/>
            <w:vAlign w:val="center"/>
          </w:tcPr>
          <w:p w14:paraId="03414DBE">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1.663</w:t>
            </w:r>
          </w:p>
        </w:tc>
        <w:tc>
          <w:tcPr>
            <w:tcW w:w="2170" w:type="dxa"/>
            <w:shd w:val="clear" w:color="auto" w:fill="auto"/>
            <w:vAlign w:val="center"/>
          </w:tcPr>
          <w:p w14:paraId="470F40AB">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0.956</w:t>
            </w:r>
          </w:p>
        </w:tc>
        <w:tc>
          <w:tcPr>
            <w:tcW w:w="2170" w:type="dxa"/>
            <w:shd w:val="clear" w:color="auto" w:fill="auto"/>
            <w:vAlign w:val="center"/>
          </w:tcPr>
          <w:p w14:paraId="3000E0CB">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0.007</w:t>
            </w:r>
          </w:p>
        </w:tc>
        <w:tc>
          <w:tcPr>
            <w:tcW w:w="2170" w:type="dxa"/>
            <w:shd w:val="clear" w:color="auto" w:fill="auto"/>
            <w:vAlign w:val="center"/>
          </w:tcPr>
          <w:p w14:paraId="4AB818AF">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0.004</w:t>
            </w:r>
          </w:p>
        </w:tc>
      </w:tr>
      <w:tr w14:paraId="70EC30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9221749">
            <w:pPr>
              <w:jc w:val="center"/>
              <w:rPr>
                <w:rFonts w:hint="eastAsia" w:cs="Times New Roman"/>
                <w:color w:val="auto"/>
                <w:lang w:val="en-US" w:eastAsia="zh-CN"/>
              </w:rPr>
            </w:pPr>
            <w:r>
              <w:rPr>
                <w:rFonts w:hint="eastAsia" w:cs="Times New Roman"/>
                <w:color w:val="auto"/>
                <w:lang w:val="en-US" w:eastAsia="zh-CN"/>
              </w:rPr>
              <w:t>9月18日</w:t>
            </w:r>
          </w:p>
        </w:tc>
        <w:tc>
          <w:tcPr>
            <w:tcW w:w="2170" w:type="dxa"/>
            <w:vAlign w:val="center"/>
          </w:tcPr>
          <w:p w14:paraId="4458D5D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7.516</w:t>
            </w:r>
          </w:p>
        </w:tc>
        <w:tc>
          <w:tcPr>
            <w:tcW w:w="2170" w:type="dxa"/>
            <w:shd w:val="clear" w:color="auto" w:fill="auto"/>
            <w:vAlign w:val="center"/>
          </w:tcPr>
          <w:p w14:paraId="13E4D5E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7.041</w:t>
            </w:r>
          </w:p>
        </w:tc>
        <w:tc>
          <w:tcPr>
            <w:tcW w:w="2170" w:type="dxa"/>
            <w:vAlign w:val="center"/>
          </w:tcPr>
          <w:p w14:paraId="7D37BD38">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2.339</w:t>
            </w:r>
          </w:p>
        </w:tc>
        <w:tc>
          <w:tcPr>
            <w:tcW w:w="2170" w:type="dxa"/>
            <w:shd w:val="clear" w:color="auto" w:fill="auto"/>
            <w:vAlign w:val="center"/>
          </w:tcPr>
          <w:p w14:paraId="7D27AEAA">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2.191</w:t>
            </w:r>
          </w:p>
        </w:tc>
        <w:tc>
          <w:tcPr>
            <w:tcW w:w="2170" w:type="dxa"/>
            <w:shd w:val="clear" w:color="auto" w:fill="auto"/>
            <w:vAlign w:val="center"/>
          </w:tcPr>
          <w:p w14:paraId="6A6ADB6D">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6.729</w:t>
            </w:r>
          </w:p>
        </w:tc>
        <w:tc>
          <w:tcPr>
            <w:tcW w:w="2170" w:type="dxa"/>
            <w:shd w:val="clear" w:color="auto" w:fill="auto"/>
            <w:vAlign w:val="center"/>
          </w:tcPr>
          <w:p w14:paraId="73DAC448">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6.304</w:t>
            </w:r>
          </w:p>
        </w:tc>
      </w:tr>
      <w:tr w14:paraId="7A8A83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6669731A">
            <w:pPr>
              <w:jc w:val="center"/>
              <w:rPr>
                <w:rFonts w:hint="eastAsia" w:cs="Times New Roman"/>
                <w:color w:val="auto"/>
                <w:lang w:val="en-US" w:eastAsia="zh-CN"/>
              </w:rPr>
            </w:pPr>
            <w:r>
              <w:rPr>
                <w:rFonts w:hint="eastAsia" w:cs="Times New Roman"/>
                <w:color w:val="auto"/>
                <w:lang w:val="en-US" w:eastAsia="zh-CN"/>
              </w:rPr>
              <w:t>9月19日</w:t>
            </w:r>
          </w:p>
        </w:tc>
        <w:tc>
          <w:tcPr>
            <w:tcW w:w="2170" w:type="dxa"/>
            <w:vAlign w:val="center"/>
          </w:tcPr>
          <w:p w14:paraId="0B68E37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6.681</w:t>
            </w:r>
          </w:p>
        </w:tc>
        <w:tc>
          <w:tcPr>
            <w:tcW w:w="2170" w:type="dxa"/>
            <w:shd w:val="clear" w:color="auto" w:fill="auto"/>
            <w:vAlign w:val="center"/>
          </w:tcPr>
          <w:p w14:paraId="77F09A5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18.035</w:t>
            </w:r>
          </w:p>
        </w:tc>
        <w:tc>
          <w:tcPr>
            <w:tcW w:w="2170" w:type="dxa"/>
            <w:vAlign w:val="center"/>
          </w:tcPr>
          <w:p w14:paraId="01DFDBC5">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4.871</w:t>
            </w:r>
          </w:p>
        </w:tc>
        <w:tc>
          <w:tcPr>
            <w:tcW w:w="2170" w:type="dxa"/>
            <w:shd w:val="clear" w:color="auto" w:fill="auto"/>
            <w:vAlign w:val="center"/>
          </w:tcPr>
          <w:p w14:paraId="01032B98">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13.147</w:t>
            </w:r>
          </w:p>
        </w:tc>
        <w:tc>
          <w:tcPr>
            <w:tcW w:w="2170" w:type="dxa"/>
            <w:shd w:val="clear" w:color="auto" w:fill="auto"/>
            <w:vAlign w:val="center"/>
          </w:tcPr>
          <w:p w14:paraId="12442EAE">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14.322</w:t>
            </w:r>
          </w:p>
        </w:tc>
        <w:tc>
          <w:tcPr>
            <w:tcW w:w="2170" w:type="dxa"/>
            <w:shd w:val="clear" w:color="auto" w:fill="auto"/>
            <w:vAlign w:val="center"/>
          </w:tcPr>
          <w:p w14:paraId="2C3C95ED">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38.658</w:t>
            </w:r>
          </w:p>
        </w:tc>
      </w:tr>
      <w:tr w14:paraId="46A80B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5098CAF4">
            <w:pPr>
              <w:jc w:val="center"/>
              <w:rPr>
                <w:rFonts w:hint="eastAsia" w:cs="Times New Roman"/>
                <w:color w:val="auto"/>
                <w:lang w:val="en-US" w:eastAsia="zh-CN"/>
              </w:rPr>
            </w:pPr>
            <w:r>
              <w:rPr>
                <w:rFonts w:hint="eastAsia" w:cs="Times New Roman"/>
                <w:color w:val="auto"/>
                <w:lang w:val="en-US" w:eastAsia="zh-CN"/>
              </w:rPr>
              <w:t>9月20日</w:t>
            </w:r>
          </w:p>
        </w:tc>
        <w:tc>
          <w:tcPr>
            <w:tcW w:w="2170" w:type="dxa"/>
            <w:vAlign w:val="center"/>
          </w:tcPr>
          <w:p w14:paraId="22B7A73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6.437</w:t>
            </w:r>
          </w:p>
        </w:tc>
        <w:tc>
          <w:tcPr>
            <w:tcW w:w="2170" w:type="dxa"/>
            <w:shd w:val="clear" w:color="auto" w:fill="auto"/>
            <w:vAlign w:val="center"/>
          </w:tcPr>
          <w:p w14:paraId="6F28BED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16.447</w:t>
            </w:r>
          </w:p>
        </w:tc>
        <w:tc>
          <w:tcPr>
            <w:tcW w:w="2170" w:type="dxa"/>
            <w:vAlign w:val="center"/>
          </w:tcPr>
          <w:p w14:paraId="4F512DB7">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7.169</w:t>
            </w:r>
          </w:p>
        </w:tc>
        <w:tc>
          <w:tcPr>
            <w:tcW w:w="2170" w:type="dxa"/>
            <w:shd w:val="clear" w:color="auto" w:fill="auto"/>
            <w:vAlign w:val="center"/>
          </w:tcPr>
          <w:p w14:paraId="1F0EF9F9">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18.316</w:t>
            </w:r>
          </w:p>
        </w:tc>
        <w:tc>
          <w:tcPr>
            <w:tcW w:w="2170" w:type="dxa"/>
            <w:shd w:val="clear" w:color="auto" w:fill="auto"/>
            <w:vAlign w:val="center"/>
          </w:tcPr>
          <w:p w14:paraId="1C0FBCD2">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19.408</w:t>
            </w:r>
          </w:p>
        </w:tc>
        <w:tc>
          <w:tcPr>
            <w:tcW w:w="2170" w:type="dxa"/>
            <w:shd w:val="clear" w:color="auto" w:fill="auto"/>
            <w:vAlign w:val="center"/>
          </w:tcPr>
          <w:p w14:paraId="16D9C2ED">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49.586</w:t>
            </w:r>
          </w:p>
        </w:tc>
      </w:tr>
      <w:tr w14:paraId="137C53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B00E151">
            <w:pPr>
              <w:jc w:val="center"/>
              <w:rPr>
                <w:rFonts w:hint="eastAsia" w:cs="Times New Roman"/>
                <w:color w:val="auto"/>
                <w:lang w:val="en-US" w:eastAsia="zh-CN"/>
              </w:rPr>
            </w:pPr>
            <w:r>
              <w:rPr>
                <w:rFonts w:hint="eastAsia" w:cs="Times New Roman"/>
                <w:color w:val="auto"/>
                <w:lang w:val="en-US" w:eastAsia="zh-CN"/>
              </w:rPr>
              <w:t>9月21日</w:t>
            </w:r>
          </w:p>
        </w:tc>
        <w:tc>
          <w:tcPr>
            <w:tcW w:w="2170" w:type="dxa"/>
            <w:vAlign w:val="center"/>
          </w:tcPr>
          <w:p w14:paraId="793632B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6.386</w:t>
            </w:r>
          </w:p>
        </w:tc>
        <w:tc>
          <w:tcPr>
            <w:tcW w:w="2170" w:type="dxa"/>
            <w:shd w:val="clear" w:color="auto" w:fill="auto"/>
            <w:vAlign w:val="center"/>
          </w:tcPr>
          <w:p w14:paraId="5A2C697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5.082</w:t>
            </w:r>
          </w:p>
        </w:tc>
        <w:tc>
          <w:tcPr>
            <w:tcW w:w="2170" w:type="dxa"/>
            <w:vAlign w:val="center"/>
          </w:tcPr>
          <w:p w14:paraId="5C3669E2">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0.406</w:t>
            </w:r>
          </w:p>
        </w:tc>
        <w:tc>
          <w:tcPr>
            <w:tcW w:w="2170" w:type="dxa"/>
            <w:shd w:val="clear" w:color="auto" w:fill="auto"/>
            <w:vAlign w:val="center"/>
          </w:tcPr>
          <w:p w14:paraId="6B0D1359">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0.323</w:t>
            </w:r>
          </w:p>
        </w:tc>
        <w:tc>
          <w:tcPr>
            <w:tcW w:w="2170" w:type="dxa"/>
            <w:shd w:val="clear" w:color="auto" w:fill="auto"/>
            <w:vAlign w:val="center"/>
          </w:tcPr>
          <w:p w14:paraId="455979BA">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21.723</w:t>
            </w:r>
          </w:p>
        </w:tc>
        <w:tc>
          <w:tcPr>
            <w:tcW w:w="2170" w:type="dxa"/>
            <w:shd w:val="clear" w:color="auto" w:fill="auto"/>
            <w:vAlign w:val="center"/>
          </w:tcPr>
          <w:p w14:paraId="3485E707">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17.288</w:t>
            </w:r>
          </w:p>
        </w:tc>
      </w:tr>
      <w:tr w14:paraId="0BF6E2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7F0F389A">
            <w:pPr>
              <w:jc w:val="center"/>
              <w:rPr>
                <w:rFonts w:hint="eastAsia" w:cs="Times New Roman"/>
                <w:color w:val="auto"/>
                <w:lang w:val="en-US" w:eastAsia="zh-CN"/>
              </w:rPr>
            </w:pPr>
            <w:r>
              <w:rPr>
                <w:rFonts w:hint="eastAsia" w:cs="Times New Roman"/>
                <w:color w:val="auto"/>
                <w:lang w:val="en-US" w:eastAsia="zh-CN"/>
              </w:rPr>
              <w:t>9月22日</w:t>
            </w:r>
          </w:p>
        </w:tc>
        <w:tc>
          <w:tcPr>
            <w:tcW w:w="2170" w:type="dxa"/>
            <w:vAlign w:val="center"/>
          </w:tcPr>
          <w:p w14:paraId="08B0861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6.614</w:t>
            </w:r>
          </w:p>
        </w:tc>
        <w:tc>
          <w:tcPr>
            <w:tcW w:w="2170" w:type="dxa"/>
            <w:shd w:val="clear" w:color="auto" w:fill="auto"/>
            <w:vAlign w:val="center"/>
          </w:tcPr>
          <w:p w14:paraId="384370C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18.242</w:t>
            </w:r>
          </w:p>
        </w:tc>
        <w:tc>
          <w:tcPr>
            <w:tcW w:w="2170" w:type="dxa"/>
            <w:vAlign w:val="center"/>
          </w:tcPr>
          <w:p w14:paraId="0E84ECF5">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7.449</w:t>
            </w:r>
          </w:p>
        </w:tc>
        <w:tc>
          <w:tcPr>
            <w:tcW w:w="2170" w:type="dxa"/>
            <w:shd w:val="clear" w:color="auto" w:fill="auto"/>
            <w:vAlign w:val="center"/>
          </w:tcPr>
          <w:p w14:paraId="6CE73C65">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20.546</w:t>
            </w:r>
          </w:p>
        </w:tc>
        <w:tc>
          <w:tcPr>
            <w:tcW w:w="2170" w:type="dxa"/>
            <w:shd w:val="clear" w:color="auto" w:fill="auto"/>
            <w:vAlign w:val="center"/>
          </w:tcPr>
          <w:p w14:paraId="1CC86F46">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31.016</w:t>
            </w:r>
          </w:p>
        </w:tc>
        <w:tc>
          <w:tcPr>
            <w:tcW w:w="2170" w:type="dxa"/>
            <w:shd w:val="clear" w:color="auto" w:fill="auto"/>
            <w:vAlign w:val="center"/>
          </w:tcPr>
          <w:p w14:paraId="38ACEE26">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85.551</w:t>
            </w:r>
          </w:p>
        </w:tc>
      </w:tr>
      <w:tr w14:paraId="25B1DF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7B71842">
            <w:pPr>
              <w:jc w:val="center"/>
              <w:rPr>
                <w:rFonts w:hint="eastAsia" w:cs="Times New Roman"/>
                <w:color w:val="auto"/>
                <w:lang w:val="en-US" w:eastAsia="zh-CN"/>
              </w:rPr>
            </w:pPr>
            <w:r>
              <w:rPr>
                <w:rFonts w:hint="eastAsia" w:cs="Times New Roman"/>
                <w:color w:val="auto"/>
                <w:lang w:val="en-US" w:eastAsia="zh-CN"/>
              </w:rPr>
              <w:t>9月23日</w:t>
            </w:r>
          </w:p>
        </w:tc>
        <w:tc>
          <w:tcPr>
            <w:tcW w:w="2170" w:type="dxa"/>
            <w:vAlign w:val="center"/>
          </w:tcPr>
          <w:p w14:paraId="74146D0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6.521</w:t>
            </w:r>
          </w:p>
        </w:tc>
        <w:tc>
          <w:tcPr>
            <w:tcW w:w="2170" w:type="dxa"/>
            <w:shd w:val="clear" w:color="auto" w:fill="auto"/>
            <w:vAlign w:val="center"/>
          </w:tcPr>
          <w:p w14:paraId="68F106D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19.159</w:t>
            </w:r>
          </w:p>
        </w:tc>
        <w:tc>
          <w:tcPr>
            <w:tcW w:w="2170" w:type="dxa"/>
            <w:vAlign w:val="center"/>
          </w:tcPr>
          <w:p w14:paraId="24AFF1EC">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8.199</w:t>
            </w:r>
          </w:p>
        </w:tc>
        <w:tc>
          <w:tcPr>
            <w:tcW w:w="2170" w:type="dxa"/>
            <w:shd w:val="clear" w:color="auto" w:fill="auto"/>
            <w:vAlign w:val="center"/>
          </w:tcPr>
          <w:p w14:paraId="0BAAC30B">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24.087</w:t>
            </w:r>
          </w:p>
        </w:tc>
        <w:tc>
          <w:tcPr>
            <w:tcW w:w="2170" w:type="dxa"/>
            <w:shd w:val="clear" w:color="auto" w:fill="auto"/>
            <w:vAlign w:val="center"/>
          </w:tcPr>
          <w:p w14:paraId="19BE6DB6">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22.12</w:t>
            </w:r>
          </w:p>
        </w:tc>
        <w:tc>
          <w:tcPr>
            <w:tcW w:w="2170" w:type="dxa"/>
            <w:shd w:val="clear" w:color="auto" w:fill="auto"/>
            <w:vAlign w:val="center"/>
          </w:tcPr>
          <w:p w14:paraId="19E3165E">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64.989</w:t>
            </w:r>
          </w:p>
        </w:tc>
      </w:tr>
      <w:tr w14:paraId="1AEA33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66C4993D">
            <w:pPr>
              <w:jc w:val="center"/>
              <w:rPr>
                <w:rFonts w:hint="eastAsia" w:cs="Times New Roman"/>
                <w:color w:val="auto"/>
                <w:lang w:val="en-US" w:eastAsia="zh-CN"/>
              </w:rPr>
            </w:pPr>
            <w:r>
              <w:rPr>
                <w:rFonts w:hint="eastAsia" w:cs="Times New Roman"/>
                <w:color w:val="auto"/>
                <w:lang w:val="en-US" w:eastAsia="zh-CN"/>
              </w:rPr>
              <w:t>9月24日</w:t>
            </w:r>
          </w:p>
        </w:tc>
        <w:tc>
          <w:tcPr>
            <w:tcW w:w="2170" w:type="dxa"/>
            <w:vAlign w:val="center"/>
          </w:tcPr>
          <w:p w14:paraId="36C8EC9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6.206</w:t>
            </w:r>
          </w:p>
        </w:tc>
        <w:tc>
          <w:tcPr>
            <w:tcW w:w="2170" w:type="dxa"/>
            <w:shd w:val="clear" w:color="auto" w:fill="auto"/>
            <w:vAlign w:val="center"/>
          </w:tcPr>
          <w:p w14:paraId="16AC021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17.664</w:t>
            </w:r>
          </w:p>
        </w:tc>
        <w:tc>
          <w:tcPr>
            <w:tcW w:w="2170" w:type="dxa"/>
            <w:vAlign w:val="center"/>
          </w:tcPr>
          <w:p w14:paraId="45DD8906">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7.328</w:t>
            </w:r>
          </w:p>
        </w:tc>
        <w:tc>
          <w:tcPr>
            <w:tcW w:w="2170" w:type="dxa"/>
            <w:shd w:val="clear" w:color="auto" w:fill="auto"/>
            <w:vAlign w:val="center"/>
          </w:tcPr>
          <w:p w14:paraId="338F061D">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20.859</w:t>
            </w:r>
          </w:p>
        </w:tc>
        <w:tc>
          <w:tcPr>
            <w:tcW w:w="2170" w:type="dxa"/>
            <w:shd w:val="clear" w:color="auto" w:fill="auto"/>
            <w:vAlign w:val="center"/>
          </w:tcPr>
          <w:p w14:paraId="3483F263">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31.644</w:t>
            </w:r>
          </w:p>
        </w:tc>
        <w:tc>
          <w:tcPr>
            <w:tcW w:w="2170" w:type="dxa"/>
            <w:shd w:val="clear" w:color="auto" w:fill="auto"/>
            <w:vAlign w:val="center"/>
          </w:tcPr>
          <w:p w14:paraId="46D6747A">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90.069</w:t>
            </w:r>
          </w:p>
        </w:tc>
      </w:tr>
      <w:tr w14:paraId="67ACDA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C31C8B5">
            <w:pPr>
              <w:jc w:val="center"/>
              <w:rPr>
                <w:rFonts w:hint="eastAsia" w:cs="Times New Roman"/>
                <w:color w:val="auto"/>
                <w:lang w:val="en-US" w:eastAsia="zh-CN"/>
              </w:rPr>
            </w:pPr>
            <w:r>
              <w:rPr>
                <w:rFonts w:hint="eastAsia" w:cs="Times New Roman"/>
                <w:color w:val="auto"/>
                <w:lang w:val="en-US" w:eastAsia="zh-CN"/>
              </w:rPr>
              <w:t>9月25日</w:t>
            </w:r>
          </w:p>
        </w:tc>
        <w:tc>
          <w:tcPr>
            <w:tcW w:w="2170" w:type="dxa"/>
            <w:vAlign w:val="center"/>
          </w:tcPr>
          <w:p w14:paraId="7F5A504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5.911</w:t>
            </w:r>
          </w:p>
        </w:tc>
        <w:tc>
          <w:tcPr>
            <w:tcW w:w="2170" w:type="dxa"/>
            <w:shd w:val="clear" w:color="auto" w:fill="auto"/>
            <w:vAlign w:val="center"/>
          </w:tcPr>
          <w:p w14:paraId="47C6059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18.407</w:t>
            </w:r>
          </w:p>
        </w:tc>
        <w:tc>
          <w:tcPr>
            <w:tcW w:w="2170" w:type="dxa"/>
            <w:vAlign w:val="center"/>
          </w:tcPr>
          <w:p w14:paraId="65E56CA0">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6.841</w:t>
            </w:r>
          </w:p>
        </w:tc>
        <w:tc>
          <w:tcPr>
            <w:tcW w:w="2170" w:type="dxa"/>
            <w:shd w:val="clear" w:color="auto" w:fill="auto"/>
            <w:vAlign w:val="center"/>
          </w:tcPr>
          <w:p w14:paraId="4A0ADCF4">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21.304</w:t>
            </w:r>
          </w:p>
        </w:tc>
        <w:tc>
          <w:tcPr>
            <w:tcW w:w="2170" w:type="dxa"/>
            <w:shd w:val="clear" w:color="auto" w:fill="auto"/>
            <w:vAlign w:val="center"/>
          </w:tcPr>
          <w:p w14:paraId="5C0E3EDD">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29.927</w:t>
            </w:r>
          </w:p>
        </w:tc>
        <w:tc>
          <w:tcPr>
            <w:tcW w:w="2170" w:type="dxa"/>
            <w:shd w:val="clear" w:color="auto" w:fill="auto"/>
            <w:vAlign w:val="center"/>
          </w:tcPr>
          <w:p w14:paraId="748AFB8C">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93.195</w:t>
            </w:r>
          </w:p>
        </w:tc>
      </w:tr>
      <w:tr w14:paraId="30758B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18E85DEC">
            <w:pPr>
              <w:jc w:val="center"/>
              <w:rPr>
                <w:rFonts w:hint="eastAsia" w:cs="Times New Roman"/>
                <w:color w:val="auto"/>
                <w:lang w:val="en-US" w:eastAsia="zh-CN"/>
              </w:rPr>
            </w:pPr>
            <w:r>
              <w:rPr>
                <w:rFonts w:hint="eastAsia" w:cs="Times New Roman"/>
                <w:color w:val="auto"/>
                <w:lang w:val="en-US" w:eastAsia="zh-CN"/>
              </w:rPr>
              <w:t>9月26日</w:t>
            </w:r>
          </w:p>
        </w:tc>
        <w:tc>
          <w:tcPr>
            <w:tcW w:w="2170" w:type="dxa"/>
            <w:vAlign w:val="center"/>
          </w:tcPr>
          <w:p w14:paraId="1984510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5.989</w:t>
            </w:r>
          </w:p>
        </w:tc>
        <w:tc>
          <w:tcPr>
            <w:tcW w:w="2170" w:type="dxa"/>
            <w:shd w:val="clear" w:color="auto" w:fill="auto"/>
            <w:vAlign w:val="center"/>
          </w:tcPr>
          <w:p w14:paraId="0DF5159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18.364</w:t>
            </w:r>
          </w:p>
        </w:tc>
        <w:tc>
          <w:tcPr>
            <w:tcW w:w="2170" w:type="dxa"/>
            <w:vAlign w:val="center"/>
          </w:tcPr>
          <w:p w14:paraId="0DEBC003">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13.796</w:t>
            </w:r>
          </w:p>
        </w:tc>
        <w:tc>
          <w:tcPr>
            <w:tcW w:w="2170" w:type="dxa"/>
            <w:shd w:val="clear" w:color="auto" w:fill="auto"/>
            <w:vAlign w:val="center"/>
          </w:tcPr>
          <w:p w14:paraId="162EC40D">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42.302</w:t>
            </w:r>
          </w:p>
        </w:tc>
        <w:tc>
          <w:tcPr>
            <w:tcW w:w="2170" w:type="dxa"/>
            <w:shd w:val="clear" w:color="auto" w:fill="auto"/>
            <w:vAlign w:val="center"/>
          </w:tcPr>
          <w:p w14:paraId="066407B6">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25.869</w:t>
            </w:r>
          </w:p>
        </w:tc>
        <w:tc>
          <w:tcPr>
            <w:tcW w:w="2170" w:type="dxa"/>
            <w:shd w:val="clear" w:color="auto" w:fill="auto"/>
            <w:vAlign w:val="center"/>
          </w:tcPr>
          <w:p w14:paraId="4E24C648">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79.318</w:t>
            </w:r>
          </w:p>
        </w:tc>
      </w:tr>
      <w:tr w14:paraId="73C148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08A9B5ED">
            <w:pPr>
              <w:jc w:val="center"/>
              <w:rPr>
                <w:rFonts w:hint="eastAsia" w:cs="Times New Roman"/>
                <w:color w:val="auto"/>
                <w:lang w:val="en-US" w:eastAsia="zh-CN"/>
              </w:rPr>
            </w:pPr>
            <w:r>
              <w:rPr>
                <w:rFonts w:hint="eastAsia" w:cs="Times New Roman"/>
                <w:color w:val="auto"/>
                <w:lang w:val="en-US" w:eastAsia="zh-CN"/>
              </w:rPr>
              <w:t>9月27日</w:t>
            </w:r>
          </w:p>
        </w:tc>
        <w:tc>
          <w:tcPr>
            <w:tcW w:w="2170" w:type="dxa"/>
            <w:vAlign w:val="center"/>
          </w:tcPr>
          <w:p w14:paraId="787F887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6.294</w:t>
            </w:r>
          </w:p>
        </w:tc>
        <w:tc>
          <w:tcPr>
            <w:tcW w:w="2170" w:type="dxa"/>
            <w:shd w:val="clear" w:color="auto" w:fill="auto"/>
            <w:vAlign w:val="center"/>
          </w:tcPr>
          <w:p w14:paraId="3A99DD5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19.303</w:t>
            </w:r>
          </w:p>
        </w:tc>
        <w:tc>
          <w:tcPr>
            <w:tcW w:w="2170" w:type="dxa"/>
            <w:vAlign w:val="center"/>
          </w:tcPr>
          <w:p w14:paraId="56898DB3">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10.563</w:t>
            </w:r>
          </w:p>
        </w:tc>
        <w:tc>
          <w:tcPr>
            <w:tcW w:w="2170" w:type="dxa"/>
            <w:shd w:val="clear" w:color="auto" w:fill="auto"/>
            <w:vAlign w:val="center"/>
          </w:tcPr>
          <w:p w14:paraId="7C878670">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32.396</w:t>
            </w:r>
          </w:p>
        </w:tc>
        <w:tc>
          <w:tcPr>
            <w:tcW w:w="2170" w:type="dxa"/>
            <w:shd w:val="clear" w:color="auto" w:fill="auto"/>
            <w:vAlign w:val="center"/>
          </w:tcPr>
          <w:p w14:paraId="16B311DE">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22.803</w:t>
            </w:r>
          </w:p>
        </w:tc>
        <w:tc>
          <w:tcPr>
            <w:tcW w:w="2170" w:type="dxa"/>
            <w:shd w:val="clear" w:color="auto" w:fill="auto"/>
            <w:vAlign w:val="center"/>
          </w:tcPr>
          <w:p w14:paraId="178BC4BC">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69.935</w:t>
            </w:r>
          </w:p>
        </w:tc>
      </w:tr>
      <w:tr w14:paraId="7145BF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20F62CAD">
            <w:pPr>
              <w:jc w:val="center"/>
              <w:rPr>
                <w:rFonts w:hint="eastAsia" w:cs="Times New Roman"/>
                <w:color w:val="auto"/>
                <w:lang w:val="en-US" w:eastAsia="zh-CN"/>
              </w:rPr>
            </w:pPr>
            <w:r>
              <w:rPr>
                <w:rFonts w:hint="eastAsia" w:cs="Times New Roman"/>
                <w:color w:val="auto"/>
                <w:lang w:val="en-US" w:eastAsia="zh-CN"/>
              </w:rPr>
              <w:t>9月28日</w:t>
            </w:r>
          </w:p>
        </w:tc>
        <w:tc>
          <w:tcPr>
            <w:tcW w:w="2170" w:type="dxa"/>
            <w:vAlign w:val="center"/>
          </w:tcPr>
          <w:p w14:paraId="7CCA756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6.183</w:t>
            </w:r>
          </w:p>
        </w:tc>
        <w:tc>
          <w:tcPr>
            <w:tcW w:w="2170" w:type="dxa"/>
            <w:shd w:val="clear" w:color="auto" w:fill="auto"/>
            <w:vAlign w:val="center"/>
          </w:tcPr>
          <w:p w14:paraId="3605449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17.359</w:t>
            </w:r>
          </w:p>
        </w:tc>
        <w:tc>
          <w:tcPr>
            <w:tcW w:w="2170" w:type="dxa"/>
            <w:vAlign w:val="center"/>
          </w:tcPr>
          <w:p w14:paraId="1E652D96">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19.862</w:t>
            </w:r>
          </w:p>
        </w:tc>
        <w:tc>
          <w:tcPr>
            <w:tcW w:w="2170" w:type="dxa"/>
            <w:shd w:val="clear" w:color="auto" w:fill="auto"/>
            <w:vAlign w:val="center"/>
          </w:tcPr>
          <w:p w14:paraId="18031025">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55.768</w:t>
            </w:r>
          </w:p>
        </w:tc>
        <w:tc>
          <w:tcPr>
            <w:tcW w:w="2170" w:type="dxa"/>
            <w:shd w:val="clear" w:color="auto" w:fill="auto"/>
            <w:vAlign w:val="center"/>
          </w:tcPr>
          <w:p w14:paraId="6E387287">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30.197</w:t>
            </w:r>
          </w:p>
        </w:tc>
        <w:tc>
          <w:tcPr>
            <w:tcW w:w="2170" w:type="dxa"/>
            <w:shd w:val="clear" w:color="auto" w:fill="auto"/>
            <w:vAlign w:val="center"/>
          </w:tcPr>
          <w:p w14:paraId="45E29476">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84.785</w:t>
            </w:r>
          </w:p>
        </w:tc>
      </w:tr>
      <w:tr w14:paraId="752CDD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137A679D">
            <w:pPr>
              <w:jc w:val="center"/>
              <w:rPr>
                <w:rFonts w:hint="eastAsia" w:cs="Times New Roman"/>
                <w:color w:val="auto"/>
                <w:lang w:val="en-US" w:eastAsia="zh-CN"/>
              </w:rPr>
            </w:pPr>
            <w:r>
              <w:rPr>
                <w:rFonts w:hint="eastAsia" w:cs="Times New Roman"/>
                <w:color w:val="auto"/>
                <w:lang w:val="en-US" w:eastAsia="zh-CN"/>
              </w:rPr>
              <w:t>9月29日</w:t>
            </w:r>
          </w:p>
        </w:tc>
        <w:tc>
          <w:tcPr>
            <w:tcW w:w="2170" w:type="dxa"/>
            <w:vAlign w:val="center"/>
          </w:tcPr>
          <w:p w14:paraId="2C8B33F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6.099</w:t>
            </w:r>
          </w:p>
        </w:tc>
        <w:tc>
          <w:tcPr>
            <w:tcW w:w="2170" w:type="dxa"/>
            <w:shd w:val="clear" w:color="auto" w:fill="auto"/>
            <w:vAlign w:val="center"/>
          </w:tcPr>
          <w:p w14:paraId="358CBB6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16.332</w:t>
            </w:r>
          </w:p>
        </w:tc>
        <w:tc>
          <w:tcPr>
            <w:tcW w:w="2170" w:type="dxa"/>
            <w:vAlign w:val="center"/>
          </w:tcPr>
          <w:p w14:paraId="117ADD1E">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10.585</w:t>
            </w:r>
          </w:p>
        </w:tc>
        <w:tc>
          <w:tcPr>
            <w:tcW w:w="2170" w:type="dxa"/>
            <w:shd w:val="clear" w:color="auto" w:fill="auto"/>
            <w:vAlign w:val="center"/>
          </w:tcPr>
          <w:p w14:paraId="0629FAF0">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28.344</w:t>
            </w:r>
          </w:p>
        </w:tc>
        <w:tc>
          <w:tcPr>
            <w:tcW w:w="2170" w:type="dxa"/>
            <w:shd w:val="clear" w:color="auto" w:fill="auto"/>
            <w:vAlign w:val="center"/>
          </w:tcPr>
          <w:p w14:paraId="1C44179C">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16.44</w:t>
            </w:r>
          </w:p>
        </w:tc>
        <w:tc>
          <w:tcPr>
            <w:tcW w:w="2170" w:type="dxa"/>
            <w:shd w:val="clear" w:color="auto" w:fill="auto"/>
            <w:vAlign w:val="center"/>
          </w:tcPr>
          <w:p w14:paraId="73F88B64">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44.02</w:t>
            </w:r>
          </w:p>
        </w:tc>
      </w:tr>
      <w:tr w14:paraId="6E6806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2D2B8D20">
            <w:pPr>
              <w:jc w:val="center"/>
              <w:rPr>
                <w:rFonts w:hint="eastAsia" w:cs="Times New Roman"/>
                <w:color w:val="auto"/>
                <w:lang w:val="en-US" w:eastAsia="zh-CN"/>
              </w:rPr>
            </w:pPr>
            <w:r>
              <w:rPr>
                <w:rFonts w:hint="eastAsia" w:cs="Times New Roman"/>
                <w:color w:val="auto"/>
                <w:lang w:val="en-US" w:eastAsia="zh-CN"/>
              </w:rPr>
              <w:t>9月30日</w:t>
            </w:r>
          </w:p>
        </w:tc>
        <w:tc>
          <w:tcPr>
            <w:tcW w:w="2170" w:type="dxa"/>
            <w:vAlign w:val="center"/>
          </w:tcPr>
          <w:p w14:paraId="477FBD2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7.493</w:t>
            </w:r>
          </w:p>
        </w:tc>
        <w:tc>
          <w:tcPr>
            <w:tcW w:w="2170" w:type="dxa"/>
            <w:shd w:val="clear" w:color="auto" w:fill="auto"/>
            <w:vAlign w:val="center"/>
          </w:tcPr>
          <w:p w14:paraId="2ECAE82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21.397</w:t>
            </w:r>
          </w:p>
        </w:tc>
        <w:tc>
          <w:tcPr>
            <w:tcW w:w="2170" w:type="dxa"/>
            <w:vAlign w:val="center"/>
          </w:tcPr>
          <w:p w14:paraId="758C7412">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6.474</w:t>
            </w:r>
          </w:p>
        </w:tc>
        <w:tc>
          <w:tcPr>
            <w:tcW w:w="2170" w:type="dxa"/>
            <w:shd w:val="clear" w:color="auto" w:fill="auto"/>
            <w:vAlign w:val="center"/>
          </w:tcPr>
          <w:p w14:paraId="26FFE7D4">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18.485</w:t>
            </w:r>
          </w:p>
        </w:tc>
        <w:tc>
          <w:tcPr>
            <w:tcW w:w="2170" w:type="dxa"/>
            <w:shd w:val="clear" w:color="auto" w:fill="auto"/>
            <w:vAlign w:val="center"/>
          </w:tcPr>
          <w:p w14:paraId="2BB3E8F7">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default" w:ascii="Times New Roman" w:hAnsi="Times New Roman" w:eastAsia="Arial Unicode MS" w:cs="Times New Roman"/>
                <w:i w:val="0"/>
                <w:iCs w:val="0"/>
                <w:color w:val="auto"/>
                <w:kern w:val="0"/>
                <w:sz w:val="21"/>
                <w:szCs w:val="21"/>
                <w:u w:val="none"/>
                <w:lang w:val="en-US" w:eastAsia="zh-CN" w:bidi="ar"/>
              </w:rPr>
              <w:t>11.747</w:t>
            </w:r>
          </w:p>
        </w:tc>
        <w:tc>
          <w:tcPr>
            <w:tcW w:w="2170" w:type="dxa"/>
            <w:shd w:val="clear" w:color="auto" w:fill="auto"/>
            <w:vAlign w:val="center"/>
          </w:tcPr>
          <w:p w14:paraId="01E29909">
            <w:pPr>
              <w:keepNext w:val="0"/>
              <w:keepLines w:val="0"/>
              <w:widowControl/>
              <w:suppressLineNumbers w:val="0"/>
              <w:jc w:val="center"/>
              <w:textAlignment w:val="center"/>
              <w:rPr>
                <w:rFonts w:hint="default" w:ascii="Times New Roman" w:hAnsi="Times New Roman" w:cs="Times New Roman"/>
                <w:color w:val="auto"/>
                <w:kern w:val="0"/>
                <w:sz w:val="21"/>
                <w:szCs w:val="21"/>
              </w:rPr>
            </w:pPr>
            <w:r>
              <w:rPr>
                <w:rFonts w:hint="default" w:ascii="Times New Roman" w:hAnsi="Times New Roman" w:eastAsia="Arial Unicode MS" w:cs="Times New Roman"/>
                <w:i w:val="0"/>
                <w:iCs w:val="0"/>
                <w:color w:val="auto"/>
                <w:kern w:val="0"/>
                <w:sz w:val="21"/>
                <w:szCs w:val="21"/>
                <w:u w:val="none"/>
                <w:lang w:val="en-US" w:eastAsia="zh-CN" w:bidi="ar"/>
              </w:rPr>
              <w:t>33.544</w:t>
            </w:r>
          </w:p>
        </w:tc>
      </w:tr>
      <w:tr w14:paraId="260CC2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32F0EBAD">
            <w:pPr>
              <w:jc w:val="center"/>
              <w:rPr>
                <w:rFonts w:hint="default" w:cs="Times New Roman"/>
                <w:color w:val="auto"/>
                <w:lang w:val="en-US" w:eastAsia="zh-CN"/>
              </w:rPr>
            </w:pPr>
            <w:r>
              <w:rPr>
                <w:rFonts w:hint="eastAsia" w:cs="Times New Roman"/>
                <w:color w:val="auto"/>
                <w:lang w:val="en-US" w:eastAsia="zh-CN"/>
              </w:rPr>
              <w:t>平均值</w:t>
            </w:r>
          </w:p>
        </w:tc>
        <w:tc>
          <w:tcPr>
            <w:tcW w:w="2170" w:type="dxa"/>
            <w:vAlign w:val="center"/>
          </w:tcPr>
          <w:p w14:paraId="0358761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6.717</w:t>
            </w:r>
          </w:p>
        </w:tc>
        <w:tc>
          <w:tcPr>
            <w:tcW w:w="2170" w:type="dxa"/>
            <w:shd w:val="clear" w:color="auto" w:fill="auto"/>
            <w:vAlign w:val="center"/>
          </w:tcPr>
          <w:p w14:paraId="5BE5941F">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color w:val="auto"/>
                <w:kern w:val="0"/>
                <w:szCs w:val="21"/>
              </w:rPr>
              <w:t>/</w:t>
            </w:r>
          </w:p>
        </w:tc>
        <w:tc>
          <w:tcPr>
            <w:tcW w:w="767" w:type="pct"/>
            <w:vAlign w:val="center"/>
          </w:tcPr>
          <w:p w14:paraId="56DE388F">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eastAsia" w:ascii="Times New Roman" w:hAnsi="Times New Roman" w:eastAsia="Arial Unicode MS" w:cs="Times New Roman"/>
                <w:i w:val="0"/>
                <w:iCs w:val="0"/>
                <w:color w:val="auto"/>
                <w:kern w:val="0"/>
                <w:sz w:val="21"/>
                <w:szCs w:val="21"/>
                <w:u w:val="none"/>
                <w:lang w:val="en-US" w:eastAsia="zh-CN" w:bidi="ar"/>
              </w:rPr>
              <w:t>7.158</w:t>
            </w:r>
          </w:p>
        </w:tc>
        <w:tc>
          <w:tcPr>
            <w:tcW w:w="767" w:type="pct"/>
            <w:shd w:val="clear" w:color="auto" w:fill="auto"/>
            <w:vAlign w:val="center"/>
          </w:tcPr>
          <w:p w14:paraId="6E743B90">
            <w:pPr>
              <w:keepNext w:val="0"/>
              <w:keepLines w:val="0"/>
              <w:widowControl/>
              <w:suppressLineNumbers w:val="0"/>
              <w:jc w:val="center"/>
              <w:textAlignment w:val="center"/>
              <w:rPr>
                <w:rFonts w:hint="eastAsia"/>
                <w:color w:val="auto"/>
                <w:kern w:val="0"/>
                <w:szCs w:val="21"/>
              </w:rPr>
            </w:pPr>
            <w:r>
              <w:rPr>
                <w:rFonts w:hint="eastAsia"/>
                <w:color w:val="auto"/>
                <w:kern w:val="0"/>
                <w:szCs w:val="21"/>
              </w:rPr>
              <w:t>/</w:t>
            </w:r>
          </w:p>
        </w:tc>
        <w:tc>
          <w:tcPr>
            <w:tcW w:w="767" w:type="pct"/>
            <w:shd w:val="clear" w:color="auto" w:fill="auto"/>
            <w:vAlign w:val="center"/>
          </w:tcPr>
          <w:p w14:paraId="3EE49381">
            <w:pPr>
              <w:keepNext w:val="0"/>
              <w:keepLines w:val="0"/>
              <w:widowControl/>
              <w:suppressLineNumbers w:val="0"/>
              <w:jc w:val="center"/>
              <w:textAlignment w:val="center"/>
              <w:rPr>
                <w:rFonts w:hint="default" w:ascii="Times New Roman" w:hAnsi="Times New Roman" w:eastAsia="Arial Unicode MS" w:cs="Times New Roman"/>
                <w:i w:val="0"/>
                <w:iCs w:val="0"/>
                <w:color w:val="auto"/>
                <w:kern w:val="0"/>
                <w:sz w:val="21"/>
                <w:szCs w:val="21"/>
                <w:u w:val="none"/>
                <w:lang w:val="en-US" w:eastAsia="zh-CN" w:bidi="ar"/>
              </w:rPr>
            </w:pPr>
            <w:r>
              <w:rPr>
                <w:rFonts w:hint="eastAsia" w:ascii="Times New Roman" w:hAnsi="Times New Roman" w:eastAsia="Arial Unicode MS" w:cs="Times New Roman"/>
                <w:i w:val="0"/>
                <w:iCs w:val="0"/>
                <w:color w:val="auto"/>
                <w:kern w:val="0"/>
                <w:sz w:val="21"/>
                <w:szCs w:val="21"/>
                <w:u w:val="none"/>
                <w:lang w:val="en-US" w:eastAsia="zh-CN" w:bidi="ar"/>
              </w:rPr>
              <w:t>19.206</w:t>
            </w:r>
          </w:p>
        </w:tc>
        <w:tc>
          <w:tcPr>
            <w:tcW w:w="767" w:type="pct"/>
            <w:shd w:val="clear" w:color="auto" w:fill="auto"/>
            <w:vAlign w:val="center"/>
          </w:tcPr>
          <w:p w14:paraId="1C477194">
            <w:pPr>
              <w:keepNext w:val="0"/>
              <w:keepLines w:val="0"/>
              <w:widowControl/>
              <w:suppressLineNumbers w:val="0"/>
              <w:jc w:val="center"/>
              <w:textAlignment w:val="center"/>
              <w:rPr>
                <w:rFonts w:hint="eastAsia"/>
                <w:color w:val="auto"/>
                <w:kern w:val="0"/>
                <w:szCs w:val="21"/>
              </w:rPr>
            </w:pPr>
            <w:r>
              <w:rPr>
                <w:rFonts w:hint="eastAsia"/>
                <w:color w:val="auto"/>
                <w:kern w:val="0"/>
                <w:szCs w:val="21"/>
              </w:rPr>
              <w:t>/</w:t>
            </w:r>
          </w:p>
        </w:tc>
      </w:tr>
      <w:tr w14:paraId="6CCBCC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748CFC05">
            <w:pPr>
              <w:pStyle w:val="9"/>
              <w:spacing w:after="0"/>
              <w:jc w:val="center"/>
              <w:rPr>
                <w:color w:val="auto"/>
                <w:kern w:val="0"/>
                <w:szCs w:val="21"/>
              </w:rPr>
            </w:pPr>
            <w:r>
              <w:rPr>
                <w:rFonts w:hint="eastAsia"/>
                <w:color w:val="auto"/>
                <w:kern w:val="0"/>
                <w:szCs w:val="21"/>
              </w:rPr>
              <w:t>标准值</w:t>
            </w:r>
          </w:p>
        </w:tc>
        <w:tc>
          <w:tcPr>
            <w:tcW w:w="767" w:type="pct"/>
            <w:vAlign w:val="center"/>
          </w:tcPr>
          <w:p w14:paraId="0EF6BA5B">
            <w:pPr>
              <w:pStyle w:val="9"/>
              <w:spacing w:after="0"/>
              <w:jc w:val="center"/>
              <w:rPr>
                <w:rFonts w:hint="default" w:eastAsia="宋体"/>
                <w:color w:val="auto"/>
                <w:kern w:val="0"/>
                <w:szCs w:val="21"/>
                <w:lang w:val="en-US" w:eastAsia="zh-CN"/>
              </w:rPr>
            </w:pPr>
            <w:r>
              <w:rPr>
                <w:rFonts w:hint="eastAsia"/>
                <w:color w:val="auto"/>
                <w:kern w:val="0"/>
                <w:szCs w:val="21"/>
                <w:lang w:val="en-US" w:eastAsia="zh-CN"/>
              </w:rPr>
              <w:t>30</w:t>
            </w:r>
          </w:p>
        </w:tc>
        <w:tc>
          <w:tcPr>
            <w:tcW w:w="767" w:type="pct"/>
            <w:vAlign w:val="center"/>
          </w:tcPr>
          <w:p w14:paraId="15B09142">
            <w:pPr>
              <w:pStyle w:val="9"/>
              <w:spacing w:after="0"/>
              <w:jc w:val="center"/>
              <w:rPr>
                <w:color w:val="auto"/>
                <w:kern w:val="0"/>
                <w:szCs w:val="21"/>
              </w:rPr>
            </w:pPr>
            <w:r>
              <w:rPr>
                <w:rFonts w:hint="eastAsia"/>
                <w:color w:val="auto"/>
                <w:kern w:val="0"/>
                <w:szCs w:val="21"/>
              </w:rPr>
              <w:t>/</w:t>
            </w:r>
          </w:p>
        </w:tc>
        <w:tc>
          <w:tcPr>
            <w:tcW w:w="767" w:type="pct"/>
            <w:vAlign w:val="center"/>
          </w:tcPr>
          <w:p w14:paraId="09CC0BD4">
            <w:pPr>
              <w:pStyle w:val="9"/>
              <w:spacing w:after="0"/>
              <w:jc w:val="center"/>
              <w:rPr>
                <w:rFonts w:hint="default" w:eastAsia="宋体"/>
                <w:color w:val="auto"/>
                <w:kern w:val="0"/>
                <w:szCs w:val="21"/>
                <w:lang w:val="en-US" w:eastAsia="zh-CN"/>
              </w:rPr>
            </w:pPr>
            <w:r>
              <w:rPr>
                <w:rFonts w:hint="eastAsia"/>
                <w:color w:val="auto"/>
                <w:kern w:val="0"/>
                <w:szCs w:val="21"/>
                <w:lang w:val="en-US" w:eastAsia="zh-CN"/>
              </w:rPr>
              <w:t>150</w:t>
            </w:r>
          </w:p>
        </w:tc>
        <w:tc>
          <w:tcPr>
            <w:tcW w:w="767" w:type="pct"/>
            <w:vAlign w:val="center"/>
          </w:tcPr>
          <w:p w14:paraId="0E8F258E">
            <w:pPr>
              <w:pStyle w:val="9"/>
              <w:spacing w:after="0"/>
              <w:jc w:val="center"/>
              <w:rPr>
                <w:color w:val="auto"/>
                <w:kern w:val="0"/>
                <w:szCs w:val="21"/>
              </w:rPr>
            </w:pPr>
            <w:r>
              <w:rPr>
                <w:rFonts w:hint="eastAsia"/>
                <w:color w:val="auto"/>
                <w:kern w:val="0"/>
                <w:szCs w:val="21"/>
              </w:rPr>
              <w:t>/</w:t>
            </w:r>
          </w:p>
        </w:tc>
        <w:tc>
          <w:tcPr>
            <w:tcW w:w="767" w:type="pct"/>
            <w:vAlign w:val="center"/>
          </w:tcPr>
          <w:p w14:paraId="55C6DB20">
            <w:pPr>
              <w:pStyle w:val="9"/>
              <w:spacing w:after="0"/>
              <w:jc w:val="center"/>
              <w:rPr>
                <w:rFonts w:hint="default" w:eastAsia="宋体"/>
                <w:color w:val="auto"/>
                <w:kern w:val="0"/>
                <w:szCs w:val="21"/>
                <w:lang w:val="en-US" w:eastAsia="zh-CN"/>
              </w:rPr>
            </w:pPr>
            <w:r>
              <w:rPr>
                <w:rFonts w:hint="eastAsia"/>
                <w:color w:val="auto"/>
                <w:kern w:val="0"/>
                <w:szCs w:val="21"/>
                <w:lang w:val="en-US" w:eastAsia="zh-CN"/>
              </w:rPr>
              <w:t>200</w:t>
            </w:r>
          </w:p>
        </w:tc>
        <w:tc>
          <w:tcPr>
            <w:tcW w:w="767" w:type="pct"/>
            <w:vAlign w:val="center"/>
          </w:tcPr>
          <w:p w14:paraId="1D2F7FD0">
            <w:pPr>
              <w:pStyle w:val="9"/>
              <w:spacing w:after="0"/>
              <w:jc w:val="center"/>
              <w:rPr>
                <w:color w:val="auto"/>
                <w:kern w:val="0"/>
                <w:szCs w:val="21"/>
              </w:rPr>
            </w:pPr>
            <w:r>
              <w:rPr>
                <w:rFonts w:hint="eastAsia"/>
                <w:color w:val="auto"/>
                <w:kern w:val="0"/>
                <w:szCs w:val="21"/>
              </w:rPr>
              <w:t>/</w:t>
            </w:r>
          </w:p>
        </w:tc>
      </w:tr>
    </w:tbl>
    <w:p w14:paraId="453C015A">
      <w:pPr>
        <w:wordWrap w:val="0"/>
        <w:topLinePunct/>
        <w:adjustRightInd w:val="0"/>
        <w:snapToGrid w:val="0"/>
        <w:spacing w:line="360" w:lineRule="auto"/>
        <w:jc w:val="left"/>
        <w:rPr>
          <w:color w:val="auto"/>
          <w:sz w:val="24"/>
        </w:rPr>
      </w:pPr>
    </w:p>
    <w:p w14:paraId="3E20CD76">
      <w:pPr>
        <w:wordWrap w:val="0"/>
        <w:topLinePunct/>
        <w:adjustRightInd w:val="0"/>
        <w:snapToGrid w:val="0"/>
        <w:spacing w:line="360" w:lineRule="auto"/>
        <w:ind w:firstLine="480" w:firstLineChars="200"/>
        <w:jc w:val="left"/>
        <w:rPr>
          <w:rFonts w:hint="eastAsia" w:eastAsia="宋体"/>
          <w:b/>
          <w:bCs/>
          <w:color w:val="auto"/>
          <w:sz w:val="24"/>
          <w:szCs w:val="32"/>
          <w:lang w:val="en-US" w:eastAsia="zh-CN"/>
        </w:rPr>
        <w:sectPr>
          <w:pgSz w:w="16838" w:h="11906" w:orient="landscape"/>
          <w:pgMar w:top="1083" w:right="1440" w:bottom="1083" w:left="1440" w:header="708" w:footer="709" w:gutter="0"/>
          <w:pgBorders>
            <w:top w:val="none" w:sz="0" w:space="0"/>
            <w:left w:val="none" w:sz="0" w:space="0"/>
            <w:bottom w:val="none" w:sz="0" w:space="0"/>
            <w:right w:val="none" w:sz="0" w:space="0"/>
          </w:pgBorders>
          <w:pgNumType w:fmt="numberInDash"/>
          <w:cols w:space="0" w:num="1"/>
          <w:rtlGutter w:val="0"/>
          <w:docGrid w:linePitch="360" w:charSpace="0"/>
        </w:sectPr>
      </w:pPr>
      <w:r>
        <w:rPr>
          <w:rFonts w:hint="eastAsia"/>
          <w:color w:val="auto"/>
          <w:sz w:val="24"/>
          <w:lang w:val="en-US" w:eastAsia="zh-CN"/>
        </w:rPr>
        <w:t>根据在线监测结果可知，</w:t>
      </w:r>
      <w:r>
        <w:rPr>
          <w:color w:val="auto"/>
          <w:sz w:val="24"/>
        </w:rPr>
        <w:t>烟尘、SO</w:t>
      </w:r>
      <w:r>
        <w:rPr>
          <w:color w:val="auto"/>
          <w:sz w:val="24"/>
          <w:vertAlign w:val="subscript"/>
        </w:rPr>
        <w:t>2</w:t>
      </w:r>
      <w:r>
        <w:rPr>
          <w:color w:val="auto"/>
          <w:sz w:val="24"/>
        </w:rPr>
        <w:t>、NO</w:t>
      </w:r>
      <w:r>
        <w:rPr>
          <w:color w:val="auto"/>
          <w:sz w:val="24"/>
          <w:vertAlign w:val="subscript"/>
        </w:rPr>
        <w:t>X</w:t>
      </w:r>
      <w:r>
        <w:rPr>
          <w:color w:val="auto"/>
          <w:sz w:val="24"/>
        </w:rPr>
        <w:t>排放</w:t>
      </w:r>
      <w:r>
        <w:rPr>
          <w:rFonts w:hint="eastAsia"/>
          <w:color w:val="auto"/>
          <w:sz w:val="24"/>
          <w:lang w:val="en-US" w:eastAsia="zh-CN"/>
        </w:rPr>
        <w:t>浓度满足</w:t>
      </w:r>
      <w:r>
        <w:rPr>
          <w:color w:val="auto"/>
          <w:sz w:val="24"/>
        </w:rPr>
        <w:t>《再生铜、铝、铅、锌工业污染物排放标准》（GB 31574-2015）中表3大气污染物排放限值</w:t>
      </w:r>
      <w:r>
        <w:rPr>
          <w:rFonts w:hint="eastAsia"/>
          <w:color w:val="auto"/>
          <w:sz w:val="24"/>
          <w:lang w:eastAsia="zh-CN"/>
        </w:rPr>
        <w:t>。</w:t>
      </w:r>
    </w:p>
    <w:p w14:paraId="60CC5A5A">
      <w:pPr>
        <w:wordWrap w:val="0"/>
        <w:topLinePunct/>
        <w:adjustRightInd w:val="0"/>
        <w:snapToGrid w:val="0"/>
        <w:spacing w:line="360" w:lineRule="auto"/>
        <w:jc w:val="center"/>
        <w:rPr>
          <w:rFonts w:hint="default"/>
          <w:b/>
          <w:bCs/>
          <w:color w:val="auto"/>
          <w:sz w:val="24"/>
          <w:szCs w:val="32"/>
          <w:lang w:val="en-US" w:eastAsia="zh-CN"/>
        </w:rPr>
      </w:pPr>
      <w:r>
        <w:rPr>
          <w:rFonts w:hint="eastAsia"/>
          <w:b/>
          <w:bCs/>
          <w:color w:val="auto"/>
          <w:sz w:val="24"/>
          <w:szCs w:val="32"/>
          <w:lang w:val="en-US" w:eastAsia="zh-CN"/>
        </w:rPr>
        <w:t>表3-8 DA001例行监测数据达标情况一览表</w:t>
      </w:r>
    </w:p>
    <w:tbl>
      <w:tblPr>
        <w:tblStyle w:val="32"/>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23"/>
        <w:gridCol w:w="1243"/>
        <w:gridCol w:w="1603"/>
        <w:gridCol w:w="1423"/>
        <w:gridCol w:w="1423"/>
        <w:gridCol w:w="1423"/>
        <w:gridCol w:w="1424"/>
      </w:tblGrid>
      <w:tr w14:paraId="1CE26E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tcBorders>
              <w:tl2br w:val="nil"/>
              <w:tr2bl w:val="nil"/>
            </w:tcBorders>
            <w:vAlign w:val="center"/>
          </w:tcPr>
          <w:p w14:paraId="7DFA346A">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采样点位</w:t>
            </w:r>
          </w:p>
        </w:tc>
        <w:tc>
          <w:tcPr>
            <w:tcW w:w="1243" w:type="dxa"/>
            <w:tcBorders>
              <w:tl2br w:val="nil"/>
              <w:tr2bl w:val="nil"/>
            </w:tcBorders>
            <w:vAlign w:val="center"/>
          </w:tcPr>
          <w:p w14:paraId="4A293AB4">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监测项目</w:t>
            </w:r>
            <w:r>
              <w:rPr>
                <w:rFonts w:hint="default" w:ascii="Times New Roman" w:hAnsi="Times New Roman" w:cs="Times New Roman"/>
                <w:color w:val="auto"/>
                <w:szCs w:val="21"/>
              </w:rPr>
              <w:t>（mg/m</w:t>
            </w:r>
            <w:r>
              <w:rPr>
                <w:rFonts w:hint="default" w:ascii="Times New Roman" w:hAnsi="Times New Roman" w:cs="Times New Roman"/>
                <w:color w:val="auto"/>
                <w:szCs w:val="21"/>
                <w:vertAlign w:val="superscript"/>
              </w:rPr>
              <w:t>3</w:t>
            </w:r>
            <w:r>
              <w:rPr>
                <w:rFonts w:hint="default" w:ascii="Times New Roman" w:hAnsi="Times New Roman" w:cs="Times New Roman"/>
                <w:color w:val="auto"/>
                <w:szCs w:val="21"/>
              </w:rPr>
              <w:t>）</w:t>
            </w:r>
          </w:p>
        </w:tc>
        <w:tc>
          <w:tcPr>
            <w:tcW w:w="3026" w:type="dxa"/>
            <w:gridSpan w:val="2"/>
            <w:tcBorders>
              <w:tl2br w:val="nil"/>
              <w:tr2bl w:val="nil"/>
            </w:tcBorders>
            <w:vAlign w:val="center"/>
          </w:tcPr>
          <w:p w14:paraId="57239576">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采样时间</w:t>
            </w:r>
          </w:p>
        </w:tc>
        <w:tc>
          <w:tcPr>
            <w:tcW w:w="1423" w:type="dxa"/>
            <w:tcBorders>
              <w:tl2br w:val="nil"/>
              <w:tr2bl w:val="nil"/>
            </w:tcBorders>
            <w:vAlign w:val="center"/>
          </w:tcPr>
          <w:p w14:paraId="0A7666AE">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实测浓度</w:t>
            </w:r>
            <w:r>
              <w:rPr>
                <w:rFonts w:hint="default" w:ascii="Times New Roman" w:hAnsi="Times New Roman" w:cs="Times New Roman"/>
                <w:color w:val="auto"/>
                <w:szCs w:val="21"/>
              </w:rPr>
              <w:t>（mg/m</w:t>
            </w:r>
            <w:r>
              <w:rPr>
                <w:rFonts w:hint="default" w:ascii="Times New Roman" w:hAnsi="Times New Roman" w:cs="Times New Roman"/>
                <w:color w:val="auto"/>
                <w:szCs w:val="21"/>
                <w:vertAlign w:val="superscript"/>
              </w:rPr>
              <w:t>3</w:t>
            </w:r>
            <w:r>
              <w:rPr>
                <w:rFonts w:hint="default" w:ascii="Times New Roman" w:hAnsi="Times New Roman" w:cs="Times New Roman"/>
                <w:color w:val="auto"/>
                <w:szCs w:val="21"/>
              </w:rPr>
              <w:t>）</w:t>
            </w:r>
          </w:p>
        </w:tc>
        <w:tc>
          <w:tcPr>
            <w:tcW w:w="1423" w:type="dxa"/>
            <w:tcBorders>
              <w:tl2br w:val="nil"/>
              <w:tr2bl w:val="nil"/>
            </w:tcBorders>
            <w:vAlign w:val="center"/>
          </w:tcPr>
          <w:p w14:paraId="50426902">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排放速率（kg/h）</w:t>
            </w:r>
          </w:p>
        </w:tc>
        <w:tc>
          <w:tcPr>
            <w:tcW w:w="1424" w:type="dxa"/>
            <w:tcBorders>
              <w:tl2br w:val="nil"/>
              <w:tr2bl w:val="nil"/>
            </w:tcBorders>
            <w:vAlign w:val="center"/>
          </w:tcPr>
          <w:p w14:paraId="06662875">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排气筒高度（m）</w:t>
            </w:r>
          </w:p>
        </w:tc>
      </w:tr>
      <w:tr w14:paraId="365B3D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restart"/>
            <w:tcBorders>
              <w:tl2br w:val="nil"/>
              <w:tr2bl w:val="nil"/>
            </w:tcBorders>
            <w:vAlign w:val="center"/>
          </w:tcPr>
          <w:p w14:paraId="710AB152">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DA001排气筒出口</w:t>
            </w:r>
          </w:p>
        </w:tc>
        <w:tc>
          <w:tcPr>
            <w:tcW w:w="1243" w:type="dxa"/>
            <w:vMerge w:val="restart"/>
            <w:tcBorders>
              <w:tl2br w:val="nil"/>
              <w:tr2bl w:val="nil"/>
            </w:tcBorders>
            <w:vAlign w:val="center"/>
          </w:tcPr>
          <w:p w14:paraId="25609EE9">
            <w:pPr>
              <w:jc w:val="center"/>
              <w:rPr>
                <w:rFonts w:hint="eastAsia" w:ascii="Times New Roman" w:hAnsi="Times New Roman" w:eastAsia="宋体" w:cs="Times New Roman"/>
                <w:color w:val="auto"/>
                <w:szCs w:val="21"/>
                <w:lang w:eastAsia="zh-CN"/>
              </w:rPr>
            </w:pPr>
            <w:r>
              <w:rPr>
                <w:rFonts w:hint="eastAsia" w:cs="Times New Roman"/>
                <w:color w:val="auto"/>
                <w:szCs w:val="21"/>
                <w:lang w:val="en-US" w:eastAsia="zh-CN"/>
              </w:rPr>
              <w:t>氟化物</w:t>
            </w:r>
          </w:p>
        </w:tc>
        <w:tc>
          <w:tcPr>
            <w:tcW w:w="1603" w:type="dxa"/>
            <w:vMerge w:val="restart"/>
            <w:tcBorders>
              <w:tl2br w:val="nil"/>
              <w:tr2bl w:val="nil"/>
            </w:tcBorders>
            <w:vAlign w:val="center"/>
          </w:tcPr>
          <w:p w14:paraId="7EC4C827">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2024年8月21</w:t>
            </w:r>
          </w:p>
        </w:tc>
        <w:tc>
          <w:tcPr>
            <w:tcW w:w="1423" w:type="dxa"/>
            <w:tcBorders>
              <w:tl2br w:val="nil"/>
              <w:tr2bl w:val="nil"/>
            </w:tcBorders>
            <w:vAlign w:val="center"/>
          </w:tcPr>
          <w:p w14:paraId="4782519C">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第一次</w:t>
            </w:r>
          </w:p>
        </w:tc>
        <w:tc>
          <w:tcPr>
            <w:tcW w:w="1423" w:type="dxa"/>
            <w:tcBorders>
              <w:tl2br w:val="nil"/>
              <w:tr2bl w:val="nil"/>
            </w:tcBorders>
            <w:vAlign w:val="center"/>
          </w:tcPr>
          <w:p w14:paraId="7DCB132E">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0.64</w:t>
            </w:r>
          </w:p>
        </w:tc>
        <w:tc>
          <w:tcPr>
            <w:tcW w:w="1423" w:type="dxa"/>
            <w:tcBorders>
              <w:tl2br w:val="nil"/>
              <w:tr2bl w:val="nil"/>
            </w:tcBorders>
            <w:vAlign w:val="center"/>
          </w:tcPr>
          <w:p w14:paraId="061262A7">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5.20×10</w:t>
            </w:r>
            <w:r>
              <w:rPr>
                <w:rFonts w:hint="eastAsia" w:cs="Times New Roman"/>
                <w:color w:val="auto"/>
                <w:szCs w:val="21"/>
                <w:vertAlign w:val="superscript"/>
                <w:lang w:val="en-US" w:eastAsia="zh-CN"/>
              </w:rPr>
              <w:t>-2</w:t>
            </w:r>
          </w:p>
        </w:tc>
        <w:tc>
          <w:tcPr>
            <w:tcW w:w="1424" w:type="dxa"/>
            <w:vMerge w:val="restart"/>
            <w:tcBorders>
              <w:tl2br w:val="nil"/>
              <w:tr2bl w:val="nil"/>
            </w:tcBorders>
            <w:vAlign w:val="center"/>
          </w:tcPr>
          <w:p w14:paraId="407AEADF">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20</w:t>
            </w:r>
          </w:p>
        </w:tc>
      </w:tr>
      <w:tr w14:paraId="388F17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02B4E8EC">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13C8A1FA">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56AD0A7A">
            <w:pPr>
              <w:jc w:val="center"/>
              <w:rPr>
                <w:rFonts w:hint="default" w:ascii="Times New Roman" w:hAnsi="Times New Roman" w:cs="Times New Roman"/>
                <w:color w:val="auto"/>
                <w:szCs w:val="21"/>
              </w:rPr>
            </w:pPr>
          </w:p>
        </w:tc>
        <w:tc>
          <w:tcPr>
            <w:tcW w:w="1423" w:type="dxa"/>
            <w:tcBorders>
              <w:tl2br w:val="nil"/>
              <w:tr2bl w:val="nil"/>
            </w:tcBorders>
            <w:vAlign w:val="center"/>
          </w:tcPr>
          <w:p w14:paraId="1DE283BD">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第二次</w:t>
            </w:r>
          </w:p>
        </w:tc>
        <w:tc>
          <w:tcPr>
            <w:tcW w:w="1423" w:type="dxa"/>
            <w:tcBorders>
              <w:tl2br w:val="nil"/>
              <w:tr2bl w:val="nil"/>
            </w:tcBorders>
            <w:vAlign w:val="center"/>
          </w:tcPr>
          <w:p w14:paraId="0E22129A">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0.57</w:t>
            </w:r>
          </w:p>
        </w:tc>
        <w:tc>
          <w:tcPr>
            <w:tcW w:w="1423" w:type="dxa"/>
            <w:tcBorders>
              <w:tl2br w:val="nil"/>
              <w:tr2bl w:val="nil"/>
            </w:tcBorders>
            <w:vAlign w:val="center"/>
          </w:tcPr>
          <w:p w14:paraId="3A12F4C5">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9.13×10</w:t>
            </w:r>
            <w:r>
              <w:rPr>
                <w:rFonts w:hint="eastAsia" w:cs="Times New Roman"/>
                <w:color w:val="auto"/>
                <w:szCs w:val="21"/>
                <w:vertAlign w:val="superscript"/>
                <w:lang w:val="en-US" w:eastAsia="zh-CN"/>
              </w:rPr>
              <w:t>-2</w:t>
            </w:r>
          </w:p>
        </w:tc>
        <w:tc>
          <w:tcPr>
            <w:tcW w:w="1424" w:type="dxa"/>
            <w:vMerge w:val="continue"/>
            <w:tcBorders>
              <w:tl2br w:val="nil"/>
              <w:tr2bl w:val="nil"/>
            </w:tcBorders>
            <w:vAlign w:val="center"/>
          </w:tcPr>
          <w:p w14:paraId="087F56D5">
            <w:pPr>
              <w:jc w:val="center"/>
              <w:rPr>
                <w:rFonts w:hint="default" w:ascii="Times New Roman" w:hAnsi="Times New Roman" w:cs="Times New Roman"/>
                <w:color w:val="auto"/>
                <w:szCs w:val="21"/>
              </w:rPr>
            </w:pPr>
          </w:p>
        </w:tc>
      </w:tr>
      <w:tr w14:paraId="3605E1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7193ADAE">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5838A9F6">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61CA6814">
            <w:pPr>
              <w:jc w:val="center"/>
              <w:rPr>
                <w:rFonts w:hint="default" w:ascii="Times New Roman" w:hAnsi="Times New Roman" w:cs="Times New Roman"/>
                <w:color w:val="auto"/>
                <w:szCs w:val="21"/>
              </w:rPr>
            </w:pPr>
          </w:p>
        </w:tc>
        <w:tc>
          <w:tcPr>
            <w:tcW w:w="1423" w:type="dxa"/>
            <w:tcBorders>
              <w:tl2br w:val="nil"/>
              <w:tr2bl w:val="nil"/>
            </w:tcBorders>
            <w:vAlign w:val="center"/>
          </w:tcPr>
          <w:p w14:paraId="7FB3E67B">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第三次</w:t>
            </w:r>
          </w:p>
        </w:tc>
        <w:tc>
          <w:tcPr>
            <w:tcW w:w="1423" w:type="dxa"/>
            <w:tcBorders>
              <w:tl2br w:val="nil"/>
              <w:tr2bl w:val="nil"/>
            </w:tcBorders>
            <w:vAlign w:val="center"/>
          </w:tcPr>
          <w:p w14:paraId="2143A115">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0.57</w:t>
            </w:r>
          </w:p>
        </w:tc>
        <w:tc>
          <w:tcPr>
            <w:tcW w:w="1423" w:type="dxa"/>
            <w:tcBorders>
              <w:tl2br w:val="nil"/>
              <w:tr2bl w:val="nil"/>
            </w:tcBorders>
            <w:vAlign w:val="center"/>
          </w:tcPr>
          <w:p w14:paraId="3E45EDCE">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8.26×10</w:t>
            </w:r>
            <w:r>
              <w:rPr>
                <w:rFonts w:hint="eastAsia" w:cs="Times New Roman"/>
                <w:color w:val="auto"/>
                <w:szCs w:val="21"/>
                <w:vertAlign w:val="superscript"/>
                <w:lang w:val="en-US" w:eastAsia="zh-CN"/>
              </w:rPr>
              <w:t>-2</w:t>
            </w:r>
          </w:p>
        </w:tc>
        <w:tc>
          <w:tcPr>
            <w:tcW w:w="1424" w:type="dxa"/>
            <w:vMerge w:val="continue"/>
            <w:tcBorders>
              <w:tl2br w:val="nil"/>
              <w:tr2bl w:val="nil"/>
            </w:tcBorders>
            <w:vAlign w:val="center"/>
          </w:tcPr>
          <w:p w14:paraId="33D22EC8">
            <w:pPr>
              <w:jc w:val="center"/>
              <w:rPr>
                <w:rFonts w:hint="default" w:ascii="Times New Roman" w:hAnsi="Times New Roman" w:cs="Times New Roman"/>
                <w:color w:val="auto"/>
                <w:szCs w:val="21"/>
              </w:rPr>
            </w:pPr>
          </w:p>
        </w:tc>
      </w:tr>
      <w:tr w14:paraId="7F28EA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17982D2B">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59E1D4CC">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602D1E12">
            <w:pPr>
              <w:jc w:val="center"/>
              <w:rPr>
                <w:rFonts w:hint="default" w:ascii="Times New Roman" w:hAnsi="Times New Roman" w:cs="Times New Roman"/>
                <w:color w:val="auto"/>
                <w:szCs w:val="21"/>
              </w:rPr>
            </w:pPr>
          </w:p>
        </w:tc>
        <w:tc>
          <w:tcPr>
            <w:tcW w:w="1423" w:type="dxa"/>
            <w:tcBorders>
              <w:tl2br w:val="nil"/>
              <w:tr2bl w:val="nil"/>
            </w:tcBorders>
            <w:vAlign w:val="center"/>
          </w:tcPr>
          <w:p w14:paraId="20DCB121">
            <w:pPr>
              <w:jc w:val="center"/>
              <w:rPr>
                <w:rFonts w:hint="default" w:ascii="Times New Roman" w:hAnsi="Times New Roman" w:cs="Times New Roman"/>
                <w:color w:val="auto"/>
                <w:szCs w:val="21"/>
              </w:rPr>
            </w:pPr>
            <w:r>
              <w:rPr>
                <w:rFonts w:hint="default" w:ascii="Times New Roman" w:hAnsi="Times New Roman" w:cs="Times New Roman"/>
                <w:color w:val="auto"/>
                <w:szCs w:val="21"/>
              </w:rPr>
              <w:t>平均值</w:t>
            </w:r>
          </w:p>
        </w:tc>
        <w:tc>
          <w:tcPr>
            <w:tcW w:w="1423" w:type="dxa"/>
            <w:tcBorders>
              <w:tl2br w:val="nil"/>
              <w:tr2bl w:val="nil"/>
            </w:tcBorders>
            <w:vAlign w:val="center"/>
          </w:tcPr>
          <w:p w14:paraId="28AED505">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0.60</w:t>
            </w:r>
          </w:p>
        </w:tc>
        <w:tc>
          <w:tcPr>
            <w:tcW w:w="1423" w:type="dxa"/>
            <w:tcBorders>
              <w:tl2br w:val="nil"/>
              <w:tr2bl w:val="nil"/>
            </w:tcBorders>
            <w:vAlign w:val="center"/>
          </w:tcPr>
          <w:p w14:paraId="189C5AAD">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7.53×10</w:t>
            </w:r>
            <w:r>
              <w:rPr>
                <w:rFonts w:hint="eastAsia" w:cs="Times New Roman"/>
                <w:color w:val="auto"/>
                <w:szCs w:val="21"/>
                <w:vertAlign w:val="superscript"/>
                <w:lang w:val="en-US" w:eastAsia="zh-CN"/>
              </w:rPr>
              <w:t>-2</w:t>
            </w:r>
          </w:p>
        </w:tc>
        <w:tc>
          <w:tcPr>
            <w:tcW w:w="1424" w:type="dxa"/>
            <w:vMerge w:val="continue"/>
            <w:tcBorders>
              <w:tl2br w:val="nil"/>
              <w:tr2bl w:val="nil"/>
            </w:tcBorders>
            <w:vAlign w:val="center"/>
          </w:tcPr>
          <w:p w14:paraId="6DAA93C6">
            <w:pPr>
              <w:jc w:val="center"/>
              <w:rPr>
                <w:rFonts w:hint="default" w:ascii="Times New Roman" w:hAnsi="Times New Roman" w:cs="Times New Roman"/>
                <w:color w:val="auto"/>
                <w:szCs w:val="21"/>
              </w:rPr>
            </w:pPr>
          </w:p>
        </w:tc>
      </w:tr>
      <w:tr w14:paraId="480B3E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63805851">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220C5A42">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21A67F0B">
            <w:pPr>
              <w:jc w:val="center"/>
              <w:rPr>
                <w:rFonts w:hint="default" w:ascii="Times New Roman" w:hAnsi="Times New Roman" w:cs="Times New Roman"/>
                <w:color w:val="auto"/>
                <w:szCs w:val="21"/>
              </w:rPr>
            </w:pPr>
          </w:p>
        </w:tc>
        <w:tc>
          <w:tcPr>
            <w:tcW w:w="1423" w:type="dxa"/>
            <w:tcBorders>
              <w:tl2br w:val="nil"/>
              <w:tr2bl w:val="nil"/>
            </w:tcBorders>
            <w:vAlign w:val="center"/>
          </w:tcPr>
          <w:p w14:paraId="1A5E725A">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标准限值</w:t>
            </w:r>
          </w:p>
        </w:tc>
        <w:tc>
          <w:tcPr>
            <w:tcW w:w="1423" w:type="dxa"/>
            <w:tcBorders>
              <w:tl2br w:val="nil"/>
              <w:tr2bl w:val="nil"/>
            </w:tcBorders>
            <w:vAlign w:val="center"/>
          </w:tcPr>
          <w:p w14:paraId="59273118">
            <w:pPr>
              <w:jc w:val="center"/>
              <w:rPr>
                <w:rFonts w:hint="default" w:cs="Times New Roman"/>
                <w:color w:val="auto"/>
                <w:szCs w:val="21"/>
                <w:lang w:val="en-US" w:eastAsia="zh-CN"/>
              </w:rPr>
            </w:pPr>
            <w:r>
              <w:rPr>
                <w:rFonts w:hint="eastAsia" w:cs="Times New Roman"/>
                <w:color w:val="auto"/>
                <w:szCs w:val="21"/>
                <w:lang w:val="en-US" w:eastAsia="zh-CN"/>
              </w:rPr>
              <w:t>3</w:t>
            </w:r>
          </w:p>
        </w:tc>
        <w:tc>
          <w:tcPr>
            <w:tcW w:w="1423" w:type="dxa"/>
            <w:tcBorders>
              <w:tl2br w:val="nil"/>
              <w:tr2bl w:val="nil"/>
            </w:tcBorders>
            <w:vAlign w:val="center"/>
          </w:tcPr>
          <w:p w14:paraId="3B4F7B32">
            <w:pPr>
              <w:jc w:val="center"/>
              <w:rPr>
                <w:rFonts w:hint="default"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63DE0FC7">
            <w:pPr>
              <w:jc w:val="center"/>
              <w:rPr>
                <w:rFonts w:hint="default" w:ascii="Times New Roman" w:hAnsi="Times New Roman" w:cs="Times New Roman"/>
                <w:color w:val="auto"/>
                <w:szCs w:val="21"/>
              </w:rPr>
            </w:pPr>
          </w:p>
        </w:tc>
      </w:tr>
      <w:tr w14:paraId="5D499D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5FC76751">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50207824">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47E4135B">
            <w:pPr>
              <w:jc w:val="center"/>
              <w:rPr>
                <w:rFonts w:hint="default" w:ascii="Times New Roman" w:hAnsi="Times New Roman" w:cs="Times New Roman"/>
                <w:color w:val="auto"/>
                <w:szCs w:val="21"/>
              </w:rPr>
            </w:pPr>
          </w:p>
        </w:tc>
        <w:tc>
          <w:tcPr>
            <w:tcW w:w="1423" w:type="dxa"/>
            <w:tcBorders>
              <w:tl2br w:val="nil"/>
              <w:tr2bl w:val="nil"/>
            </w:tcBorders>
            <w:vAlign w:val="center"/>
          </w:tcPr>
          <w:p w14:paraId="524269B5">
            <w:pPr>
              <w:jc w:val="center"/>
              <w:rPr>
                <w:rFonts w:hint="default" w:cs="Times New Roman"/>
                <w:color w:val="auto"/>
                <w:szCs w:val="21"/>
                <w:lang w:val="en-US" w:eastAsia="zh-CN"/>
              </w:rPr>
            </w:pPr>
            <w:r>
              <w:rPr>
                <w:rFonts w:hint="eastAsia" w:cs="Times New Roman"/>
                <w:color w:val="auto"/>
                <w:szCs w:val="21"/>
                <w:lang w:val="en-US" w:eastAsia="zh-CN"/>
              </w:rPr>
              <w:t>是否达标</w:t>
            </w:r>
          </w:p>
        </w:tc>
        <w:tc>
          <w:tcPr>
            <w:tcW w:w="1423" w:type="dxa"/>
            <w:tcBorders>
              <w:tl2br w:val="nil"/>
              <w:tr2bl w:val="nil"/>
            </w:tcBorders>
            <w:vAlign w:val="center"/>
          </w:tcPr>
          <w:p w14:paraId="25AA29F0">
            <w:pPr>
              <w:jc w:val="center"/>
              <w:rPr>
                <w:rFonts w:hint="default" w:cs="Times New Roman"/>
                <w:color w:val="auto"/>
                <w:szCs w:val="21"/>
                <w:lang w:val="en-US" w:eastAsia="zh-CN"/>
              </w:rPr>
            </w:pPr>
            <w:r>
              <w:rPr>
                <w:rFonts w:hint="eastAsia" w:cs="Times New Roman"/>
                <w:color w:val="auto"/>
                <w:szCs w:val="21"/>
                <w:lang w:val="en-US" w:eastAsia="zh-CN"/>
              </w:rPr>
              <w:t>达标</w:t>
            </w:r>
          </w:p>
        </w:tc>
        <w:tc>
          <w:tcPr>
            <w:tcW w:w="1423" w:type="dxa"/>
            <w:tcBorders>
              <w:tl2br w:val="nil"/>
              <w:tr2bl w:val="nil"/>
            </w:tcBorders>
            <w:vAlign w:val="center"/>
          </w:tcPr>
          <w:p w14:paraId="09673DEE">
            <w:pPr>
              <w:jc w:val="center"/>
              <w:rPr>
                <w:rFonts w:hint="default"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1D98869C">
            <w:pPr>
              <w:jc w:val="center"/>
              <w:rPr>
                <w:rFonts w:hint="default" w:ascii="Times New Roman" w:hAnsi="Times New Roman" w:cs="Times New Roman"/>
                <w:color w:val="auto"/>
                <w:szCs w:val="21"/>
              </w:rPr>
            </w:pPr>
          </w:p>
        </w:tc>
      </w:tr>
      <w:tr w14:paraId="66D426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5290BD3F">
            <w:pPr>
              <w:jc w:val="center"/>
              <w:rPr>
                <w:rFonts w:hint="default" w:ascii="Times New Roman" w:hAnsi="Times New Roman" w:cs="Times New Roman"/>
                <w:color w:val="auto"/>
                <w:szCs w:val="21"/>
              </w:rPr>
            </w:pPr>
          </w:p>
        </w:tc>
        <w:tc>
          <w:tcPr>
            <w:tcW w:w="1243" w:type="dxa"/>
            <w:vMerge w:val="restart"/>
            <w:tcBorders>
              <w:tl2br w:val="nil"/>
              <w:tr2bl w:val="nil"/>
            </w:tcBorders>
            <w:vAlign w:val="center"/>
          </w:tcPr>
          <w:p w14:paraId="15563F2B">
            <w:pPr>
              <w:jc w:val="center"/>
              <w:rPr>
                <w:rFonts w:hint="eastAsia" w:ascii="Times New Roman" w:hAnsi="Times New Roman" w:eastAsia="宋体" w:cs="Times New Roman"/>
                <w:color w:val="auto"/>
                <w:szCs w:val="21"/>
                <w:lang w:val="en-US" w:eastAsia="zh-CN"/>
              </w:rPr>
            </w:pPr>
            <w:r>
              <w:rPr>
                <w:rFonts w:hint="eastAsia" w:cs="Times New Roman"/>
                <w:color w:val="auto"/>
                <w:szCs w:val="21"/>
                <w:lang w:val="en-US" w:eastAsia="zh-CN"/>
              </w:rPr>
              <w:t>氯化氢</w:t>
            </w:r>
          </w:p>
        </w:tc>
        <w:tc>
          <w:tcPr>
            <w:tcW w:w="1603" w:type="dxa"/>
            <w:vMerge w:val="continue"/>
            <w:tcBorders>
              <w:tl2br w:val="nil"/>
              <w:tr2bl w:val="nil"/>
            </w:tcBorders>
            <w:vAlign w:val="center"/>
          </w:tcPr>
          <w:p w14:paraId="3BEA17FA">
            <w:pPr>
              <w:jc w:val="center"/>
              <w:rPr>
                <w:rFonts w:hint="default" w:ascii="Times New Roman" w:hAnsi="Times New Roman" w:cs="Times New Roman"/>
                <w:color w:val="auto"/>
                <w:szCs w:val="21"/>
              </w:rPr>
            </w:pPr>
          </w:p>
        </w:tc>
        <w:tc>
          <w:tcPr>
            <w:tcW w:w="1423" w:type="dxa"/>
            <w:tcBorders>
              <w:tl2br w:val="nil"/>
              <w:tr2bl w:val="nil"/>
            </w:tcBorders>
            <w:vAlign w:val="center"/>
          </w:tcPr>
          <w:p w14:paraId="1EE74E27">
            <w:pPr>
              <w:jc w:val="center"/>
              <w:rPr>
                <w:rFonts w:hint="default" w:ascii="Times New Roman" w:hAnsi="Times New Roman" w:eastAsia="宋体" w:cs="Times New Roman"/>
                <w:color w:val="auto"/>
                <w:szCs w:val="21"/>
                <w:lang w:val="en-US" w:eastAsia="zh-CN"/>
              </w:rPr>
            </w:pPr>
            <w:r>
              <w:rPr>
                <w:rFonts w:hint="default" w:ascii="Times New Roman" w:hAnsi="Times New Roman" w:cs="Times New Roman"/>
                <w:color w:val="auto"/>
                <w:szCs w:val="21"/>
              </w:rPr>
              <w:t>第一次</w:t>
            </w:r>
          </w:p>
        </w:tc>
        <w:tc>
          <w:tcPr>
            <w:tcW w:w="1423" w:type="dxa"/>
            <w:tcBorders>
              <w:tl2br w:val="nil"/>
              <w:tr2bl w:val="nil"/>
            </w:tcBorders>
            <w:vAlign w:val="center"/>
          </w:tcPr>
          <w:p w14:paraId="203A9395">
            <w:pPr>
              <w:jc w:val="center"/>
              <w:rPr>
                <w:rFonts w:hint="default" w:cs="Times New Roman"/>
                <w:color w:val="auto"/>
                <w:szCs w:val="21"/>
                <w:lang w:val="en-US" w:eastAsia="zh-CN"/>
              </w:rPr>
            </w:pPr>
            <w:r>
              <w:rPr>
                <w:rFonts w:hint="eastAsia" w:cs="Times New Roman"/>
                <w:color w:val="auto"/>
                <w:szCs w:val="21"/>
                <w:lang w:val="en-US" w:eastAsia="zh-CN"/>
              </w:rPr>
              <w:t>4.8</w:t>
            </w:r>
          </w:p>
        </w:tc>
        <w:tc>
          <w:tcPr>
            <w:tcW w:w="1423" w:type="dxa"/>
            <w:tcBorders>
              <w:tl2br w:val="nil"/>
              <w:tr2bl w:val="nil"/>
            </w:tcBorders>
            <w:vAlign w:val="center"/>
          </w:tcPr>
          <w:p w14:paraId="7C8831DD">
            <w:pPr>
              <w:jc w:val="center"/>
              <w:rPr>
                <w:rFonts w:hint="default" w:cs="Times New Roman"/>
                <w:color w:val="auto"/>
                <w:szCs w:val="21"/>
                <w:lang w:val="en-US" w:eastAsia="zh-CN"/>
              </w:rPr>
            </w:pPr>
            <w:r>
              <w:rPr>
                <w:rFonts w:hint="eastAsia" w:cs="Times New Roman"/>
                <w:color w:val="auto"/>
                <w:szCs w:val="21"/>
                <w:lang w:val="en-US" w:eastAsia="zh-CN"/>
              </w:rPr>
              <w:t>0.390</w:t>
            </w:r>
          </w:p>
        </w:tc>
        <w:tc>
          <w:tcPr>
            <w:tcW w:w="1424" w:type="dxa"/>
            <w:vMerge w:val="continue"/>
            <w:tcBorders>
              <w:tl2br w:val="nil"/>
              <w:tr2bl w:val="nil"/>
            </w:tcBorders>
            <w:vAlign w:val="center"/>
          </w:tcPr>
          <w:p w14:paraId="4BFCE673">
            <w:pPr>
              <w:jc w:val="center"/>
              <w:rPr>
                <w:rFonts w:hint="default" w:ascii="Times New Roman" w:hAnsi="Times New Roman" w:cs="Times New Roman"/>
                <w:color w:val="auto"/>
                <w:szCs w:val="21"/>
              </w:rPr>
            </w:pPr>
          </w:p>
        </w:tc>
      </w:tr>
      <w:tr w14:paraId="55FD24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1F57394D">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6D6CCEF1">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4889C889">
            <w:pPr>
              <w:jc w:val="center"/>
              <w:rPr>
                <w:rFonts w:hint="default" w:ascii="Times New Roman" w:hAnsi="Times New Roman" w:cs="Times New Roman"/>
                <w:color w:val="auto"/>
                <w:szCs w:val="21"/>
              </w:rPr>
            </w:pPr>
          </w:p>
        </w:tc>
        <w:tc>
          <w:tcPr>
            <w:tcW w:w="1423" w:type="dxa"/>
            <w:tcBorders>
              <w:tl2br w:val="nil"/>
              <w:tr2bl w:val="nil"/>
            </w:tcBorders>
            <w:vAlign w:val="center"/>
          </w:tcPr>
          <w:p w14:paraId="72461D6B">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第二次</w:t>
            </w:r>
          </w:p>
        </w:tc>
        <w:tc>
          <w:tcPr>
            <w:tcW w:w="1423" w:type="dxa"/>
            <w:tcBorders>
              <w:tl2br w:val="nil"/>
              <w:tr2bl w:val="nil"/>
            </w:tcBorders>
            <w:vAlign w:val="center"/>
          </w:tcPr>
          <w:p w14:paraId="2EFC1445">
            <w:pPr>
              <w:jc w:val="center"/>
              <w:rPr>
                <w:rFonts w:hint="default" w:cs="Times New Roman"/>
                <w:color w:val="auto"/>
                <w:szCs w:val="21"/>
                <w:lang w:val="en-US" w:eastAsia="zh-CN"/>
              </w:rPr>
            </w:pPr>
            <w:r>
              <w:rPr>
                <w:rFonts w:hint="eastAsia" w:cs="Times New Roman"/>
                <w:color w:val="auto"/>
                <w:szCs w:val="21"/>
                <w:lang w:val="en-US" w:eastAsia="zh-CN"/>
              </w:rPr>
              <w:t>4.3</w:t>
            </w:r>
          </w:p>
        </w:tc>
        <w:tc>
          <w:tcPr>
            <w:tcW w:w="1423" w:type="dxa"/>
            <w:tcBorders>
              <w:tl2br w:val="nil"/>
              <w:tr2bl w:val="nil"/>
            </w:tcBorders>
            <w:vAlign w:val="center"/>
          </w:tcPr>
          <w:p w14:paraId="200419AD">
            <w:pPr>
              <w:jc w:val="center"/>
              <w:rPr>
                <w:rFonts w:hint="default" w:cs="Times New Roman"/>
                <w:color w:val="auto"/>
                <w:szCs w:val="21"/>
                <w:lang w:val="en-US" w:eastAsia="zh-CN"/>
              </w:rPr>
            </w:pPr>
            <w:r>
              <w:rPr>
                <w:rFonts w:hint="eastAsia" w:cs="Times New Roman"/>
                <w:color w:val="auto"/>
                <w:szCs w:val="21"/>
                <w:lang w:val="en-US" w:eastAsia="zh-CN"/>
              </w:rPr>
              <w:t>0.689</w:t>
            </w:r>
          </w:p>
        </w:tc>
        <w:tc>
          <w:tcPr>
            <w:tcW w:w="1424" w:type="dxa"/>
            <w:vMerge w:val="continue"/>
            <w:tcBorders>
              <w:tl2br w:val="nil"/>
              <w:tr2bl w:val="nil"/>
            </w:tcBorders>
            <w:vAlign w:val="center"/>
          </w:tcPr>
          <w:p w14:paraId="68C0B75A">
            <w:pPr>
              <w:jc w:val="center"/>
              <w:rPr>
                <w:rFonts w:hint="default" w:ascii="Times New Roman" w:hAnsi="Times New Roman" w:cs="Times New Roman"/>
                <w:color w:val="auto"/>
                <w:szCs w:val="21"/>
              </w:rPr>
            </w:pPr>
          </w:p>
        </w:tc>
      </w:tr>
      <w:tr w14:paraId="053D9F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18612419">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6F5E9F50">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483763C6">
            <w:pPr>
              <w:jc w:val="center"/>
              <w:rPr>
                <w:rFonts w:hint="default" w:ascii="Times New Roman" w:hAnsi="Times New Roman" w:cs="Times New Roman"/>
                <w:color w:val="auto"/>
                <w:szCs w:val="21"/>
              </w:rPr>
            </w:pPr>
          </w:p>
        </w:tc>
        <w:tc>
          <w:tcPr>
            <w:tcW w:w="1423" w:type="dxa"/>
            <w:tcBorders>
              <w:tl2br w:val="nil"/>
              <w:tr2bl w:val="nil"/>
            </w:tcBorders>
            <w:vAlign w:val="center"/>
          </w:tcPr>
          <w:p w14:paraId="1350E538">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第三次</w:t>
            </w:r>
          </w:p>
        </w:tc>
        <w:tc>
          <w:tcPr>
            <w:tcW w:w="1423" w:type="dxa"/>
            <w:tcBorders>
              <w:tl2br w:val="nil"/>
              <w:tr2bl w:val="nil"/>
            </w:tcBorders>
            <w:vAlign w:val="center"/>
          </w:tcPr>
          <w:p w14:paraId="0D82858E">
            <w:pPr>
              <w:jc w:val="center"/>
              <w:rPr>
                <w:rFonts w:hint="default" w:cs="Times New Roman"/>
                <w:color w:val="auto"/>
                <w:szCs w:val="21"/>
                <w:lang w:val="en-US" w:eastAsia="zh-CN"/>
              </w:rPr>
            </w:pPr>
            <w:r>
              <w:rPr>
                <w:rFonts w:hint="eastAsia" w:cs="Times New Roman"/>
                <w:color w:val="auto"/>
                <w:szCs w:val="21"/>
                <w:lang w:val="en-US" w:eastAsia="zh-CN"/>
              </w:rPr>
              <w:t>4.7</w:t>
            </w:r>
          </w:p>
        </w:tc>
        <w:tc>
          <w:tcPr>
            <w:tcW w:w="1423" w:type="dxa"/>
            <w:tcBorders>
              <w:tl2br w:val="nil"/>
              <w:tr2bl w:val="nil"/>
            </w:tcBorders>
            <w:vAlign w:val="center"/>
          </w:tcPr>
          <w:p w14:paraId="171A8155">
            <w:pPr>
              <w:jc w:val="center"/>
              <w:rPr>
                <w:rFonts w:hint="default" w:cs="Times New Roman"/>
                <w:color w:val="auto"/>
                <w:szCs w:val="21"/>
                <w:lang w:val="en-US" w:eastAsia="zh-CN"/>
              </w:rPr>
            </w:pPr>
            <w:r>
              <w:rPr>
                <w:rFonts w:hint="eastAsia" w:cs="Times New Roman"/>
                <w:color w:val="auto"/>
                <w:szCs w:val="21"/>
                <w:lang w:val="en-US" w:eastAsia="zh-CN"/>
              </w:rPr>
              <w:t>0.681</w:t>
            </w:r>
          </w:p>
        </w:tc>
        <w:tc>
          <w:tcPr>
            <w:tcW w:w="1424" w:type="dxa"/>
            <w:vMerge w:val="continue"/>
            <w:tcBorders>
              <w:tl2br w:val="nil"/>
              <w:tr2bl w:val="nil"/>
            </w:tcBorders>
            <w:vAlign w:val="center"/>
          </w:tcPr>
          <w:p w14:paraId="0BA413A7">
            <w:pPr>
              <w:jc w:val="center"/>
              <w:rPr>
                <w:rFonts w:hint="default" w:ascii="Times New Roman" w:hAnsi="Times New Roman" w:cs="Times New Roman"/>
                <w:color w:val="auto"/>
                <w:szCs w:val="21"/>
              </w:rPr>
            </w:pPr>
          </w:p>
        </w:tc>
      </w:tr>
      <w:tr w14:paraId="68966C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07D063B2">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0F634049">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5D330F4E">
            <w:pPr>
              <w:jc w:val="center"/>
              <w:rPr>
                <w:rFonts w:hint="default" w:ascii="Times New Roman" w:hAnsi="Times New Roman" w:cs="Times New Roman"/>
                <w:color w:val="auto"/>
                <w:szCs w:val="21"/>
              </w:rPr>
            </w:pPr>
          </w:p>
        </w:tc>
        <w:tc>
          <w:tcPr>
            <w:tcW w:w="1423" w:type="dxa"/>
            <w:tcBorders>
              <w:tl2br w:val="nil"/>
              <w:tr2bl w:val="nil"/>
            </w:tcBorders>
            <w:vAlign w:val="center"/>
          </w:tcPr>
          <w:p w14:paraId="298F0012">
            <w:pPr>
              <w:jc w:val="center"/>
              <w:rPr>
                <w:rFonts w:hint="default" w:ascii="Times New Roman" w:hAnsi="Times New Roman" w:cs="Times New Roman"/>
                <w:color w:val="auto"/>
                <w:szCs w:val="21"/>
              </w:rPr>
            </w:pPr>
            <w:r>
              <w:rPr>
                <w:rFonts w:hint="default" w:ascii="Times New Roman" w:hAnsi="Times New Roman" w:cs="Times New Roman"/>
                <w:color w:val="auto"/>
                <w:szCs w:val="21"/>
              </w:rPr>
              <w:t>平均值</w:t>
            </w:r>
          </w:p>
        </w:tc>
        <w:tc>
          <w:tcPr>
            <w:tcW w:w="1423" w:type="dxa"/>
            <w:tcBorders>
              <w:tl2br w:val="nil"/>
              <w:tr2bl w:val="nil"/>
            </w:tcBorders>
            <w:vAlign w:val="center"/>
          </w:tcPr>
          <w:p w14:paraId="50B0D6EA">
            <w:pPr>
              <w:jc w:val="center"/>
              <w:rPr>
                <w:rFonts w:hint="default" w:cs="Times New Roman"/>
                <w:color w:val="auto"/>
                <w:szCs w:val="21"/>
                <w:lang w:val="en-US" w:eastAsia="zh-CN"/>
              </w:rPr>
            </w:pPr>
            <w:r>
              <w:rPr>
                <w:rFonts w:hint="eastAsia" w:cs="Times New Roman"/>
                <w:color w:val="auto"/>
                <w:szCs w:val="21"/>
                <w:lang w:val="en-US" w:eastAsia="zh-CN"/>
              </w:rPr>
              <w:t>4.6</w:t>
            </w:r>
          </w:p>
        </w:tc>
        <w:tc>
          <w:tcPr>
            <w:tcW w:w="1423" w:type="dxa"/>
            <w:tcBorders>
              <w:tl2br w:val="nil"/>
              <w:tr2bl w:val="nil"/>
            </w:tcBorders>
            <w:vAlign w:val="center"/>
          </w:tcPr>
          <w:p w14:paraId="75269510">
            <w:pPr>
              <w:jc w:val="center"/>
              <w:rPr>
                <w:rFonts w:hint="default" w:cs="Times New Roman"/>
                <w:color w:val="auto"/>
                <w:szCs w:val="21"/>
                <w:lang w:val="en-US" w:eastAsia="zh-CN"/>
              </w:rPr>
            </w:pPr>
            <w:r>
              <w:rPr>
                <w:rFonts w:hint="eastAsia" w:cs="Times New Roman"/>
                <w:color w:val="auto"/>
                <w:szCs w:val="21"/>
                <w:lang w:val="en-US" w:eastAsia="zh-CN"/>
              </w:rPr>
              <w:t>0.590</w:t>
            </w:r>
          </w:p>
        </w:tc>
        <w:tc>
          <w:tcPr>
            <w:tcW w:w="1424" w:type="dxa"/>
            <w:vMerge w:val="continue"/>
            <w:tcBorders>
              <w:tl2br w:val="nil"/>
              <w:tr2bl w:val="nil"/>
            </w:tcBorders>
            <w:vAlign w:val="center"/>
          </w:tcPr>
          <w:p w14:paraId="3A7AB080">
            <w:pPr>
              <w:jc w:val="center"/>
              <w:rPr>
                <w:rFonts w:hint="default" w:ascii="Times New Roman" w:hAnsi="Times New Roman" w:cs="Times New Roman"/>
                <w:color w:val="auto"/>
                <w:szCs w:val="21"/>
              </w:rPr>
            </w:pPr>
          </w:p>
        </w:tc>
      </w:tr>
      <w:tr w14:paraId="3840C9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236F7C34">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3E05F3B4">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2535E2C7">
            <w:pPr>
              <w:jc w:val="center"/>
              <w:rPr>
                <w:rFonts w:hint="default" w:ascii="Times New Roman" w:hAnsi="Times New Roman" w:cs="Times New Roman"/>
                <w:color w:val="auto"/>
                <w:szCs w:val="21"/>
              </w:rPr>
            </w:pPr>
          </w:p>
        </w:tc>
        <w:tc>
          <w:tcPr>
            <w:tcW w:w="1423" w:type="dxa"/>
            <w:tcBorders>
              <w:tl2br w:val="nil"/>
              <w:tr2bl w:val="nil"/>
            </w:tcBorders>
            <w:vAlign w:val="center"/>
          </w:tcPr>
          <w:p w14:paraId="4EF6367C">
            <w:pPr>
              <w:jc w:val="center"/>
              <w:rPr>
                <w:rFonts w:hint="default" w:ascii="Times New Roman" w:hAnsi="Times New Roman" w:cs="Times New Roman"/>
                <w:color w:val="auto"/>
                <w:szCs w:val="21"/>
              </w:rPr>
            </w:pPr>
            <w:r>
              <w:rPr>
                <w:rFonts w:hint="eastAsia" w:cs="Times New Roman"/>
                <w:color w:val="auto"/>
                <w:szCs w:val="21"/>
                <w:lang w:val="en-US" w:eastAsia="zh-CN"/>
              </w:rPr>
              <w:t>标准限值</w:t>
            </w:r>
          </w:p>
        </w:tc>
        <w:tc>
          <w:tcPr>
            <w:tcW w:w="1423" w:type="dxa"/>
            <w:tcBorders>
              <w:tl2br w:val="nil"/>
              <w:tr2bl w:val="nil"/>
            </w:tcBorders>
            <w:vAlign w:val="center"/>
          </w:tcPr>
          <w:p w14:paraId="757CC49E">
            <w:pPr>
              <w:jc w:val="center"/>
              <w:rPr>
                <w:rFonts w:hint="default" w:cs="Times New Roman"/>
                <w:color w:val="auto"/>
                <w:szCs w:val="21"/>
                <w:lang w:val="en-US" w:eastAsia="zh-CN"/>
              </w:rPr>
            </w:pPr>
            <w:r>
              <w:rPr>
                <w:rFonts w:hint="eastAsia" w:cs="Times New Roman"/>
                <w:color w:val="auto"/>
                <w:szCs w:val="21"/>
                <w:lang w:val="en-US" w:eastAsia="zh-CN"/>
              </w:rPr>
              <w:t>30</w:t>
            </w:r>
          </w:p>
        </w:tc>
        <w:tc>
          <w:tcPr>
            <w:tcW w:w="1423" w:type="dxa"/>
            <w:tcBorders>
              <w:tl2br w:val="nil"/>
              <w:tr2bl w:val="nil"/>
            </w:tcBorders>
            <w:vAlign w:val="center"/>
          </w:tcPr>
          <w:p w14:paraId="69F99F3E">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07F82AEC">
            <w:pPr>
              <w:jc w:val="center"/>
              <w:rPr>
                <w:rFonts w:hint="default" w:ascii="Times New Roman" w:hAnsi="Times New Roman" w:cs="Times New Roman"/>
                <w:color w:val="auto"/>
                <w:szCs w:val="21"/>
              </w:rPr>
            </w:pPr>
          </w:p>
        </w:tc>
      </w:tr>
      <w:tr w14:paraId="01F492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29558B8A">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77BA92B6">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1983D67F">
            <w:pPr>
              <w:jc w:val="center"/>
              <w:rPr>
                <w:rFonts w:hint="default" w:ascii="Times New Roman" w:hAnsi="Times New Roman" w:cs="Times New Roman"/>
                <w:color w:val="auto"/>
                <w:szCs w:val="21"/>
              </w:rPr>
            </w:pPr>
          </w:p>
        </w:tc>
        <w:tc>
          <w:tcPr>
            <w:tcW w:w="1423" w:type="dxa"/>
            <w:tcBorders>
              <w:tl2br w:val="nil"/>
              <w:tr2bl w:val="nil"/>
            </w:tcBorders>
            <w:vAlign w:val="center"/>
          </w:tcPr>
          <w:p w14:paraId="6EBD75C2">
            <w:pPr>
              <w:jc w:val="center"/>
              <w:rPr>
                <w:rFonts w:hint="default" w:ascii="Times New Roman" w:hAnsi="Times New Roman" w:cs="Times New Roman"/>
                <w:color w:val="auto"/>
                <w:szCs w:val="21"/>
              </w:rPr>
            </w:pPr>
            <w:r>
              <w:rPr>
                <w:rFonts w:hint="eastAsia" w:cs="Times New Roman"/>
                <w:color w:val="auto"/>
                <w:szCs w:val="21"/>
                <w:lang w:val="en-US" w:eastAsia="zh-CN"/>
              </w:rPr>
              <w:t>是否达标</w:t>
            </w:r>
          </w:p>
        </w:tc>
        <w:tc>
          <w:tcPr>
            <w:tcW w:w="1423" w:type="dxa"/>
            <w:tcBorders>
              <w:tl2br w:val="nil"/>
              <w:tr2bl w:val="nil"/>
            </w:tcBorders>
            <w:vAlign w:val="center"/>
          </w:tcPr>
          <w:p w14:paraId="5B5A1538">
            <w:pPr>
              <w:jc w:val="center"/>
              <w:rPr>
                <w:rFonts w:hint="eastAsia" w:cs="Times New Roman"/>
                <w:color w:val="auto"/>
                <w:szCs w:val="21"/>
                <w:lang w:val="en-US" w:eastAsia="zh-CN"/>
              </w:rPr>
            </w:pPr>
            <w:r>
              <w:rPr>
                <w:rFonts w:hint="eastAsia" w:cs="Times New Roman"/>
                <w:color w:val="auto"/>
                <w:szCs w:val="21"/>
                <w:lang w:val="en-US" w:eastAsia="zh-CN"/>
              </w:rPr>
              <w:t>达标</w:t>
            </w:r>
          </w:p>
        </w:tc>
        <w:tc>
          <w:tcPr>
            <w:tcW w:w="1423" w:type="dxa"/>
            <w:tcBorders>
              <w:tl2br w:val="nil"/>
              <w:tr2bl w:val="nil"/>
            </w:tcBorders>
            <w:vAlign w:val="center"/>
          </w:tcPr>
          <w:p w14:paraId="01EDEE78">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515E3C0E">
            <w:pPr>
              <w:jc w:val="center"/>
              <w:rPr>
                <w:rFonts w:hint="default" w:ascii="Times New Roman" w:hAnsi="Times New Roman" w:cs="Times New Roman"/>
                <w:color w:val="auto"/>
                <w:szCs w:val="21"/>
              </w:rPr>
            </w:pPr>
          </w:p>
        </w:tc>
      </w:tr>
      <w:tr w14:paraId="2CF420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6739DB43">
            <w:pPr>
              <w:jc w:val="center"/>
              <w:rPr>
                <w:rFonts w:hint="default" w:ascii="Times New Roman" w:hAnsi="Times New Roman" w:cs="Times New Roman"/>
                <w:color w:val="auto"/>
                <w:szCs w:val="21"/>
              </w:rPr>
            </w:pPr>
          </w:p>
        </w:tc>
        <w:tc>
          <w:tcPr>
            <w:tcW w:w="1243" w:type="dxa"/>
            <w:vMerge w:val="restart"/>
            <w:tcBorders>
              <w:tl2br w:val="nil"/>
              <w:tr2bl w:val="nil"/>
            </w:tcBorders>
            <w:vAlign w:val="center"/>
          </w:tcPr>
          <w:p w14:paraId="1573ACD8">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铅及其化合物</w:t>
            </w:r>
          </w:p>
        </w:tc>
        <w:tc>
          <w:tcPr>
            <w:tcW w:w="1603" w:type="dxa"/>
            <w:vMerge w:val="continue"/>
            <w:tcBorders>
              <w:tl2br w:val="nil"/>
              <w:tr2bl w:val="nil"/>
            </w:tcBorders>
            <w:vAlign w:val="center"/>
          </w:tcPr>
          <w:p w14:paraId="7B52AA1C">
            <w:pPr>
              <w:jc w:val="center"/>
              <w:rPr>
                <w:rFonts w:hint="default" w:ascii="Times New Roman" w:hAnsi="Times New Roman" w:cs="Times New Roman"/>
                <w:color w:val="auto"/>
                <w:szCs w:val="21"/>
              </w:rPr>
            </w:pPr>
          </w:p>
        </w:tc>
        <w:tc>
          <w:tcPr>
            <w:tcW w:w="1423" w:type="dxa"/>
            <w:tcBorders>
              <w:tl2br w:val="nil"/>
              <w:tr2bl w:val="nil"/>
            </w:tcBorders>
            <w:vAlign w:val="center"/>
          </w:tcPr>
          <w:p w14:paraId="1D74341F">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第一次</w:t>
            </w:r>
          </w:p>
        </w:tc>
        <w:tc>
          <w:tcPr>
            <w:tcW w:w="1423" w:type="dxa"/>
            <w:tcBorders>
              <w:tl2br w:val="nil"/>
              <w:tr2bl w:val="nil"/>
            </w:tcBorders>
            <w:vAlign w:val="center"/>
          </w:tcPr>
          <w:p w14:paraId="203DDEDF">
            <w:pPr>
              <w:jc w:val="center"/>
              <w:rPr>
                <w:rFonts w:hint="default" w:cs="Times New Roman"/>
                <w:color w:val="auto"/>
                <w:szCs w:val="21"/>
                <w:lang w:val="en-US" w:eastAsia="zh-CN"/>
              </w:rPr>
            </w:pPr>
            <w:r>
              <w:rPr>
                <w:rFonts w:hint="eastAsia" w:cs="Times New Roman"/>
                <w:color w:val="auto"/>
                <w:szCs w:val="21"/>
                <w:lang w:val="en-US" w:eastAsia="zh-CN"/>
              </w:rPr>
              <w:t>0.057</w:t>
            </w:r>
          </w:p>
        </w:tc>
        <w:tc>
          <w:tcPr>
            <w:tcW w:w="1423" w:type="dxa"/>
            <w:tcBorders>
              <w:tl2br w:val="nil"/>
              <w:tr2bl w:val="nil"/>
            </w:tcBorders>
            <w:vAlign w:val="center"/>
          </w:tcPr>
          <w:p w14:paraId="66394EE3">
            <w:pPr>
              <w:jc w:val="center"/>
              <w:rPr>
                <w:rFonts w:hint="default" w:cs="Times New Roman"/>
                <w:color w:val="auto"/>
                <w:szCs w:val="21"/>
                <w:lang w:val="en-US" w:eastAsia="zh-CN"/>
              </w:rPr>
            </w:pPr>
            <w:r>
              <w:rPr>
                <w:rFonts w:hint="eastAsia" w:cs="Times New Roman"/>
                <w:color w:val="auto"/>
                <w:szCs w:val="21"/>
                <w:lang w:val="en-US" w:eastAsia="zh-CN"/>
              </w:rPr>
              <w:t>3.48×10</w:t>
            </w:r>
            <w:r>
              <w:rPr>
                <w:rFonts w:hint="eastAsia" w:cs="Times New Roman"/>
                <w:color w:val="auto"/>
                <w:szCs w:val="21"/>
                <w:vertAlign w:val="superscript"/>
                <w:lang w:val="en-US" w:eastAsia="zh-CN"/>
              </w:rPr>
              <w:t>-3</w:t>
            </w:r>
          </w:p>
        </w:tc>
        <w:tc>
          <w:tcPr>
            <w:tcW w:w="1424" w:type="dxa"/>
            <w:vMerge w:val="continue"/>
            <w:tcBorders>
              <w:tl2br w:val="nil"/>
              <w:tr2bl w:val="nil"/>
            </w:tcBorders>
            <w:vAlign w:val="center"/>
          </w:tcPr>
          <w:p w14:paraId="063C5728">
            <w:pPr>
              <w:jc w:val="center"/>
              <w:rPr>
                <w:rFonts w:hint="default" w:ascii="Times New Roman" w:hAnsi="Times New Roman" w:cs="Times New Roman"/>
                <w:color w:val="auto"/>
                <w:szCs w:val="21"/>
              </w:rPr>
            </w:pPr>
          </w:p>
        </w:tc>
      </w:tr>
      <w:tr w14:paraId="695EB6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3DED26DF">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7055C602">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1A784382">
            <w:pPr>
              <w:jc w:val="center"/>
              <w:rPr>
                <w:rFonts w:hint="default" w:ascii="Times New Roman" w:hAnsi="Times New Roman" w:cs="Times New Roman"/>
                <w:color w:val="auto"/>
                <w:szCs w:val="21"/>
              </w:rPr>
            </w:pPr>
          </w:p>
        </w:tc>
        <w:tc>
          <w:tcPr>
            <w:tcW w:w="1423" w:type="dxa"/>
            <w:tcBorders>
              <w:tl2br w:val="nil"/>
              <w:tr2bl w:val="nil"/>
            </w:tcBorders>
            <w:vAlign w:val="center"/>
          </w:tcPr>
          <w:p w14:paraId="1F21DEF1">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第二次</w:t>
            </w:r>
          </w:p>
        </w:tc>
        <w:tc>
          <w:tcPr>
            <w:tcW w:w="1423" w:type="dxa"/>
            <w:tcBorders>
              <w:tl2br w:val="nil"/>
              <w:tr2bl w:val="nil"/>
            </w:tcBorders>
            <w:vAlign w:val="center"/>
          </w:tcPr>
          <w:p w14:paraId="5463D8C4">
            <w:pPr>
              <w:jc w:val="center"/>
              <w:rPr>
                <w:rFonts w:hint="default" w:cs="Times New Roman"/>
                <w:color w:val="auto"/>
                <w:szCs w:val="21"/>
                <w:lang w:val="en-US" w:eastAsia="zh-CN"/>
              </w:rPr>
            </w:pPr>
            <w:r>
              <w:rPr>
                <w:rFonts w:hint="eastAsia" w:cs="Times New Roman"/>
                <w:color w:val="auto"/>
                <w:szCs w:val="21"/>
                <w:lang w:val="en-US" w:eastAsia="zh-CN"/>
              </w:rPr>
              <w:t>0.058</w:t>
            </w:r>
          </w:p>
        </w:tc>
        <w:tc>
          <w:tcPr>
            <w:tcW w:w="1423" w:type="dxa"/>
            <w:tcBorders>
              <w:tl2br w:val="nil"/>
              <w:tr2bl w:val="nil"/>
            </w:tcBorders>
            <w:vAlign w:val="center"/>
          </w:tcPr>
          <w:p w14:paraId="3D73F983">
            <w:pPr>
              <w:jc w:val="center"/>
              <w:rPr>
                <w:rFonts w:hint="default" w:cs="Times New Roman"/>
                <w:color w:val="auto"/>
                <w:szCs w:val="21"/>
                <w:lang w:val="en-US" w:eastAsia="zh-CN"/>
              </w:rPr>
            </w:pPr>
            <w:r>
              <w:rPr>
                <w:rFonts w:hint="eastAsia" w:cs="Times New Roman"/>
                <w:color w:val="auto"/>
                <w:szCs w:val="21"/>
                <w:lang w:val="en-US" w:eastAsia="zh-CN"/>
              </w:rPr>
              <w:t>3.54×10</w:t>
            </w:r>
            <w:r>
              <w:rPr>
                <w:rFonts w:hint="eastAsia" w:cs="Times New Roman"/>
                <w:color w:val="auto"/>
                <w:szCs w:val="21"/>
                <w:vertAlign w:val="superscript"/>
                <w:lang w:val="en-US" w:eastAsia="zh-CN"/>
              </w:rPr>
              <w:t>-3</w:t>
            </w:r>
          </w:p>
        </w:tc>
        <w:tc>
          <w:tcPr>
            <w:tcW w:w="1424" w:type="dxa"/>
            <w:vMerge w:val="continue"/>
            <w:tcBorders>
              <w:tl2br w:val="nil"/>
              <w:tr2bl w:val="nil"/>
            </w:tcBorders>
            <w:vAlign w:val="center"/>
          </w:tcPr>
          <w:p w14:paraId="524C8D97">
            <w:pPr>
              <w:jc w:val="center"/>
              <w:rPr>
                <w:rFonts w:hint="default" w:ascii="Times New Roman" w:hAnsi="Times New Roman" w:cs="Times New Roman"/>
                <w:color w:val="auto"/>
                <w:szCs w:val="21"/>
              </w:rPr>
            </w:pPr>
          </w:p>
        </w:tc>
      </w:tr>
      <w:tr w14:paraId="2A50FA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678FCF44">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1C5A4B15">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7748BEA0">
            <w:pPr>
              <w:jc w:val="center"/>
              <w:rPr>
                <w:rFonts w:hint="default" w:ascii="Times New Roman" w:hAnsi="Times New Roman" w:cs="Times New Roman"/>
                <w:color w:val="auto"/>
                <w:szCs w:val="21"/>
              </w:rPr>
            </w:pPr>
          </w:p>
        </w:tc>
        <w:tc>
          <w:tcPr>
            <w:tcW w:w="1423" w:type="dxa"/>
            <w:tcBorders>
              <w:tl2br w:val="nil"/>
              <w:tr2bl w:val="nil"/>
            </w:tcBorders>
            <w:vAlign w:val="center"/>
          </w:tcPr>
          <w:p w14:paraId="6ADF2AAE">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第三次</w:t>
            </w:r>
          </w:p>
        </w:tc>
        <w:tc>
          <w:tcPr>
            <w:tcW w:w="1423" w:type="dxa"/>
            <w:tcBorders>
              <w:tl2br w:val="nil"/>
              <w:tr2bl w:val="nil"/>
            </w:tcBorders>
            <w:vAlign w:val="center"/>
          </w:tcPr>
          <w:p w14:paraId="773D903F">
            <w:pPr>
              <w:jc w:val="center"/>
              <w:rPr>
                <w:rFonts w:hint="default" w:cs="Times New Roman"/>
                <w:color w:val="auto"/>
                <w:szCs w:val="21"/>
                <w:lang w:val="en-US" w:eastAsia="zh-CN"/>
              </w:rPr>
            </w:pPr>
            <w:r>
              <w:rPr>
                <w:rFonts w:hint="eastAsia" w:cs="Times New Roman"/>
                <w:color w:val="auto"/>
                <w:szCs w:val="21"/>
                <w:lang w:val="en-US" w:eastAsia="zh-CN"/>
              </w:rPr>
              <w:t>0.040</w:t>
            </w:r>
          </w:p>
        </w:tc>
        <w:tc>
          <w:tcPr>
            <w:tcW w:w="1423" w:type="dxa"/>
            <w:tcBorders>
              <w:tl2br w:val="nil"/>
              <w:tr2bl w:val="nil"/>
            </w:tcBorders>
            <w:vAlign w:val="center"/>
          </w:tcPr>
          <w:p w14:paraId="02AF3E83">
            <w:pPr>
              <w:jc w:val="center"/>
              <w:rPr>
                <w:rFonts w:hint="default" w:cs="Times New Roman"/>
                <w:color w:val="auto"/>
                <w:szCs w:val="21"/>
                <w:lang w:val="en-US" w:eastAsia="zh-CN"/>
              </w:rPr>
            </w:pPr>
            <w:r>
              <w:rPr>
                <w:rFonts w:hint="eastAsia" w:cs="Times New Roman"/>
                <w:color w:val="auto"/>
                <w:szCs w:val="21"/>
                <w:lang w:val="en-US" w:eastAsia="zh-CN"/>
              </w:rPr>
              <w:t>6.92×10</w:t>
            </w:r>
            <w:r>
              <w:rPr>
                <w:rFonts w:hint="eastAsia" w:cs="Times New Roman"/>
                <w:color w:val="auto"/>
                <w:szCs w:val="21"/>
                <w:vertAlign w:val="superscript"/>
                <w:lang w:val="en-US" w:eastAsia="zh-CN"/>
              </w:rPr>
              <w:t>-3</w:t>
            </w:r>
          </w:p>
        </w:tc>
        <w:tc>
          <w:tcPr>
            <w:tcW w:w="1424" w:type="dxa"/>
            <w:vMerge w:val="continue"/>
            <w:tcBorders>
              <w:tl2br w:val="nil"/>
              <w:tr2bl w:val="nil"/>
            </w:tcBorders>
            <w:vAlign w:val="center"/>
          </w:tcPr>
          <w:p w14:paraId="3AD424CA">
            <w:pPr>
              <w:jc w:val="center"/>
              <w:rPr>
                <w:rFonts w:hint="default" w:ascii="Times New Roman" w:hAnsi="Times New Roman" w:cs="Times New Roman"/>
                <w:color w:val="auto"/>
                <w:szCs w:val="21"/>
              </w:rPr>
            </w:pPr>
          </w:p>
        </w:tc>
      </w:tr>
      <w:tr w14:paraId="6DD563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14FDDF79">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43D23A7E">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427263CE">
            <w:pPr>
              <w:jc w:val="center"/>
              <w:rPr>
                <w:rFonts w:hint="default" w:ascii="Times New Roman" w:hAnsi="Times New Roman" w:cs="Times New Roman"/>
                <w:color w:val="auto"/>
                <w:szCs w:val="21"/>
              </w:rPr>
            </w:pPr>
          </w:p>
        </w:tc>
        <w:tc>
          <w:tcPr>
            <w:tcW w:w="1423" w:type="dxa"/>
            <w:tcBorders>
              <w:tl2br w:val="nil"/>
              <w:tr2bl w:val="nil"/>
            </w:tcBorders>
            <w:vAlign w:val="center"/>
          </w:tcPr>
          <w:p w14:paraId="693D1724">
            <w:pPr>
              <w:jc w:val="center"/>
              <w:rPr>
                <w:rFonts w:hint="default" w:ascii="Times New Roman" w:hAnsi="Times New Roman" w:cs="Times New Roman"/>
                <w:color w:val="auto"/>
                <w:szCs w:val="21"/>
              </w:rPr>
            </w:pPr>
            <w:r>
              <w:rPr>
                <w:rFonts w:hint="default" w:ascii="Times New Roman" w:hAnsi="Times New Roman" w:cs="Times New Roman"/>
                <w:color w:val="auto"/>
                <w:szCs w:val="21"/>
              </w:rPr>
              <w:t>平均值</w:t>
            </w:r>
          </w:p>
        </w:tc>
        <w:tc>
          <w:tcPr>
            <w:tcW w:w="1423" w:type="dxa"/>
            <w:tcBorders>
              <w:tl2br w:val="nil"/>
              <w:tr2bl w:val="nil"/>
            </w:tcBorders>
            <w:vAlign w:val="center"/>
          </w:tcPr>
          <w:p w14:paraId="164B3139">
            <w:pPr>
              <w:jc w:val="center"/>
              <w:rPr>
                <w:rFonts w:hint="default" w:cs="Times New Roman"/>
                <w:color w:val="auto"/>
                <w:szCs w:val="21"/>
                <w:lang w:val="en-US" w:eastAsia="zh-CN"/>
              </w:rPr>
            </w:pPr>
            <w:r>
              <w:rPr>
                <w:rFonts w:hint="eastAsia" w:cs="Times New Roman"/>
                <w:color w:val="auto"/>
                <w:szCs w:val="21"/>
                <w:lang w:val="en-US" w:eastAsia="zh-CN"/>
              </w:rPr>
              <w:t>0.052</w:t>
            </w:r>
          </w:p>
        </w:tc>
        <w:tc>
          <w:tcPr>
            <w:tcW w:w="1423" w:type="dxa"/>
            <w:tcBorders>
              <w:tl2br w:val="nil"/>
              <w:tr2bl w:val="nil"/>
            </w:tcBorders>
            <w:vAlign w:val="center"/>
          </w:tcPr>
          <w:p w14:paraId="4D5E6588">
            <w:pPr>
              <w:jc w:val="center"/>
              <w:rPr>
                <w:rFonts w:hint="default" w:cs="Times New Roman"/>
                <w:color w:val="auto"/>
                <w:szCs w:val="21"/>
                <w:lang w:val="en-US" w:eastAsia="zh-CN"/>
              </w:rPr>
            </w:pPr>
            <w:r>
              <w:rPr>
                <w:rFonts w:hint="eastAsia" w:cs="Times New Roman"/>
                <w:color w:val="auto"/>
                <w:szCs w:val="21"/>
                <w:lang w:val="en-US" w:eastAsia="zh-CN"/>
              </w:rPr>
              <w:t>4.65×10</w:t>
            </w:r>
            <w:r>
              <w:rPr>
                <w:rFonts w:hint="eastAsia" w:cs="Times New Roman"/>
                <w:color w:val="auto"/>
                <w:szCs w:val="21"/>
                <w:vertAlign w:val="superscript"/>
                <w:lang w:val="en-US" w:eastAsia="zh-CN"/>
              </w:rPr>
              <w:t>-3</w:t>
            </w:r>
          </w:p>
        </w:tc>
        <w:tc>
          <w:tcPr>
            <w:tcW w:w="1424" w:type="dxa"/>
            <w:vMerge w:val="continue"/>
            <w:tcBorders>
              <w:tl2br w:val="nil"/>
              <w:tr2bl w:val="nil"/>
            </w:tcBorders>
            <w:vAlign w:val="center"/>
          </w:tcPr>
          <w:p w14:paraId="72230DF1">
            <w:pPr>
              <w:jc w:val="center"/>
              <w:rPr>
                <w:rFonts w:hint="default" w:ascii="Times New Roman" w:hAnsi="Times New Roman" w:cs="Times New Roman"/>
                <w:color w:val="auto"/>
                <w:szCs w:val="21"/>
              </w:rPr>
            </w:pPr>
          </w:p>
        </w:tc>
      </w:tr>
      <w:tr w14:paraId="222B15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1F8DDF15">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6E89DEB5">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52C6D833">
            <w:pPr>
              <w:jc w:val="center"/>
              <w:rPr>
                <w:rFonts w:hint="default" w:ascii="Times New Roman" w:hAnsi="Times New Roman" w:cs="Times New Roman"/>
                <w:color w:val="auto"/>
                <w:szCs w:val="21"/>
              </w:rPr>
            </w:pPr>
          </w:p>
        </w:tc>
        <w:tc>
          <w:tcPr>
            <w:tcW w:w="1423" w:type="dxa"/>
            <w:tcBorders>
              <w:tl2br w:val="nil"/>
              <w:tr2bl w:val="nil"/>
            </w:tcBorders>
            <w:vAlign w:val="center"/>
          </w:tcPr>
          <w:p w14:paraId="3BE2D124">
            <w:pPr>
              <w:jc w:val="center"/>
              <w:rPr>
                <w:rFonts w:hint="default" w:ascii="Times New Roman" w:hAnsi="Times New Roman" w:cs="Times New Roman"/>
                <w:color w:val="auto"/>
                <w:szCs w:val="21"/>
              </w:rPr>
            </w:pPr>
            <w:r>
              <w:rPr>
                <w:rFonts w:hint="eastAsia" w:cs="Times New Roman"/>
                <w:color w:val="auto"/>
                <w:szCs w:val="21"/>
                <w:lang w:val="en-US" w:eastAsia="zh-CN"/>
              </w:rPr>
              <w:t>标准限值</w:t>
            </w:r>
          </w:p>
        </w:tc>
        <w:tc>
          <w:tcPr>
            <w:tcW w:w="1423" w:type="dxa"/>
            <w:tcBorders>
              <w:tl2br w:val="nil"/>
              <w:tr2bl w:val="nil"/>
            </w:tcBorders>
            <w:vAlign w:val="center"/>
          </w:tcPr>
          <w:p w14:paraId="624340F0">
            <w:pPr>
              <w:jc w:val="center"/>
              <w:rPr>
                <w:rFonts w:hint="eastAsia" w:cs="Times New Roman"/>
                <w:color w:val="auto"/>
                <w:szCs w:val="21"/>
                <w:lang w:val="en-US" w:eastAsia="zh-CN"/>
              </w:rPr>
            </w:pPr>
            <w:r>
              <w:rPr>
                <w:rFonts w:hint="eastAsia" w:cs="Times New Roman"/>
                <w:color w:val="auto"/>
                <w:szCs w:val="21"/>
                <w:lang w:val="en-US" w:eastAsia="zh-CN"/>
              </w:rPr>
              <w:t>1</w:t>
            </w:r>
          </w:p>
        </w:tc>
        <w:tc>
          <w:tcPr>
            <w:tcW w:w="1423" w:type="dxa"/>
            <w:tcBorders>
              <w:tl2br w:val="nil"/>
              <w:tr2bl w:val="nil"/>
            </w:tcBorders>
            <w:vAlign w:val="center"/>
          </w:tcPr>
          <w:p w14:paraId="4ADEB5DD">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0343D94B">
            <w:pPr>
              <w:jc w:val="center"/>
              <w:rPr>
                <w:rFonts w:hint="default" w:ascii="Times New Roman" w:hAnsi="Times New Roman" w:cs="Times New Roman"/>
                <w:color w:val="auto"/>
                <w:szCs w:val="21"/>
              </w:rPr>
            </w:pPr>
          </w:p>
        </w:tc>
      </w:tr>
      <w:tr w14:paraId="482D72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3C7F1D71">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15402CB7">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58E3CB37">
            <w:pPr>
              <w:jc w:val="center"/>
              <w:rPr>
                <w:rFonts w:hint="default" w:ascii="Times New Roman" w:hAnsi="Times New Roman" w:cs="Times New Roman"/>
                <w:color w:val="auto"/>
                <w:szCs w:val="21"/>
              </w:rPr>
            </w:pPr>
          </w:p>
        </w:tc>
        <w:tc>
          <w:tcPr>
            <w:tcW w:w="1423" w:type="dxa"/>
            <w:tcBorders>
              <w:tl2br w:val="nil"/>
              <w:tr2bl w:val="nil"/>
            </w:tcBorders>
            <w:vAlign w:val="center"/>
          </w:tcPr>
          <w:p w14:paraId="19724CC8">
            <w:pPr>
              <w:jc w:val="center"/>
              <w:rPr>
                <w:rFonts w:hint="default" w:ascii="Times New Roman" w:hAnsi="Times New Roman" w:cs="Times New Roman"/>
                <w:color w:val="auto"/>
                <w:szCs w:val="21"/>
              </w:rPr>
            </w:pPr>
            <w:r>
              <w:rPr>
                <w:rFonts w:hint="eastAsia" w:cs="Times New Roman"/>
                <w:color w:val="auto"/>
                <w:szCs w:val="21"/>
                <w:lang w:val="en-US" w:eastAsia="zh-CN"/>
              </w:rPr>
              <w:t>是否达标</w:t>
            </w:r>
          </w:p>
        </w:tc>
        <w:tc>
          <w:tcPr>
            <w:tcW w:w="1423" w:type="dxa"/>
            <w:tcBorders>
              <w:tl2br w:val="nil"/>
              <w:tr2bl w:val="nil"/>
            </w:tcBorders>
            <w:vAlign w:val="center"/>
          </w:tcPr>
          <w:p w14:paraId="1CDE5044">
            <w:pPr>
              <w:jc w:val="center"/>
              <w:rPr>
                <w:rFonts w:hint="eastAsia" w:cs="Times New Roman"/>
                <w:color w:val="auto"/>
                <w:szCs w:val="21"/>
                <w:lang w:val="en-US" w:eastAsia="zh-CN"/>
              </w:rPr>
            </w:pPr>
            <w:r>
              <w:rPr>
                <w:rFonts w:hint="eastAsia" w:cs="Times New Roman"/>
                <w:color w:val="auto"/>
                <w:szCs w:val="21"/>
                <w:lang w:val="en-US" w:eastAsia="zh-CN"/>
              </w:rPr>
              <w:t>达标</w:t>
            </w:r>
          </w:p>
        </w:tc>
        <w:tc>
          <w:tcPr>
            <w:tcW w:w="1423" w:type="dxa"/>
            <w:tcBorders>
              <w:tl2br w:val="nil"/>
              <w:tr2bl w:val="nil"/>
            </w:tcBorders>
            <w:vAlign w:val="center"/>
          </w:tcPr>
          <w:p w14:paraId="753E1B38">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6312D826">
            <w:pPr>
              <w:jc w:val="center"/>
              <w:rPr>
                <w:rFonts w:hint="default" w:ascii="Times New Roman" w:hAnsi="Times New Roman" w:cs="Times New Roman"/>
                <w:color w:val="auto"/>
                <w:szCs w:val="21"/>
              </w:rPr>
            </w:pPr>
          </w:p>
        </w:tc>
      </w:tr>
      <w:tr w14:paraId="52022B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2C6808AF">
            <w:pPr>
              <w:jc w:val="center"/>
              <w:rPr>
                <w:rFonts w:hint="default" w:ascii="Times New Roman" w:hAnsi="Times New Roman" w:cs="Times New Roman"/>
                <w:color w:val="auto"/>
                <w:szCs w:val="21"/>
              </w:rPr>
            </w:pPr>
          </w:p>
        </w:tc>
        <w:tc>
          <w:tcPr>
            <w:tcW w:w="1243" w:type="dxa"/>
            <w:vMerge w:val="restart"/>
            <w:tcBorders>
              <w:tl2br w:val="nil"/>
              <w:tr2bl w:val="nil"/>
            </w:tcBorders>
            <w:vAlign w:val="center"/>
          </w:tcPr>
          <w:p w14:paraId="7DAC43C0">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锡及其化合物</w:t>
            </w:r>
          </w:p>
        </w:tc>
        <w:tc>
          <w:tcPr>
            <w:tcW w:w="1603" w:type="dxa"/>
            <w:vMerge w:val="continue"/>
            <w:tcBorders>
              <w:tl2br w:val="nil"/>
              <w:tr2bl w:val="nil"/>
            </w:tcBorders>
            <w:vAlign w:val="center"/>
          </w:tcPr>
          <w:p w14:paraId="6393E290">
            <w:pPr>
              <w:jc w:val="center"/>
              <w:rPr>
                <w:rFonts w:hint="default" w:ascii="Times New Roman" w:hAnsi="Times New Roman" w:cs="Times New Roman"/>
                <w:color w:val="auto"/>
                <w:szCs w:val="21"/>
              </w:rPr>
            </w:pPr>
          </w:p>
        </w:tc>
        <w:tc>
          <w:tcPr>
            <w:tcW w:w="1423" w:type="dxa"/>
            <w:tcBorders>
              <w:tl2br w:val="nil"/>
              <w:tr2bl w:val="nil"/>
            </w:tcBorders>
            <w:vAlign w:val="center"/>
          </w:tcPr>
          <w:p w14:paraId="3EF3D10C">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第一次</w:t>
            </w:r>
          </w:p>
        </w:tc>
        <w:tc>
          <w:tcPr>
            <w:tcW w:w="1423" w:type="dxa"/>
            <w:tcBorders>
              <w:tl2br w:val="nil"/>
              <w:tr2bl w:val="nil"/>
            </w:tcBorders>
            <w:vAlign w:val="center"/>
          </w:tcPr>
          <w:p w14:paraId="21B29895">
            <w:pPr>
              <w:jc w:val="center"/>
              <w:rPr>
                <w:rFonts w:hint="default" w:cs="Times New Roman"/>
                <w:color w:val="auto"/>
                <w:szCs w:val="21"/>
                <w:lang w:val="en-US" w:eastAsia="zh-CN"/>
              </w:rPr>
            </w:pPr>
            <w:r>
              <w:rPr>
                <w:rFonts w:hint="eastAsia" w:cs="Times New Roman"/>
                <w:color w:val="auto"/>
                <w:szCs w:val="21"/>
                <w:lang w:val="en-US" w:eastAsia="zh-CN"/>
              </w:rPr>
              <w:t>ND</w:t>
            </w:r>
          </w:p>
        </w:tc>
        <w:tc>
          <w:tcPr>
            <w:tcW w:w="1423" w:type="dxa"/>
            <w:tcBorders>
              <w:tl2br w:val="nil"/>
              <w:tr2bl w:val="nil"/>
            </w:tcBorders>
            <w:vAlign w:val="center"/>
          </w:tcPr>
          <w:p w14:paraId="012737C1">
            <w:pPr>
              <w:jc w:val="center"/>
              <w:rPr>
                <w:rFonts w:hint="default"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73CB3DBB">
            <w:pPr>
              <w:jc w:val="center"/>
              <w:rPr>
                <w:rFonts w:hint="default" w:ascii="Times New Roman" w:hAnsi="Times New Roman" w:cs="Times New Roman"/>
                <w:color w:val="auto"/>
                <w:szCs w:val="21"/>
              </w:rPr>
            </w:pPr>
          </w:p>
        </w:tc>
      </w:tr>
      <w:tr w14:paraId="1FBEBA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503E1FB3">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2CB9B850">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0458DCBC">
            <w:pPr>
              <w:jc w:val="center"/>
              <w:rPr>
                <w:rFonts w:hint="default" w:ascii="Times New Roman" w:hAnsi="Times New Roman" w:cs="Times New Roman"/>
                <w:color w:val="auto"/>
                <w:szCs w:val="21"/>
              </w:rPr>
            </w:pPr>
          </w:p>
        </w:tc>
        <w:tc>
          <w:tcPr>
            <w:tcW w:w="1423" w:type="dxa"/>
            <w:tcBorders>
              <w:tl2br w:val="nil"/>
              <w:tr2bl w:val="nil"/>
            </w:tcBorders>
            <w:vAlign w:val="center"/>
          </w:tcPr>
          <w:p w14:paraId="74EB0B37">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第二次</w:t>
            </w:r>
          </w:p>
        </w:tc>
        <w:tc>
          <w:tcPr>
            <w:tcW w:w="1423" w:type="dxa"/>
            <w:tcBorders>
              <w:tl2br w:val="nil"/>
              <w:tr2bl w:val="nil"/>
            </w:tcBorders>
            <w:vAlign w:val="center"/>
          </w:tcPr>
          <w:p w14:paraId="5E7B2FE1">
            <w:pPr>
              <w:jc w:val="center"/>
              <w:rPr>
                <w:rFonts w:hint="eastAsia" w:cs="Times New Roman"/>
                <w:color w:val="auto"/>
                <w:szCs w:val="21"/>
                <w:lang w:val="en-US" w:eastAsia="zh-CN"/>
              </w:rPr>
            </w:pPr>
            <w:r>
              <w:rPr>
                <w:rFonts w:hint="eastAsia" w:cs="Times New Roman"/>
                <w:color w:val="auto"/>
                <w:szCs w:val="21"/>
                <w:lang w:val="en-US" w:eastAsia="zh-CN"/>
              </w:rPr>
              <w:t>ND</w:t>
            </w:r>
          </w:p>
        </w:tc>
        <w:tc>
          <w:tcPr>
            <w:tcW w:w="1423" w:type="dxa"/>
            <w:tcBorders>
              <w:tl2br w:val="nil"/>
              <w:tr2bl w:val="nil"/>
            </w:tcBorders>
            <w:vAlign w:val="center"/>
          </w:tcPr>
          <w:p w14:paraId="2599FAB5">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1A201414">
            <w:pPr>
              <w:jc w:val="center"/>
              <w:rPr>
                <w:rFonts w:hint="default" w:ascii="Times New Roman" w:hAnsi="Times New Roman" w:cs="Times New Roman"/>
                <w:color w:val="auto"/>
                <w:szCs w:val="21"/>
              </w:rPr>
            </w:pPr>
          </w:p>
        </w:tc>
      </w:tr>
      <w:tr w14:paraId="059404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6E86E3C6">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7F3E2EB4">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48CB7417">
            <w:pPr>
              <w:jc w:val="center"/>
              <w:rPr>
                <w:rFonts w:hint="default" w:ascii="Times New Roman" w:hAnsi="Times New Roman" w:cs="Times New Roman"/>
                <w:color w:val="auto"/>
                <w:szCs w:val="21"/>
              </w:rPr>
            </w:pPr>
          </w:p>
        </w:tc>
        <w:tc>
          <w:tcPr>
            <w:tcW w:w="1423" w:type="dxa"/>
            <w:tcBorders>
              <w:tl2br w:val="nil"/>
              <w:tr2bl w:val="nil"/>
            </w:tcBorders>
            <w:vAlign w:val="center"/>
          </w:tcPr>
          <w:p w14:paraId="56B804ED">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第三次</w:t>
            </w:r>
          </w:p>
        </w:tc>
        <w:tc>
          <w:tcPr>
            <w:tcW w:w="1423" w:type="dxa"/>
            <w:tcBorders>
              <w:tl2br w:val="nil"/>
              <w:tr2bl w:val="nil"/>
            </w:tcBorders>
            <w:vAlign w:val="center"/>
          </w:tcPr>
          <w:p w14:paraId="5B2AB417">
            <w:pPr>
              <w:jc w:val="center"/>
              <w:rPr>
                <w:rFonts w:hint="eastAsia" w:cs="Times New Roman"/>
                <w:color w:val="auto"/>
                <w:szCs w:val="21"/>
                <w:lang w:val="en-US" w:eastAsia="zh-CN"/>
              </w:rPr>
            </w:pPr>
            <w:r>
              <w:rPr>
                <w:rFonts w:hint="eastAsia" w:cs="Times New Roman"/>
                <w:color w:val="auto"/>
                <w:szCs w:val="21"/>
                <w:lang w:val="en-US" w:eastAsia="zh-CN"/>
              </w:rPr>
              <w:t>ND</w:t>
            </w:r>
          </w:p>
        </w:tc>
        <w:tc>
          <w:tcPr>
            <w:tcW w:w="1423" w:type="dxa"/>
            <w:tcBorders>
              <w:tl2br w:val="nil"/>
              <w:tr2bl w:val="nil"/>
            </w:tcBorders>
            <w:vAlign w:val="center"/>
          </w:tcPr>
          <w:p w14:paraId="2DCDC91B">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08238BF9">
            <w:pPr>
              <w:jc w:val="center"/>
              <w:rPr>
                <w:rFonts w:hint="default" w:ascii="Times New Roman" w:hAnsi="Times New Roman" w:cs="Times New Roman"/>
                <w:color w:val="auto"/>
                <w:szCs w:val="21"/>
              </w:rPr>
            </w:pPr>
          </w:p>
        </w:tc>
      </w:tr>
      <w:tr w14:paraId="688415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66E024E4">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583B3491">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4C50D067">
            <w:pPr>
              <w:jc w:val="center"/>
              <w:rPr>
                <w:rFonts w:hint="default" w:ascii="Times New Roman" w:hAnsi="Times New Roman" w:cs="Times New Roman"/>
                <w:color w:val="auto"/>
                <w:szCs w:val="21"/>
              </w:rPr>
            </w:pPr>
          </w:p>
        </w:tc>
        <w:tc>
          <w:tcPr>
            <w:tcW w:w="1423" w:type="dxa"/>
            <w:tcBorders>
              <w:tl2br w:val="nil"/>
              <w:tr2bl w:val="nil"/>
            </w:tcBorders>
            <w:vAlign w:val="center"/>
          </w:tcPr>
          <w:p w14:paraId="0B416EF2">
            <w:pPr>
              <w:jc w:val="center"/>
              <w:rPr>
                <w:rFonts w:hint="default" w:ascii="Times New Roman" w:hAnsi="Times New Roman" w:cs="Times New Roman"/>
                <w:color w:val="auto"/>
                <w:szCs w:val="21"/>
              </w:rPr>
            </w:pPr>
            <w:r>
              <w:rPr>
                <w:rFonts w:hint="default" w:ascii="Times New Roman" w:hAnsi="Times New Roman" w:cs="Times New Roman"/>
                <w:color w:val="auto"/>
                <w:szCs w:val="21"/>
              </w:rPr>
              <w:t>平均值</w:t>
            </w:r>
          </w:p>
        </w:tc>
        <w:tc>
          <w:tcPr>
            <w:tcW w:w="1423" w:type="dxa"/>
            <w:tcBorders>
              <w:tl2br w:val="nil"/>
              <w:tr2bl w:val="nil"/>
            </w:tcBorders>
            <w:vAlign w:val="center"/>
          </w:tcPr>
          <w:p w14:paraId="0B72FB63">
            <w:pPr>
              <w:jc w:val="center"/>
              <w:rPr>
                <w:rFonts w:hint="default" w:cs="Times New Roman"/>
                <w:color w:val="auto"/>
                <w:szCs w:val="21"/>
                <w:lang w:val="en-US" w:eastAsia="zh-CN"/>
              </w:rPr>
            </w:pPr>
            <w:r>
              <w:rPr>
                <w:rFonts w:hint="eastAsia" w:cs="Times New Roman"/>
                <w:color w:val="auto"/>
                <w:szCs w:val="21"/>
                <w:lang w:val="en-US" w:eastAsia="zh-CN"/>
              </w:rPr>
              <w:t>/</w:t>
            </w:r>
          </w:p>
        </w:tc>
        <w:tc>
          <w:tcPr>
            <w:tcW w:w="1423" w:type="dxa"/>
            <w:tcBorders>
              <w:tl2br w:val="nil"/>
              <w:tr2bl w:val="nil"/>
            </w:tcBorders>
            <w:vAlign w:val="center"/>
          </w:tcPr>
          <w:p w14:paraId="666A9FBF">
            <w:pPr>
              <w:jc w:val="center"/>
              <w:rPr>
                <w:rFonts w:hint="default"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349BC728">
            <w:pPr>
              <w:jc w:val="center"/>
              <w:rPr>
                <w:rFonts w:hint="default" w:ascii="Times New Roman" w:hAnsi="Times New Roman" w:cs="Times New Roman"/>
                <w:color w:val="auto"/>
                <w:szCs w:val="21"/>
              </w:rPr>
            </w:pPr>
          </w:p>
        </w:tc>
      </w:tr>
      <w:tr w14:paraId="4A56B1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5B2E5C45">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2A54797B">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00CD2853">
            <w:pPr>
              <w:jc w:val="center"/>
              <w:rPr>
                <w:rFonts w:hint="default" w:ascii="Times New Roman" w:hAnsi="Times New Roman" w:cs="Times New Roman"/>
                <w:color w:val="auto"/>
                <w:szCs w:val="21"/>
              </w:rPr>
            </w:pPr>
          </w:p>
        </w:tc>
        <w:tc>
          <w:tcPr>
            <w:tcW w:w="1423" w:type="dxa"/>
            <w:tcBorders>
              <w:tl2br w:val="nil"/>
              <w:tr2bl w:val="nil"/>
            </w:tcBorders>
            <w:vAlign w:val="center"/>
          </w:tcPr>
          <w:p w14:paraId="26573FC8">
            <w:pPr>
              <w:jc w:val="center"/>
              <w:rPr>
                <w:rFonts w:hint="default" w:ascii="Times New Roman" w:hAnsi="Times New Roman" w:cs="Times New Roman"/>
                <w:color w:val="auto"/>
                <w:szCs w:val="21"/>
              </w:rPr>
            </w:pPr>
            <w:r>
              <w:rPr>
                <w:rFonts w:hint="eastAsia" w:cs="Times New Roman"/>
                <w:color w:val="auto"/>
                <w:szCs w:val="21"/>
                <w:lang w:val="en-US" w:eastAsia="zh-CN"/>
              </w:rPr>
              <w:t>标准限值</w:t>
            </w:r>
          </w:p>
        </w:tc>
        <w:tc>
          <w:tcPr>
            <w:tcW w:w="1423" w:type="dxa"/>
            <w:tcBorders>
              <w:tl2br w:val="nil"/>
              <w:tr2bl w:val="nil"/>
            </w:tcBorders>
            <w:vAlign w:val="center"/>
          </w:tcPr>
          <w:p w14:paraId="3AA7D4AD">
            <w:pPr>
              <w:jc w:val="center"/>
              <w:rPr>
                <w:rFonts w:hint="eastAsia" w:cs="Times New Roman"/>
                <w:color w:val="auto"/>
                <w:szCs w:val="21"/>
                <w:lang w:val="en-US" w:eastAsia="zh-CN"/>
              </w:rPr>
            </w:pPr>
            <w:r>
              <w:rPr>
                <w:rFonts w:hint="eastAsia" w:cs="Times New Roman"/>
                <w:color w:val="auto"/>
                <w:szCs w:val="21"/>
                <w:lang w:val="en-US" w:eastAsia="zh-CN"/>
              </w:rPr>
              <w:t>1</w:t>
            </w:r>
          </w:p>
        </w:tc>
        <w:tc>
          <w:tcPr>
            <w:tcW w:w="1423" w:type="dxa"/>
            <w:tcBorders>
              <w:tl2br w:val="nil"/>
              <w:tr2bl w:val="nil"/>
            </w:tcBorders>
            <w:vAlign w:val="center"/>
          </w:tcPr>
          <w:p w14:paraId="4B2D88EE">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485655E6">
            <w:pPr>
              <w:jc w:val="center"/>
              <w:rPr>
                <w:rFonts w:hint="default" w:ascii="Times New Roman" w:hAnsi="Times New Roman" w:cs="Times New Roman"/>
                <w:color w:val="auto"/>
                <w:szCs w:val="21"/>
              </w:rPr>
            </w:pPr>
          </w:p>
        </w:tc>
      </w:tr>
      <w:tr w14:paraId="3CE81C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521984DF">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6FA17F1D">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1757D2CF">
            <w:pPr>
              <w:jc w:val="center"/>
              <w:rPr>
                <w:rFonts w:hint="default" w:ascii="Times New Roman" w:hAnsi="Times New Roman" w:cs="Times New Roman"/>
                <w:color w:val="auto"/>
                <w:szCs w:val="21"/>
              </w:rPr>
            </w:pPr>
          </w:p>
        </w:tc>
        <w:tc>
          <w:tcPr>
            <w:tcW w:w="1423" w:type="dxa"/>
            <w:tcBorders>
              <w:tl2br w:val="nil"/>
              <w:tr2bl w:val="nil"/>
            </w:tcBorders>
            <w:vAlign w:val="center"/>
          </w:tcPr>
          <w:p w14:paraId="327EADA0">
            <w:pPr>
              <w:jc w:val="center"/>
              <w:rPr>
                <w:rFonts w:hint="default" w:ascii="Times New Roman" w:hAnsi="Times New Roman" w:cs="Times New Roman"/>
                <w:color w:val="auto"/>
                <w:szCs w:val="21"/>
              </w:rPr>
            </w:pPr>
            <w:r>
              <w:rPr>
                <w:rFonts w:hint="eastAsia" w:cs="Times New Roman"/>
                <w:color w:val="auto"/>
                <w:szCs w:val="21"/>
                <w:lang w:val="en-US" w:eastAsia="zh-CN"/>
              </w:rPr>
              <w:t>是否达标</w:t>
            </w:r>
          </w:p>
        </w:tc>
        <w:tc>
          <w:tcPr>
            <w:tcW w:w="1423" w:type="dxa"/>
            <w:tcBorders>
              <w:tl2br w:val="nil"/>
              <w:tr2bl w:val="nil"/>
            </w:tcBorders>
            <w:vAlign w:val="center"/>
          </w:tcPr>
          <w:p w14:paraId="2274E750">
            <w:pPr>
              <w:jc w:val="center"/>
              <w:rPr>
                <w:rFonts w:hint="eastAsia" w:cs="Times New Roman"/>
                <w:color w:val="auto"/>
                <w:szCs w:val="21"/>
                <w:lang w:val="en-US" w:eastAsia="zh-CN"/>
              </w:rPr>
            </w:pPr>
            <w:r>
              <w:rPr>
                <w:rFonts w:hint="eastAsia" w:cs="Times New Roman"/>
                <w:color w:val="auto"/>
                <w:szCs w:val="21"/>
                <w:lang w:val="en-US" w:eastAsia="zh-CN"/>
              </w:rPr>
              <w:t>达标</w:t>
            </w:r>
          </w:p>
        </w:tc>
        <w:tc>
          <w:tcPr>
            <w:tcW w:w="1423" w:type="dxa"/>
            <w:tcBorders>
              <w:tl2br w:val="nil"/>
              <w:tr2bl w:val="nil"/>
            </w:tcBorders>
            <w:vAlign w:val="center"/>
          </w:tcPr>
          <w:p w14:paraId="302787CF">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2C2C2AE7">
            <w:pPr>
              <w:jc w:val="center"/>
              <w:rPr>
                <w:rFonts w:hint="default" w:ascii="Times New Roman" w:hAnsi="Times New Roman" w:cs="Times New Roman"/>
                <w:color w:val="auto"/>
                <w:szCs w:val="21"/>
              </w:rPr>
            </w:pPr>
          </w:p>
        </w:tc>
      </w:tr>
      <w:tr w14:paraId="28AE12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060AD7EC">
            <w:pPr>
              <w:jc w:val="center"/>
              <w:rPr>
                <w:rFonts w:hint="default" w:ascii="Times New Roman" w:hAnsi="Times New Roman" w:cs="Times New Roman"/>
                <w:color w:val="auto"/>
                <w:szCs w:val="21"/>
              </w:rPr>
            </w:pPr>
          </w:p>
        </w:tc>
        <w:tc>
          <w:tcPr>
            <w:tcW w:w="1243" w:type="dxa"/>
            <w:vMerge w:val="restart"/>
            <w:tcBorders>
              <w:tl2br w:val="nil"/>
              <w:tr2bl w:val="nil"/>
            </w:tcBorders>
            <w:vAlign w:val="center"/>
          </w:tcPr>
          <w:p w14:paraId="6B87B79E">
            <w:pPr>
              <w:jc w:val="center"/>
              <w:rPr>
                <w:rFonts w:hint="eastAsia" w:ascii="Times New Roman" w:hAnsi="Times New Roman" w:eastAsia="宋体" w:cs="Times New Roman"/>
                <w:color w:val="auto"/>
                <w:szCs w:val="21"/>
                <w:lang w:val="en-US" w:eastAsia="zh-CN"/>
              </w:rPr>
            </w:pPr>
            <w:r>
              <w:rPr>
                <w:rFonts w:hint="eastAsia" w:cs="Times New Roman"/>
                <w:color w:val="auto"/>
                <w:szCs w:val="21"/>
                <w:lang w:val="en-US" w:eastAsia="zh-CN"/>
              </w:rPr>
              <w:t>镉及其化合物</w:t>
            </w:r>
          </w:p>
        </w:tc>
        <w:tc>
          <w:tcPr>
            <w:tcW w:w="1603" w:type="dxa"/>
            <w:vMerge w:val="continue"/>
            <w:tcBorders>
              <w:tl2br w:val="nil"/>
              <w:tr2bl w:val="nil"/>
            </w:tcBorders>
            <w:vAlign w:val="center"/>
          </w:tcPr>
          <w:p w14:paraId="0A1011FF">
            <w:pPr>
              <w:jc w:val="center"/>
              <w:rPr>
                <w:rFonts w:hint="default" w:ascii="Times New Roman" w:hAnsi="Times New Roman" w:cs="Times New Roman"/>
                <w:color w:val="auto"/>
                <w:szCs w:val="21"/>
              </w:rPr>
            </w:pPr>
          </w:p>
        </w:tc>
        <w:tc>
          <w:tcPr>
            <w:tcW w:w="1423" w:type="dxa"/>
            <w:tcBorders>
              <w:tl2br w:val="nil"/>
              <w:tr2bl w:val="nil"/>
            </w:tcBorders>
            <w:vAlign w:val="center"/>
          </w:tcPr>
          <w:p w14:paraId="60ADCDDC">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第一次</w:t>
            </w:r>
          </w:p>
        </w:tc>
        <w:tc>
          <w:tcPr>
            <w:tcW w:w="1423" w:type="dxa"/>
            <w:tcBorders>
              <w:tl2br w:val="nil"/>
              <w:tr2bl w:val="nil"/>
            </w:tcBorders>
            <w:vAlign w:val="center"/>
          </w:tcPr>
          <w:p w14:paraId="6093AD7C">
            <w:pPr>
              <w:jc w:val="center"/>
              <w:rPr>
                <w:rFonts w:hint="default" w:cs="Times New Roman"/>
                <w:color w:val="auto"/>
                <w:szCs w:val="21"/>
                <w:lang w:val="en-US" w:eastAsia="zh-CN"/>
              </w:rPr>
            </w:pPr>
            <w:r>
              <w:rPr>
                <w:rFonts w:hint="eastAsia" w:cs="Times New Roman"/>
                <w:color w:val="auto"/>
                <w:szCs w:val="21"/>
                <w:lang w:val="en-US" w:eastAsia="zh-CN"/>
              </w:rPr>
              <w:t>0.0127</w:t>
            </w:r>
          </w:p>
        </w:tc>
        <w:tc>
          <w:tcPr>
            <w:tcW w:w="1423" w:type="dxa"/>
            <w:tcBorders>
              <w:tl2br w:val="nil"/>
              <w:tr2bl w:val="nil"/>
            </w:tcBorders>
            <w:vAlign w:val="center"/>
          </w:tcPr>
          <w:p w14:paraId="268BB1B7">
            <w:pPr>
              <w:jc w:val="center"/>
              <w:rPr>
                <w:rFonts w:hint="default" w:cs="Times New Roman"/>
                <w:color w:val="auto"/>
                <w:szCs w:val="21"/>
                <w:lang w:val="en-US" w:eastAsia="zh-CN"/>
              </w:rPr>
            </w:pPr>
            <w:r>
              <w:rPr>
                <w:rFonts w:hint="eastAsia" w:cs="Times New Roman"/>
                <w:color w:val="auto"/>
                <w:szCs w:val="21"/>
                <w:lang w:val="en-US" w:eastAsia="zh-CN"/>
              </w:rPr>
              <w:t>7.76×10</w:t>
            </w:r>
            <w:r>
              <w:rPr>
                <w:rFonts w:hint="eastAsia" w:cs="Times New Roman"/>
                <w:color w:val="auto"/>
                <w:szCs w:val="21"/>
                <w:vertAlign w:val="superscript"/>
                <w:lang w:val="en-US" w:eastAsia="zh-CN"/>
              </w:rPr>
              <w:t>-4</w:t>
            </w:r>
          </w:p>
        </w:tc>
        <w:tc>
          <w:tcPr>
            <w:tcW w:w="1424" w:type="dxa"/>
            <w:vMerge w:val="continue"/>
            <w:tcBorders>
              <w:tl2br w:val="nil"/>
              <w:tr2bl w:val="nil"/>
            </w:tcBorders>
            <w:vAlign w:val="center"/>
          </w:tcPr>
          <w:p w14:paraId="0D8D278D">
            <w:pPr>
              <w:jc w:val="center"/>
              <w:rPr>
                <w:rFonts w:hint="default" w:ascii="Times New Roman" w:hAnsi="Times New Roman" w:cs="Times New Roman"/>
                <w:color w:val="auto"/>
                <w:szCs w:val="21"/>
              </w:rPr>
            </w:pPr>
          </w:p>
        </w:tc>
      </w:tr>
      <w:tr w14:paraId="7CDFA1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2D71D0A2">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2D295CFF">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4013D96D">
            <w:pPr>
              <w:jc w:val="center"/>
              <w:rPr>
                <w:rFonts w:hint="default" w:ascii="Times New Roman" w:hAnsi="Times New Roman" w:cs="Times New Roman"/>
                <w:color w:val="auto"/>
                <w:szCs w:val="21"/>
              </w:rPr>
            </w:pPr>
          </w:p>
        </w:tc>
        <w:tc>
          <w:tcPr>
            <w:tcW w:w="1423" w:type="dxa"/>
            <w:tcBorders>
              <w:tl2br w:val="nil"/>
              <w:tr2bl w:val="nil"/>
            </w:tcBorders>
            <w:vAlign w:val="center"/>
          </w:tcPr>
          <w:p w14:paraId="170E0863">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第二次</w:t>
            </w:r>
          </w:p>
        </w:tc>
        <w:tc>
          <w:tcPr>
            <w:tcW w:w="1423" w:type="dxa"/>
            <w:tcBorders>
              <w:tl2br w:val="nil"/>
              <w:tr2bl w:val="nil"/>
            </w:tcBorders>
            <w:vAlign w:val="center"/>
          </w:tcPr>
          <w:p w14:paraId="1B027BFC">
            <w:pPr>
              <w:jc w:val="center"/>
              <w:rPr>
                <w:rFonts w:hint="default" w:cs="Times New Roman"/>
                <w:color w:val="auto"/>
                <w:szCs w:val="21"/>
                <w:lang w:val="en-US" w:eastAsia="zh-CN"/>
              </w:rPr>
            </w:pPr>
            <w:r>
              <w:rPr>
                <w:rFonts w:hint="eastAsia" w:cs="Times New Roman"/>
                <w:color w:val="auto"/>
                <w:szCs w:val="21"/>
                <w:lang w:val="en-US" w:eastAsia="zh-CN"/>
              </w:rPr>
              <w:t>0.013</w:t>
            </w:r>
          </w:p>
        </w:tc>
        <w:tc>
          <w:tcPr>
            <w:tcW w:w="1423" w:type="dxa"/>
            <w:tcBorders>
              <w:tl2br w:val="nil"/>
              <w:tr2bl w:val="nil"/>
            </w:tcBorders>
            <w:vAlign w:val="center"/>
          </w:tcPr>
          <w:p w14:paraId="40237016">
            <w:pPr>
              <w:jc w:val="center"/>
              <w:rPr>
                <w:rFonts w:hint="default" w:cs="Times New Roman"/>
                <w:color w:val="auto"/>
                <w:szCs w:val="21"/>
                <w:lang w:val="en-US" w:eastAsia="zh-CN"/>
              </w:rPr>
            </w:pPr>
            <w:r>
              <w:rPr>
                <w:rFonts w:hint="eastAsia" w:cs="Times New Roman"/>
                <w:color w:val="auto"/>
                <w:szCs w:val="21"/>
                <w:lang w:val="en-US" w:eastAsia="zh-CN"/>
              </w:rPr>
              <w:t>7.93×10</w:t>
            </w:r>
            <w:r>
              <w:rPr>
                <w:rFonts w:hint="eastAsia" w:cs="Times New Roman"/>
                <w:color w:val="auto"/>
                <w:szCs w:val="21"/>
                <w:vertAlign w:val="superscript"/>
                <w:lang w:val="en-US" w:eastAsia="zh-CN"/>
              </w:rPr>
              <w:t>-4</w:t>
            </w:r>
          </w:p>
        </w:tc>
        <w:tc>
          <w:tcPr>
            <w:tcW w:w="1424" w:type="dxa"/>
            <w:vMerge w:val="continue"/>
            <w:tcBorders>
              <w:tl2br w:val="nil"/>
              <w:tr2bl w:val="nil"/>
            </w:tcBorders>
            <w:vAlign w:val="center"/>
          </w:tcPr>
          <w:p w14:paraId="56A44984">
            <w:pPr>
              <w:jc w:val="center"/>
              <w:rPr>
                <w:rFonts w:hint="default" w:ascii="Times New Roman" w:hAnsi="Times New Roman" w:cs="Times New Roman"/>
                <w:color w:val="auto"/>
                <w:szCs w:val="21"/>
              </w:rPr>
            </w:pPr>
          </w:p>
        </w:tc>
      </w:tr>
      <w:tr w14:paraId="1F678F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27F2BD14">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4B579BCA">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369414F9">
            <w:pPr>
              <w:jc w:val="center"/>
              <w:rPr>
                <w:rFonts w:hint="default" w:ascii="Times New Roman" w:hAnsi="Times New Roman" w:cs="Times New Roman"/>
                <w:color w:val="auto"/>
                <w:szCs w:val="21"/>
              </w:rPr>
            </w:pPr>
          </w:p>
        </w:tc>
        <w:tc>
          <w:tcPr>
            <w:tcW w:w="1423" w:type="dxa"/>
            <w:tcBorders>
              <w:tl2br w:val="nil"/>
              <w:tr2bl w:val="nil"/>
            </w:tcBorders>
            <w:vAlign w:val="center"/>
          </w:tcPr>
          <w:p w14:paraId="796EDF81">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第三次</w:t>
            </w:r>
          </w:p>
        </w:tc>
        <w:tc>
          <w:tcPr>
            <w:tcW w:w="1423" w:type="dxa"/>
            <w:tcBorders>
              <w:tl2br w:val="nil"/>
              <w:tr2bl w:val="nil"/>
            </w:tcBorders>
            <w:vAlign w:val="center"/>
          </w:tcPr>
          <w:p w14:paraId="75303254">
            <w:pPr>
              <w:jc w:val="center"/>
              <w:rPr>
                <w:rFonts w:hint="default" w:cs="Times New Roman"/>
                <w:color w:val="auto"/>
                <w:szCs w:val="21"/>
                <w:lang w:val="en-US" w:eastAsia="zh-CN"/>
              </w:rPr>
            </w:pPr>
            <w:r>
              <w:rPr>
                <w:rFonts w:hint="eastAsia" w:cs="Times New Roman"/>
                <w:color w:val="auto"/>
                <w:szCs w:val="21"/>
                <w:lang w:val="en-US" w:eastAsia="zh-CN"/>
              </w:rPr>
              <w:t>0.00907</w:t>
            </w:r>
          </w:p>
        </w:tc>
        <w:tc>
          <w:tcPr>
            <w:tcW w:w="1423" w:type="dxa"/>
            <w:tcBorders>
              <w:tl2br w:val="nil"/>
              <w:tr2bl w:val="nil"/>
            </w:tcBorders>
            <w:vAlign w:val="center"/>
          </w:tcPr>
          <w:p w14:paraId="5054CBB4">
            <w:pPr>
              <w:jc w:val="center"/>
              <w:rPr>
                <w:rFonts w:hint="default" w:cs="Times New Roman"/>
                <w:color w:val="auto"/>
                <w:szCs w:val="21"/>
                <w:lang w:val="en-US" w:eastAsia="zh-CN"/>
              </w:rPr>
            </w:pPr>
            <w:r>
              <w:rPr>
                <w:rFonts w:hint="eastAsia" w:cs="Times New Roman"/>
                <w:color w:val="auto"/>
                <w:szCs w:val="21"/>
                <w:lang w:val="en-US" w:eastAsia="zh-CN"/>
              </w:rPr>
              <w:t>1.57×10</w:t>
            </w:r>
            <w:r>
              <w:rPr>
                <w:rFonts w:hint="eastAsia" w:cs="Times New Roman"/>
                <w:color w:val="auto"/>
                <w:szCs w:val="21"/>
                <w:vertAlign w:val="superscript"/>
                <w:lang w:val="en-US" w:eastAsia="zh-CN"/>
              </w:rPr>
              <w:t>-3</w:t>
            </w:r>
          </w:p>
        </w:tc>
        <w:tc>
          <w:tcPr>
            <w:tcW w:w="1424" w:type="dxa"/>
            <w:vMerge w:val="continue"/>
            <w:tcBorders>
              <w:tl2br w:val="nil"/>
              <w:tr2bl w:val="nil"/>
            </w:tcBorders>
            <w:vAlign w:val="center"/>
          </w:tcPr>
          <w:p w14:paraId="4B2F9B7C">
            <w:pPr>
              <w:jc w:val="center"/>
              <w:rPr>
                <w:rFonts w:hint="default" w:ascii="Times New Roman" w:hAnsi="Times New Roman" w:cs="Times New Roman"/>
                <w:color w:val="auto"/>
                <w:szCs w:val="21"/>
              </w:rPr>
            </w:pPr>
          </w:p>
        </w:tc>
      </w:tr>
      <w:tr w14:paraId="7AF721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14F62F42">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4DF930B8">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7D6FA221">
            <w:pPr>
              <w:jc w:val="center"/>
              <w:rPr>
                <w:rFonts w:hint="default" w:ascii="Times New Roman" w:hAnsi="Times New Roman" w:cs="Times New Roman"/>
                <w:color w:val="auto"/>
                <w:szCs w:val="21"/>
              </w:rPr>
            </w:pPr>
          </w:p>
        </w:tc>
        <w:tc>
          <w:tcPr>
            <w:tcW w:w="1423" w:type="dxa"/>
            <w:tcBorders>
              <w:tl2br w:val="nil"/>
              <w:tr2bl w:val="nil"/>
            </w:tcBorders>
            <w:vAlign w:val="center"/>
          </w:tcPr>
          <w:p w14:paraId="19244011">
            <w:pPr>
              <w:jc w:val="center"/>
              <w:rPr>
                <w:rFonts w:hint="default" w:ascii="Times New Roman" w:hAnsi="Times New Roman" w:cs="Times New Roman"/>
                <w:color w:val="auto"/>
                <w:szCs w:val="21"/>
              </w:rPr>
            </w:pPr>
            <w:r>
              <w:rPr>
                <w:rFonts w:hint="default" w:ascii="Times New Roman" w:hAnsi="Times New Roman" w:cs="Times New Roman"/>
                <w:color w:val="auto"/>
                <w:szCs w:val="21"/>
              </w:rPr>
              <w:t>平均值</w:t>
            </w:r>
          </w:p>
        </w:tc>
        <w:tc>
          <w:tcPr>
            <w:tcW w:w="1423" w:type="dxa"/>
            <w:tcBorders>
              <w:tl2br w:val="nil"/>
              <w:tr2bl w:val="nil"/>
            </w:tcBorders>
            <w:vAlign w:val="center"/>
          </w:tcPr>
          <w:p w14:paraId="7EEBA048">
            <w:pPr>
              <w:jc w:val="center"/>
              <w:rPr>
                <w:rFonts w:hint="default" w:cs="Times New Roman"/>
                <w:color w:val="auto"/>
                <w:szCs w:val="21"/>
                <w:lang w:val="en-US" w:eastAsia="zh-CN"/>
              </w:rPr>
            </w:pPr>
            <w:r>
              <w:rPr>
                <w:rFonts w:hint="eastAsia" w:cs="Times New Roman"/>
                <w:color w:val="auto"/>
                <w:szCs w:val="21"/>
                <w:lang w:val="en-US" w:eastAsia="zh-CN"/>
              </w:rPr>
              <w:t>0.0116</w:t>
            </w:r>
          </w:p>
        </w:tc>
        <w:tc>
          <w:tcPr>
            <w:tcW w:w="1423" w:type="dxa"/>
            <w:tcBorders>
              <w:tl2br w:val="nil"/>
              <w:tr2bl w:val="nil"/>
            </w:tcBorders>
            <w:vAlign w:val="center"/>
          </w:tcPr>
          <w:p w14:paraId="25BD7761">
            <w:pPr>
              <w:jc w:val="center"/>
              <w:rPr>
                <w:rFonts w:hint="default" w:cs="Times New Roman"/>
                <w:color w:val="auto"/>
                <w:szCs w:val="21"/>
                <w:lang w:val="en-US" w:eastAsia="zh-CN"/>
              </w:rPr>
            </w:pPr>
            <w:r>
              <w:rPr>
                <w:rFonts w:hint="eastAsia" w:cs="Times New Roman"/>
                <w:color w:val="auto"/>
                <w:szCs w:val="21"/>
                <w:lang w:val="en-US" w:eastAsia="zh-CN"/>
              </w:rPr>
              <w:t>1.04×10</w:t>
            </w:r>
            <w:r>
              <w:rPr>
                <w:rFonts w:hint="eastAsia" w:cs="Times New Roman"/>
                <w:color w:val="auto"/>
                <w:szCs w:val="21"/>
                <w:vertAlign w:val="superscript"/>
                <w:lang w:val="en-US" w:eastAsia="zh-CN"/>
              </w:rPr>
              <w:t>-3</w:t>
            </w:r>
          </w:p>
        </w:tc>
        <w:tc>
          <w:tcPr>
            <w:tcW w:w="1424" w:type="dxa"/>
            <w:vMerge w:val="continue"/>
            <w:tcBorders>
              <w:tl2br w:val="nil"/>
              <w:tr2bl w:val="nil"/>
            </w:tcBorders>
            <w:vAlign w:val="center"/>
          </w:tcPr>
          <w:p w14:paraId="200F4115">
            <w:pPr>
              <w:jc w:val="center"/>
              <w:rPr>
                <w:rFonts w:hint="default" w:ascii="Times New Roman" w:hAnsi="Times New Roman" w:cs="Times New Roman"/>
                <w:color w:val="auto"/>
                <w:szCs w:val="21"/>
              </w:rPr>
            </w:pPr>
          </w:p>
        </w:tc>
      </w:tr>
      <w:tr w14:paraId="31867B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7942C1C8">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10F6D063">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11F32D71">
            <w:pPr>
              <w:jc w:val="center"/>
              <w:rPr>
                <w:rFonts w:hint="default" w:ascii="Times New Roman" w:hAnsi="Times New Roman" w:cs="Times New Roman"/>
                <w:color w:val="auto"/>
                <w:szCs w:val="21"/>
              </w:rPr>
            </w:pPr>
          </w:p>
        </w:tc>
        <w:tc>
          <w:tcPr>
            <w:tcW w:w="1423" w:type="dxa"/>
            <w:tcBorders>
              <w:tl2br w:val="nil"/>
              <w:tr2bl w:val="nil"/>
            </w:tcBorders>
            <w:vAlign w:val="center"/>
          </w:tcPr>
          <w:p w14:paraId="01CE3146">
            <w:pPr>
              <w:jc w:val="center"/>
              <w:rPr>
                <w:rFonts w:hint="default" w:ascii="Times New Roman" w:hAnsi="Times New Roman" w:cs="Times New Roman"/>
                <w:color w:val="auto"/>
                <w:szCs w:val="21"/>
              </w:rPr>
            </w:pPr>
            <w:r>
              <w:rPr>
                <w:rFonts w:hint="eastAsia" w:cs="Times New Roman"/>
                <w:color w:val="auto"/>
                <w:szCs w:val="21"/>
                <w:lang w:val="en-US" w:eastAsia="zh-CN"/>
              </w:rPr>
              <w:t>标准限值</w:t>
            </w:r>
          </w:p>
        </w:tc>
        <w:tc>
          <w:tcPr>
            <w:tcW w:w="1423" w:type="dxa"/>
            <w:tcBorders>
              <w:tl2br w:val="nil"/>
              <w:tr2bl w:val="nil"/>
            </w:tcBorders>
            <w:vAlign w:val="center"/>
          </w:tcPr>
          <w:p w14:paraId="76947BB6">
            <w:pPr>
              <w:jc w:val="center"/>
              <w:rPr>
                <w:rFonts w:hint="default" w:cs="Times New Roman"/>
                <w:color w:val="auto"/>
                <w:szCs w:val="21"/>
                <w:lang w:val="en-US" w:eastAsia="zh-CN"/>
              </w:rPr>
            </w:pPr>
            <w:r>
              <w:rPr>
                <w:rFonts w:hint="eastAsia" w:cs="Times New Roman"/>
                <w:color w:val="auto"/>
                <w:szCs w:val="21"/>
                <w:lang w:val="en-US" w:eastAsia="zh-CN"/>
              </w:rPr>
              <w:t>0.05</w:t>
            </w:r>
          </w:p>
        </w:tc>
        <w:tc>
          <w:tcPr>
            <w:tcW w:w="1423" w:type="dxa"/>
            <w:tcBorders>
              <w:tl2br w:val="nil"/>
              <w:tr2bl w:val="nil"/>
            </w:tcBorders>
            <w:vAlign w:val="center"/>
          </w:tcPr>
          <w:p w14:paraId="09097266">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48B4D26E">
            <w:pPr>
              <w:jc w:val="center"/>
              <w:rPr>
                <w:rFonts w:hint="default" w:ascii="Times New Roman" w:hAnsi="Times New Roman" w:cs="Times New Roman"/>
                <w:color w:val="auto"/>
                <w:szCs w:val="21"/>
              </w:rPr>
            </w:pPr>
          </w:p>
        </w:tc>
      </w:tr>
      <w:tr w14:paraId="325DEF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46B45A5B">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2E013B44">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3DB0DA94">
            <w:pPr>
              <w:jc w:val="center"/>
              <w:rPr>
                <w:rFonts w:hint="default" w:ascii="Times New Roman" w:hAnsi="Times New Roman" w:cs="Times New Roman"/>
                <w:color w:val="auto"/>
                <w:szCs w:val="21"/>
              </w:rPr>
            </w:pPr>
          </w:p>
        </w:tc>
        <w:tc>
          <w:tcPr>
            <w:tcW w:w="1423" w:type="dxa"/>
            <w:tcBorders>
              <w:tl2br w:val="nil"/>
              <w:tr2bl w:val="nil"/>
            </w:tcBorders>
            <w:vAlign w:val="center"/>
          </w:tcPr>
          <w:p w14:paraId="63FCA8A1">
            <w:pPr>
              <w:jc w:val="center"/>
              <w:rPr>
                <w:rFonts w:hint="default" w:ascii="Times New Roman" w:hAnsi="Times New Roman" w:cs="Times New Roman"/>
                <w:color w:val="auto"/>
                <w:szCs w:val="21"/>
              </w:rPr>
            </w:pPr>
            <w:r>
              <w:rPr>
                <w:rFonts w:hint="eastAsia" w:cs="Times New Roman"/>
                <w:color w:val="auto"/>
                <w:szCs w:val="21"/>
                <w:lang w:val="en-US" w:eastAsia="zh-CN"/>
              </w:rPr>
              <w:t>是否达标</w:t>
            </w:r>
          </w:p>
        </w:tc>
        <w:tc>
          <w:tcPr>
            <w:tcW w:w="1423" w:type="dxa"/>
            <w:tcBorders>
              <w:tl2br w:val="nil"/>
              <w:tr2bl w:val="nil"/>
            </w:tcBorders>
            <w:vAlign w:val="center"/>
          </w:tcPr>
          <w:p w14:paraId="473C26FA">
            <w:pPr>
              <w:jc w:val="center"/>
              <w:rPr>
                <w:rFonts w:hint="eastAsia" w:cs="Times New Roman"/>
                <w:color w:val="auto"/>
                <w:szCs w:val="21"/>
                <w:lang w:val="en-US" w:eastAsia="zh-CN"/>
              </w:rPr>
            </w:pPr>
            <w:r>
              <w:rPr>
                <w:rFonts w:hint="eastAsia" w:cs="Times New Roman"/>
                <w:color w:val="auto"/>
                <w:szCs w:val="21"/>
                <w:lang w:val="en-US" w:eastAsia="zh-CN"/>
              </w:rPr>
              <w:t>达标</w:t>
            </w:r>
          </w:p>
        </w:tc>
        <w:tc>
          <w:tcPr>
            <w:tcW w:w="1423" w:type="dxa"/>
            <w:tcBorders>
              <w:tl2br w:val="nil"/>
              <w:tr2bl w:val="nil"/>
            </w:tcBorders>
            <w:vAlign w:val="center"/>
          </w:tcPr>
          <w:p w14:paraId="7DBD28A2">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5D8920B3">
            <w:pPr>
              <w:jc w:val="center"/>
              <w:rPr>
                <w:rFonts w:hint="default" w:ascii="Times New Roman" w:hAnsi="Times New Roman" w:cs="Times New Roman"/>
                <w:color w:val="auto"/>
                <w:szCs w:val="21"/>
              </w:rPr>
            </w:pPr>
          </w:p>
        </w:tc>
      </w:tr>
      <w:tr w14:paraId="0932E5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40D24C18">
            <w:pPr>
              <w:jc w:val="center"/>
              <w:rPr>
                <w:rFonts w:hint="default" w:ascii="Times New Roman" w:hAnsi="Times New Roman" w:cs="Times New Roman"/>
                <w:color w:val="auto"/>
                <w:szCs w:val="21"/>
              </w:rPr>
            </w:pPr>
          </w:p>
        </w:tc>
        <w:tc>
          <w:tcPr>
            <w:tcW w:w="1243" w:type="dxa"/>
            <w:vMerge w:val="restart"/>
            <w:tcBorders>
              <w:tl2br w:val="nil"/>
              <w:tr2bl w:val="nil"/>
            </w:tcBorders>
            <w:vAlign w:val="center"/>
          </w:tcPr>
          <w:p w14:paraId="3F2C9BD2">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砷及其化合物</w:t>
            </w:r>
          </w:p>
        </w:tc>
        <w:tc>
          <w:tcPr>
            <w:tcW w:w="1603" w:type="dxa"/>
            <w:vMerge w:val="continue"/>
            <w:tcBorders>
              <w:tl2br w:val="nil"/>
              <w:tr2bl w:val="nil"/>
            </w:tcBorders>
            <w:vAlign w:val="center"/>
          </w:tcPr>
          <w:p w14:paraId="77191FB3">
            <w:pPr>
              <w:jc w:val="center"/>
              <w:rPr>
                <w:rFonts w:hint="default" w:ascii="Times New Roman" w:hAnsi="Times New Roman" w:cs="Times New Roman"/>
                <w:color w:val="auto"/>
                <w:szCs w:val="21"/>
              </w:rPr>
            </w:pPr>
          </w:p>
        </w:tc>
        <w:tc>
          <w:tcPr>
            <w:tcW w:w="1423" w:type="dxa"/>
            <w:tcBorders>
              <w:tl2br w:val="nil"/>
              <w:tr2bl w:val="nil"/>
            </w:tcBorders>
            <w:vAlign w:val="center"/>
          </w:tcPr>
          <w:p w14:paraId="2CA935B1">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第一次</w:t>
            </w:r>
          </w:p>
        </w:tc>
        <w:tc>
          <w:tcPr>
            <w:tcW w:w="1423" w:type="dxa"/>
            <w:tcBorders>
              <w:tl2br w:val="nil"/>
              <w:tr2bl w:val="nil"/>
            </w:tcBorders>
            <w:vAlign w:val="center"/>
          </w:tcPr>
          <w:p w14:paraId="77CC66FE">
            <w:pPr>
              <w:jc w:val="center"/>
              <w:rPr>
                <w:rFonts w:hint="default" w:cs="Times New Roman"/>
                <w:color w:val="auto"/>
                <w:szCs w:val="21"/>
                <w:lang w:val="en-US" w:eastAsia="zh-CN"/>
              </w:rPr>
            </w:pPr>
            <w:r>
              <w:rPr>
                <w:rFonts w:hint="eastAsia" w:cs="Times New Roman"/>
                <w:color w:val="auto"/>
                <w:szCs w:val="21"/>
                <w:lang w:val="en-US" w:eastAsia="zh-CN"/>
              </w:rPr>
              <w:t>4.88×10</w:t>
            </w:r>
            <w:r>
              <w:rPr>
                <w:rFonts w:hint="eastAsia" w:cs="Times New Roman"/>
                <w:color w:val="auto"/>
                <w:szCs w:val="21"/>
                <w:vertAlign w:val="superscript"/>
                <w:lang w:val="en-US" w:eastAsia="zh-CN"/>
              </w:rPr>
              <w:t>-4</w:t>
            </w:r>
          </w:p>
        </w:tc>
        <w:tc>
          <w:tcPr>
            <w:tcW w:w="1423" w:type="dxa"/>
            <w:tcBorders>
              <w:tl2br w:val="nil"/>
              <w:tr2bl w:val="nil"/>
            </w:tcBorders>
            <w:vAlign w:val="center"/>
          </w:tcPr>
          <w:p w14:paraId="38F8E1DD">
            <w:pPr>
              <w:jc w:val="center"/>
              <w:rPr>
                <w:rFonts w:hint="default" w:cs="Times New Roman"/>
                <w:color w:val="auto"/>
                <w:szCs w:val="21"/>
                <w:lang w:val="en-US" w:eastAsia="zh-CN"/>
              </w:rPr>
            </w:pPr>
            <w:r>
              <w:rPr>
                <w:rFonts w:hint="eastAsia" w:cs="Times New Roman"/>
                <w:color w:val="auto"/>
                <w:szCs w:val="21"/>
                <w:lang w:val="en-US" w:eastAsia="zh-CN"/>
              </w:rPr>
              <w:t>4.07×10</w:t>
            </w:r>
            <w:r>
              <w:rPr>
                <w:rFonts w:hint="eastAsia" w:cs="Times New Roman"/>
                <w:color w:val="auto"/>
                <w:szCs w:val="21"/>
                <w:vertAlign w:val="superscript"/>
                <w:lang w:val="en-US" w:eastAsia="zh-CN"/>
              </w:rPr>
              <w:t>-5</w:t>
            </w:r>
          </w:p>
        </w:tc>
        <w:tc>
          <w:tcPr>
            <w:tcW w:w="1424" w:type="dxa"/>
            <w:vMerge w:val="continue"/>
            <w:tcBorders>
              <w:tl2br w:val="nil"/>
              <w:tr2bl w:val="nil"/>
            </w:tcBorders>
            <w:vAlign w:val="center"/>
          </w:tcPr>
          <w:p w14:paraId="659F2D9D">
            <w:pPr>
              <w:jc w:val="center"/>
              <w:rPr>
                <w:rFonts w:hint="default" w:ascii="Times New Roman" w:hAnsi="Times New Roman" w:cs="Times New Roman"/>
                <w:color w:val="auto"/>
                <w:szCs w:val="21"/>
              </w:rPr>
            </w:pPr>
          </w:p>
        </w:tc>
      </w:tr>
      <w:tr w14:paraId="790B33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22A13670">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58DA3DE4">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1E35C6A1">
            <w:pPr>
              <w:jc w:val="center"/>
              <w:rPr>
                <w:rFonts w:hint="default" w:ascii="Times New Roman" w:hAnsi="Times New Roman" w:cs="Times New Roman"/>
                <w:color w:val="auto"/>
                <w:szCs w:val="21"/>
              </w:rPr>
            </w:pPr>
          </w:p>
        </w:tc>
        <w:tc>
          <w:tcPr>
            <w:tcW w:w="1423" w:type="dxa"/>
            <w:tcBorders>
              <w:tl2br w:val="nil"/>
              <w:tr2bl w:val="nil"/>
            </w:tcBorders>
            <w:vAlign w:val="center"/>
          </w:tcPr>
          <w:p w14:paraId="2F4EE967">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第二次</w:t>
            </w:r>
          </w:p>
        </w:tc>
        <w:tc>
          <w:tcPr>
            <w:tcW w:w="1423" w:type="dxa"/>
            <w:tcBorders>
              <w:tl2br w:val="nil"/>
              <w:tr2bl w:val="nil"/>
            </w:tcBorders>
            <w:vAlign w:val="center"/>
          </w:tcPr>
          <w:p w14:paraId="2324C8EC">
            <w:pPr>
              <w:jc w:val="center"/>
              <w:rPr>
                <w:rFonts w:hint="default" w:cs="Times New Roman"/>
                <w:color w:val="auto"/>
                <w:szCs w:val="21"/>
                <w:lang w:val="en-US" w:eastAsia="zh-CN"/>
              </w:rPr>
            </w:pPr>
            <w:r>
              <w:rPr>
                <w:rFonts w:hint="eastAsia" w:cs="Times New Roman"/>
                <w:color w:val="auto"/>
                <w:szCs w:val="21"/>
                <w:lang w:val="en-US" w:eastAsia="zh-CN"/>
              </w:rPr>
              <w:t>4.64×10</w:t>
            </w:r>
            <w:r>
              <w:rPr>
                <w:rFonts w:hint="eastAsia" w:cs="Times New Roman"/>
                <w:color w:val="auto"/>
                <w:szCs w:val="21"/>
                <w:vertAlign w:val="superscript"/>
                <w:lang w:val="en-US" w:eastAsia="zh-CN"/>
              </w:rPr>
              <w:t>-4</w:t>
            </w:r>
          </w:p>
        </w:tc>
        <w:tc>
          <w:tcPr>
            <w:tcW w:w="1423" w:type="dxa"/>
            <w:tcBorders>
              <w:tl2br w:val="nil"/>
              <w:tr2bl w:val="nil"/>
            </w:tcBorders>
            <w:vAlign w:val="center"/>
          </w:tcPr>
          <w:p w14:paraId="5734413C">
            <w:pPr>
              <w:jc w:val="center"/>
              <w:rPr>
                <w:rFonts w:hint="default" w:cs="Times New Roman"/>
                <w:color w:val="auto"/>
                <w:szCs w:val="21"/>
                <w:lang w:val="en-US" w:eastAsia="zh-CN"/>
              </w:rPr>
            </w:pPr>
            <w:r>
              <w:rPr>
                <w:rFonts w:hint="eastAsia" w:cs="Times New Roman"/>
                <w:color w:val="auto"/>
                <w:szCs w:val="21"/>
                <w:lang w:val="en-US" w:eastAsia="zh-CN"/>
              </w:rPr>
              <w:t>2.30×10</w:t>
            </w:r>
            <w:r>
              <w:rPr>
                <w:rFonts w:hint="eastAsia" w:cs="Times New Roman"/>
                <w:color w:val="auto"/>
                <w:szCs w:val="21"/>
                <w:vertAlign w:val="superscript"/>
                <w:lang w:val="en-US" w:eastAsia="zh-CN"/>
              </w:rPr>
              <w:t>-5</w:t>
            </w:r>
          </w:p>
        </w:tc>
        <w:tc>
          <w:tcPr>
            <w:tcW w:w="1424" w:type="dxa"/>
            <w:vMerge w:val="continue"/>
            <w:tcBorders>
              <w:tl2br w:val="nil"/>
              <w:tr2bl w:val="nil"/>
            </w:tcBorders>
            <w:vAlign w:val="center"/>
          </w:tcPr>
          <w:p w14:paraId="7C8570C9">
            <w:pPr>
              <w:jc w:val="center"/>
              <w:rPr>
                <w:rFonts w:hint="default" w:ascii="Times New Roman" w:hAnsi="Times New Roman" w:cs="Times New Roman"/>
                <w:color w:val="auto"/>
                <w:szCs w:val="21"/>
              </w:rPr>
            </w:pPr>
          </w:p>
        </w:tc>
      </w:tr>
      <w:tr w14:paraId="479D7A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4B7FE6F8">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631A634B">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384C385F">
            <w:pPr>
              <w:jc w:val="center"/>
              <w:rPr>
                <w:rFonts w:hint="default" w:ascii="Times New Roman" w:hAnsi="Times New Roman" w:cs="Times New Roman"/>
                <w:color w:val="auto"/>
                <w:szCs w:val="21"/>
              </w:rPr>
            </w:pPr>
          </w:p>
        </w:tc>
        <w:tc>
          <w:tcPr>
            <w:tcW w:w="1423" w:type="dxa"/>
            <w:tcBorders>
              <w:tl2br w:val="nil"/>
              <w:tr2bl w:val="nil"/>
            </w:tcBorders>
            <w:vAlign w:val="center"/>
          </w:tcPr>
          <w:p w14:paraId="671FAE7E">
            <w:pPr>
              <w:jc w:val="center"/>
              <w:rPr>
                <w:rFonts w:hint="default" w:ascii="Times New Roman" w:hAnsi="Times New Roman" w:cs="Times New Roman"/>
                <w:color w:val="auto"/>
                <w:szCs w:val="21"/>
              </w:rPr>
            </w:pPr>
            <w:r>
              <w:rPr>
                <w:rFonts w:hint="default" w:ascii="Times New Roman" w:hAnsi="Times New Roman" w:cs="Times New Roman"/>
                <w:color w:val="auto"/>
                <w:szCs w:val="21"/>
              </w:rPr>
              <w:t>第三次</w:t>
            </w:r>
          </w:p>
        </w:tc>
        <w:tc>
          <w:tcPr>
            <w:tcW w:w="1423" w:type="dxa"/>
            <w:tcBorders>
              <w:tl2br w:val="nil"/>
              <w:tr2bl w:val="nil"/>
            </w:tcBorders>
            <w:vAlign w:val="center"/>
          </w:tcPr>
          <w:p w14:paraId="3DF22DC8">
            <w:pPr>
              <w:jc w:val="center"/>
              <w:rPr>
                <w:rFonts w:hint="default" w:cs="Times New Roman"/>
                <w:color w:val="auto"/>
                <w:szCs w:val="21"/>
                <w:lang w:val="en-US" w:eastAsia="zh-CN"/>
              </w:rPr>
            </w:pPr>
            <w:r>
              <w:rPr>
                <w:rFonts w:hint="eastAsia" w:cs="Times New Roman"/>
                <w:color w:val="auto"/>
                <w:szCs w:val="21"/>
                <w:lang w:val="en-US" w:eastAsia="zh-CN"/>
              </w:rPr>
              <w:t>3.53×10</w:t>
            </w:r>
            <w:r>
              <w:rPr>
                <w:rFonts w:hint="eastAsia" w:cs="Times New Roman"/>
                <w:color w:val="auto"/>
                <w:szCs w:val="21"/>
                <w:vertAlign w:val="superscript"/>
                <w:lang w:val="en-US" w:eastAsia="zh-CN"/>
              </w:rPr>
              <w:t>-4</w:t>
            </w:r>
          </w:p>
        </w:tc>
        <w:tc>
          <w:tcPr>
            <w:tcW w:w="1423" w:type="dxa"/>
            <w:tcBorders>
              <w:tl2br w:val="nil"/>
              <w:tr2bl w:val="nil"/>
            </w:tcBorders>
            <w:vAlign w:val="center"/>
          </w:tcPr>
          <w:p w14:paraId="7534DD07">
            <w:pPr>
              <w:jc w:val="center"/>
              <w:rPr>
                <w:rFonts w:hint="default" w:cs="Times New Roman"/>
                <w:color w:val="auto"/>
                <w:szCs w:val="21"/>
                <w:lang w:val="en-US" w:eastAsia="zh-CN"/>
              </w:rPr>
            </w:pPr>
            <w:r>
              <w:rPr>
                <w:rFonts w:hint="eastAsia" w:cs="Times New Roman"/>
                <w:color w:val="auto"/>
                <w:szCs w:val="21"/>
                <w:lang w:val="en-US" w:eastAsia="zh-CN"/>
              </w:rPr>
              <w:t>5.81×10</w:t>
            </w:r>
            <w:r>
              <w:rPr>
                <w:rFonts w:hint="eastAsia" w:cs="Times New Roman"/>
                <w:color w:val="auto"/>
                <w:szCs w:val="21"/>
                <w:vertAlign w:val="superscript"/>
                <w:lang w:val="en-US" w:eastAsia="zh-CN"/>
              </w:rPr>
              <w:t>-5</w:t>
            </w:r>
          </w:p>
        </w:tc>
        <w:tc>
          <w:tcPr>
            <w:tcW w:w="1424" w:type="dxa"/>
            <w:vMerge w:val="continue"/>
            <w:tcBorders>
              <w:tl2br w:val="nil"/>
              <w:tr2bl w:val="nil"/>
            </w:tcBorders>
            <w:vAlign w:val="center"/>
          </w:tcPr>
          <w:p w14:paraId="30EF55DF">
            <w:pPr>
              <w:jc w:val="center"/>
              <w:rPr>
                <w:rFonts w:hint="default" w:ascii="Times New Roman" w:hAnsi="Times New Roman" w:cs="Times New Roman"/>
                <w:color w:val="auto"/>
                <w:szCs w:val="21"/>
              </w:rPr>
            </w:pPr>
          </w:p>
        </w:tc>
      </w:tr>
      <w:tr w14:paraId="5CF2B2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292CF63B">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06F35690">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3317547D">
            <w:pPr>
              <w:jc w:val="center"/>
              <w:rPr>
                <w:rFonts w:hint="default" w:ascii="Times New Roman" w:hAnsi="Times New Roman" w:cs="Times New Roman"/>
                <w:color w:val="auto"/>
                <w:szCs w:val="21"/>
              </w:rPr>
            </w:pPr>
          </w:p>
        </w:tc>
        <w:tc>
          <w:tcPr>
            <w:tcW w:w="1423" w:type="dxa"/>
            <w:tcBorders>
              <w:tl2br w:val="nil"/>
              <w:tr2bl w:val="nil"/>
            </w:tcBorders>
            <w:vAlign w:val="center"/>
          </w:tcPr>
          <w:p w14:paraId="45013C39">
            <w:pPr>
              <w:jc w:val="center"/>
              <w:rPr>
                <w:rFonts w:hint="default" w:ascii="Times New Roman" w:hAnsi="Times New Roman" w:cs="Times New Roman"/>
                <w:color w:val="auto"/>
                <w:szCs w:val="21"/>
              </w:rPr>
            </w:pPr>
            <w:r>
              <w:rPr>
                <w:rFonts w:hint="default" w:ascii="Times New Roman" w:hAnsi="Times New Roman" w:cs="Times New Roman"/>
                <w:color w:val="auto"/>
                <w:szCs w:val="21"/>
              </w:rPr>
              <w:t>平均值</w:t>
            </w:r>
          </w:p>
        </w:tc>
        <w:tc>
          <w:tcPr>
            <w:tcW w:w="1423" w:type="dxa"/>
            <w:tcBorders>
              <w:tl2br w:val="nil"/>
              <w:tr2bl w:val="nil"/>
            </w:tcBorders>
            <w:vAlign w:val="center"/>
          </w:tcPr>
          <w:p w14:paraId="7B4D7BA4">
            <w:pPr>
              <w:jc w:val="center"/>
              <w:rPr>
                <w:rFonts w:hint="default" w:cs="Times New Roman"/>
                <w:color w:val="auto"/>
                <w:szCs w:val="21"/>
                <w:lang w:val="en-US" w:eastAsia="zh-CN"/>
              </w:rPr>
            </w:pPr>
            <w:r>
              <w:rPr>
                <w:rFonts w:hint="eastAsia" w:cs="Times New Roman"/>
                <w:color w:val="auto"/>
                <w:szCs w:val="21"/>
                <w:lang w:val="en-US" w:eastAsia="zh-CN"/>
              </w:rPr>
              <w:t>4.35×10</w:t>
            </w:r>
            <w:r>
              <w:rPr>
                <w:rFonts w:hint="eastAsia" w:cs="Times New Roman"/>
                <w:color w:val="auto"/>
                <w:szCs w:val="21"/>
                <w:vertAlign w:val="superscript"/>
                <w:lang w:val="en-US" w:eastAsia="zh-CN"/>
              </w:rPr>
              <w:t>-4</w:t>
            </w:r>
          </w:p>
        </w:tc>
        <w:tc>
          <w:tcPr>
            <w:tcW w:w="1423" w:type="dxa"/>
            <w:tcBorders>
              <w:tl2br w:val="nil"/>
              <w:tr2bl w:val="nil"/>
            </w:tcBorders>
            <w:vAlign w:val="center"/>
          </w:tcPr>
          <w:p w14:paraId="6F56177A">
            <w:pPr>
              <w:jc w:val="center"/>
              <w:rPr>
                <w:rFonts w:hint="default" w:cs="Times New Roman"/>
                <w:color w:val="auto"/>
                <w:szCs w:val="21"/>
                <w:lang w:val="en-US" w:eastAsia="zh-CN"/>
              </w:rPr>
            </w:pPr>
            <w:r>
              <w:rPr>
                <w:rFonts w:hint="eastAsia" w:cs="Times New Roman"/>
                <w:color w:val="auto"/>
                <w:szCs w:val="21"/>
                <w:lang w:val="en-US" w:eastAsia="zh-CN"/>
              </w:rPr>
              <w:t>4.06×10</w:t>
            </w:r>
            <w:r>
              <w:rPr>
                <w:rFonts w:hint="eastAsia" w:cs="Times New Roman"/>
                <w:color w:val="auto"/>
                <w:szCs w:val="21"/>
                <w:vertAlign w:val="superscript"/>
                <w:lang w:val="en-US" w:eastAsia="zh-CN"/>
              </w:rPr>
              <w:t>-5</w:t>
            </w:r>
          </w:p>
        </w:tc>
        <w:tc>
          <w:tcPr>
            <w:tcW w:w="1424" w:type="dxa"/>
            <w:vMerge w:val="continue"/>
            <w:tcBorders>
              <w:tl2br w:val="nil"/>
              <w:tr2bl w:val="nil"/>
            </w:tcBorders>
            <w:vAlign w:val="center"/>
          </w:tcPr>
          <w:p w14:paraId="42D34629">
            <w:pPr>
              <w:jc w:val="center"/>
              <w:rPr>
                <w:rFonts w:hint="default" w:ascii="Times New Roman" w:hAnsi="Times New Roman" w:cs="Times New Roman"/>
                <w:color w:val="auto"/>
                <w:szCs w:val="21"/>
              </w:rPr>
            </w:pPr>
          </w:p>
        </w:tc>
      </w:tr>
      <w:tr w14:paraId="440092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270BE79C">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174275A4">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33E96546">
            <w:pPr>
              <w:jc w:val="center"/>
              <w:rPr>
                <w:rFonts w:hint="default" w:ascii="Times New Roman" w:hAnsi="Times New Roman" w:cs="Times New Roman"/>
                <w:color w:val="auto"/>
                <w:szCs w:val="21"/>
              </w:rPr>
            </w:pPr>
          </w:p>
        </w:tc>
        <w:tc>
          <w:tcPr>
            <w:tcW w:w="1423" w:type="dxa"/>
            <w:tcBorders>
              <w:tl2br w:val="nil"/>
              <w:tr2bl w:val="nil"/>
            </w:tcBorders>
            <w:vAlign w:val="center"/>
          </w:tcPr>
          <w:p w14:paraId="7E857B59">
            <w:pPr>
              <w:jc w:val="center"/>
              <w:rPr>
                <w:rFonts w:hint="default" w:ascii="Times New Roman" w:hAnsi="Times New Roman" w:cs="Times New Roman"/>
                <w:color w:val="auto"/>
                <w:szCs w:val="21"/>
              </w:rPr>
            </w:pPr>
            <w:r>
              <w:rPr>
                <w:rFonts w:hint="eastAsia" w:cs="Times New Roman"/>
                <w:color w:val="auto"/>
                <w:szCs w:val="21"/>
                <w:lang w:val="en-US" w:eastAsia="zh-CN"/>
              </w:rPr>
              <w:t>标准限值</w:t>
            </w:r>
          </w:p>
        </w:tc>
        <w:tc>
          <w:tcPr>
            <w:tcW w:w="1423" w:type="dxa"/>
            <w:tcBorders>
              <w:tl2br w:val="nil"/>
              <w:tr2bl w:val="nil"/>
            </w:tcBorders>
            <w:vAlign w:val="center"/>
          </w:tcPr>
          <w:p w14:paraId="0148EFB8">
            <w:pPr>
              <w:jc w:val="center"/>
              <w:rPr>
                <w:rFonts w:hint="default" w:cs="Times New Roman"/>
                <w:color w:val="auto"/>
                <w:szCs w:val="21"/>
                <w:lang w:val="en-US" w:eastAsia="zh-CN"/>
              </w:rPr>
            </w:pPr>
            <w:r>
              <w:rPr>
                <w:rFonts w:hint="eastAsia" w:cs="Times New Roman"/>
                <w:color w:val="auto"/>
                <w:szCs w:val="21"/>
                <w:lang w:val="en-US" w:eastAsia="zh-CN"/>
              </w:rPr>
              <w:t>0.4</w:t>
            </w:r>
          </w:p>
        </w:tc>
        <w:tc>
          <w:tcPr>
            <w:tcW w:w="1423" w:type="dxa"/>
            <w:tcBorders>
              <w:tl2br w:val="nil"/>
              <w:tr2bl w:val="nil"/>
            </w:tcBorders>
            <w:vAlign w:val="center"/>
          </w:tcPr>
          <w:p w14:paraId="1C9B8D66">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3D18EE29">
            <w:pPr>
              <w:jc w:val="center"/>
              <w:rPr>
                <w:rFonts w:hint="default" w:ascii="Times New Roman" w:hAnsi="Times New Roman" w:cs="Times New Roman"/>
                <w:color w:val="auto"/>
                <w:szCs w:val="21"/>
              </w:rPr>
            </w:pPr>
          </w:p>
        </w:tc>
      </w:tr>
      <w:tr w14:paraId="7F190F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423" w:type="dxa"/>
            <w:vMerge w:val="continue"/>
            <w:tcBorders>
              <w:tl2br w:val="nil"/>
              <w:tr2bl w:val="nil"/>
            </w:tcBorders>
            <w:vAlign w:val="center"/>
          </w:tcPr>
          <w:p w14:paraId="78E9849A">
            <w:pPr>
              <w:jc w:val="center"/>
              <w:rPr>
                <w:rFonts w:hint="default" w:ascii="Times New Roman" w:hAnsi="Times New Roman" w:cs="Times New Roman"/>
                <w:color w:val="auto"/>
                <w:szCs w:val="21"/>
              </w:rPr>
            </w:pPr>
          </w:p>
        </w:tc>
        <w:tc>
          <w:tcPr>
            <w:tcW w:w="1243" w:type="dxa"/>
            <w:vMerge w:val="continue"/>
            <w:tcBorders>
              <w:tl2br w:val="nil"/>
              <w:tr2bl w:val="nil"/>
            </w:tcBorders>
            <w:vAlign w:val="center"/>
          </w:tcPr>
          <w:p w14:paraId="14D8806B">
            <w:pPr>
              <w:jc w:val="center"/>
              <w:rPr>
                <w:rFonts w:hint="default" w:ascii="Times New Roman" w:hAnsi="Times New Roman" w:cs="Times New Roman"/>
                <w:color w:val="auto"/>
                <w:szCs w:val="21"/>
              </w:rPr>
            </w:pPr>
          </w:p>
        </w:tc>
        <w:tc>
          <w:tcPr>
            <w:tcW w:w="1603" w:type="dxa"/>
            <w:vMerge w:val="continue"/>
            <w:tcBorders>
              <w:tl2br w:val="nil"/>
              <w:tr2bl w:val="nil"/>
            </w:tcBorders>
            <w:vAlign w:val="center"/>
          </w:tcPr>
          <w:p w14:paraId="022E5387">
            <w:pPr>
              <w:jc w:val="center"/>
              <w:rPr>
                <w:rFonts w:hint="default" w:ascii="Times New Roman" w:hAnsi="Times New Roman" w:cs="Times New Roman"/>
                <w:color w:val="auto"/>
                <w:szCs w:val="21"/>
              </w:rPr>
            </w:pPr>
          </w:p>
        </w:tc>
        <w:tc>
          <w:tcPr>
            <w:tcW w:w="1423" w:type="dxa"/>
            <w:tcBorders>
              <w:tl2br w:val="nil"/>
              <w:tr2bl w:val="nil"/>
            </w:tcBorders>
            <w:vAlign w:val="center"/>
          </w:tcPr>
          <w:p w14:paraId="63C3C01E">
            <w:pPr>
              <w:jc w:val="center"/>
              <w:rPr>
                <w:rFonts w:hint="default" w:ascii="Times New Roman" w:hAnsi="Times New Roman" w:cs="Times New Roman"/>
                <w:color w:val="auto"/>
                <w:szCs w:val="21"/>
              </w:rPr>
            </w:pPr>
            <w:r>
              <w:rPr>
                <w:rFonts w:hint="eastAsia" w:cs="Times New Roman"/>
                <w:color w:val="auto"/>
                <w:szCs w:val="21"/>
                <w:lang w:val="en-US" w:eastAsia="zh-CN"/>
              </w:rPr>
              <w:t>是否达标</w:t>
            </w:r>
          </w:p>
        </w:tc>
        <w:tc>
          <w:tcPr>
            <w:tcW w:w="1423" w:type="dxa"/>
            <w:tcBorders>
              <w:tl2br w:val="nil"/>
              <w:tr2bl w:val="nil"/>
            </w:tcBorders>
            <w:vAlign w:val="center"/>
          </w:tcPr>
          <w:p w14:paraId="4980E088">
            <w:pPr>
              <w:jc w:val="center"/>
              <w:rPr>
                <w:rFonts w:hint="eastAsia" w:cs="Times New Roman"/>
                <w:color w:val="auto"/>
                <w:szCs w:val="21"/>
                <w:lang w:val="en-US" w:eastAsia="zh-CN"/>
              </w:rPr>
            </w:pPr>
            <w:r>
              <w:rPr>
                <w:rFonts w:hint="eastAsia" w:cs="Times New Roman"/>
                <w:color w:val="auto"/>
                <w:szCs w:val="21"/>
                <w:lang w:val="en-US" w:eastAsia="zh-CN"/>
              </w:rPr>
              <w:t>达标</w:t>
            </w:r>
          </w:p>
        </w:tc>
        <w:tc>
          <w:tcPr>
            <w:tcW w:w="1423" w:type="dxa"/>
            <w:tcBorders>
              <w:tl2br w:val="nil"/>
              <w:tr2bl w:val="nil"/>
            </w:tcBorders>
            <w:vAlign w:val="center"/>
          </w:tcPr>
          <w:p w14:paraId="1471D8A6">
            <w:pPr>
              <w:jc w:val="center"/>
              <w:rPr>
                <w:rFonts w:hint="eastAsia" w:cs="Times New Roman"/>
                <w:color w:val="auto"/>
                <w:szCs w:val="21"/>
                <w:lang w:val="en-US" w:eastAsia="zh-CN"/>
              </w:rPr>
            </w:pPr>
            <w:r>
              <w:rPr>
                <w:rFonts w:hint="eastAsia" w:cs="Times New Roman"/>
                <w:color w:val="auto"/>
                <w:szCs w:val="21"/>
                <w:lang w:val="en-US" w:eastAsia="zh-CN"/>
              </w:rPr>
              <w:t>/</w:t>
            </w:r>
          </w:p>
        </w:tc>
        <w:tc>
          <w:tcPr>
            <w:tcW w:w="1424" w:type="dxa"/>
            <w:vMerge w:val="continue"/>
            <w:tcBorders>
              <w:tl2br w:val="nil"/>
              <w:tr2bl w:val="nil"/>
            </w:tcBorders>
            <w:vAlign w:val="center"/>
          </w:tcPr>
          <w:p w14:paraId="541DDD7D">
            <w:pPr>
              <w:jc w:val="center"/>
              <w:rPr>
                <w:rFonts w:hint="default" w:ascii="Times New Roman" w:hAnsi="Times New Roman" w:cs="Times New Roman"/>
                <w:color w:val="auto"/>
                <w:szCs w:val="21"/>
              </w:rPr>
            </w:pPr>
          </w:p>
        </w:tc>
      </w:tr>
    </w:tbl>
    <w:p w14:paraId="6D5694C9">
      <w:pPr>
        <w:spacing w:line="360" w:lineRule="auto"/>
        <w:ind w:firstLine="480" w:firstLineChars="200"/>
        <w:rPr>
          <w:rFonts w:hint="eastAsia"/>
          <w:b w:val="0"/>
          <w:bCs w:val="0"/>
          <w:color w:val="auto"/>
          <w:sz w:val="24"/>
          <w:lang w:val="en-US" w:eastAsia="zh-CN"/>
        </w:rPr>
      </w:pPr>
    </w:p>
    <w:p w14:paraId="519C6266">
      <w:pPr>
        <w:spacing w:line="360" w:lineRule="auto"/>
        <w:ind w:firstLine="480" w:firstLineChars="200"/>
        <w:rPr>
          <w:color w:val="auto"/>
          <w:sz w:val="24"/>
          <w:szCs w:val="32"/>
        </w:rPr>
      </w:pPr>
      <w:r>
        <w:rPr>
          <w:rFonts w:hint="eastAsia"/>
          <w:b w:val="0"/>
          <w:bCs w:val="0"/>
          <w:color w:val="auto"/>
          <w:sz w:val="24"/>
          <w:lang w:val="en-US" w:eastAsia="zh-CN"/>
        </w:rPr>
        <w:t>由上表可知，氟化物、氯化氢、铅及其化合物、锡及其化合物、镉及其化合物、砷及其化合物</w:t>
      </w:r>
      <w:r>
        <w:rPr>
          <w:color w:val="auto"/>
          <w:sz w:val="24"/>
        </w:rPr>
        <w:t>排放</w:t>
      </w:r>
      <w:r>
        <w:rPr>
          <w:rFonts w:hint="eastAsia"/>
          <w:color w:val="auto"/>
          <w:sz w:val="24"/>
          <w:lang w:val="en-US" w:eastAsia="zh-CN"/>
        </w:rPr>
        <w:t>浓度满足</w:t>
      </w:r>
      <w:r>
        <w:rPr>
          <w:color w:val="auto"/>
          <w:sz w:val="24"/>
        </w:rPr>
        <w:t>《再生铜、铝、铅、锌工业污染物排放标准》（GB 31574-2015）中表3大气污染物排放限值</w:t>
      </w:r>
      <w:r>
        <w:rPr>
          <w:rFonts w:hint="eastAsia"/>
          <w:color w:val="auto"/>
          <w:sz w:val="24"/>
          <w:szCs w:val="32"/>
        </w:rPr>
        <w:t>。</w:t>
      </w:r>
    </w:p>
    <w:p w14:paraId="42288C10">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left="0" w:leftChars="0" w:firstLine="480" w:firstLineChars="200"/>
        <w:jc w:val="both"/>
        <w:textAlignment w:val="auto"/>
        <w:rPr>
          <w:rFonts w:hint="default" w:ascii="Times New Roman" w:hAnsi="Times New Roman" w:cs="Times New Roman"/>
          <w:b w:val="0"/>
          <w:bCs w:val="0"/>
          <w:color w:val="auto"/>
          <w:sz w:val="24"/>
          <w:lang w:val="en-US" w:eastAsia="zh-CN"/>
        </w:rPr>
      </w:pPr>
      <w:r>
        <w:rPr>
          <w:rFonts w:hint="eastAsia" w:ascii="Times New Roman" w:hAnsi="Times New Roman" w:cs="Times New Roman"/>
          <w:b w:val="0"/>
          <w:bCs w:val="0"/>
          <w:color w:val="auto"/>
          <w:sz w:val="24"/>
          <w:lang w:val="en-US" w:eastAsia="zh-CN"/>
        </w:rPr>
        <w:t>2、</w:t>
      </w:r>
      <w:r>
        <w:rPr>
          <w:rFonts w:hint="default" w:ascii="Times New Roman" w:hAnsi="Times New Roman" w:cs="Times New Roman"/>
          <w:b w:val="0"/>
          <w:bCs w:val="0"/>
          <w:color w:val="auto"/>
          <w:sz w:val="24"/>
          <w:lang w:val="en-US" w:eastAsia="zh-CN"/>
        </w:rPr>
        <w:t>无组织废气</w:t>
      </w:r>
    </w:p>
    <w:p w14:paraId="53E9CA93">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default" w:ascii="Times New Roman" w:hAnsi="Times New Roman" w:cs="Times New Roman"/>
          <w:b w:val="0"/>
          <w:bCs w:val="0"/>
          <w:color w:val="auto"/>
          <w:sz w:val="24"/>
          <w:szCs w:val="32"/>
        </w:rPr>
      </w:pPr>
      <w:r>
        <w:rPr>
          <w:rFonts w:hint="eastAsia"/>
          <w:color w:val="auto"/>
          <w:kern w:val="24"/>
          <w:sz w:val="24"/>
          <w:lang w:val="en-US" w:eastAsia="zh-CN"/>
        </w:rPr>
        <w:t>安徽省裕康铝业有限公司经营该项目期间</w:t>
      </w:r>
      <w:r>
        <w:rPr>
          <w:rFonts w:hint="default" w:ascii="Times New Roman" w:hAnsi="Times New Roman" w:cs="Times New Roman"/>
          <w:b w:val="0"/>
          <w:bCs w:val="0"/>
          <w:color w:val="auto"/>
          <w:sz w:val="24"/>
          <w:lang w:val="en-US" w:eastAsia="zh-CN"/>
        </w:rPr>
        <w:t>于202</w:t>
      </w:r>
      <w:r>
        <w:rPr>
          <w:rFonts w:hint="eastAsia" w:ascii="Times New Roman" w:hAnsi="Times New Roman" w:cs="Times New Roman"/>
          <w:b w:val="0"/>
          <w:bCs w:val="0"/>
          <w:color w:val="auto"/>
          <w:sz w:val="24"/>
          <w:lang w:val="en-US" w:eastAsia="zh-CN"/>
        </w:rPr>
        <w:t>4</w:t>
      </w:r>
      <w:r>
        <w:rPr>
          <w:rFonts w:hint="default" w:ascii="Times New Roman" w:hAnsi="Times New Roman" w:cs="Times New Roman"/>
          <w:b w:val="0"/>
          <w:bCs w:val="0"/>
          <w:color w:val="auto"/>
          <w:sz w:val="24"/>
          <w:lang w:val="en-US" w:eastAsia="zh-CN"/>
        </w:rPr>
        <w:t>年</w:t>
      </w:r>
      <w:r>
        <w:rPr>
          <w:rFonts w:hint="eastAsia" w:ascii="Times New Roman" w:hAnsi="Times New Roman" w:cs="Times New Roman"/>
          <w:b w:val="0"/>
          <w:bCs w:val="0"/>
          <w:color w:val="auto"/>
          <w:sz w:val="24"/>
          <w:lang w:val="en-US" w:eastAsia="zh-CN"/>
        </w:rPr>
        <w:t>8</w:t>
      </w:r>
      <w:r>
        <w:rPr>
          <w:rFonts w:hint="default" w:ascii="Times New Roman" w:hAnsi="Times New Roman" w:cs="Times New Roman"/>
          <w:b w:val="0"/>
          <w:bCs w:val="0"/>
          <w:color w:val="auto"/>
          <w:sz w:val="24"/>
          <w:lang w:val="en-US" w:eastAsia="zh-CN"/>
        </w:rPr>
        <w:t>月</w:t>
      </w:r>
      <w:r>
        <w:rPr>
          <w:rFonts w:hint="eastAsia" w:ascii="Times New Roman" w:hAnsi="Times New Roman" w:cs="Times New Roman"/>
          <w:b w:val="0"/>
          <w:bCs w:val="0"/>
          <w:color w:val="auto"/>
          <w:sz w:val="24"/>
          <w:lang w:val="en-US" w:eastAsia="zh-CN"/>
        </w:rPr>
        <w:t>2</w:t>
      </w:r>
      <w:r>
        <w:rPr>
          <w:rFonts w:hint="default" w:ascii="Times New Roman" w:hAnsi="Times New Roman" w:cs="Times New Roman"/>
          <w:b w:val="0"/>
          <w:bCs w:val="0"/>
          <w:color w:val="auto"/>
          <w:sz w:val="24"/>
          <w:lang w:val="en-US" w:eastAsia="zh-CN"/>
        </w:rPr>
        <w:t>3日委托</w:t>
      </w:r>
      <w:r>
        <w:rPr>
          <w:rFonts w:hint="default" w:ascii="Times New Roman" w:hAnsi="Times New Roman" w:cs="Times New Roman"/>
          <w:b w:val="0"/>
          <w:bCs w:val="0"/>
          <w:color w:val="auto"/>
          <w:sz w:val="24"/>
          <w:szCs w:val="32"/>
        </w:rPr>
        <w:t>安徽阿尔发环境工程有限公司对厂</w:t>
      </w:r>
      <w:r>
        <w:rPr>
          <w:rFonts w:hint="eastAsia" w:ascii="Times New Roman" w:hAnsi="Times New Roman" w:cs="Times New Roman"/>
          <w:b w:val="0"/>
          <w:bCs w:val="0"/>
          <w:color w:val="auto"/>
          <w:sz w:val="24"/>
          <w:szCs w:val="32"/>
          <w:lang w:val="en-US" w:eastAsia="zh-CN"/>
        </w:rPr>
        <w:t>界</w:t>
      </w:r>
      <w:r>
        <w:rPr>
          <w:rFonts w:hint="default" w:ascii="Times New Roman" w:hAnsi="Times New Roman" w:cs="Times New Roman"/>
          <w:b w:val="0"/>
          <w:bCs w:val="0"/>
          <w:color w:val="auto"/>
          <w:sz w:val="24"/>
          <w:szCs w:val="32"/>
        </w:rPr>
        <w:t>无组织废气进行了检测，具体检测结果如下：</w:t>
      </w:r>
    </w:p>
    <w:p w14:paraId="0C61AC53">
      <w:pPr>
        <w:spacing w:line="360" w:lineRule="auto"/>
        <w:jc w:val="center"/>
        <w:rPr>
          <w:rFonts w:hint="default" w:ascii="Times New Roman" w:hAnsi="Times New Roman" w:cs="Times New Roman"/>
          <w:b/>
          <w:bCs/>
          <w:color w:val="auto"/>
          <w:sz w:val="24"/>
          <w:szCs w:val="32"/>
        </w:rPr>
      </w:pPr>
      <w:r>
        <w:rPr>
          <w:rFonts w:hint="default" w:ascii="Times New Roman" w:hAnsi="Times New Roman" w:cs="Times New Roman"/>
          <w:b/>
          <w:bCs/>
          <w:color w:val="auto"/>
          <w:sz w:val="24"/>
          <w:szCs w:val="32"/>
        </w:rPr>
        <w:t>表3-</w:t>
      </w:r>
      <w:r>
        <w:rPr>
          <w:rFonts w:hint="eastAsia" w:cs="Times New Roman"/>
          <w:b/>
          <w:bCs/>
          <w:color w:val="auto"/>
          <w:sz w:val="24"/>
          <w:szCs w:val="32"/>
          <w:lang w:val="en-US" w:eastAsia="zh-CN"/>
        </w:rPr>
        <w:t>9</w:t>
      </w:r>
      <w:r>
        <w:rPr>
          <w:rFonts w:hint="default" w:ascii="Times New Roman" w:hAnsi="Times New Roman" w:cs="Times New Roman"/>
          <w:b/>
          <w:bCs/>
          <w:color w:val="auto"/>
          <w:sz w:val="24"/>
          <w:szCs w:val="32"/>
        </w:rPr>
        <w:t xml:space="preserve"> 无组织废气监测结果一览表</w:t>
      </w:r>
    </w:p>
    <w:tbl>
      <w:tblPr>
        <w:tblStyle w:val="31"/>
        <w:tblW w:w="4997"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547"/>
        <w:gridCol w:w="1063"/>
        <w:gridCol w:w="1179"/>
        <w:gridCol w:w="1386"/>
        <w:gridCol w:w="1356"/>
        <w:gridCol w:w="1470"/>
        <w:gridCol w:w="1955"/>
      </w:tblGrid>
      <w:tr w14:paraId="79B5FBC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31C723C5">
            <w:pPr>
              <w:widowControl/>
              <w:jc w:val="center"/>
              <w:textAlignment w:val="center"/>
              <w:rPr>
                <w:b/>
                <w:bCs/>
                <w:color w:val="auto"/>
                <w:szCs w:val="21"/>
              </w:rPr>
            </w:pPr>
            <w:r>
              <w:rPr>
                <w:b/>
                <w:bCs/>
                <w:color w:val="auto"/>
                <w:kern w:val="0"/>
                <w:szCs w:val="21"/>
                <w:lang w:bidi="ar"/>
              </w:rPr>
              <w:t>检测项目</w:t>
            </w:r>
          </w:p>
        </w:tc>
        <w:tc>
          <w:tcPr>
            <w:tcW w:w="534" w:type="pct"/>
            <w:vMerge w:val="restart"/>
            <w:tcBorders>
              <w:tl2br w:val="nil"/>
              <w:tr2bl w:val="nil"/>
            </w:tcBorders>
            <w:vAlign w:val="center"/>
          </w:tcPr>
          <w:p w14:paraId="7D6F6809">
            <w:pPr>
              <w:widowControl/>
              <w:jc w:val="center"/>
              <w:textAlignment w:val="center"/>
              <w:rPr>
                <w:b/>
                <w:bCs/>
                <w:color w:val="auto"/>
                <w:szCs w:val="21"/>
              </w:rPr>
            </w:pPr>
            <w:r>
              <w:rPr>
                <w:b/>
                <w:bCs/>
                <w:color w:val="auto"/>
                <w:kern w:val="0"/>
                <w:szCs w:val="21"/>
                <w:lang w:bidi="ar"/>
              </w:rPr>
              <w:t>采样时间</w:t>
            </w:r>
          </w:p>
        </w:tc>
        <w:tc>
          <w:tcPr>
            <w:tcW w:w="592" w:type="pct"/>
            <w:vMerge w:val="restart"/>
            <w:tcBorders>
              <w:tl2br w:val="nil"/>
              <w:tr2bl w:val="nil"/>
            </w:tcBorders>
            <w:vAlign w:val="center"/>
          </w:tcPr>
          <w:p w14:paraId="47170F87">
            <w:pPr>
              <w:widowControl/>
              <w:jc w:val="center"/>
              <w:textAlignment w:val="center"/>
              <w:rPr>
                <w:b/>
                <w:bCs/>
                <w:color w:val="auto"/>
                <w:szCs w:val="21"/>
              </w:rPr>
            </w:pPr>
            <w:r>
              <w:rPr>
                <w:b/>
                <w:bCs/>
                <w:color w:val="auto"/>
                <w:kern w:val="0"/>
                <w:szCs w:val="21"/>
                <w:lang w:bidi="ar"/>
              </w:rPr>
              <w:t>频次</w:t>
            </w:r>
          </w:p>
        </w:tc>
        <w:tc>
          <w:tcPr>
            <w:tcW w:w="3094" w:type="pct"/>
            <w:gridSpan w:val="4"/>
            <w:tcBorders>
              <w:tl2br w:val="nil"/>
              <w:tr2bl w:val="nil"/>
            </w:tcBorders>
            <w:vAlign w:val="center"/>
          </w:tcPr>
          <w:p w14:paraId="60C8F674">
            <w:pPr>
              <w:widowControl/>
              <w:jc w:val="center"/>
              <w:textAlignment w:val="center"/>
              <w:rPr>
                <w:b/>
                <w:bCs/>
                <w:color w:val="auto"/>
                <w:szCs w:val="21"/>
              </w:rPr>
            </w:pPr>
            <w:r>
              <w:rPr>
                <w:b/>
                <w:bCs/>
                <w:color w:val="auto"/>
                <w:kern w:val="0"/>
                <w:szCs w:val="21"/>
                <w:lang w:bidi="ar"/>
              </w:rPr>
              <w:t>检测点位</w:t>
            </w:r>
          </w:p>
        </w:tc>
      </w:tr>
      <w:tr w14:paraId="07BC146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246F26C1">
            <w:pPr>
              <w:jc w:val="center"/>
              <w:rPr>
                <w:b/>
                <w:bCs/>
                <w:color w:val="auto"/>
                <w:szCs w:val="21"/>
              </w:rPr>
            </w:pPr>
          </w:p>
        </w:tc>
        <w:tc>
          <w:tcPr>
            <w:tcW w:w="534" w:type="pct"/>
            <w:vMerge w:val="continue"/>
            <w:tcBorders>
              <w:tl2br w:val="nil"/>
              <w:tr2bl w:val="nil"/>
            </w:tcBorders>
            <w:vAlign w:val="center"/>
          </w:tcPr>
          <w:p w14:paraId="32BEC0A3">
            <w:pPr>
              <w:jc w:val="center"/>
              <w:rPr>
                <w:b/>
                <w:bCs/>
                <w:color w:val="auto"/>
                <w:szCs w:val="21"/>
              </w:rPr>
            </w:pPr>
          </w:p>
        </w:tc>
        <w:tc>
          <w:tcPr>
            <w:tcW w:w="592" w:type="pct"/>
            <w:vMerge w:val="continue"/>
            <w:tcBorders>
              <w:tl2br w:val="nil"/>
              <w:tr2bl w:val="nil"/>
            </w:tcBorders>
            <w:vAlign w:val="center"/>
          </w:tcPr>
          <w:p w14:paraId="4D925026">
            <w:pPr>
              <w:jc w:val="center"/>
              <w:rPr>
                <w:b/>
                <w:bCs/>
                <w:color w:val="auto"/>
                <w:szCs w:val="21"/>
              </w:rPr>
            </w:pPr>
          </w:p>
        </w:tc>
        <w:tc>
          <w:tcPr>
            <w:tcW w:w="696" w:type="pct"/>
            <w:tcBorders>
              <w:tl2br w:val="nil"/>
              <w:tr2bl w:val="nil"/>
            </w:tcBorders>
            <w:vAlign w:val="center"/>
          </w:tcPr>
          <w:p w14:paraId="099D4601">
            <w:pPr>
              <w:widowControl/>
              <w:jc w:val="center"/>
              <w:textAlignment w:val="center"/>
              <w:rPr>
                <w:b/>
                <w:bCs/>
                <w:color w:val="auto"/>
                <w:szCs w:val="21"/>
              </w:rPr>
            </w:pPr>
            <w:r>
              <w:rPr>
                <w:b/>
                <w:bCs/>
                <w:color w:val="auto"/>
                <w:kern w:val="0"/>
                <w:szCs w:val="21"/>
                <w:lang w:bidi="ar"/>
              </w:rPr>
              <w:t>上风向1#</w:t>
            </w:r>
          </w:p>
        </w:tc>
        <w:tc>
          <w:tcPr>
            <w:tcW w:w="681" w:type="pct"/>
            <w:tcBorders>
              <w:tl2br w:val="nil"/>
              <w:tr2bl w:val="nil"/>
            </w:tcBorders>
            <w:vAlign w:val="center"/>
          </w:tcPr>
          <w:p w14:paraId="6FA3FF46">
            <w:pPr>
              <w:widowControl/>
              <w:jc w:val="center"/>
              <w:textAlignment w:val="center"/>
              <w:rPr>
                <w:b/>
                <w:bCs/>
                <w:color w:val="auto"/>
                <w:szCs w:val="21"/>
              </w:rPr>
            </w:pPr>
            <w:r>
              <w:rPr>
                <w:b/>
                <w:bCs/>
                <w:color w:val="auto"/>
                <w:kern w:val="0"/>
                <w:szCs w:val="21"/>
                <w:lang w:bidi="ar"/>
              </w:rPr>
              <w:t>下风向2#</w:t>
            </w:r>
          </w:p>
        </w:tc>
        <w:tc>
          <w:tcPr>
            <w:tcW w:w="738" w:type="pct"/>
            <w:tcBorders>
              <w:tl2br w:val="nil"/>
              <w:tr2bl w:val="nil"/>
            </w:tcBorders>
            <w:vAlign w:val="center"/>
          </w:tcPr>
          <w:p w14:paraId="527D5F61">
            <w:pPr>
              <w:widowControl/>
              <w:jc w:val="center"/>
              <w:textAlignment w:val="center"/>
              <w:rPr>
                <w:b/>
                <w:bCs/>
                <w:color w:val="auto"/>
                <w:szCs w:val="21"/>
              </w:rPr>
            </w:pPr>
            <w:r>
              <w:rPr>
                <w:b/>
                <w:bCs/>
                <w:color w:val="auto"/>
                <w:kern w:val="0"/>
                <w:szCs w:val="21"/>
                <w:lang w:bidi="ar"/>
              </w:rPr>
              <w:t>下风向3#</w:t>
            </w:r>
          </w:p>
        </w:tc>
        <w:tc>
          <w:tcPr>
            <w:tcW w:w="978" w:type="pct"/>
            <w:tcBorders>
              <w:tl2br w:val="nil"/>
              <w:tr2bl w:val="nil"/>
            </w:tcBorders>
            <w:vAlign w:val="center"/>
          </w:tcPr>
          <w:p w14:paraId="032D4973">
            <w:pPr>
              <w:widowControl/>
              <w:jc w:val="center"/>
              <w:textAlignment w:val="center"/>
              <w:rPr>
                <w:b/>
                <w:bCs/>
                <w:color w:val="auto"/>
                <w:szCs w:val="21"/>
              </w:rPr>
            </w:pPr>
            <w:r>
              <w:rPr>
                <w:b/>
                <w:bCs/>
                <w:color w:val="auto"/>
                <w:kern w:val="0"/>
                <w:szCs w:val="21"/>
                <w:lang w:bidi="ar"/>
              </w:rPr>
              <w:t>下风向4#</w:t>
            </w:r>
          </w:p>
        </w:tc>
      </w:tr>
      <w:tr w14:paraId="1C28895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6C210AE8">
            <w:pPr>
              <w:widowControl/>
              <w:jc w:val="center"/>
              <w:textAlignment w:val="center"/>
              <w:rPr>
                <w:color w:val="auto"/>
                <w:szCs w:val="21"/>
              </w:rPr>
            </w:pPr>
            <w:r>
              <w:rPr>
                <w:rFonts w:hint="eastAsia"/>
                <w:color w:val="auto"/>
                <w:kern w:val="0"/>
                <w:szCs w:val="21"/>
                <w:lang w:val="en-US" w:eastAsia="zh-CN" w:bidi="ar"/>
              </w:rPr>
              <w:t>TSP</w:t>
            </w:r>
            <w:r>
              <w:rPr>
                <w:color w:val="auto"/>
                <w:kern w:val="0"/>
                <w:szCs w:val="21"/>
                <w:lang w:bidi="ar"/>
              </w:rPr>
              <w:br w:type="textWrapping"/>
            </w:r>
            <w:r>
              <w:rPr>
                <w:rFonts w:hint="eastAsia"/>
                <w:color w:val="auto"/>
                <w:kern w:val="0"/>
                <w:szCs w:val="21"/>
                <w:lang w:eastAsia="zh-CN" w:bidi="ar"/>
              </w:rPr>
              <w:t>（</w:t>
            </w:r>
            <w:r>
              <w:rPr>
                <w:color w:val="auto"/>
                <w:kern w:val="0"/>
                <w:szCs w:val="21"/>
                <w:lang w:bidi="ar"/>
              </w:rPr>
              <w:t>μg/m</w:t>
            </w:r>
            <w:r>
              <w:rPr>
                <w:rFonts w:hint="eastAsia"/>
                <w:color w:val="auto"/>
                <w:kern w:val="0"/>
                <w:szCs w:val="21"/>
                <w:vertAlign w:val="superscript"/>
                <w:lang w:val="en-US" w:eastAsia="zh-CN" w:bidi="ar"/>
              </w:rPr>
              <w:t>3</w:t>
            </w:r>
            <w:r>
              <w:rPr>
                <w:rFonts w:hint="eastAsia"/>
                <w:color w:val="auto"/>
                <w:kern w:val="0"/>
                <w:szCs w:val="21"/>
                <w:lang w:val="en-US" w:eastAsia="zh-CN" w:bidi="ar"/>
              </w:rPr>
              <w:t>）</w:t>
            </w:r>
          </w:p>
        </w:tc>
        <w:tc>
          <w:tcPr>
            <w:tcW w:w="534" w:type="pct"/>
            <w:vMerge w:val="restart"/>
            <w:tcBorders>
              <w:tl2br w:val="nil"/>
              <w:tr2bl w:val="nil"/>
            </w:tcBorders>
            <w:vAlign w:val="center"/>
          </w:tcPr>
          <w:p w14:paraId="6D3FFD44">
            <w:pPr>
              <w:widowControl/>
              <w:jc w:val="center"/>
              <w:textAlignment w:val="center"/>
              <w:rPr>
                <w:color w:val="auto"/>
                <w:szCs w:val="21"/>
              </w:rPr>
            </w:pPr>
            <w:r>
              <w:rPr>
                <w:color w:val="auto"/>
                <w:kern w:val="0"/>
                <w:szCs w:val="21"/>
                <w:lang w:bidi="ar"/>
              </w:rPr>
              <w:t>202</w:t>
            </w:r>
            <w:r>
              <w:rPr>
                <w:rFonts w:hint="eastAsia"/>
                <w:color w:val="auto"/>
                <w:kern w:val="0"/>
                <w:szCs w:val="21"/>
                <w:lang w:val="en-US" w:eastAsia="zh-CN" w:bidi="ar"/>
              </w:rPr>
              <w:t>4</w:t>
            </w:r>
            <w:r>
              <w:rPr>
                <w:color w:val="auto"/>
                <w:kern w:val="0"/>
                <w:szCs w:val="21"/>
                <w:lang w:bidi="ar"/>
              </w:rPr>
              <w:t>.</w:t>
            </w:r>
            <w:r>
              <w:rPr>
                <w:rFonts w:hint="eastAsia"/>
                <w:color w:val="auto"/>
                <w:kern w:val="0"/>
                <w:szCs w:val="21"/>
                <w:lang w:val="en-US" w:eastAsia="zh-CN" w:bidi="ar"/>
              </w:rPr>
              <w:t>8</w:t>
            </w:r>
            <w:r>
              <w:rPr>
                <w:color w:val="auto"/>
                <w:kern w:val="0"/>
                <w:szCs w:val="21"/>
                <w:lang w:bidi="ar"/>
              </w:rPr>
              <w:t>.</w:t>
            </w:r>
            <w:r>
              <w:rPr>
                <w:rFonts w:hint="eastAsia"/>
                <w:color w:val="auto"/>
                <w:kern w:val="0"/>
                <w:szCs w:val="21"/>
                <w:lang w:val="en-US" w:eastAsia="zh-CN" w:bidi="ar"/>
              </w:rPr>
              <w:t>2</w:t>
            </w:r>
            <w:r>
              <w:rPr>
                <w:color w:val="auto"/>
                <w:kern w:val="0"/>
                <w:szCs w:val="21"/>
                <w:lang w:bidi="ar"/>
              </w:rPr>
              <w:t>3</w:t>
            </w:r>
          </w:p>
        </w:tc>
        <w:tc>
          <w:tcPr>
            <w:tcW w:w="592" w:type="pct"/>
            <w:tcBorders>
              <w:tl2br w:val="nil"/>
              <w:tr2bl w:val="nil"/>
            </w:tcBorders>
            <w:vAlign w:val="center"/>
          </w:tcPr>
          <w:p w14:paraId="6AB803F9">
            <w:pPr>
              <w:widowControl/>
              <w:jc w:val="center"/>
              <w:textAlignment w:val="center"/>
              <w:rPr>
                <w:color w:val="auto"/>
                <w:szCs w:val="21"/>
              </w:rPr>
            </w:pPr>
            <w:r>
              <w:rPr>
                <w:color w:val="auto"/>
                <w:kern w:val="0"/>
                <w:szCs w:val="21"/>
                <w:lang w:bidi="ar"/>
              </w:rPr>
              <w:t>第一次</w:t>
            </w:r>
          </w:p>
        </w:tc>
        <w:tc>
          <w:tcPr>
            <w:tcW w:w="696" w:type="pct"/>
            <w:tcBorders>
              <w:tl2br w:val="nil"/>
              <w:tr2bl w:val="nil"/>
            </w:tcBorders>
            <w:vAlign w:val="center"/>
          </w:tcPr>
          <w:p w14:paraId="4C50B751">
            <w:pPr>
              <w:widowControl/>
              <w:jc w:val="center"/>
              <w:textAlignment w:val="center"/>
              <w:rPr>
                <w:rFonts w:hint="default" w:eastAsia="宋体"/>
                <w:color w:val="auto"/>
                <w:szCs w:val="21"/>
                <w:lang w:val="en-US" w:eastAsia="zh-CN"/>
              </w:rPr>
            </w:pPr>
            <w:r>
              <w:rPr>
                <w:rFonts w:hint="eastAsia"/>
                <w:color w:val="auto"/>
                <w:szCs w:val="21"/>
                <w:lang w:val="en-US" w:eastAsia="zh-CN"/>
              </w:rPr>
              <w:t>197</w:t>
            </w:r>
          </w:p>
        </w:tc>
        <w:tc>
          <w:tcPr>
            <w:tcW w:w="681" w:type="pct"/>
            <w:tcBorders>
              <w:tl2br w:val="nil"/>
              <w:tr2bl w:val="nil"/>
            </w:tcBorders>
            <w:vAlign w:val="center"/>
          </w:tcPr>
          <w:p w14:paraId="0575D406">
            <w:pPr>
              <w:widowControl/>
              <w:jc w:val="center"/>
              <w:textAlignment w:val="center"/>
              <w:rPr>
                <w:rFonts w:hint="default" w:eastAsia="宋体"/>
                <w:color w:val="auto"/>
                <w:szCs w:val="21"/>
                <w:lang w:val="en-US" w:eastAsia="zh-CN"/>
              </w:rPr>
            </w:pPr>
            <w:r>
              <w:rPr>
                <w:rFonts w:hint="eastAsia"/>
                <w:color w:val="auto"/>
                <w:szCs w:val="21"/>
                <w:lang w:val="en-US" w:eastAsia="zh-CN"/>
              </w:rPr>
              <w:t>250</w:t>
            </w:r>
          </w:p>
        </w:tc>
        <w:tc>
          <w:tcPr>
            <w:tcW w:w="738" w:type="pct"/>
            <w:tcBorders>
              <w:tl2br w:val="nil"/>
              <w:tr2bl w:val="nil"/>
            </w:tcBorders>
            <w:vAlign w:val="center"/>
          </w:tcPr>
          <w:p w14:paraId="7BF3BBC4">
            <w:pPr>
              <w:widowControl/>
              <w:jc w:val="center"/>
              <w:textAlignment w:val="center"/>
              <w:rPr>
                <w:rFonts w:hint="default" w:eastAsia="宋体"/>
                <w:color w:val="auto"/>
                <w:szCs w:val="21"/>
                <w:lang w:val="en-US" w:eastAsia="zh-CN"/>
              </w:rPr>
            </w:pPr>
            <w:r>
              <w:rPr>
                <w:rFonts w:hint="eastAsia"/>
                <w:color w:val="auto"/>
                <w:szCs w:val="21"/>
                <w:lang w:val="en-US" w:eastAsia="zh-CN"/>
              </w:rPr>
              <w:t>242</w:t>
            </w:r>
          </w:p>
        </w:tc>
        <w:tc>
          <w:tcPr>
            <w:tcW w:w="978" w:type="pct"/>
            <w:tcBorders>
              <w:tl2br w:val="nil"/>
              <w:tr2bl w:val="nil"/>
            </w:tcBorders>
            <w:vAlign w:val="center"/>
          </w:tcPr>
          <w:p w14:paraId="52928736">
            <w:pPr>
              <w:widowControl/>
              <w:jc w:val="center"/>
              <w:textAlignment w:val="center"/>
              <w:rPr>
                <w:rFonts w:hint="default" w:eastAsia="宋体"/>
                <w:color w:val="auto"/>
                <w:szCs w:val="21"/>
                <w:lang w:val="en-US" w:eastAsia="zh-CN"/>
              </w:rPr>
            </w:pPr>
            <w:r>
              <w:rPr>
                <w:rFonts w:hint="eastAsia"/>
                <w:color w:val="auto"/>
                <w:szCs w:val="21"/>
                <w:lang w:val="en-US" w:eastAsia="zh-CN"/>
              </w:rPr>
              <w:t>265</w:t>
            </w:r>
          </w:p>
        </w:tc>
      </w:tr>
      <w:tr w14:paraId="593844A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3ADC5B73">
            <w:pPr>
              <w:jc w:val="center"/>
              <w:rPr>
                <w:color w:val="auto"/>
                <w:szCs w:val="21"/>
              </w:rPr>
            </w:pPr>
          </w:p>
        </w:tc>
        <w:tc>
          <w:tcPr>
            <w:tcW w:w="534" w:type="pct"/>
            <w:vMerge w:val="continue"/>
            <w:tcBorders>
              <w:tl2br w:val="nil"/>
              <w:tr2bl w:val="nil"/>
            </w:tcBorders>
            <w:vAlign w:val="center"/>
          </w:tcPr>
          <w:p w14:paraId="0D41C545">
            <w:pPr>
              <w:jc w:val="center"/>
              <w:rPr>
                <w:color w:val="auto"/>
                <w:szCs w:val="21"/>
              </w:rPr>
            </w:pPr>
          </w:p>
        </w:tc>
        <w:tc>
          <w:tcPr>
            <w:tcW w:w="592" w:type="pct"/>
            <w:tcBorders>
              <w:tl2br w:val="nil"/>
              <w:tr2bl w:val="nil"/>
            </w:tcBorders>
            <w:vAlign w:val="center"/>
          </w:tcPr>
          <w:p w14:paraId="2DFC06E8">
            <w:pPr>
              <w:widowControl/>
              <w:jc w:val="center"/>
              <w:textAlignment w:val="center"/>
              <w:rPr>
                <w:color w:val="auto"/>
                <w:szCs w:val="21"/>
              </w:rPr>
            </w:pPr>
            <w:r>
              <w:rPr>
                <w:color w:val="auto"/>
                <w:kern w:val="0"/>
                <w:szCs w:val="21"/>
                <w:lang w:bidi="ar"/>
              </w:rPr>
              <w:t>第二次</w:t>
            </w:r>
          </w:p>
        </w:tc>
        <w:tc>
          <w:tcPr>
            <w:tcW w:w="696" w:type="pct"/>
            <w:tcBorders>
              <w:tl2br w:val="nil"/>
              <w:tr2bl w:val="nil"/>
            </w:tcBorders>
            <w:vAlign w:val="center"/>
          </w:tcPr>
          <w:p w14:paraId="37965444">
            <w:pPr>
              <w:widowControl/>
              <w:jc w:val="center"/>
              <w:textAlignment w:val="center"/>
              <w:rPr>
                <w:rFonts w:hint="default" w:eastAsia="宋体"/>
                <w:color w:val="auto"/>
                <w:szCs w:val="21"/>
                <w:lang w:val="en-US" w:eastAsia="zh-CN"/>
              </w:rPr>
            </w:pPr>
            <w:r>
              <w:rPr>
                <w:rFonts w:hint="eastAsia"/>
                <w:color w:val="auto"/>
                <w:szCs w:val="21"/>
                <w:lang w:val="en-US" w:eastAsia="zh-CN"/>
              </w:rPr>
              <w:t>203</w:t>
            </w:r>
          </w:p>
        </w:tc>
        <w:tc>
          <w:tcPr>
            <w:tcW w:w="681" w:type="pct"/>
            <w:tcBorders>
              <w:tl2br w:val="nil"/>
              <w:tr2bl w:val="nil"/>
            </w:tcBorders>
            <w:vAlign w:val="center"/>
          </w:tcPr>
          <w:p w14:paraId="6EE0B8A6">
            <w:pPr>
              <w:widowControl/>
              <w:jc w:val="center"/>
              <w:textAlignment w:val="center"/>
              <w:rPr>
                <w:rFonts w:hint="default" w:eastAsia="宋体"/>
                <w:color w:val="auto"/>
                <w:szCs w:val="21"/>
                <w:lang w:val="en-US" w:eastAsia="zh-CN"/>
              </w:rPr>
            </w:pPr>
            <w:r>
              <w:rPr>
                <w:rFonts w:hint="eastAsia"/>
                <w:color w:val="auto"/>
                <w:szCs w:val="21"/>
                <w:lang w:val="en-US" w:eastAsia="zh-CN"/>
              </w:rPr>
              <w:t>234</w:t>
            </w:r>
          </w:p>
        </w:tc>
        <w:tc>
          <w:tcPr>
            <w:tcW w:w="738" w:type="pct"/>
            <w:tcBorders>
              <w:tl2br w:val="nil"/>
              <w:tr2bl w:val="nil"/>
            </w:tcBorders>
            <w:vAlign w:val="center"/>
          </w:tcPr>
          <w:p w14:paraId="38C9880C">
            <w:pPr>
              <w:widowControl/>
              <w:jc w:val="center"/>
              <w:textAlignment w:val="center"/>
              <w:rPr>
                <w:rFonts w:hint="default" w:eastAsia="宋体"/>
                <w:color w:val="auto"/>
                <w:szCs w:val="21"/>
                <w:lang w:val="en-US" w:eastAsia="zh-CN"/>
              </w:rPr>
            </w:pPr>
            <w:r>
              <w:rPr>
                <w:rFonts w:hint="eastAsia"/>
                <w:color w:val="auto"/>
                <w:szCs w:val="21"/>
                <w:lang w:val="en-US" w:eastAsia="zh-CN"/>
              </w:rPr>
              <w:t>221</w:t>
            </w:r>
          </w:p>
        </w:tc>
        <w:tc>
          <w:tcPr>
            <w:tcW w:w="978" w:type="pct"/>
            <w:tcBorders>
              <w:tl2br w:val="nil"/>
              <w:tr2bl w:val="nil"/>
            </w:tcBorders>
            <w:vAlign w:val="center"/>
          </w:tcPr>
          <w:p w14:paraId="3692580B">
            <w:pPr>
              <w:widowControl/>
              <w:jc w:val="center"/>
              <w:textAlignment w:val="center"/>
              <w:rPr>
                <w:rFonts w:hint="default" w:eastAsia="宋体"/>
                <w:color w:val="auto"/>
                <w:szCs w:val="21"/>
                <w:lang w:val="en-US" w:eastAsia="zh-CN"/>
              </w:rPr>
            </w:pPr>
            <w:r>
              <w:rPr>
                <w:rFonts w:hint="eastAsia"/>
                <w:color w:val="auto"/>
                <w:szCs w:val="21"/>
                <w:lang w:val="en-US" w:eastAsia="zh-CN"/>
              </w:rPr>
              <w:t>225</w:t>
            </w:r>
          </w:p>
        </w:tc>
      </w:tr>
      <w:tr w14:paraId="4FC38B5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778382D8">
            <w:pPr>
              <w:jc w:val="center"/>
              <w:rPr>
                <w:color w:val="auto"/>
                <w:szCs w:val="21"/>
              </w:rPr>
            </w:pPr>
          </w:p>
        </w:tc>
        <w:tc>
          <w:tcPr>
            <w:tcW w:w="534" w:type="pct"/>
            <w:vMerge w:val="continue"/>
            <w:tcBorders>
              <w:tl2br w:val="nil"/>
              <w:tr2bl w:val="nil"/>
            </w:tcBorders>
            <w:vAlign w:val="center"/>
          </w:tcPr>
          <w:p w14:paraId="60170358">
            <w:pPr>
              <w:jc w:val="center"/>
              <w:rPr>
                <w:color w:val="auto"/>
                <w:szCs w:val="21"/>
              </w:rPr>
            </w:pPr>
          </w:p>
        </w:tc>
        <w:tc>
          <w:tcPr>
            <w:tcW w:w="592" w:type="pct"/>
            <w:tcBorders>
              <w:tl2br w:val="nil"/>
              <w:tr2bl w:val="nil"/>
            </w:tcBorders>
            <w:vAlign w:val="center"/>
          </w:tcPr>
          <w:p w14:paraId="369D9162">
            <w:pPr>
              <w:widowControl/>
              <w:jc w:val="center"/>
              <w:textAlignment w:val="center"/>
              <w:rPr>
                <w:color w:val="auto"/>
                <w:szCs w:val="21"/>
              </w:rPr>
            </w:pPr>
            <w:r>
              <w:rPr>
                <w:color w:val="auto"/>
                <w:kern w:val="0"/>
                <w:szCs w:val="21"/>
                <w:lang w:bidi="ar"/>
              </w:rPr>
              <w:t>第三次</w:t>
            </w:r>
          </w:p>
        </w:tc>
        <w:tc>
          <w:tcPr>
            <w:tcW w:w="696" w:type="pct"/>
            <w:tcBorders>
              <w:tl2br w:val="nil"/>
              <w:tr2bl w:val="nil"/>
            </w:tcBorders>
            <w:vAlign w:val="center"/>
          </w:tcPr>
          <w:p w14:paraId="14C1CD02">
            <w:pPr>
              <w:widowControl/>
              <w:jc w:val="center"/>
              <w:textAlignment w:val="center"/>
              <w:rPr>
                <w:rFonts w:hint="default" w:eastAsia="宋体"/>
                <w:color w:val="auto"/>
                <w:szCs w:val="21"/>
                <w:lang w:val="en-US" w:eastAsia="zh-CN"/>
              </w:rPr>
            </w:pPr>
            <w:r>
              <w:rPr>
                <w:rFonts w:hint="eastAsia"/>
                <w:color w:val="auto"/>
                <w:szCs w:val="21"/>
                <w:lang w:val="en-US" w:eastAsia="zh-CN"/>
              </w:rPr>
              <w:t>208</w:t>
            </w:r>
          </w:p>
        </w:tc>
        <w:tc>
          <w:tcPr>
            <w:tcW w:w="681" w:type="pct"/>
            <w:tcBorders>
              <w:tl2br w:val="nil"/>
              <w:tr2bl w:val="nil"/>
            </w:tcBorders>
            <w:vAlign w:val="center"/>
          </w:tcPr>
          <w:p w14:paraId="592042BD">
            <w:pPr>
              <w:widowControl/>
              <w:jc w:val="center"/>
              <w:textAlignment w:val="center"/>
              <w:rPr>
                <w:rFonts w:hint="default" w:eastAsia="宋体"/>
                <w:color w:val="auto"/>
                <w:szCs w:val="21"/>
                <w:lang w:val="en-US" w:eastAsia="zh-CN"/>
              </w:rPr>
            </w:pPr>
            <w:r>
              <w:rPr>
                <w:rFonts w:hint="eastAsia"/>
                <w:color w:val="auto"/>
                <w:szCs w:val="21"/>
                <w:lang w:val="en-US" w:eastAsia="zh-CN"/>
              </w:rPr>
              <w:t>239</w:t>
            </w:r>
          </w:p>
        </w:tc>
        <w:tc>
          <w:tcPr>
            <w:tcW w:w="738" w:type="pct"/>
            <w:tcBorders>
              <w:tl2br w:val="nil"/>
              <w:tr2bl w:val="nil"/>
            </w:tcBorders>
            <w:vAlign w:val="center"/>
          </w:tcPr>
          <w:p w14:paraId="0EDF11EE">
            <w:pPr>
              <w:widowControl/>
              <w:jc w:val="center"/>
              <w:textAlignment w:val="center"/>
              <w:rPr>
                <w:rFonts w:hint="default" w:eastAsia="宋体"/>
                <w:color w:val="auto"/>
                <w:szCs w:val="21"/>
                <w:lang w:val="en-US" w:eastAsia="zh-CN"/>
              </w:rPr>
            </w:pPr>
            <w:r>
              <w:rPr>
                <w:rFonts w:hint="eastAsia"/>
                <w:color w:val="auto"/>
                <w:szCs w:val="21"/>
                <w:lang w:val="en-US" w:eastAsia="zh-CN"/>
              </w:rPr>
              <w:t>230</w:t>
            </w:r>
          </w:p>
        </w:tc>
        <w:tc>
          <w:tcPr>
            <w:tcW w:w="978" w:type="pct"/>
            <w:tcBorders>
              <w:tl2br w:val="nil"/>
              <w:tr2bl w:val="nil"/>
            </w:tcBorders>
            <w:vAlign w:val="center"/>
          </w:tcPr>
          <w:p w14:paraId="068317B3">
            <w:pPr>
              <w:widowControl/>
              <w:jc w:val="center"/>
              <w:textAlignment w:val="center"/>
              <w:rPr>
                <w:rFonts w:hint="default" w:eastAsia="宋体"/>
                <w:color w:val="auto"/>
                <w:szCs w:val="21"/>
                <w:lang w:val="en-US" w:eastAsia="zh-CN"/>
              </w:rPr>
            </w:pPr>
            <w:r>
              <w:rPr>
                <w:rFonts w:hint="eastAsia"/>
                <w:color w:val="auto"/>
                <w:szCs w:val="21"/>
                <w:lang w:val="en-US" w:eastAsia="zh-CN"/>
              </w:rPr>
              <w:t>233</w:t>
            </w:r>
          </w:p>
        </w:tc>
      </w:tr>
      <w:tr w14:paraId="449F857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7EF3A131">
            <w:pPr>
              <w:jc w:val="center"/>
              <w:rPr>
                <w:color w:val="auto"/>
                <w:szCs w:val="21"/>
              </w:rPr>
            </w:pPr>
          </w:p>
        </w:tc>
        <w:tc>
          <w:tcPr>
            <w:tcW w:w="534" w:type="pct"/>
            <w:vMerge w:val="continue"/>
            <w:tcBorders>
              <w:tl2br w:val="nil"/>
              <w:tr2bl w:val="nil"/>
            </w:tcBorders>
            <w:vAlign w:val="center"/>
          </w:tcPr>
          <w:p w14:paraId="5095F65A">
            <w:pPr>
              <w:jc w:val="center"/>
              <w:rPr>
                <w:color w:val="auto"/>
                <w:szCs w:val="21"/>
              </w:rPr>
            </w:pPr>
          </w:p>
        </w:tc>
        <w:tc>
          <w:tcPr>
            <w:tcW w:w="592" w:type="pct"/>
            <w:tcBorders>
              <w:tl2br w:val="nil"/>
              <w:tr2bl w:val="nil"/>
            </w:tcBorders>
            <w:vAlign w:val="center"/>
          </w:tcPr>
          <w:p w14:paraId="081531EA">
            <w:pPr>
              <w:widowControl/>
              <w:jc w:val="center"/>
              <w:textAlignment w:val="center"/>
              <w:rPr>
                <w:color w:val="auto"/>
                <w:szCs w:val="21"/>
              </w:rPr>
            </w:pPr>
            <w:r>
              <w:rPr>
                <w:color w:val="auto"/>
                <w:kern w:val="0"/>
                <w:szCs w:val="21"/>
                <w:lang w:bidi="ar"/>
              </w:rPr>
              <w:t>第四次</w:t>
            </w:r>
          </w:p>
        </w:tc>
        <w:tc>
          <w:tcPr>
            <w:tcW w:w="696" w:type="pct"/>
            <w:tcBorders>
              <w:tl2br w:val="nil"/>
              <w:tr2bl w:val="nil"/>
            </w:tcBorders>
            <w:vAlign w:val="center"/>
          </w:tcPr>
          <w:p w14:paraId="010E3192">
            <w:pPr>
              <w:widowControl/>
              <w:jc w:val="center"/>
              <w:textAlignment w:val="center"/>
              <w:rPr>
                <w:rFonts w:hint="default" w:eastAsia="宋体"/>
                <w:color w:val="auto"/>
                <w:szCs w:val="21"/>
                <w:lang w:val="en-US" w:eastAsia="zh-CN"/>
              </w:rPr>
            </w:pPr>
            <w:r>
              <w:rPr>
                <w:rFonts w:hint="eastAsia"/>
                <w:color w:val="auto"/>
                <w:szCs w:val="21"/>
                <w:lang w:val="en-US" w:eastAsia="zh-CN"/>
              </w:rPr>
              <w:t>212</w:t>
            </w:r>
          </w:p>
        </w:tc>
        <w:tc>
          <w:tcPr>
            <w:tcW w:w="681" w:type="pct"/>
            <w:tcBorders>
              <w:tl2br w:val="nil"/>
              <w:tr2bl w:val="nil"/>
            </w:tcBorders>
            <w:vAlign w:val="center"/>
          </w:tcPr>
          <w:p w14:paraId="2D7902AA">
            <w:pPr>
              <w:widowControl/>
              <w:jc w:val="center"/>
              <w:textAlignment w:val="center"/>
              <w:rPr>
                <w:rFonts w:hint="default" w:eastAsia="宋体"/>
                <w:color w:val="auto"/>
                <w:szCs w:val="21"/>
                <w:lang w:val="en-US" w:eastAsia="zh-CN"/>
              </w:rPr>
            </w:pPr>
            <w:r>
              <w:rPr>
                <w:rFonts w:hint="eastAsia"/>
                <w:color w:val="auto"/>
                <w:szCs w:val="21"/>
                <w:lang w:val="en-US" w:eastAsia="zh-CN"/>
              </w:rPr>
              <w:t>260</w:t>
            </w:r>
          </w:p>
        </w:tc>
        <w:tc>
          <w:tcPr>
            <w:tcW w:w="738" w:type="pct"/>
            <w:tcBorders>
              <w:tl2br w:val="nil"/>
              <w:tr2bl w:val="nil"/>
            </w:tcBorders>
            <w:vAlign w:val="center"/>
          </w:tcPr>
          <w:p w14:paraId="2853B57A">
            <w:pPr>
              <w:widowControl/>
              <w:jc w:val="center"/>
              <w:textAlignment w:val="center"/>
              <w:rPr>
                <w:rFonts w:hint="default" w:eastAsia="宋体"/>
                <w:color w:val="auto"/>
                <w:szCs w:val="21"/>
                <w:lang w:val="en-US" w:eastAsia="zh-CN"/>
              </w:rPr>
            </w:pPr>
            <w:r>
              <w:rPr>
                <w:rFonts w:hint="eastAsia"/>
                <w:color w:val="auto"/>
                <w:szCs w:val="21"/>
                <w:lang w:val="en-US" w:eastAsia="zh-CN"/>
              </w:rPr>
              <w:t>257</w:t>
            </w:r>
          </w:p>
        </w:tc>
        <w:tc>
          <w:tcPr>
            <w:tcW w:w="978" w:type="pct"/>
            <w:tcBorders>
              <w:tl2br w:val="nil"/>
              <w:tr2bl w:val="nil"/>
            </w:tcBorders>
            <w:vAlign w:val="center"/>
          </w:tcPr>
          <w:p w14:paraId="49B4855E">
            <w:pPr>
              <w:widowControl/>
              <w:jc w:val="center"/>
              <w:textAlignment w:val="center"/>
              <w:rPr>
                <w:rFonts w:hint="default" w:eastAsia="宋体"/>
                <w:color w:val="auto"/>
                <w:szCs w:val="21"/>
                <w:lang w:val="en-US" w:eastAsia="zh-CN"/>
              </w:rPr>
            </w:pPr>
            <w:r>
              <w:rPr>
                <w:rFonts w:hint="eastAsia"/>
                <w:color w:val="auto"/>
                <w:szCs w:val="21"/>
                <w:lang w:val="en-US" w:eastAsia="zh-CN"/>
              </w:rPr>
              <w:t>248</w:t>
            </w:r>
          </w:p>
        </w:tc>
      </w:tr>
      <w:tr w14:paraId="4D90B09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45EFF69C">
            <w:pPr>
              <w:jc w:val="center"/>
              <w:rPr>
                <w:color w:val="auto"/>
                <w:szCs w:val="21"/>
              </w:rPr>
            </w:pPr>
          </w:p>
        </w:tc>
        <w:tc>
          <w:tcPr>
            <w:tcW w:w="534" w:type="pct"/>
            <w:vMerge w:val="continue"/>
            <w:tcBorders>
              <w:tl2br w:val="nil"/>
              <w:tr2bl w:val="nil"/>
            </w:tcBorders>
            <w:vAlign w:val="center"/>
          </w:tcPr>
          <w:p w14:paraId="18DFF8C0">
            <w:pPr>
              <w:jc w:val="center"/>
              <w:rPr>
                <w:color w:val="auto"/>
                <w:szCs w:val="21"/>
              </w:rPr>
            </w:pPr>
          </w:p>
        </w:tc>
        <w:tc>
          <w:tcPr>
            <w:tcW w:w="592" w:type="pct"/>
            <w:tcBorders>
              <w:tl2br w:val="nil"/>
              <w:tr2bl w:val="nil"/>
            </w:tcBorders>
            <w:vAlign w:val="center"/>
          </w:tcPr>
          <w:p w14:paraId="61198AB2">
            <w:pPr>
              <w:widowControl/>
              <w:jc w:val="center"/>
              <w:textAlignment w:val="center"/>
              <w:rPr>
                <w:color w:val="auto"/>
                <w:szCs w:val="21"/>
              </w:rPr>
            </w:pPr>
            <w:r>
              <w:rPr>
                <w:color w:val="auto"/>
                <w:kern w:val="0"/>
                <w:szCs w:val="21"/>
                <w:lang w:bidi="ar"/>
              </w:rPr>
              <w:t>平均值</w:t>
            </w:r>
          </w:p>
        </w:tc>
        <w:tc>
          <w:tcPr>
            <w:tcW w:w="696" w:type="pct"/>
            <w:tcBorders>
              <w:tl2br w:val="nil"/>
              <w:tr2bl w:val="nil"/>
            </w:tcBorders>
            <w:vAlign w:val="center"/>
          </w:tcPr>
          <w:p w14:paraId="2AD7F185">
            <w:pPr>
              <w:widowControl/>
              <w:jc w:val="center"/>
              <w:textAlignment w:val="center"/>
              <w:rPr>
                <w:rFonts w:hint="default" w:eastAsia="宋体"/>
                <w:color w:val="auto"/>
                <w:szCs w:val="21"/>
                <w:lang w:val="en-US" w:eastAsia="zh-CN"/>
              </w:rPr>
            </w:pPr>
            <w:r>
              <w:rPr>
                <w:rFonts w:hint="eastAsia"/>
                <w:color w:val="auto"/>
                <w:szCs w:val="21"/>
                <w:lang w:val="en-US" w:eastAsia="zh-CN"/>
              </w:rPr>
              <w:t>205</w:t>
            </w:r>
          </w:p>
        </w:tc>
        <w:tc>
          <w:tcPr>
            <w:tcW w:w="681" w:type="pct"/>
            <w:tcBorders>
              <w:tl2br w:val="nil"/>
              <w:tr2bl w:val="nil"/>
            </w:tcBorders>
            <w:vAlign w:val="center"/>
          </w:tcPr>
          <w:p w14:paraId="62C60BFA">
            <w:pPr>
              <w:widowControl/>
              <w:jc w:val="center"/>
              <w:textAlignment w:val="center"/>
              <w:rPr>
                <w:rFonts w:hint="default" w:eastAsia="宋体"/>
                <w:color w:val="auto"/>
                <w:szCs w:val="21"/>
                <w:lang w:val="en-US" w:eastAsia="zh-CN"/>
              </w:rPr>
            </w:pPr>
            <w:r>
              <w:rPr>
                <w:rFonts w:hint="eastAsia"/>
                <w:color w:val="auto"/>
                <w:szCs w:val="21"/>
                <w:lang w:val="en-US" w:eastAsia="zh-CN"/>
              </w:rPr>
              <w:t>246</w:t>
            </w:r>
          </w:p>
        </w:tc>
        <w:tc>
          <w:tcPr>
            <w:tcW w:w="738" w:type="pct"/>
            <w:tcBorders>
              <w:tl2br w:val="nil"/>
              <w:tr2bl w:val="nil"/>
            </w:tcBorders>
            <w:vAlign w:val="center"/>
          </w:tcPr>
          <w:p w14:paraId="649ECBE6">
            <w:pPr>
              <w:widowControl/>
              <w:jc w:val="center"/>
              <w:textAlignment w:val="center"/>
              <w:rPr>
                <w:rFonts w:hint="default" w:eastAsia="宋体"/>
                <w:color w:val="auto"/>
                <w:szCs w:val="21"/>
                <w:lang w:val="en-US" w:eastAsia="zh-CN"/>
              </w:rPr>
            </w:pPr>
            <w:r>
              <w:rPr>
                <w:rFonts w:hint="eastAsia"/>
                <w:color w:val="auto"/>
                <w:szCs w:val="21"/>
                <w:lang w:val="en-US" w:eastAsia="zh-CN"/>
              </w:rPr>
              <w:t>238</w:t>
            </w:r>
          </w:p>
        </w:tc>
        <w:tc>
          <w:tcPr>
            <w:tcW w:w="978" w:type="pct"/>
            <w:tcBorders>
              <w:tl2br w:val="nil"/>
              <w:tr2bl w:val="nil"/>
            </w:tcBorders>
            <w:vAlign w:val="center"/>
          </w:tcPr>
          <w:p w14:paraId="21DF0A89">
            <w:pPr>
              <w:widowControl/>
              <w:jc w:val="center"/>
              <w:textAlignment w:val="center"/>
              <w:rPr>
                <w:rFonts w:hint="default" w:eastAsia="宋体"/>
                <w:color w:val="auto"/>
                <w:szCs w:val="21"/>
                <w:lang w:val="en-US" w:eastAsia="zh-CN"/>
              </w:rPr>
            </w:pPr>
            <w:r>
              <w:rPr>
                <w:rFonts w:hint="eastAsia"/>
                <w:color w:val="auto"/>
                <w:szCs w:val="21"/>
                <w:lang w:val="en-US" w:eastAsia="zh-CN"/>
              </w:rPr>
              <w:t>243</w:t>
            </w:r>
          </w:p>
        </w:tc>
      </w:tr>
      <w:tr w14:paraId="75CFDB6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1D5A86D0">
            <w:pPr>
              <w:jc w:val="center"/>
              <w:rPr>
                <w:color w:val="auto"/>
                <w:szCs w:val="21"/>
              </w:rPr>
            </w:pPr>
          </w:p>
        </w:tc>
        <w:tc>
          <w:tcPr>
            <w:tcW w:w="534" w:type="pct"/>
            <w:vMerge w:val="continue"/>
            <w:tcBorders>
              <w:tl2br w:val="nil"/>
              <w:tr2bl w:val="nil"/>
            </w:tcBorders>
            <w:vAlign w:val="center"/>
          </w:tcPr>
          <w:p w14:paraId="2C44AC39">
            <w:pPr>
              <w:jc w:val="center"/>
              <w:rPr>
                <w:color w:val="auto"/>
                <w:szCs w:val="21"/>
              </w:rPr>
            </w:pPr>
          </w:p>
        </w:tc>
        <w:tc>
          <w:tcPr>
            <w:tcW w:w="592" w:type="pct"/>
            <w:tcBorders>
              <w:tl2br w:val="nil"/>
              <w:tr2bl w:val="nil"/>
            </w:tcBorders>
            <w:vAlign w:val="center"/>
          </w:tcPr>
          <w:p w14:paraId="685AB689">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标准限值</w:t>
            </w:r>
          </w:p>
        </w:tc>
        <w:tc>
          <w:tcPr>
            <w:tcW w:w="3094" w:type="pct"/>
            <w:gridSpan w:val="4"/>
            <w:tcBorders>
              <w:tl2br w:val="nil"/>
              <w:tr2bl w:val="nil"/>
            </w:tcBorders>
            <w:vAlign w:val="center"/>
          </w:tcPr>
          <w:p w14:paraId="3AAA56C8">
            <w:pPr>
              <w:widowControl/>
              <w:jc w:val="center"/>
              <w:textAlignment w:val="center"/>
              <w:rPr>
                <w:rFonts w:hint="default" w:eastAsia="宋体"/>
                <w:color w:val="auto"/>
                <w:szCs w:val="21"/>
                <w:lang w:val="en-US" w:eastAsia="zh-CN"/>
              </w:rPr>
            </w:pPr>
            <w:r>
              <w:rPr>
                <w:rFonts w:hint="eastAsia"/>
                <w:color w:val="auto"/>
                <w:szCs w:val="21"/>
                <w:lang w:val="en-US" w:eastAsia="zh-CN"/>
              </w:rPr>
              <w:t>1000</w:t>
            </w:r>
          </w:p>
        </w:tc>
      </w:tr>
      <w:tr w14:paraId="1538E2F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7507B77B">
            <w:pPr>
              <w:jc w:val="center"/>
              <w:rPr>
                <w:color w:val="auto"/>
                <w:szCs w:val="21"/>
              </w:rPr>
            </w:pPr>
          </w:p>
        </w:tc>
        <w:tc>
          <w:tcPr>
            <w:tcW w:w="534" w:type="pct"/>
            <w:vMerge w:val="continue"/>
            <w:tcBorders>
              <w:tl2br w:val="nil"/>
              <w:tr2bl w:val="nil"/>
            </w:tcBorders>
            <w:vAlign w:val="center"/>
          </w:tcPr>
          <w:p w14:paraId="49DADB8C">
            <w:pPr>
              <w:jc w:val="center"/>
              <w:rPr>
                <w:color w:val="auto"/>
                <w:szCs w:val="21"/>
              </w:rPr>
            </w:pPr>
          </w:p>
        </w:tc>
        <w:tc>
          <w:tcPr>
            <w:tcW w:w="592" w:type="pct"/>
            <w:tcBorders>
              <w:tl2br w:val="nil"/>
              <w:tr2bl w:val="nil"/>
            </w:tcBorders>
            <w:vAlign w:val="center"/>
          </w:tcPr>
          <w:p w14:paraId="068DFD84">
            <w:pPr>
              <w:widowControl/>
              <w:jc w:val="center"/>
              <w:textAlignment w:val="center"/>
              <w:rPr>
                <w:rFonts w:hint="default"/>
                <w:color w:val="auto"/>
                <w:kern w:val="0"/>
                <w:szCs w:val="21"/>
                <w:lang w:val="en-US" w:eastAsia="zh-CN" w:bidi="ar"/>
              </w:rPr>
            </w:pPr>
            <w:r>
              <w:rPr>
                <w:rFonts w:hint="eastAsia"/>
                <w:color w:val="auto"/>
                <w:kern w:val="0"/>
                <w:szCs w:val="21"/>
                <w:lang w:val="en-US" w:eastAsia="zh-CN" w:bidi="ar"/>
              </w:rPr>
              <w:t>是否达标</w:t>
            </w:r>
          </w:p>
        </w:tc>
        <w:tc>
          <w:tcPr>
            <w:tcW w:w="3094" w:type="pct"/>
            <w:gridSpan w:val="4"/>
            <w:tcBorders>
              <w:tl2br w:val="nil"/>
              <w:tr2bl w:val="nil"/>
            </w:tcBorders>
            <w:vAlign w:val="center"/>
          </w:tcPr>
          <w:p w14:paraId="5EE3AAE9">
            <w:pPr>
              <w:widowControl/>
              <w:jc w:val="center"/>
              <w:textAlignment w:val="center"/>
              <w:rPr>
                <w:rFonts w:hint="default"/>
                <w:color w:val="auto"/>
                <w:szCs w:val="21"/>
                <w:lang w:val="en-US" w:eastAsia="zh-CN"/>
              </w:rPr>
            </w:pPr>
            <w:r>
              <w:rPr>
                <w:rFonts w:hint="eastAsia"/>
                <w:color w:val="auto"/>
                <w:szCs w:val="21"/>
                <w:lang w:val="en-US" w:eastAsia="zh-CN"/>
              </w:rPr>
              <w:t>达标</w:t>
            </w:r>
          </w:p>
        </w:tc>
      </w:tr>
      <w:tr w14:paraId="26C804E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53F6EB95">
            <w:pPr>
              <w:widowControl/>
              <w:jc w:val="center"/>
              <w:textAlignment w:val="center"/>
              <w:rPr>
                <w:color w:val="auto"/>
                <w:szCs w:val="21"/>
              </w:rPr>
            </w:pPr>
            <w:r>
              <w:rPr>
                <w:rFonts w:hint="eastAsia"/>
                <w:color w:val="auto"/>
                <w:kern w:val="0"/>
                <w:szCs w:val="21"/>
                <w:lang w:val="en-US" w:eastAsia="zh-CN" w:bidi="ar"/>
              </w:rPr>
              <w:t>氟化物</w:t>
            </w:r>
            <w:r>
              <w:rPr>
                <w:color w:val="auto"/>
                <w:kern w:val="0"/>
                <w:szCs w:val="21"/>
                <w:lang w:bidi="ar"/>
              </w:rPr>
              <w:br w:type="textWrapping"/>
            </w:r>
            <w:r>
              <w:rPr>
                <w:rFonts w:hint="eastAsia"/>
                <w:color w:val="auto"/>
                <w:kern w:val="0"/>
                <w:szCs w:val="21"/>
                <w:lang w:eastAsia="zh-CN" w:bidi="ar"/>
              </w:rPr>
              <w:t>（</w:t>
            </w:r>
            <w:r>
              <w:rPr>
                <w:color w:val="auto"/>
                <w:kern w:val="0"/>
                <w:szCs w:val="21"/>
                <w:lang w:bidi="ar"/>
              </w:rPr>
              <w:t>μg/m</w:t>
            </w:r>
            <w:r>
              <w:rPr>
                <w:rFonts w:hint="eastAsia"/>
                <w:color w:val="auto"/>
                <w:kern w:val="0"/>
                <w:szCs w:val="21"/>
                <w:vertAlign w:val="superscript"/>
                <w:lang w:val="en-US" w:eastAsia="zh-CN" w:bidi="ar"/>
              </w:rPr>
              <w:t>3</w:t>
            </w:r>
            <w:r>
              <w:rPr>
                <w:rFonts w:hint="eastAsia"/>
                <w:color w:val="auto"/>
                <w:kern w:val="0"/>
                <w:szCs w:val="21"/>
                <w:lang w:val="en-US" w:eastAsia="zh-CN" w:bidi="ar"/>
              </w:rPr>
              <w:t>）</w:t>
            </w:r>
          </w:p>
        </w:tc>
        <w:tc>
          <w:tcPr>
            <w:tcW w:w="534" w:type="pct"/>
            <w:vMerge w:val="continue"/>
            <w:tcBorders>
              <w:tl2br w:val="nil"/>
              <w:tr2bl w:val="nil"/>
            </w:tcBorders>
            <w:vAlign w:val="center"/>
          </w:tcPr>
          <w:p w14:paraId="6BDA11EB">
            <w:pPr>
              <w:widowControl/>
              <w:jc w:val="center"/>
              <w:textAlignment w:val="center"/>
              <w:rPr>
                <w:color w:val="auto"/>
                <w:szCs w:val="21"/>
              </w:rPr>
            </w:pPr>
          </w:p>
        </w:tc>
        <w:tc>
          <w:tcPr>
            <w:tcW w:w="592" w:type="pct"/>
            <w:tcBorders>
              <w:tl2br w:val="nil"/>
              <w:tr2bl w:val="nil"/>
            </w:tcBorders>
            <w:vAlign w:val="center"/>
          </w:tcPr>
          <w:p w14:paraId="71BE2ED3">
            <w:pPr>
              <w:widowControl/>
              <w:jc w:val="center"/>
              <w:textAlignment w:val="center"/>
              <w:rPr>
                <w:color w:val="auto"/>
                <w:szCs w:val="21"/>
              </w:rPr>
            </w:pPr>
            <w:r>
              <w:rPr>
                <w:color w:val="auto"/>
                <w:kern w:val="0"/>
                <w:szCs w:val="21"/>
                <w:lang w:bidi="ar"/>
              </w:rPr>
              <w:t>第一次</w:t>
            </w:r>
          </w:p>
        </w:tc>
        <w:tc>
          <w:tcPr>
            <w:tcW w:w="696" w:type="pct"/>
            <w:tcBorders>
              <w:tl2br w:val="nil"/>
              <w:tr2bl w:val="nil"/>
            </w:tcBorders>
            <w:vAlign w:val="center"/>
          </w:tcPr>
          <w:p w14:paraId="454B9CA1">
            <w:pPr>
              <w:widowControl/>
              <w:jc w:val="center"/>
              <w:textAlignment w:val="center"/>
              <w:rPr>
                <w:rFonts w:hint="default" w:eastAsia="宋体"/>
                <w:color w:val="auto"/>
                <w:szCs w:val="21"/>
                <w:lang w:val="en-US" w:eastAsia="zh-CN"/>
              </w:rPr>
            </w:pPr>
            <w:r>
              <w:rPr>
                <w:rFonts w:hint="eastAsia"/>
                <w:color w:val="auto"/>
                <w:szCs w:val="21"/>
                <w:lang w:val="en-US" w:eastAsia="zh-CN"/>
              </w:rPr>
              <w:t>0.6</w:t>
            </w:r>
          </w:p>
        </w:tc>
        <w:tc>
          <w:tcPr>
            <w:tcW w:w="681" w:type="pct"/>
            <w:tcBorders>
              <w:tl2br w:val="nil"/>
              <w:tr2bl w:val="nil"/>
            </w:tcBorders>
            <w:vAlign w:val="center"/>
          </w:tcPr>
          <w:p w14:paraId="6BCC2F2D">
            <w:pPr>
              <w:widowControl/>
              <w:jc w:val="center"/>
              <w:textAlignment w:val="center"/>
              <w:rPr>
                <w:rFonts w:hint="default" w:eastAsia="宋体"/>
                <w:color w:val="auto"/>
                <w:szCs w:val="21"/>
                <w:lang w:val="en-US" w:eastAsia="zh-CN"/>
              </w:rPr>
            </w:pPr>
            <w:r>
              <w:rPr>
                <w:rFonts w:hint="eastAsia"/>
                <w:color w:val="auto"/>
                <w:szCs w:val="21"/>
                <w:lang w:val="en-US" w:eastAsia="zh-CN"/>
              </w:rPr>
              <w:t>0.8</w:t>
            </w:r>
          </w:p>
        </w:tc>
        <w:tc>
          <w:tcPr>
            <w:tcW w:w="738" w:type="pct"/>
            <w:tcBorders>
              <w:tl2br w:val="nil"/>
              <w:tr2bl w:val="nil"/>
            </w:tcBorders>
            <w:vAlign w:val="center"/>
          </w:tcPr>
          <w:p w14:paraId="222CDD6D">
            <w:pPr>
              <w:widowControl/>
              <w:jc w:val="center"/>
              <w:textAlignment w:val="center"/>
              <w:rPr>
                <w:rFonts w:hint="default" w:eastAsia="宋体"/>
                <w:color w:val="auto"/>
                <w:szCs w:val="21"/>
                <w:lang w:val="en-US" w:eastAsia="zh-CN"/>
              </w:rPr>
            </w:pPr>
            <w:r>
              <w:rPr>
                <w:rFonts w:hint="eastAsia"/>
                <w:color w:val="auto"/>
                <w:szCs w:val="21"/>
                <w:lang w:val="en-US" w:eastAsia="zh-CN"/>
              </w:rPr>
              <w:t>0.9</w:t>
            </w:r>
          </w:p>
        </w:tc>
        <w:tc>
          <w:tcPr>
            <w:tcW w:w="978" w:type="pct"/>
            <w:tcBorders>
              <w:tl2br w:val="nil"/>
              <w:tr2bl w:val="nil"/>
            </w:tcBorders>
            <w:vAlign w:val="center"/>
          </w:tcPr>
          <w:p w14:paraId="38103168">
            <w:pPr>
              <w:widowControl/>
              <w:jc w:val="center"/>
              <w:textAlignment w:val="center"/>
              <w:rPr>
                <w:rFonts w:hint="default" w:eastAsia="宋体"/>
                <w:color w:val="auto"/>
                <w:szCs w:val="21"/>
                <w:lang w:val="en-US" w:eastAsia="zh-CN"/>
              </w:rPr>
            </w:pPr>
            <w:r>
              <w:rPr>
                <w:rFonts w:hint="eastAsia"/>
                <w:color w:val="auto"/>
                <w:szCs w:val="21"/>
                <w:lang w:val="en-US" w:eastAsia="zh-CN"/>
              </w:rPr>
              <w:t>1.2</w:t>
            </w:r>
          </w:p>
        </w:tc>
      </w:tr>
      <w:tr w14:paraId="2C821FB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7C664A08">
            <w:pPr>
              <w:jc w:val="center"/>
              <w:rPr>
                <w:color w:val="auto"/>
                <w:szCs w:val="21"/>
              </w:rPr>
            </w:pPr>
          </w:p>
        </w:tc>
        <w:tc>
          <w:tcPr>
            <w:tcW w:w="534" w:type="pct"/>
            <w:vMerge w:val="continue"/>
            <w:tcBorders>
              <w:tl2br w:val="nil"/>
              <w:tr2bl w:val="nil"/>
            </w:tcBorders>
            <w:vAlign w:val="center"/>
          </w:tcPr>
          <w:p w14:paraId="737930DA">
            <w:pPr>
              <w:jc w:val="center"/>
              <w:rPr>
                <w:color w:val="auto"/>
                <w:szCs w:val="21"/>
              </w:rPr>
            </w:pPr>
          </w:p>
        </w:tc>
        <w:tc>
          <w:tcPr>
            <w:tcW w:w="592" w:type="pct"/>
            <w:tcBorders>
              <w:tl2br w:val="nil"/>
              <w:tr2bl w:val="nil"/>
            </w:tcBorders>
            <w:vAlign w:val="center"/>
          </w:tcPr>
          <w:p w14:paraId="43592428">
            <w:pPr>
              <w:widowControl/>
              <w:jc w:val="center"/>
              <w:textAlignment w:val="center"/>
              <w:rPr>
                <w:color w:val="auto"/>
                <w:szCs w:val="21"/>
              </w:rPr>
            </w:pPr>
            <w:r>
              <w:rPr>
                <w:color w:val="auto"/>
                <w:kern w:val="0"/>
                <w:szCs w:val="21"/>
                <w:lang w:bidi="ar"/>
              </w:rPr>
              <w:t>第二次</w:t>
            </w:r>
          </w:p>
        </w:tc>
        <w:tc>
          <w:tcPr>
            <w:tcW w:w="696" w:type="pct"/>
            <w:tcBorders>
              <w:tl2br w:val="nil"/>
              <w:tr2bl w:val="nil"/>
            </w:tcBorders>
            <w:vAlign w:val="center"/>
          </w:tcPr>
          <w:p w14:paraId="3CD33AA8">
            <w:pPr>
              <w:widowControl/>
              <w:jc w:val="center"/>
              <w:textAlignment w:val="center"/>
              <w:rPr>
                <w:rFonts w:hint="default" w:eastAsia="宋体"/>
                <w:color w:val="auto"/>
                <w:szCs w:val="21"/>
                <w:lang w:val="en-US" w:eastAsia="zh-CN"/>
              </w:rPr>
            </w:pPr>
            <w:r>
              <w:rPr>
                <w:rFonts w:hint="eastAsia"/>
                <w:color w:val="auto"/>
                <w:szCs w:val="21"/>
                <w:lang w:val="en-US" w:eastAsia="zh-CN"/>
              </w:rPr>
              <w:t>0.7</w:t>
            </w:r>
          </w:p>
        </w:tc>
        <w:tc>
          <w:tcPr>
            <w:tcW w:w="681" w:type="pct"/>
            <w:tcBorders>
              <w:tl2br w:val="nil"/>
              <w:tr2bl w:val="nil"/>
            </w:tcBorders>
            <w:vAlign w:val="center"/>
          </w:tcPr>
          <w:p w14:paraId="603B60E9">
            <w:pPr>
              <w:widowControl/>
              <w:jc w:val="center"/>
              <w:textAlignment w:val="center"/>
              <w:rPr>
                <w:rFonts w:hint="default" w:eastAsia="宋体"/>
                <w:color w:val="auto"/>
                <w:szCs w:val="21"/>
                <w:lang w:val="en-US" w:eastAsia="zh-CN"/>
              </w:rPr>
            </w:pPr>
            <w:r>
              <w:rPr>
                <w:rFonts w:hint="eastAsia"/>
                <w:color w:val="auto"/>
                <w:szCs w:val="21"/>
                <w:lang w:val="en-US" w:eastAsia="zh-CN"/>
              </w:rPr>
              <w:t>0.8</w:t>
            </w:r>
          </w:p>
        </w:tc>
        <w:tc>
          <w:tcPr>
            <w:tcW w:w="738" w:type="pct"/>
            <w:tcBorders>
              <w:tl2br w:val="nil"/>
              <w:tr2bl w:val="nil"/>
            </w:tcBorders>
            <w:vAlign w:val="center"/>
          </w:tcPr>
          <w:p w14:paraId="42FBB3A3">
            <w:pPr>
              <w:widowControl/>
              <w:jc w:val="center"/>
              <w:textAlignment w:val="center"/>
              <w:rPr>
                <w:rFonts w:hint="default" w:eastAsia="宋体"/>
                <w:color w:val="auto"/>
                <w:szCs w:val="21"/>
                <w:lang w:val="en-US" w:eastAsia="zh-CN"/>
              </w:rPr>
            </w:pPr>
            <w:r>
              <w:rPr>
                <w:rFonts w:hint="eastAsia"/>
                <w:color w:val="auto"/>
                <w:szCs w:val="21"/>
                <w:lang w:val="en-US" w:eastAsia="zh-CN"/>
              </w:rPr>
              <w:t>0.8</w:t>
            </w:r>
          </w:p>
        </w:tc>
        <w:tc>
          <w:tcPr>
            <w:tcW w:w="978" w:type="pct"/>
            <w:tcBorders>
              <w:tl2br w:val="nil"/>
              <w:tr2bl w:val="nil"/>
            </w:tcBorders>
            <w:vAlign w:val="center"/>
          </w:tcPr>
          <w:p w14:paraId="29AC3F2F">
            <w:pPr>
              <w:widowControl/>
              <w:jc w:val="center"/>
              <w:textAlignment w:val="center"/>
              <w:rPr>
                <w:rFonts w:hint="default" w:eastAsia="宋体"/>
                <w:color w:val="auto"/>
                <w:szCs w:val="21"/>
                <w:lang w:val="en-US" w:eastAsia="zh-CN"/>
              </w:rPr>
            </w:pPr>
            <w:r>
              <w:rPr>
                <w:rFonts w:hint="eastAsia"/>
                <w:color w:val="auto"/>
                <w:szCs w:val="21"/>
                <w:lang w:val="en-US" w:eastAsia="zh-CN"/>
              </w:rPr>
              <w:t>1.1</w:t>
            </w:r>
          </w:p>
        </w:tc>
      </w:tr>
      <w:tr w14:paraId="65807AA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7ACC5CA2">
            <w:pPr>
              <w:jc w:val="center"/>
              <w:rPr>
                <w:color w:val="auto"/>
                <w:szCs w:val="21"/>
              </w:rPr>
            </w:pPr>
          </w:p>
        </w:tc>
        <w:tc>
          <w:tcPr>
            <w:tcW w:w="534" w:type="pct"/>
            <w:vMerge w:val="continue"/>
            <w:tcBorders>
              <w:tl2br w:val="nil"/>
              <w:tr2bl w:val="nil"/>
            </w:tcBorders>
            <w:vAlign w:val="center"/>
          </w:tcPr>
          <w:p w14:paraId="1D544E24">
            <w:pPr>
              <w:jc w:val="center"/>
              <w:rPr>
                <w:color w:val="auto"/>
                <w:szCs w:val="21"/>
              </w:rPr>
            </w:pPr>
          </w:p>
        </w:tc>
        <w:tc>
          <w:tcPr>
            <w:tcW w:w="592" w:type="pct"/>
            <w:tcBorders>
              <w:tl2br w:val="nil"/>
              <w:tr2bl w:val="nil"/>
            </w:tcBorders>
            <w:vAlign w:val="center"/>
          </w:tcPr>
          <w:p w14:paraId="22FC1297">
            <w:pPr>
              <w:widowControl/>
              <w:jc w:val="center"/>
              <w:textAlignment w:val="center"/>
              <w:rPr>
                <w:color w:val="auto"/>
                <w:szCs w:val="21"/>
              </w:rPr>
            </w:pPr>
            <w:r>
              <w:rPr>
                <w:color w:val="auto"/>
                <w:kern w:val="0"/>
                <w:szCs w:val="21"/>
                <w:lang w:bidi="ar"/>
              </w:rPr>
              <w:t>第三次</w:t>
            </w:r>
          </w:p>
        </w:tc>
        <w:tc>
          <w:tcPr>
            <w:tcW w:w="696" w:type="pct"/>
            <w:tcBorders>
              <w:tl2br w:val="nil"/>
              <w:tr2bl w:val="nil"/>
            </w:tcBorders>
            <w:vAlign w:val="center"/>
          </w:tcPr>
          <w:p w14:paraId="5516203C">
            <w:pPr>
              <w:widowControl/>
              <w:jc w:val="center"/>
              <w:textAlignment w:val="center"/>
              <w:rPr>
                <w:rFonts w:hint="default" w:eastAsia="宋体"/>
                <w:color w:val="auto"/>
                <w:szCs w:val="21"/>
                <w:lang w:val="en-US" w:eastAsia="zh-CN"/>
              </w:rPr>
            </w:pPr>
            <w:r>
              <w:rPr>
                <w:rFonts w:hint="eastAsia"/>
                <w:color w:val="auto"/>
                <w:szCs w:val="21"/>
                <w:lang w:val="en-US" w:eastAsia="zh-CN"/>
              </w:rPr>
              <w:t>0.6</w:t>
            </w:r>
          </w:p>
        </w:tc>
        <w:tc>
          <w:tcPr>
            <w:tcW w:w="681" w:type="pct"/>
            <w:tcBorders>
              <w:tl2br w:val="nil"/>
              <w:tr2bl w:val="nil"/>
            </w:tcBorders>
            <w:vAlign w:val="center"/>
          </w:tcPr>
          <w:p w14:paraId="68FE41BE">
            <w:pPr>
              <w:widowControl/>
              <w:jc w:val="center"/>
              <w:textAlignment w:val="center"/>
              <w:rPr>
                <w:rFonts w:hint="default" w:eastAsia="宋体"/>
                <w:color w:val="auto"/>
                <w:szCs w:val="21"/>
                <w:lang w:val="en-US" w:eastAsia="zh-CN"/>
              </w:rPr>
            </w:pPr>
            <w:r>
              <w:rPr>
                <w:rFonts w:hint="eastAsia"/>
                <w:color w:val="auto"/>
                <w:szCs w:val="21"/>
                <w:lang w:val="en-US" w:eastAsia="zh-CN"/>
              </w:rPr>
              <w:t>0.9</w:t>
            </w:r>
          </w:p>
        </w:tc>
        <w:tc>
          <w:tcPr>
            <w:tcW w:w="738" w:type="pct"/>
            <w:tcBorders>
              <w:tl2br w:val="nil"/>
              <w:tr2bl w:val="nil"/>
            </w:tcBorders>
            <w:vAlign w:val="center"/>
          </w:tcPr>
          <w:p w14:paraId="47239E0E">
            <w:pPr>
              <w:widowControl/>
              <w:jc w:val="center"/>
              <w:textAlignment w:val="center"/>
              <w:rPr>
                <w:rFonts w:hint="default" w:eastAsia="宋体"/>
                <w:color w:val="auto"/>
                <w:szCs w:val="21"/>
                <w:lang w:val="en-US" w:eastAsia="zh-CN"/>
              </w:rPr>
            </w:pPr>
            <w:r>
              <w:rPr>
                <w:rFonts w:hint="eastAsia"/>
                <w:color w:val="auto"/>
                <w:szCs w:val="21"/>
                <w:lang w:val="en-US" w:eastAsia="zh-CN"/>
              </w:rPr>
              <w:t>1.1</w:t>
            </w:r>
          </w:p>
        </w:tc>
        <w:tc>
          <w:tcPr>
            <w:tcW w:w="978" w:type="pct"/>
            <w:tcBorders>
              <w:tl2br w:val="nil"/>
              <w:tr2bl w:val="nil"/>
            </w:tcBorders>
            <w:vAlign w:val="center"/>
          </w:tcPr>
          <w:p w14:paraId="44529296">
            <w:pPr>
              <w:widowControl/>
              <w:jc w:val="center"/>
              <w:textAlignment w:val="center"/>
              <w:rPr>
                <w:rFonts w:hint="default" w:eastAsia="宋体"/>
                <w:color w:val="auto"/>
                <w:szCs w:val="21"/>
                <w:lang w:val="en-US" w:eastAsia="zh-CN"/>
              </w:rPr>
            </w:pPr>
            <w:r>
              <w:rPr>
                <w:rFonts w:hint="eastAsia"/>
                <w:color w:val="auto"/>
                <w:szCs w:val="21"/>
                <w:lang w:val="en-US" w:eastAsia="zh-CN"/>
              </w:rPr>
              <w:t>1.1</w:t>
            </w:r>
          </w:p>
        </w:tc>
      </w:tr>
      <w:tr w14:paraId="245EC1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371002FE">
            <w:pPr>
              <w:jc w:val="center"/>
              <w:rPr>
                <w:color w:val="auto"/>
                <w:szCs w:val="21"/>
              </w:rPr>
            </w:pPr>
          </w:p>
        </w:tc>
        <w:tc>
          <w:tcPr>
            <w:tcW w:w="534" w:type="pct"/>
            <w:vMerge w:val="continue"/>
            <w:tcBorders>
              <w:tl2br w:val="nil"/>
              <w:tr2bl w:val="nil"/>
            </w:tcBorders>
            <w:vAlign w:val="center"/>
          </w:tcPr>
          <w:p w14:paraId="2211948C">
            <w:pPr>
              <w:jc w:val="center"/>
              <w:rPr>
                <w:color w:val="auto"/>
                <w:szCs w:val="21"/>
              </w:rPr>
            </w:pPr>
          </w:p>
        </w:tc>
        <w:tc>
          <w:tcPr>
            <w:tcW w:w="592" w:type="pct"/>
            <w:tcBorders>
              <w:tl2br w:val="nil"/>
              <w:tr2bl w:val="nil"/>
            </w:tcBorders>
            <w:vAlign w:val="center"/>
          </w:tcPr>
          <w:p w14:paraId="2A677F04">
            <w:pPr>
              <w:widowControl/>
              <w:jc w:val="center"/>
              <w:textAlignment w:val="center"/>
              <w:rPr>
                <w:color w:val="auto"/>
                <w:szCs w:val="21"/>
              </w:rPr>
            </w:pPr>
            <w:r>
              <w:rPr>
                <w:color w:val="auto"/>
                <w:kern w:val="0"/>
                <w:szCs w:val="21"/>
                <w:lang w:bidi="ar"/>
              </w:rPr>
              <w:t>第四次</w:t>
            </w:r>
          </w:p>
        </w:tc>
        <w:tc>
          <w:tcPr>
            <w:tcW w:w="696" w:type="pct"/>
            <w:tcBorders>
              <w:tl2br w:val="nil"/>
              <w:tr2bl w:val="nil"/>
            </w:tcBorders>
            <w:vAlign w:val="center"/>
          </w:tcPr>
          <w:p w14:paraId="681912EE">
            <w:pPr>
              <w:widowControl/>
              <w:jc w:val="center"/>
              <w:textAlignment w:val="center"/>
              <w:rPr>
                <w:rFonts w:hint="default" w:eastAsia="宋体"/>
                <w:color w:val="auto"/>
                <w:szCs w:val="21"/>
                <w:lang w:val="en-US" w:eastAsia="zh-CN"/>
              </w:rPr>
            </w:pPr>
            <w:r>
              <w:rPr>
                <w:rFonts w:hint="eastAsia"/>
                <w:color w:val="auto"/>
                <w:szCs w:val="21"/>
                <w:lang w:val="en-US" w:eastAsia="zh-CN"/>
              </w:rPr>
              <w:t>0.7</w:t>
            </w:r>
          </w:p>
        </w:tc>
        <w:tc>
          <w:tcPr>
            <w:tcW w:w="681" w:type="pct"/>
            <w:tcBorders>
              <w:tl2br w:val="nil"/>
              <w:tr2bl w:val="nil"/>
            </w:tcBorders>
            <w:vAlign w:val="center"/>
          </w:tcPr>
          <w:p w14:paraId="5D885A4B">
            <w:pPr>
              <w:widowControl/>
              <w:jc w:val="center"/>
              <w:textAlignment w:val="center"/>
              <w:rPr>
                <w:rFonts w:hint="default" w:eastAsia="宋体"/>
                <w:color w:val="auto"/>
                <w:szCs w:val="21"/>
                <w:lang w:val="en-US" w:eastAsia="zh-CN"/>
              </w:rPr>
            </w:pPr>
            <w:r>
              <w:rPr>
                <w:rFonts w:hint="eastAsia"/>
                <w:color w:val="auto"/>
                <w:szCs w:val="21"/>
                <w:lang w:val="en-US" w:eastAsia="zh-CN"/>
              </w:rPr>
              <w:t>0.8</w:t>
            </w:r>
          </w:p>
        </w:tc>
        <w:tc>
          <w:tcPr>
            <w:tcW w:w="738" w:type="pct"/>
            <w:tcBorders>
              <w:tl2br w:val="nil"/>
              <w:tr2bl w:val="nil"/>
            </w:tcBorders>
            <w:vAlign w:val="center"/>
          </w:tcPr>
          <w:p w14:paraId="04E5BB69">
            <w:pPr>
              <w:widowControl/>
              <w:jc w:val="center"/>
              <w:textAlignment w:val="center"/>
              <w:rPr>
                <w:rFonts w:hint="default" w:eastAsia="宋体"/>
                <w:color w:val="auto"/>
                <w:szCs w:val="21"/>
                <w:lang w:val="en-US" w:eastAsia="zh-CN"/>
              </w:rPr>
            </w:pPr>
            <w:r>
              <w:rPr>
                <w:rFonts w:hint="eastAsia"/>
                <w:color w:val="auto"/>
                <w:szCs w:val="21"/>
                <w:lang w:val="en-US" w:eastAsia="zh-CN"/>
              </w:rPr>
              <w:t>1.1</w:t>
            </w:r>
          </w:p>
        </w:tc>
        <w:tc>
          <w:tcPr>
            <w:tcW w:w="978" w:type="pct"/>
            <w:tcBorders>
              <w:tl2br w:val="nil"/>
              <w:tr2bl w:val="nil"/>
            </w:tcBorders>
            <w:vAlign w:val="center"/>
          </w:tcPr>
          <w:p w14:paraId="1F272C10">
            <w:pPr>
              <w:widowControl/>
              <w:jc w:val="center"/>
              <w:textAlignment w:val="center"/>
              <w:rPr>
                <w:rFonts w:hint="default" w:eastAsia="宋体"/>
                <w:color w:val="auto"/>
                <w:szCs w:val="21"/>
                <w:lang w:val="en-US" w:eastAsia="zh-CN"/>
              </w:rPr>
            </w:pPr>
            <w:r>
              <w:rPr>
                <w:rFonts w:hint="eastAsia"/>
                <w:color w:val="auto"/>
                <w:szCs w:val="21"/>
                <w:lang w:val="en-US" w:eastAsia="zh-CN"/>
              </w:rPr>
              <w:t>1.0</w:t>
            </w:r>
          </w:p>
        </w:tc>
      </w:tr>
      <w:tr w14:paraId="2EB71C4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027190AD">
            <w:pPr>
              <w:jc w:val="center"/>
              <w:rPr>
                <w:color w:val="auto"/>
                <w:szCs w:val="21"/>
              </w:rPr>
            </w:pPr>
          </w:p>
        </w:tc>
        <w:tc>
          <w:tcPr>
            <w:tcW w:w="534" w:type="pct"/>
            <w:vMerge w:val="continue"/>
            <w:tcBorders>
              <w:tl2br w:val="nil"/>
              <w:tr2bl w:val="nil"/>
            </w:tcBorders>
            <w:vAlign w:val="center"/>
          </w:tcPr>
          <w:p w14:paraId="414FB1BA">
            <w:pPr>
              <w:jc w:val="center"/>
              <w:rPr>
                <w:color w:val="auto"/>
                <w:szCs w:val="21"/>
              </w:rPr>
            </w:pPr>
          </w:p>
        </w:tc>
        <w:tc>
          <w:tcPr>
            <w:tcW w:w="592" w:type="pct"/>
            <w:tcBorders>
              <w:tl2br w:val="nil"/>
              <w:tr2bl w:val="nil"/>
            </w:tcBorders>
            <w:vAlign w:val="center"/>
          </w:tcPr>
          <w:p w14:paraId="5D00D540">
            <w:pPr>
              <w:widowControl/>
              <w:jc w:val="center"/>
              <w:textAlignment w:val="center"/>
              <w:rPr>
                <w:color w:val="auto"/>
                <w:szCs w:val="21"/>
              </w:rPr>
            </w:pPr>
            <w:r>
              <w:rPr>
                <w:color w:val="auto"/>
                <w:kern w:val="0"/>
                <w:szCs w:val="21"/>
                <w:lang w:bidi="ar"/>
              </w:rPr>
              <w:t>平均值</w:t>
            </w:r>
          </w:p>
        </w:tc>
        <w:tc>
          <w:tcPr>
            <w:tcW w:w="696" w:type="pct"/>
            <w:tcBorders>
              <w:tl2br w:val="nil"/>
              <w:tr2bl w:val="nil"/>
            </w:tcBorders>
            <w:vAlign w:val="center"/>
          </w:tcPr>
          <w:p w14:paraId="04BE00D4">
            <w:pPr>
              <w:widowControl/>
              <w:jc w:val="center"/>
              <w:textAlignment w:val="center"/>
              <w:rPr>
                <w:rFonts w:hint="default" w:eastAsia="宋体"/>
                <w:color w:val="auto"/>
                <w:szCs w:val="21"/>
                <w:lang w:val="en-US" w:eastAsia="zh-CN"/>
              </w:rPr>
            </w:pPr>
            <w:r>
              <w:rPr>
                <w:rFonts w:hint="eastAsia"/>
                <w:color w:val="auto"/>
                <w:szCs w:val="21"/>
                <w:lang w:val="en-US" w:eastAsia="zh-CN"/>
              </w:rPr>
              <w:t>0.65</w:t>
            </w:r>
          </w:p>
        </w:tc>
        <w:tc>
          <w:tcPr>
            <w:tcW w:w="681" w:type="pct"/>
            <w:tcBorders>
              <w:tl2br w:val="nil"/>
              <w:tr2bl w:val="nil"/>
            </w:tcBorders>
            <w:vAlign w:val="center"/>
          </w:tcPr>
          <w:p w14:paraId="3AB1AA11">
            <w:pPr>
              <w:widowControl/>
              <w:jc w:val="center"/>
              <w:textAlignment w:val="center"/>
              <w:rPr>
                <w:rFonts w:hint="default" w:eastAsia="宋体"/>
                <w:color w:val="auto"/>
                <w:szCs w:val="21"/>
                <w:lang w:val="en-US" w:eastAsia="zh-CN"/>
              </w:rPr>
            </w:pPr>
            <w:r>
              <w:rPr>
                <w:rFonts w:hint="eastAsia"/>
                <w:color w:val="auto"/>
                <w:szCs w:val="21"/>
                <w:lang w:val="en-US" w:eastAsia="zh-CN"/>
              </w:rPr>
              <w:t>0.83</w:t>
            </w:r>
          </w:p>
        </w:tc>
        <w:tc>
          <w:tcPr>
            <w:tcW w:w="738" w:type="pct"/>
            <w:tcBorders>
              <w:tl2br w:val="nil"/>
              <w:tr2bl w:val="nil"/>
            </w:tcBorders>
            <w:vAlign w:val="center"/>
          </w:tcPr>
          <w:p w14:paraId="6A014895">
            <w:pPr>
              <w:widowControl/>
              <w:jc w:val="center"/>
              <w:textAlignment w:val="center"/>
              <w:rPr>
                <w:rFonts w:hint="default" w:eastAsia="宋体"/>
                <w:color w:val="auto"/>
                <w:szCs w:val="21"/>
                <w:lang w:val="en-US" w:eastAsia="zh-CN"/>
              </w:rPr>
            </w:pPr>
            <w:r>
              <w:rPr>
                <w:rFonts w:hint="eastAsia"/>
                <w:color w:val="auto"/>
                <w:szCs w:val="21"/>
                <w:lang w:val="en-US" w:eastAsia="zh-CN"/>
              </w:rPr>
              <w:t>0.98</w:t>
            </w:r>
          </w:p>
        </w:tc>
        <w:tc>
          <w:tcPr>
            <w:tcW w:w="978" w:type="pct"/>
            <w:tcBorders>
              <w:tl2br w:val="nil"/>
              <w:tr2bl w:val="nil"/>
            </w:tcBorders>
            <w:vAlign w:val="center"/>
          </w:tcPr>
          <w:p w14:paraId="5A88E119">
            <w:pPr>
              <w:widowControl/>
              <w:jc w:val="center"/>
              <w:textAlignment w:val="center"/>
              <w:rPr>
                <w:rFonts w:hint="default" w:eastAsia="宋体"/>
                <w:color w:val="auto"/>
                <w:szCs w:val="21"/>
                <w:lang w:val="en-US" w:eastAsia="zh-CN"/>
              </w:rPr>
            </w:pPr>
            <w:r>
              <w:rPr>
                <w:rFonts w:hint="eastAsia"/>
                <w:color w:val="auto"/>
                <w:szCs w:val="21"/>
                <w:lang w:val="en-US" w:eastAsia="zh-CN"/>
              </w:rPr>
              <w:t>1.1</w:t>
            </w:r>
          </w:p>
        </w:tc>
      </w:tr>
      <w:tr w14:paraId="39B1CC3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22189FAF">
            <w:pPr>
              <w:jc w:val="center"/>
              <w:rPr>
                <w:color w:val="auto"/>
                <w:szCs w:val="21"/>
              </w:rPr>
            </w:pPr>
          </w:p>
        </w:tc>
        <w:tc>
          <w:tcPr>
            <w:tcW w:w="534" w:type="pct"/>
            <w:vMerge w:val="continue"/>
            <w:tcBorders>
              <w:tl2br w:val="nil"/>
              <w:tr2bl w:val="nil"/>
            </w:tcBorders>
            <w:vAlign w:val="center"/>
          </w:tcPr>
          <w:p w14:paraId="7E8350F9">
            <w:pPr>
              <w:jc w:val="center"/>
              <w:rPr>
                <w:color w:val="auto"/>
                <w:szCs w:val="21"/>
              </w:rPr>
            </w:pPr>
          </w:p>
        </w:tc>
        <w:tc>
          <w:tcPr>
            <w:tcW w:w="592" w:type="pct"/>
            <w:tcBorders>
              <w:tl2br w:val="nil"/>
              <w:tr2bl w:val="nil"/>
            </w:tcBorders>
            <w:vAlign w:val="center"/>
          </w:tcPr>
          <w:p w14:paraId="4585CE9D">
            <w:pPr>
              <w:widowControl/>
              <w:jc w:val="center"/>
              <w:textAlignment w:val="center"/>
              <w:rPr>
                <w:color w:val="auto"/>
                <w:kern w:val="0"/>
                <w:szCs w:val="21"/>
                <w:lang w:bidi="ar"/>
              </w:rPr>
            </w:pPr>
            <w:r>
              <w:rPr>
                <w:rFonts w:hint="eastAsia"/>
                <w:color w:val="auto"/>
                <w:kern w:val="0"/>
                <w:szCs w:val="21"/>
                <w:lang w:val="en-US" w:eastAsia="zh-CN" w:bidi="ar"/>
              </w:rPr>
              <w:t>标准限值</w:t>
            </w:r>
          </w:p>
        </w:tc>
        <w:tc>
          <w:tcPr>
            <w:tcW w:w="3094" w:type="pct"/>
            <w:gridSpan w:val="4"/>
            <w:tcBorders>
              <w:tl2br w:val="nil"/>
              <w:tr2bl w:val="nil"/>
            </w:tcBorders>
            <w:vAlign w:val="center"/>
          </w:tcPr>
          <w:p w14:paraId="0FA7CA10">
            <w:pPr>
              <w:widowControl/>
              <w:jc w:val="center"/>
              <w:textAlignment w:val="center"/>
              <w:rPr>
                <w:color w:val="auto"/>
                <w:kern w:val="0"/>
                <w:szCs w:val="21"/>
                <w:lang w:bidi="ar"/>
              </w:rPr>
            </w:pPr>
            <w:r>
              <w:rPr>
                <w:rFonts w:hint="eastAsia"/>
                <w:color w:val="auto"/>
                <w:szCs w:val="21"/>
                <w:lang w:val="en-US" w:eastAsia="zh-CN"/>
              </w:rPr>
              <w:t>20</w:t>
            </w:r>
          </w:p>
        </w:tc>
      </w:tr>
      <w:tr w14:paraId="4ED0D8A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27F08F0F">
            <w:pPr>
              <w:jc w:val="center"/>
              <w:rPr>
                <w:color w:val="auto"/>
                <w:szCs w:val="21"/>
              </w:rPr>
            </w:pPr>
          </w:p>
        </w:tc>
        <w:tc>
          <w:tcPr>
            <w:tcW w:w="534" w:type="pct"/>
            <w:vMerge w:val="continue"/>
            <w:tcBorders>
              <w:tl2br w:val="nil"/>
              <w:tr2bl w:val="nil"/>
            </w:tcBorders>
            <w:vAlign w:val="center"/>
          </w:tcPr>
          <w:p w14:paraId="1255904E">
            <w:pPr>
              <w:jc w:val="center"/>
              <w:rPr>
                <w:color w:val="auto"/>
                <w:szCs w:val="21"/>
              </w:rPr>
            </w:pPr>
          </w:p>
        </w:tc>
        <w:tc>
          <w:tcPr>
            <w:tcW w:w="592" w:type="pct"/>
            <w:tcBorders>
              <w:tl2br w:val="nil"/>
              <w:tr2bl w:val="nil"/>
            </w:tcBorders>
            <w:vAlign w:val="center"/>
          </w:tcPr>
          <w:p w14:paraId="2B1CA9E9">
            <w:pPr>
              <w:widowControl/>
              <w:jc w:val="center"/>
              <w:textAlignment w:val="center"/>
              <w:rPr>
                <w:color w:val="auto"/>
                <w:kern w:val="0"/>
                <w:szCs w:val="21"/>
                <w:lang w:bidi="ar"/>
              </w:rPr>
            </w:pPr>
            <w:r>
              <w:rPr>
                <w:rFonts w:hint="eastAsia"/>
                <w:color w:val="auto"/>
                <w:kern w:val="0"/>
                <w:szCs w:val="21"/>
                <w:lang w:val="en-US" w:eastAsia="zh-CN" w:bidi="ar"/>
              </w:rPr>
              <w:t>是否达标</w:t>
            </w:r>
          </w:p>
        </w:tc>
        <w:tc>
          <w:tcPr>
            <w:tcW w:w="3094" w:type="pct"/>
            <w:gridSpan w:val="4"/>
            <w:tcBorders>
              <w:tl2br w:val="nil"/>
              <w:tr2bl w:val="nil"/>
            </w:tcBorders>
            <w:vAlign w:val="center"/>
          </w:tcPr>
          <w:p w14:paraId="52337087">
            <w:pPr>
              <w:widowControl/>
              <w:jc w:val="center"/>
              <w:textAlignment w:val="center"/>
              <w:rPr>
                <w:color w:val="auto"/>
                <w:kern w:val="0"/>
                <w:szCs w:val="21"/>
                <w:lang w:bidi="ar"/>
              </w:rPr>
            </w:pPr>
            <w:r>
              <w:rPr>
                <w:rFonts w:hint="eastAsia"/>
                <w:color w:val="auto"/>
                <w:szCs w:val="21"/>
                <w:lang w:val="en-US" w:eastAsia="zh-CN"/>
              </w:rPr>
              <w:t>达标</w:t>
            </w:r>
          </w:p>
        </w:tc>
      </w:tr>
      <w:tr w14:paraId="00306B6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22BC3B84">
            <w:pPr>
              <w:jc w:val="center"/>
              <w:rPr>
                <w:rFonts w:hint="eastAsia" w:eastAsia="宋体"/>
                <w:color w:val="auto"/>
                <w:szCs w:val="21"/>
                <w:lang w:val="en-US" w:eastAsia="zh-CN"/>
              </w:rPr>
            </w:pPr>
            <w:r>
              <w:rPr>
                <w:rFonts w:hint="eastAsia"/>
                <w:color w:val="auto"/>
                <w:szCs w:val="21"/>
                <w:lang w:val="en-US" w:eastAsia="zh-CN"/>
              </w:rPr>
              <w:t>氯化氢（mg/m</w:t>
            </w:r>
            <w:r>
              <w:rPr>
                <w:rFonts w:hint="eastAsia"/>
                <w:color w:val="auto"/>
                <w:szCs w:val="21"/>
                <w:vertAlign w:val="superscript"/>
                <w:lang w:val="en-US" w:eastAsia="zh-CN"/>
              </w:rPr>
              <w:t>3</w:t>
            </w:r>
            <w:r>
              <w:rPr>
                <w:rFonts w:hint="eastAsia"/>
                <w:color w:val="auto"/>
                <w:szCs w:val="21"/>
                <w:lang w:val="en-US" w:eastAsia="zh-CN"/>
              </w:rPr>
              <w:t>）</w:t>
            </w:r>
          </w:p>
        </w:tc>
        <w:tc>
          <w:tcPr>
            <w:tcW w:w="534" w:type="pct"/>
            <w:vMerge w:val="continue"/>
            <w:tcBorders>
              <w:tl2br w:val="nil"/>
              <w:tr2bl w:val="nil"/>
            </w:tcBorders>
            <w:vAlign w:val="center"/>
          </w:tcPr>
          <w:p w14:paraId="10CD6B08">
            <w:pPr>
              <w:jc w:val="center"/>
              <w:rPr>
                <w:color w:val="auto"/>
                <w:szCs w:val="21"/>
              </w:rPr>
            </w:pPr>
          </w:p>
        </w:tc>
        <w:tc>
          <w:tcPr>
            <w:tcW w:w="592" w:type="pct"/>
            <w:tcBorders>
              <w:tl2br w:val="nil"/>
              <w:tr2bl w:val="nil"/>
            </w:tcBorders>
            <w:vAlign w:val="center"/>
          </w:tcPr>
          <w:p w14:paraId="300AC82B">
            <w:pPr>
              <w:widowControl/>
              <w:jc w:val="center"/>
              <w:textAlignment w:val="center"/>
              <w:rPr>
                <w:color w:val="auto"/>
                <w:kern w:val="0"/>
                <w:szCs w:val="21"/>
                <w:lang w:bidi="ar"/>
              </w:rPr>
            </w:pPr>
            <w:r>
              <w:rPr>
                <w:color w:val="auto"/>
                <w:kern w:val="0"/>
                <w:szCs w:val="21"/>
                <w:lang w:bidi="ar"/>
              </w:rPr>
              <w:t>第一次</w:t>
            </w:r>
          </w:p>
        </w:tc>
        <w:tc>
          <w:tcPr>
            <w:tcW w:w="696" w:type="pct"/>
            <w:tcBorders>
              <w:tl2br w:val="nil"/>
              <w:tr2bl w:val="nil"/>
            </w:tcBorders>
            <w:vAlign w:val="center"/>
          </w:tcPr>
          <w:p w14:paraId="74CF138D">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0.08</w:t>
            </w:r>
          </w:p>
        </w:tc>
        <w:tc>
          <w:tcPr>
            <w:tcW w:w="681" w:type="pct"/>
            <w:tcBorders>
              <w:tl2br w:val="nil"/>
              <w:tr2bl w:val="nil"/>
            </w:tcBorders>
            <w:vAlign w:val="center"/>
          </w:tcPr>
          <w:p w14:paraId="43E426E5">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0.18</w:t>
            </w:r>
          </w:p>
        </w:tc>
        <w:tc>
          <w:tcPr>
            <w:tcW w:w="738" w:type="pct"/>
            <w:tcBorders>
              <w:tl2br w:val="nil"/>
              <w:tr2bl w:val="nil"/>
            </w:tcBorders>
            <w:vAlign w:val="center"/>
          </w:tcPr>
          <w:p w14:paraId="442C677D">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0.17</w:t>
            </w:r>
          </w:p>
        </w:tc>
        <w:tc>
          <w:tcPr>
            <w:tcW w:w="978" w:type="pct"/>
            <w:tcBorders>
              <w:tl2br w:val="nil"/>
              <w:tr2bl w:val="nil"/>
            </w:tcBorders>
            <w:vAlign w:val="center"/>
          </w:tcPr>
          <w:p w14:paraId="64C30012">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0.15</w:t>
            </w:r>
          </w:p>
        </w:tc>
      </w:tr>
      <w:tr w14:paraId="107788B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452289BB">
            <w:pPr>
              <w:jc w:val="center"/>
              <w:rPr>
                <w:color w:val="auto"/>
                <w:szCs w:val="21"/>
              </w:rPr>
            </w:pPr>
          </w:p>
        </w:tc>
        <w:tc>
          <w:tcPr>
            <w:tcW w:w="534" w:type="pct"/>
            <w:vMerge w:val="continue"/>
            <w:tcBorders>
              <w:tl2br w:val="nil"/>
              <w:tr2bl w:val="nil"/>
            </w:tcBorders>
            <w:vAlign w:val="center"/>
          </w:tcPr>
          <w:p w14:paraId="5FEF9378">
            <w:pPr>
              <w:jc w:val="center"/>
              <w:rPr>
                <w:color w:val="auto"/>
                <w:szCs w:val="21"/>
              </w:rPr>
            </w:pPr>
          </w:p>
        </w:tc>
        <w:tc>
          <w:tcPr>
            <w:tcW w:w="592" w:type="pct"/>
            <w:tcBorders>
              <w:tl2br w:val="nil"/>
              <w:tr2bl w:val="nil"/>
            </w:tcBorders>
            <w:vAlign w:val="center"/>
          </w:tcPr>
          <w:p w14:paraId="40151251">
            <w:pPr>
              <w:widowControl/>
              <w:jc w:val="center"/>
              <w:textAlignment w:val="center"/>
              <w:rPr>
                <w:color w:val="auto"/>
                <w:kern w:val="0"/>
                <w:szCs w:val="21"/>
                <w:lang w:bidi="ar"/>
              </w:rPr>
            </w:pPr>
            <w:r>
              <w:rPr>
                <w:color w:val="auto"/>
                <w:kern w:val="0"/>
                <w:szCs w:val="21"/>
                <w:lang w:bidi="ar"/>
              </w:rPr>
              <w:t>第二次</w:t>
            </w:r>
          </w:p>
        </w:tc>
        <w:tc>
          <w:tcPr>
            <w:tcW w:w="696" w:type="pct"/>
            <w:tcBorders>
              <w:tl2br w:val="nil"/>
              <w:tr2bl w:val="nil"/>
            </w:tcBorders>
            <w:vAlign w:val="center"/>
          </w:tcPr>
          <w:p w14:paraId="51577D33">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0.10</w:t>
            </w:r>
          </w:p>
        </w:tc>
        <w:tc>
          <w:tcPr>
            <w:tcW w:w="681" w:type="pct"/>
            <w:tcBorders>
              <w:tl2br w:val="nil"/>
              <w:tr2bl w:val="nil"/>
            </w:tcBorders>
            <w:vAlign w:val="center"/>
          </w:tcPr>
          <w:p w14:paraId="122B9153">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0.18</w:t>
            </w:r>
          </w:p>
        </w:tc>
        <w:tc>
          <w:tcPr>
            <w:tcW w:w="738" w:type="pct"/>
            <w:tcBorders>
              <w:tl2br w:val="nil"/>
              <w:tr2bl w:val="nil"/>
            </w:tcBorders>
            <w:vAlign w:val="center"/>
          </w:tcPr>
          <w:p w14:paraId="57AE00D6">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0.19</w:t>
            </w:r>
          </w:p>
        </w:tc>
        <w:tc>
          <w:tcPr>
            <w:tcW w:w="978" w:type="pct"/>
            <w:tcBorders>
              <w:tl2br w:val="nil"/>
              <w:tr2bl w:val="nil"/>
            </w:tcBorders>
            <w:vAlign w:val="center"/>
          </w:tcPr>
          <w:p w14:paraId="43F7D9A0">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0.17</w:t>
            </w:r>
          </w:p>
        </w:tc>
      </w:tr>
      <w:tr w14:paraId="5C4EC0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0D31D9CC">
            <w:pPr>
              <w:jc w:val="center"/>
              <w:rPr>
                <w:color w:val="auto"/>
                <w:szCs w:val="21"/>
              </w:rPr>
            </w:pPr>
          </w:p>
        </w:tc>
        <w:tc>
          <w:tcPr>
            <w:tcW w:w="534" w:type="pct"/>
            <w:vMerge w:val="continue"/>
            <w:tcBorders>
              <w:tl2br w:val="nil"/>
              <w:tr2bl w:val="nil"/>
            </w:tcBorders>
            <w:vAlign w:val="center"/>
          </w:tcPr>
          <w:p w14:paraId="0A5CEA2B">
            <w:pPr>
              <w:jc w:val="center"/>
              <w:rPr>
                <w:color w:val="auto"/>
                <w:szCs w:val="21"/>
              </w:rPr>
            </w:pPr>
          </w:p>
        </w:tc>
        <w:tc>
          <w:tcPr>
            <w:tcW w:w="592" w:type="pct"/>
            <w:tcBorders>
              <w:tl2br w:val="nil"/>
              <w:tr2bl w:val="nil"/>
            </w:tcBorders>
            <w:vAlign w:val="center"/>
          </w:tcPr>
          <w:p w14:paraId="2272EC6C">
            <w:pPr>
              <w:widowControl/>
              <w:jc w:val="center"/>
              <w:textAlignment w:val="center"/>
              <w:rPr>
                <w:color w:val="auto"/>
                <w:kern w:val="0"/>
                <w:szCs w:val="21"/>
                <w:lang w:bidi="ar"/>
              </w:rPr>
            </w:pPr>
            <w:r>
              <w:rPr>
                <w:color w:val="auto"/>
                <w:kern w:val="0"/>
                <w:szCs w:val="21"/>
                <w:lang w:bidi="ar"/>
              </w:rPr>
              <w:t>第三次</w:t>
            </w:r>
          </w:p>
        </w:tc>
        <w:tc>
          <w:tcPr>
            <w:tcW w:w="696" w:type="pct"/>
            <w:tcBorders>
              <w:tl2br w:val="nil"/>
              <w:tr2bl w:val="nil"/>
            </w:tcBorders>
            <w:vAlign w:val="center"/>
          </w:tcPr>
          <w:p w14:paraId="12709AD3">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0.08</w:t>
            </w:r>
          </w:p>
        </w:tc>
        <w:tc>
          <w:tcPr>
            <w:tcW w:w="681" w:type="pct"/>
            <w:tcBorders>
              <w:tl2br w:val="nil"/>
              <w:tr2bl w:val="nil"/>
            </w:tcBorders>
            <w:vAlign w:val="center"/>
          </w:tcPr>
          <w:p w14:paraId="10A8FC52">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0.19</w:t>
            </w:r>
          </w:p>
        </w:tc>
        <w:tc>
          <w:tcPr>
            <w:tcW w:w="738" w:type="pct"/>
            <w:tcBorders>
              <w:tl2br w:val="nil"/>
              <w:tr2bl w:val="nil"/>
            </w:tcBorders>
            <w:vAlign w:val="center"/>
          </w:tcPr>
          <w:p w14:paraId="45908FC3">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0.19</w:t>
            </w:r>
          </w:p>
        </w:tc>
        <w:tc>
          <w:tcPr>
            <w:tcW w:w="978" w:type="pct"/>
            <w:tcBorders>
              <w:tl2br w:val="nil"/>
              <w:tr2bl w:val="nil"/>
            </w:tcBorders>
            <w:vAlign w:val="center"/>
          </w:tcPr>
          <w:p w14:paraId="182E282C">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0.18</w:t>
            </w:r>
          </w:p>
        </w:tc>
      </w:tr>
      <w:tr w14:paraId="642D80D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207675E6">
            <w:pPr>
              <w:jc w:val="center"/>
              <w:rPr>
                <w:color w:val="auto"/>
                <w:szCs w:val="21"/>
              </w:rPr>
            </w:pPr>
          </w:p>
        </w:tc>
        <w:tc>
          <w:tcPr>
            <w:tcW w:w="534" w:type="pct"/>
            <w:vMerge w:val="continue"/>
            <w:tcBorders>
              <w:tl2br w:val="nil"/>
              <w:tr2bl w:val="nil"/>
            </w:tcBorders>
            <w:vAlign w:val="center"/>
          </w:tcPr>
          <w:p w14:paraId="5AD70A98">
            <w:pPr>
              <w:jc w:val="center"/>
              <w:rPr>
                <w:color w:val="auto"/>
                <w:szCs w:val="21"/>
              </w:rPr>
            </w:pPr>
          </w:p>
        </w:tc>
        <w:tc>
          <w:tcPr>
            <w:tcW w:w="592" w:type="pct"/>
            <w:tcBorders>
              <w:tl2br w:val="nil"/>
              <w:tr2bl w:val="nil"/>
            </w:tcBorders>
            <w:vAlign w:val="center"/>
          </w:tcPr>
          <w:p w14:paraId="52181975">
            <w:pPr>
              <w:widowControl/>
              <w:jc w:val="center"/>
              <w:textAlignment w:val="center"/>
              <w:rPr>
                <w:color w:val="auto"/>
                <w:kern w:val="0"/>
                <w:szCs w:val="21"/>
                <w:lang w:bidi="ar"/>
              </w:rPr>
            </w:pPr>
            <w:r>
              <w:rPr>
                <w:color w:val="auto"/>
                <w:kern w:val="0"/>
                <w:szCs w:val="21"/>
                <w:lang w:bidi="ar"/>
              </w:rPr>
              <w:t>第四次</w:t>
            </w:r>
          </w:p>
        </w:tc>
        <w:tc>
          <w:tcPr>
            <w:tcW w:w="696" w:type="pct"/>
            <w:tcBorders>
              <w:tl2br w:val="nil"/>
              <w:tr2bl w:val="nil"/>
            </w:tcBorders>
            <w:vAlign w:val="center"/>
          </w:tcPr>
          <w:p w14:paraId="6F5E5971">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0.10</w:t>
            </w:r>
          </w:p>
        </w:tc>
        <w:tc>
          <w:tcPr>
            <w:tcW w:w="681" w:type="pct"/>
            <w:tcBorders>
              <w:tl2br w:val="nil"/>
              <w:tr2bl w:val="nil"/>
            </w:tcBorders>
            <w:vAlign w:val="center"/>
          </w:tcPr>
          <w:p w14:paraId="3A9726F9">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0.17</w:t>
            </w:r>
          </w:p>
        </w:tc>
        <w:tc>
          <w:tcPr>
            <w:tcW w:w="738" w:type="pct"/>
            <w:tcBorders>
              <w:tl2br w:val="nil"/>
              <w:tr2bl w:val="nil"/>
            </w:tcBorders>
            <w:vAlign w:val="center"/>
          </w:tcPr>
          <w:p w14:paraId="339A1917">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0.17</w:t>
            </w:r>
          </w:p>
        </w:tc>
        <w:tc>
          <w:tcPr>
            <w:tcW w:w="978" w:type="pct"/>
            <w:tcBorders>
              <w:tl2br w:val="nil"/>
              <w:tr2bl w:val="nil"/>
            </w:tcBorders>
            <w:vAlign w:val="center"/>
          </w:tcPr>
          <w:p w14:paraId="50FFB7DE">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0.19</w:t>
            </w:r>
          </w:p>
        </w:tc>
      </w:tr>
      <w:tr w14:paraId="252ADD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4DD6560E">
            <w:pPr>
              <w:jc w:val="center"/>
              <w:rPr>
                <w:color w:val="auto"/>
                <w:szCs w:val="21"/>
              </w:rPr>
            </w:pPr>
          </w:p>
        </w:tc>
        <w:tc>
          <w:tcPr>
            <w:tcW w:w="534" w:type="pct"/>
            <w:vMerge w:val="continue"/>
            <w:tcBorders>
              <w:tl2br w:val="nil"/>
              <w:tr2bl w:val="nil"/>
            </w:tcBorders>
            <w:vAlign w:val="center"/>
          </w:tcPr>
          <w:p w14:paraId="091D9923">
            <w:pPr>
              <w:jc w:val="center"/>
              <w:rPr>
                <w:color w:val="auto"/>
                <w:szCs w:val="21"/>
              </w:rPr>
            </w:pPr>
          </w:p>
        </w:tc>
        <w:tc>
          <w:tcPr>
            <w:tcW w:w="592" w:type="pct"/>
            <w:tcBorders>
              <w:tl2br w:val="nil"/>
              <w:tr2bl w:val="nil"/>
            </w:tcBorders>
            <w:vAlign w:val="center"/>
          </w:tcPr>
          <w:p w14:paraId="136882AE">
            <w:pPr>
              <w:widowControl/>
              <w:jc w:val="center"/>
              <w:textAlignment w:val="center"/>
              <w:rPr>
                <w:color w:val="auto"/>
                <w:kern w:val="0"/>
                <w:szCs w:val="21"/>
                <w:lang w:bidi="ar"/>
              </w:rPr>
            </w:pPr>
            <w:r>
              <w:rPr>
                <w:color w:val="auto"/>
                <w:kern w:val="0"/>
                <w:szCs w:val="21"/>
                <w:lang w:bidi="ar"/>
              </w:rPr>
              <w:t>平均值</w:t>
            </w:r>
          </w:p>
        </w:tc>
        <w:tc>
          <w:tcPr>
            <w:tcW w:w="696" w:type="pct"/>
            <w:tcBorders>
              <w:tl2br w:val="nil"/>
              <w:tr2bl w:val="nil"/>
            </w:tcBorders>
            <w:vAlign w:val="center"/>
          </w:tcPr>
          <w:p w14:paraId="166AE21A">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0.09</w:t>
            </w:r>
          </w:p>
        </w:tc>
        <w:tc>
          <w:tcPr>
            <w:tcW w:w="681" w:type="pct"/>
            <w:tcBorders>
              <w:tl2br w:val="nil"/>
              <w:tr2bl w:val="nil"/>
            </w:tcBorders>
            <w:vAlign w:val="center"/>
          </w:tcPr>
          <w:p w14:paraId="7E0E6EBA">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0.18</w:t>
            </w:r>
          </w:p>
        </w:tc>
        <w:tc>
          <w:tcPr>
            <w:tcW w:w="738" w:type="pct"/>
            <w:tcBorders>
              <w:tl2br w:val="nil"/>
              <w:tr2bl w:val="nil"/>
            </w:tcBorders>
            <w:vAlign w:val="center"/>
          </w:tcPr>
          <w:p w14:paraId="1167D113">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0.18</w:t>
            </w:r>
          </w:p>
        </w:tc>
        <w:tc>
          <w:tcPr>
            <w:tcW w:w="978" w:type="pct"/>
            <w:tcBorders>
              <w:tl2br w:val="nil"/>
              <w:tr2bl w:val="nil"/>
            </w:tcBorders>
            <w:vAlign w:val="center"/>
          </w:tcPr>
          <w:p w14:paraId="4E9CA308">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0.17</w:t>
            </w:r>
          </w:p>
        </w:tc>
      </w:tr>
      <w:tr w14:paraId="354BE94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3FCC06E7">
            <w:pPr>
              <w:jc w:val="center"/>
              <w:rPr>
                <w:color w:val="auto"/>
                <w:szCs w:val="21"/>
              </w:rPr>
            </w:pPr>
          </w:p>
        </w:tc>
        <w:tc>
          <w:tcPr>
            <w:tcW w:w="534" w:type="pct"/>
            <w:vMerge w:val="continue"/>
            <w:tcBorders>
              <w:tl2br w:val="nil"/>
              <w:tr2bl w:val="nil"/>
            </w:tcBorders>
            <w:vAlign w:val="center"/>
          </w:tcPr>
          <w:p w14:paraId="613FFC3F">
            <w:pPr>
              <w:jc w:val="center"/>
              <w:rPr>
                <w:color w:val="auto"/>
                <w:szCs w:val="21"/>
              </w:rPr>
            </w:pPr>
          </w:p>
        </w:tc>
        <w:tc>
          <w:tcPr>
            <w:tcW w:w="592" w:type="pct"/>
            <w:tcBorders>
              <w:tl2br w:val="nil"/>
              <w:tr2bl w:val="nil"/>
            </w:tcBorders>
            <w:vAlign w:val="center"/>
          </w:tcPr>
          <w:p w14:paraId="6E937B96">
            <w:pPr>
              <w:widowControl/>
              <w:jc w:val="center"/>
              <w:textAlignment w:val="center"/>
              <w:rPr>
                <w:color w:val="auto"/>
                <w:kern w:val="0"/>
                <w:szCs w:val="21"/>
                <w:lang w:bidi="ar"/>
              </w:rPr>
            </w:pPr>
            <w:r>
              <w:rPr>
                <w:rFonts w:hint="eastAsia"/>
                <w:color w:val="auto"/>
                <w:kern w:val="0"/>
                <w:szCs w:val="21"/>
                <w:lang w:val="en-US" w:eastAsia="zh-CN" w:bidi="ar"/>
              </w:rPr>
              <w:t>标准限值</w:t>
            </w:r>
          </w:p>
        </w:tc>
        <w:tc>
          <w:tcPr>
            <w:tcW w:w="3094" w:type="pct"/>
            <w:gridSpan w:val="4"/>
            <w:tcBorders>
              <w:tl2br w:val="nil"/>
              <w:tr2bl w:val="nil"/>
            </w:tcBorders>
            <w:vAlign w:val="center"/>
          </w:tcPr>
          <w:p w14:paraId="6FC188B4">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0.2</w:t>
            </w:r>
          </w:p>
        </w:tc>
      </w:tr>
      <w:tr w14:paraId="7C1854F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6A38B284">
            <w:pPr>
              <w:jc w:val="center"/>
              <w:rPr>
                <w:color w:val="auto"/>
                <w:szCs w:val="21"/>
              </w:rPr>
            </w:pPr>
          </w:p>
        </w:tc>
        <w:tc>
          <w:tcPr>
            <w:tcW w:w="534" w:type="pct"/>
            <w:vMerge w:val="continue"/>
            <w:tcBorders>
              <w:tl2br w:val="nil"/>
              <w:tr2bl w:val="nil"/>
            </w:tcBorders>
            <w:vAlign w:val="center"/>
          </w:tcPr>
          <w:p w14:paraId="07ED836D">
            <w:pPr>
              <w:jc w:val="center"/>
              <w:rPr>
                <w:color w:val="auto"/>
                <w:szCs w:val="21"/>
              </w:rPr>
            </w:pPr>
          </w:p>
        </w:tc>
        <w:tc>
          <w:tcPr>
            <w:tcW w:w="592" w:type="pct"/>
            <w:tcBorders>
              <w:tl2br w:val="nil"/>
              <w:tr2bl w:val="nil"/>
            </w:tcBorders>
            <w:vAlign w:val="center"/>
          </w:tcPr>
          <w:p w14:paraId="0931D34E">
            <w:pPr>
              <w:widowControl/>
              <w:jc w:val="center"/>
              <w:textAlignment w:val="center"/>
              <w:rPr>
                <w:color w:val="auto"/>
                <w:kern w:val="0"/>
                <w:szCs w:val="21"/>
                <w:lang w:bidi="ar"/>
              </w:rPr>
            </w:pPr>
            <w:r>
              <w:rPr>
                <w:rFonts w:hint="eastAsia"/>
                <w:color w:val="auto"/>
                <w:kern w:val="0"/>
                <w:szCs w:val="21"/>
                <w:lang w:val="en-US" w:eastAsia="zh-CN" w:bidi="ar"/>
              </w:rPr>
              <w:t>是否达标</w:t>
            </w:r>
          </w:p>
        </w:tc>
        <w:tc>
          <w:tcPr>
            <w:tcW w:w="3094" w:type="pct"/>
            <w:gridSpan w:val="4"/>
            <w:tcBorders>
              <w:tl2br w:val="nil"/>
              <w:tr2bl w:val="nil"/>
            </w:tcBorders>
            <w:vAlign w:val="center"/>
          </w:tcPr>
          <w:p w14:paraId="3A1D9CAA">
            <w:pPr>
              <w:widowControl/>
              <w:jc w:val="center"/>
              <w:textAlignment w:val="center"/>
              <w:rPr>
                <w:rFonts w:hint="eastAsia" w:eastAsia="宋体"/>
                <w:color w:val="auto"/>
                <w:kern w:val="0"/>
                <w:szCs w:val="21"/>
                <w:lang w:val="en-US" w:eastAsia="zh-CN" w:bidi="ar"/>
              </w:rPr>
            </w:pPr>
            <w:r>
              <w:rPr>
                <w:rFonts w:hint="eastAsia"/>
                <w:color w:val="auto"/>
                <w:kern w:val="0"/>
                <w:szCs w:val="21"/>
                <w:lang w:val="en-US" w:eastAsia="zh-CN" w:bidi="ar"/>
              </w:rPr>
              <w:t>达标</w:t>
            </w:r>
          </w:p>
        </w:tc>
      </w:tr>
      <w:tr w14:paraId="4E67842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3E56412E">
            <w:pPr>
              <w:jc w:val="center"/>
              <w:rPr>
                <w:color w:val="auto"/>
                <w:szCs w:val="21"/>
              </w:rPr>
            </w:pPr>
            <w:r>
              <w:rPr>
                <w:rFonts w:hint="eastAsia"/>
                <w:color w:val="auto"/>
                <w:kern w:val="0"/>
                <w:szCs w:val="21"/>
                <w:lang w:val="en-US" w:eastAsia="zh-CN" w:bidi="ar"/>
              </w:rPr>
              <w:t>锡及其化合物</w:t>
            </w:r>
            <w:r>
              <w:rPr>
                <w:color w:val="auto"/>
                <w:kern w:val="0"/>
                <w:szCs w:val="21"/>
                <w:lang w:bidi="ar"/>
              </w:rPr>
              <w:br w:type="textWrapping"/>
            </w:r>
            <w:r>
              <w:rPr>
                <w:rFonts w:hint="eastAsia"/>
                <w:color w:val="auto"/>
                <w:kern w:val="0"/>
                <w:szCs w:val="21"/>
                <w:lang w:eastAsia="zh-CN" w:bidi="ar"/>
              </w:rPr>
              <w:t>（</w:t>
            </w:r>
            <w:r>
              <w:rPr>
                <w:color w:val="auto"/>
                <w:kern w:val="0"/>
                <w:szCs w:val="21"/>
                <w:lang w:bidi="ar"/>
              </w:rPr>
              <w:t>μg/m</w:t>
            </w:r>
            <w:r>
              <w:rPr>
                <w:rFonts w:hint="eastAsia"/>
                <w:color w:val="auto"/>
                <w:kern w:val="0"/>
                <w:szCs w:val="21"/>
                <w:vertAlign w:val="superscript"/>
                <w:lang w:val="en-US" w:eastAsia="zh-CN" w:bidi="ar"/>
              </w:rPr>
              <w:t>3</w:t>
            </w:r>
            <w:r>
              <w:rPr>
                <w:rFonts w:hint="eastAsia"/>
                <w:color w:val="auto"/>
                <w:kern w:val="0"/>
                <w:szCs w:val="21"/>
                <w:lang w:val="en-US" w:eastAsia="zh-CN" w:bidi="ar"/>
              </w:rPr>
              <w:t>）</w:t>
            </w:r>
          </w:p>
        </w:tc>
        <w:tc>
          <w:tcPr>
            <w:tcW w:w="534" w:type="pct"/>
            <w:vMerge w:val="continue"/>
            <w:tcBorders>
              <w:tl2br w:val="nil"/>
              <w:tr2bl w:val="nil"/>
            </w:tcBorders>
            <w:vAlign w:val="center"/>
          </w:tcPr>
          <w:p w14:paraId="2952CCEA">
            <w:pPr>
              <w:jc w:val="center"/>
              <w:rPr>
                <w:color w:val="auto"/>
                <w:szCs w:val="21"/>
              </w:rPr>
            </w:pPr>
          </w:p>
        </w:tc>
        <w:tc>
          <w:tcPr>
            <w:tcW w:w="592" w:type="pct"/>
            <w:tcBorders>
              <w:tl2br w:val="nil"/>
              <w:tr2bl w:val="nil"/>
            </w:tcBorders>
            <w:vAlign w:val="center"/>
          </w:tcPr>
          <w:p w14:paraId="04E16EC2">
            <w:pPr>
              <w:widowControl/>
              <w:jc w:val="center"/>
              <w:textAlignment w:val="center"/>
              <w:rPr>
                <w:color w:val="auto"/>
                <w:kern w:val="0"/>
                <w:szCs w:val="21"/>
                <w:lang w:bidi="ar"/>
              </w:rPr>
            </w:pPr>
            <w:r>
              <w:rPr>
                <w:color w:val="auto"/>
                <w:kern w:val="0"/>
                <w:szCs w:val="21"/>
                <w:lang w:bidi="ar"/>
              </w:rPr>
              <w:t>第一次</w:t>
            </w:r>
          </w:p>
        </w:tc>
        <w:tc>
          <w:tcPr>
            <w:tcW w:w="696" w:type="pct"/>
            <w:tcBorders>
              <w:tl2br w:val="nil"/>
              <w:tr2bl w:val="nil"/>
            </w:tcBorders>
            <w:vAlign w:val="center"/>
          </w:tcPr>
          <w:p w14:paraId="34C8AA53">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ND</w:t>
            </w:r>
          </w:p>
        </w:tc>
        <w:tc>
          <w:tcPr>
            <w:tcW w:w="681" w:type="pct"/>
            <w:tcBorders>
              <w:tl2br w:val="nil"/>
              <w:tr2bl w:val="nil"/>
            </w:tcBorders>
            <w:vAlign w:val="center"/>
          </w:tcPr>
          <w:p w14:paraId="5B602A1C">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5F2FFAA6">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50DA3E60">
            <w:pPr>
              <w:widowControl/>
              <w:jc w:val="center"/>
              <w:textAlignment w:val="center"/>
              <w:rPr>
                <w:color w:val="auto"/>
                <w:kern w:val="0"/>
                <w:szCs w:val="21"/>
                <w:lang w:bidi="ar"/>
              </w:rPr>
            </w:pPr>
            <w:r>
              <w:rPr>
                <w:rFonts w:hint="eastAsia"/>
                <w:color w:val="auto"/>
                <w:kern w:val="0"/>
                <w:szCs w:val="21"/>
                <w:lang w:val="en-US" w:eastAsia="zh-CN" w:bidi="ar"/>
              </w:rPr>
              <w:t>ND</w:t>
            </w:r>
          </w:p>
        </w:tc>
      </w:tr>
      <w:tr w14:paraId="53E37CB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4AE0BB09">
            <w:pPr>
              <w:jc w:val="center"/>
              <w:rPr>
                <w:color w:val="auto"/>
                <w:szCs w:val="21"/>
              </w:rPr>
            </w:pPr>
          </w:p>
        </w:tc>
        <w:tc>
          <w:tcPr>
            <w:tcW w:w="534" w:type="pct"/>
            <w:vMerge w:val="continue"/>
            <w:tcBorders>
              <w:tl2br w:val="nil"/>
              <w:tr2bl w:val="nil"/>
            </w:tcBorders>
            <w:vAlign w:val="center"/>
          </w:tcPr>
          <w:p w14:paraId="416BB711">
            <w:pPr>
              <w:jc w:val="center"/>
              <w:rPr>
                <w:color w:val="auto"/>
                <w:szCs w:val="21"/>
              </w:rPr>
            </w:pPr>
          </w:p>
        </w:tc>
        <w:tc>
          <w:tcPr>
            <w:tcW w:w="592" w:type="pct"/>
            <w:tcBorders>
              <w:tl2br w:val="nil"/>
              <w:tr2bl w:val="nil"/>
            </w:tcBorders>
            <w:vAlign w:val="center"/>
          </w:tcPr>
          <w:p w14:paraId="4B02D63C">
            <w:pPr>
              <w:widowControl/>
              <w:jc w:val="center"/>
              <w:textAlignment w:val="center"/>
              <w:rPr>
                <w:color w:val="auto"/>
                <w:kern w:val="0"/>
                <w:szCs w:val="21"/>
                <w:lang w:bidi="ar"/>
              </w:rPr>
            </w:pPr>
            <w:r>
              <w:rPr>
                <w:color w:val="auto"/>
                <w:kern w:val="0"/>
                <w:szCs w:val="21"/>
                <w:lang w:bidi="ar"/>
              </w:rPr>
              <w:t>第二次</w:t>
            </w:r>
          </w:p>
        </w:tc>
        <w:tc>
          <w:tcPr>
            <w:tcW w:w="696" w:type="pct"/>
            <w:tcBorders>
              <w:tl2br w:val="nil"/>
              <w:tr2bl w:val="nil"/>
            </w:tcBorders>
            <w:vAlign w:val="center"/>
          </w:tcPr>
          <w:p w14:paraId="1E54DE64">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1959796C">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4C358C62">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7D890269">
            <w:pPr>
              <w:widowControl/>
              <w:jc w:val="center"/>
              <w:textAlignment w:val="center"/>
              <w:rPr>
                <w:color w:val="auto"/>
                <w:kern w:val="0"/>
                <w:szCs w:val="21"/>
                <w:lang w:bidi="ar"/>
              </w:rPr>
            </w:pPr>
            <w:r>
              <w:rPr>
                <w:rFonts w:hint="eastAsia"/>
                <w:color w:val="auto"/>
                <w:kern w:val="0"/>
                <w:szCs w:val="21"/>
                <w:lang w:val="en-US" w:eastAsia="zh-CN" w:bidi="ar"/>
              </w:rPr>
              <w:t>ND</w:t>
            </w:r>
          </w:p>
        </w:tc>
      </w:tr>
      <w:tr w14:paraId="1BF0475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40C4787E">
            <w:pPr>
              <w:jc w:val="center"/>
              <w:rPr>
                <w:color w:val="auto"/>
                <w:szCs w:val="21"/>
              </w:rPr>
            </w:pPr>
          </w:p>
        </w:tc>
        <w:tc>
          <w:tcPr>
            <w:tcW w:w="534" w:type="pct"/>
            <w:vMerge w:val="continue"/>
            <w:tcBorders>
              <w:tl2br w:val="nil"/>
              <w:tr2bl w:val="nil"/>
            </w:tcBorders>
            <w:vAlign w:val="center"/>
          </w:tcPr>
          <w:p w14:paraId="72CF8E30">
            <w:pPr>
              <w:jc w:val="center"/>
              <w:rPr>
                <w:color w:val="auto"/>
                <w:szCs w:val="21"/>
              </w:rPr>
            </w:pPr>
          </w:p>
        </w:tc>
        <w:tc>
          <w:tcPr>
            <w:tcW w:w="592" w:type="pct"/>
            <w:tcBorders>
              <w:tl2br w:val="nil"/>
              <w:tr2bl w:val="nil"/>
            </w:tcBorders>
            <w:vAlign w:val="center"/>
          </w:tcPr>
          <w:p w14:paraId="1E8346D9">
            <w:pPr>
              <w:widowControl/>
              <w:jc w:val="center"/>
              <w:textAlignment w:val="center"/>
              <w:rPr>
                <w:color w:val="auto"/>
                <w:kern w:val="0"/>
                <w:szCs w:val="21"/>
                <w:lang w:bidi="ar"/>
              </w:rPr>
            </w:pPr>
            <w:r>
              <w:rPr>
                <w:color w:val="auto"/>
                <w:kern w:val="0"/>
                <w:szCs w:val="21"/>
                <w:lang w:bidi="ar"/>
              </w:rPr>
              <w:t>第三次</w:t>
            </w:r>
          </w:p>
        </w:tc>
        <w:tc>
          <w:tcPr>
            <w:tcW w:w="696" w:type="pct"/>
            <w:tcBorders>
              <w:tl2br w:val="nil"/>
              <w:tr2bl w:val="nil"/>
            </w:tcBorders>
            <w:vAlign w:val="center"/>
          </w:tcPr>
          <w:p w14:paraId="15B88ECF">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500D3FAD">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1B8B153B">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636D5D3A">
            <w:pPr>
              <w:widowControl/>
              <w:jc w:val="center"/>
              <w:textAlignment w:val="center"/>
              <w:rPr>
                <w:color w:val="auto"/>
                <w:kern w:val="0"/>
                <w:szCs w:val="21"/>
                <w:lang w:bidi="ar"/>
              </w:rPr>
            </w:pPr>
            <w:r>
              <w:rPr>
                <w:rFonts w:hint="eastAsia"/>
                <w:color w:val="auto"/>
                <w:kern w:val="0"/>
                <w:szCs w:val="21"/>
                <w:lang w:val="en-US" w:eastAsia="zh-CN" w:bidi="ar"/>
              </w:rPr>
              <w:t>ND</w:t>
            </w:r>
          </w:p>
        </w:tc>
      </w:tr>
      <w:tr w14:paraId="6CCB62A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358BB8CD">
            <w:pPr>
              <w:jc w:val="center"/>
              <w:rPr>
                <w:color w:val="auto"/>
                <w:szCs w:val="21"/>
              </w:rPr>
            </w:pPr>
          </w:p>
        </w:tc>
        <w:tc>
          <w:tcPr>
            <w:tcW w:w="534" w:type="pct"/>
            <w:vMerge w:val="continue"/>
            <w:tcBorders>
              <w:tl2br w:val="nil"/>
              <w:tr2bl w:val="nil"/>
            </w:tcBorders>
            <w:vAlign w:val="center"/>
          </w:tcPr>
          <w:p w14:paraId="6B7007FA">
            <w:pPr>
              <w:jc w:val="center"/>
              <w:rPr>
                <w:color w:val="auto"/>
                <w:szCs w:val="21"/>
              </w:rPr>
            </w:pPr>
          </w:p>
        </w:tc>
        <w:tc>
          <w:tcPr>
            <w:tcW w:w="592" w:type="pct"/>
            <w:tcBorders>
              <w:tl2br w:val="nil"/>
              <w:tr2bl w:val="nil"/>
            </w:tcBorders>
            <w:vAlign w:val="center"/>
          </w:tcPr>
          <w:p w14:paraId="73203913">
            <w:pPr>
              <w:widowControl/>
              <w:jc w:val="center"/>
              <w:textAlignment w:val="center"/>
              <w:rPr>
                <w:color w:val="auto"/>
                <w:kern w:val="0"/>
                <w:szCs w:val="21"/>
                <w:lang w:bidi="ar"/>
              </w:rPr>
            </w:pPr>
            <w:r>
              <w:rPr>
                <w:color w:val="auto"/>
                <w:kern w:val="0"/>
                <w:szCs w:val="21"/>
                <w:lang w:bidi="ar"/>
              </w:rPr>
              <w:t>第四次</w:t>
            </w:r>
          </w:p>
        </w:tc>
        <w:tc>
          <w:tcPr>
            <w:tcW w:w="696" w:type="pct"/>
            <w:tcBorders>
              <w:tl2br w:val="nil"/>
              <w:tr2bl w:val="nil"/>
            </w:tcBorders>
            <w:vAlign w:val="center"/>
          </w:tcPr>
          <w:p w14:paraId="70146C58">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4660C22F">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4C6BC65B">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06D5C4F2">
            <w:pPr>
              <w:widowControl/>
              <w:jc w:val="center"/>
              <w:textAlignment w:val="center"/>
              <w:rPr>
                <w:color w:val="auto"/>
                <w:kern w:val="0"/>
                <w:szCs w:val="21"/>
                <w:lang w:bidi="ar"/>
              </w:rPr>
            </w:pPr>
            <w:r>
              <w:rPr>
                <w:rFonts w:hint="eastAsia"/>
                <w:color w:val="auto"/>
                <w:kern w:val="0"/>
                <w:szCs w:val="21"/>
                <w:lang w:val="en-US" w:eastAsia="zh-CN" w:bidi="ar"/>
              </w:rPr>
              <w:t>ND</w:t>
            </w:r>
          </w:p>
        </w:tc>
      </w:tr>
      <w:tr w14:paraId="621426A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50CF60B2">
            <w:pPr>
              <w:jc w:val="center"/>
              <w:rPr>
                <w:color w:val="auto"/>
                <w:szCs w:val="21"/>
              </w:rPr>
            </w:pPr>
          </w:p>
        </w:tc>
        <w:tc>
          <w:tcPr>
            <w:tcW w:w="534" w:type="pct"/>
            <w:vMerge w:val="continue"/>
            <w:tcBorders>
              <w:tl2br w:val="nil"/>
              <w:tr2bl w:val="nil"/>
            </w:tcBorders>
            <w:vAlign w:val="center"/>
          </w:tcPr>
          <w:p w14:paraId="2381C863">
            <w:pPr>
              <w:jc w:val="center"/>
              <w:rPr>
                <w:color w:val="auto"/>
                <w:szCs w:val="21"/>
              </w:rPr>
            </w:pPr>
          </w:p>
        </w:tc>
        <w:tc>
          <w:tcPr>
            <w:tcW w:w="592" w:type="pct"/>
            <w:tcBorders>
              <w:tl2br w:val="nil"/>
              <w:tr2bl w:val="nil"/>
            </w:tcBorders>
            <w:vAlign w:val="center"/>
          </w:tcPr>
          <w:p w14:paraId="3C177995">
            <w:pPr>
              <w:widowControl/>
              <w:jc w:val="center"/>
              <w:textAlignment w:val="center"/>
              <w:rPr>
                <w:color w:val="auto"/>
                <w:kern w:val="0"/>
                <w:szCs w:val="21"/>
                <w:lang w:bidi="ar"/>
              </w:rPr>
            </w:pPr>
            <w:r>
              <w:rPr>
                <w:rFonts w:hint="eastAsia"/>
                <w:color w:val="auto"/>
                <w:kern w:val="0"/>
                <w:szCs w:val="21"/>
                <w:lang w:val="en-US" w:eastAsia="zh-CN" w:bidi="ar"/>
              </w:rPr>
              <w:t>标准限值</w:t>
            </w:r>
          </w:p>
        </w:tc>
        <w:tc>
          <w:tcPr>
            <w:tcW w:w="3094" w:type="pct"/>
            <w:gridSpan w:val="4"/>
            <w:tcBorders>
              <w:tl2br w:val="nil"/>
              <w:tr2bl w:val="nil"/>
            </w:tcBorders>
            <w:vAlign w:val="center"/>
          </w:tcPr>
          <w:p w14:paraId="266411BD">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240</w:t>
            </w:r>
          </w:p>
        </w:tc>
      </w:tr>
      <w:tr w14:paraId="70FBFC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68925AC1">
            <w:pPr>
              <w:jc w:val="center"/>
              <w:rPr>
                <w:color w:val="auto"/>
                <w:szCs w:val="21"/>
              </w:rPr>
            </w:pPr>
          </w:p>
        </w:tc>
        <w:tc>
          <w:tcPr>
            <w:tcW w:w="534" w:type="pct"/>
            <w:vMerge w:val="continue"/>
            <w:tcBorders>
              <w:tl2br w:val="nil"/>
              <w:tr2bl w:val="nil"/>
            </w:tcBorders>
            <w:vAlign w:val="center"/>
          </w:tcPr>
          <w:p w14:paraId="6EFE8ADB">
            <w:pPr>
              <w:jc w:val="center"/>
              <w:rPr>
                <w:color w:val="auto"/>
                <w:szCs w:val="21"/>
              </w:rPr>
            </w:pPr>
          </w:p>
        </w:tc>
        <w:tc>
          <w:tcPr>
            <w:tcW w:w="592" w:type="pct"/>
            <w:tcBorders>
              <w:tl2br w:val="nil"/>
              <w:tr2bl w:val="nil"/>
            </w:tcBorders>
            <w:vAlign w:val="center"/>
          </w:tcPr>
          <w:p w14:paraId="5A59A6FF">
            <w:pPr>
              <w:widowControl/>
              <w:jc w:val="center"/>
              <w:textAlignment w:val="center"/>
              <w:rPr>
                <w:color w:val="auto"/>
                <w:kern w:val="0"/>
                <w:szCs w:val="21"/>
                <w:lang w:bidi="ar"/>
              </w:rPr>
            </w:pPr>
            <w:r>
              <w:rPr>
                <w:rFonts w:hint="eastAsia"/>
                <w:color w:val="auto"/>
                <w:kern w:val="0"/>
                <w:szCs w:val="21"/>
                <w:lang w:val="en-US" w:eastAsia="zh-CN" w:bidi="ar"/>
              </w:rPr>
              <w:t>是否达标</w:t>
            </w:r>
          </w:p>
        </w:tc>
        <w:tc>
          <w:tcPr>
            <w:tcW w:w="3094" w:type="pct"/>
            <w:gridSpan w:val="4"/>
            <w:tcBorders>
              <w:tl2br w:val="nil"/>
              <w:tr2bl w:val="nil"/>
            </w:tcBorders>
            <w:vAlign w:val="center"/>
          </w:tcPr>
          <w:p w14:paraId="05F22288">
            <w:pPr>
              <w:widowControl/>
              <w:jc w:val="center"/>
              <w:textAlignment w:val="center"/>
              <w:rPr>
                <w:color w:val="auto"/>
                <w:kern w:val="0"/>
                <w:szCs w:val="21"/>
                <w:lang w:bidi="ar"/>
              </w:rPr>
            </w:pPr>
            <w:r>
              <w:rPr>
                <w:rFonts w:hint="eastAsia"/>
                <w:color w:val="auto"/>
                <w:kern w:val="0"/>
                <w:szCs w:val="21"/>
                <w:lang w:val="en-US" w:eastAsia="zh-CN" w:bidi="ar"/>
              </w:rPr>
              <w:t>达标</w:t>
            </w:r>
          </w:p>
        </w:tc>
      </w:tr>
      <w:tr w14:paraId="4455DEC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49AC4E2C">
            <w:pPr>
              <w:jc w:val="center"/>
              <w:rPr>
                <w:rFonts w:hint="default" w:eastAsia="宋体"/>
                <w:color w:val="auto"/>
                <w:szCs w:val="21"/>
                <w:lang w:val="en-US" w:eastAsia="zh-CN"/>
              </w:rPr>
            </w:pPr>
            <w:r>
              <w:rPr>
                <w:rFonts w:hint="eastAsia"/>
                <w:color w:val="auto"/>
                <w:szCs w:val="21"/>
                <w:lang w:val="en-US" w:eastAsia="zh-CN"/>
              </w:rPr>
              <w:t>砷及其化合物（mg/m</w:t>
            </w:r>
            <w:r>
              <w:rPr>
                <w:rFonts w:hint="eastAsia"/>
                <w:color w:val="auto"/>
                <w:szCs w:val="21"/>
                <w:vertAlign w:val="superscript"/>
                <w:lang w:val="en-US" w:eastAsia="zh-CN"/>
              </w:rPr>
              <w:t>3</w:t>
            </w:r>
            <w:r>
              <w:rPr>
                <w:rFonts w:hint="eastAsia"/>
                <w:color w:val="auto"/>
                <w:szCs w:val="21"/>
                <w:lang w:val="en-US" w:eastAsia="zh-CN"/>
              </w:rPr>
              <w:t>）</w:t>
            </w:r>
          </w:p>
        </w:tc>
        <w:tc>
          <w:tcPr>
            <w:tcW w:w="534" w:type="pct"/>
            <w:vMerge w:val="continue"/>
            <w:tcBorders>
              <w:tl2br w:val="nil"/>
              <w:tr2bl w:val="nil"/>
            </w:tcBorders>
            <w:vAlign w:val="center"/>
          </w:tcPr>
          <w:p w14:paraId="25C332AC">
            <w:pPr>
              <w:jc w:val="center"/>
              <w:rPr>
                <w:color w:val="auto"/>
                <w:szCs w:val="21"/>
              </w:rPr>
            </w:pPr>
          </w:p>
        </w:tc>
        <w:tc>
          <w:tcPr>
            <w:tcW w:w="592" w:type="pct"/>
            <w:tcBorders>
              <w:tl2br w:val="nil"/>
              <w:tr2bl w:val="nil"/>
            </w:tcBorders>
            <w:vAlign w:val="center"/>
          </w:tcPr>
          <w:p w14:paraId="47C15E46">
            <w:pPr>
              <w:widowControl/>
              <w:jc w:val="center"/>
              <w:textAlignment w:val="center"/>
              <w:rPr>
                <w:color w:val="auto"/>
                <w:kern w:val="0"/>
                <w:szCs w:val="21"/>
                <w:lang w:bidi="ar"/>
              </w:rPr>
            </w:pPr>
            <w:r>
              <w:rPr>
                <w:color w:val="auto"/>
                <w:kern w:val="0"/>
                <w:szCs w:val="21"/>
                <w:lang w:bidi="ar"/>
              </w:rPr>
              <w:t>第一次</w:t>
            </w:r>
          </w:p>
        </w:tc>
        <w:tc>
          <w:tcPr>
            <w:tcW w:w="696" w:type="pct"/>
            <w:tcBorders>
              <w:tl2br w:val="nil"/>
              <w:tr2bl w:val="nil"/>
            </w:tcBorders>
            <w:vAlign w:val="center"/>
          </w:tcPr>
          <w:p w14:paraId="01C909EE">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26BD607F">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2D814DBE">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6BEE68D2">
            <w:pPr>
              <w:widowControl/>
              <w:jc w:val="center"/>
              <w:textAlignment w:val="center"/>
              <w:rPr>
                <w:color w:val="auto"/>
                <w:kern w:val="0"/>
                <w:szCs w:val="21"/>
                <w:lang w:bidi="ar"/>
              </w:rPr>
            </w:pPr>
            <w:r>
              <w:rPr>
                <w:rFonts w:hint="eastAsia"/>
                <w:color w:val="auto"/>
                <w:kern w:val="0"/>
                <w:szCs w:val="21"/>
                <w:lang w:val="en-US" w:eastAsia="zh-CN" w:bidi="ar"/>
              </w:rPr>
              <w:t>ND</w:t>
            </w:r>
          </w:p>
        </w:tc>
      </w:tr>
      <w:tr w14:paraId="21ED460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162A4026">
            <w:pPr>
              <w:jc w:val="center"/>
              <w:rPr>
                <w:color w:val="auto"/>
                <w:szCs w:val="21"/>
              </w:rPr>
            </w:pPr>
          </w:p>
        </w:tc>
        <w:tc>
          <w:tcPr>
            <w:tcW w:w="534" w:type="pct"/>
            <w:vMerge w:val="continue"/>
            <w:tcBorders>
              <w:tl2br w:val="nil"/>
              <w:tr2bl w:val="nil"/>
            </w:tcBorders>
            <w:vAlign w:val="center"/>
          </w:tcPr>
          <w:p w14:paraId="5AA33ECF">
            <w:pPr>
              <w:jc w:val="center"/>
              <w:rPr>
                <w:color w:val="auto"/>
                <w:szCs w:val="21"/>
              </w:rPr>
            </w:pPr>
          </w:p>
        </w:tc>
        <w:tc>
          <w:tcPr>
            <w:tcW w:w="592" w:type="pct"/>
            <w:tcBorders>
              <w:tl2br w:val="nil"/>
              <w:tr2bl w:val="nil"/>
            </w:tcBorders>
            <w:vAlign w:val="center"/>
          </w:tcPr>
          <w:p w14:paraId="289A02F8">
            <w:pPr>
              <w:widowControl/>
              <w:jc w:val="center"/>
              <w:textAlignment w:val="center"/>
              <w:rPr>
                <w:color w:val="auto"/>
                <w:kern w:val="0"/>
                <w:szCs w:val="21"/>
                <w:lang w:bidi="ar"/>
              </w:rPr>
            </w:pPr>
            <w:r>
              <w:rPr>
                <w:color w:val="auto"/>
                <w:kern w:val="0"/>
                <w:szCs w:val="21"/>
                <w:lang w:bidi="ar"/>
              </w:rPr>
              <w:t>第二次</w:t>
            </w:r>
          </w:p>
        </w:tc>
        <w:tc>
          <w:tcPr>
            <w:tcW w:w="696" w:type="pct"/>
            <w:tcBorders>
              <w:tl2br w:val="nil"/>
              <w:tr2bl w:val="nil"/>
            </w:tcBorders>
            <w:vAlign w:val="center"/>
          </w:tcPr>
          <w:p w14:paraId="4F370499">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59027F3F">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1A874925">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2DFF1AF8">
            <w:pPr>
              <w:widowControl/>
              <w:jc w:val="center"/>
              <w:textAlignment w:val="center"/>
              <w:rPr>
                <w:color w:val="auto"/>
                <w:kern w:val="0"/>
                <w:szCs w:val="21"/>
                <w:lang w:bidi="ar"/>
              </w:rPr>
            </w:pPr>
            <w:r>
              <w:rPr>
                <w:rFonts w:hint="eastAsia"/>
                <w:color w:val="auto"/>
                <w:kern w:val="0"/>
                <w:szCs w:val="21"/>
                <w:lang w:val="en-US" w:eastAsia="zh-CN" w:bidi="ar"/>
              </w:rPr>
              <w:t>ND</w:t>
            </w:r>
          </w:p>
        </w:tc>
      </w:tr>
      <w:tr w14:paraId="4903DDD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59032194">
            <w:pPr>
              <w:jc w:val="center"/>
              <w:rPr>
                <w:color w:val="auto"/>
                <w:szCs w:val="21"/>
              </w:rPr>
            </w:pPr>
          </w:p>
        </w:tc>
        <w:tc>
          <w:tcPr>
            <w:tcW w:w="534" w:type="pct"/>
            <w:vMerge w:val="continue"/>
            <w:tcBorders>
              <w:tl2br w:val="nil"/>
              <w:tr2bl w:val="nil"/>
            </w:tcBorders>
            <w:vAlign w:val="center"/>
          </w:tcPr>
          <w:p w14:paraId="028C9D04">
            <w:pPr>
              <w:jc w:val="center"/>
              <w:rPr>
                <w:color w:val="auto"/>
                <w:szCs w:val="21"/>
              </w:rPr>
            </w:pPr>
          </w:p>
        </w:tc>
        <w:tc>
          <w:tcPr>
            <w:tcW w:w="592" w:type="pct"/>
            <w:tcBorders>
              <w:tl2br w:val="nil"/>
              <w:tr2bl w:val="nil"/>
            </w:tcBorders>
            <w:vAlign w:val="center"/>
          </w:tcPr>
          <w:p w14:paraId="74FC7E14">
            <w:pPr>
              <w:widowControl/>
              <w:jc w:val="center"/>
              <w:textAlignment w:val="center"/>
              <w:rPr>
                <w:color w:val="auto"/>
                <w:kern w:val="0"/>
                <w:szCs w:val="21"/>
                <w:lang w:bidi="ar"/>
              </w:rPr>
            </w:pPr>
            <w:r>
              <w:rPr>
                <w:color w:val="auto"/>
                <w:kern w:val="0"/>
                <w:szCs w:val="21"/>
                <w:lang w:bidi="ar"/>
              </w:rPr>
              <w:t>第三次</w:t>
            </w:r>
          </w:p>
        </w:tc>
        <w:tc>
          <w:tcPr>
            <w:tcW w:w="696" w:type="pct"/>
            <w:tcBorders>
              <w:tl2br w:val="nil"/>
              <w:tr2bl w:val="nil"/>
            </w:tcBorders>
            <w:vAlign w:val="center"/>
          </w:tcPr>
          <w:p w14:paraId="6FE985B1">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1303E4C2">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117C598B">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2E67EC45">
            <w:pPr>
              <w:widowControl/>
              <w:jc w:val="center"/>
              <w:textAlignment w:val="center"/>
              <w:rPr>
                <w:color w:val="auto"/>
                <w:kern w:val="0"/>
                <w:szCs w:val="21"/>
                <w:lang w:bidi="ar"/>
              </w:rPr>
            </w:pPr>
            <w:r>
              <w:rPr>
                <w:rFonts w:hint="eastAsia"/>
                <w:color w:val="auto"/>
                <w:kern w:val="0"/>
                <w:szCs w:val="21"/>
                <w:lang w:val="en-US" w:eastAsia="zh-CN" w:bidi="ar"/>
              </w:rPr>
              <w:t>ND</w:t>
            </w:r>
          </w:p>
        </w:tc>
      </w:tr>
      <w:tr w14:paraId="5752956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0E76893C">
            <w:pPr>
              <w:jc w:val="center"/>
              <w:rPr>
                <w:color w:val="auto"/>
                <w:szCs w:val="21"/>
              </w:rPr>
            </w:pPr>
          </w:p>
        </w:tc>
        <w:tc>
          <w:tcPr>
            <w:tcW w:w="534" w:type="pct"/>
            <w:vMerge w:val="continue"/>
            <w:tcBorders>
              <w:tl2br w:val="nil"/>
              <w:tr2bl w:val="nil"/>
            </w:tcBorders>
            <w:vAlign w:val="center"/>
          </w:tcPr>
          <w:p w14:paraId="02990908">
            <w:pPr>
              <w:jc w:val="center"/>
              <w:rPr>
                <w:color w:val="auto"/>
                <w:szCs w:val="21"/>
              </w:rPr>
            </w:pPr>
          </w:p>
        </w:tc>
        <w:tc>
          <w:tcPr>
            <w:tcW w:w="592" w:type="pct"/>
            <w:tcBorders>
              <w:tl2br w:val="nil"/>
              <w:tr2bl w:val="nil"/>
            </w:tcBorders>
            <w:vAlign w:val="center"/>
          </w:tcPr>
          <w:p w14:paraId="1B4F3C9D">
            <w:pPr>
              <w:widowControl/>
              <w:jc w:val="center"/>
              <w:textAlignment w:val="center"/>
              <w:rPr>
                <w:color w:val="auto"/>
                <w:kern w:val="0"/>
                <w:szCs w:val="21"/>
                <w:lang w:bidi="ar"/>
              </w:rPr>
            </w:pPr>
            <w:r>
              <w:rPr>
                <w:color w:val="auto"/>
                <w:kern w:val="0"/>
                <w:szCs w:val="21"/>
                <w:lang w:bidi="ar"/>
              </w:rPr>
              <w:t>第四次</w:t>
            </w:r>
          </w:p>
        </w:tc>
        <w:tc>
          <w:tcPr>
            <w:tcW w:w="696" w:type="pct"/>
            <w:tcBorders>
              <w:tl2br w:val="nil"/>
              <w:tr2bl w:val="nil"/>
            </w:tcBorders>
            <w:shd w:val="clear" w:color="auto" w:fill="auto"/>
            <w:vAlign w:val="center"/>
          </w:tcPr>
          <w:p w14:paraId="0BB76B5A">
            <w:pPr>
              <w:widowControl/>
              <w:jc w:val="center"/>
              <w:textAlignment w:val="center"/>
              <w:rPr>
                <w:rFonts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ND</w:t>
            </w:r>
          </w:p>
        </w:tc>
        <w:tc>
          <w:tcPr>
            <w:tcW w:w="681" w:type="pct"/>
            <w:tcBorders>
              <w:tl2br w:val="nil"/>
              <w:tr2bl w:val="nil"/>
            </w:tcBorders>
            <w:shd w:val="clear" w:color="auto" w:fill="auto"/>
            <w:vAlign w:val="center"/>
          </w:tcPr>
          <w:p w14:paraId="0C9E94E0">
            <w:pPr>
              <w:widowControl/>
              <w:jc w:val="center"/>
              <w:textAlignment w:val="center"/>
              <w:rPr>
                <w:rFonts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ND</w:t>
            </w:r>
          </w:p>
        </w:tc>
        <w:tc>
          <w:tcPr>
            <w:tcW w:w="738" w:type="pct"/>
            <w:tcBorders>
              <w:tl2br w:val="nil"/>
              <w:tr2bl w:val="nil"/>
            </w:tcBorders>
            <w:shd w:val="clear" w:color="auto" w:fill="auto"/>
            <w:vAlign w:val="center"/>
          </w:tcPr>
          <w:p w14:paraId="376A420B">
            <w:pPr>
              <w:widowControl/>
              <w:jc w:val="center"/>
              <w:textAlignment w:val="center"/>
              <w:rPr>
                <w:rFonts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ND</w:t>
            </w:r>
          </w:p>
        </w:tc>
        <w:tc>
          <w:tcPr>
            <w:tcW w:w="978" w:type="pct"/>
            <w:tcBorders>
              <w:tl2br w:val="nil"/>
              <w:tr2bl w:val="nil"/>
            </w:tcBorders>
            <w:shd w:val="clear" w:color="auto" w:fill="auto"/>
            <w:vAlign w:val="center"/>
          </w:tcPr>
          <w:p w14:paraId="1470098B">
            <w:pPr>
              <w:widowControl/>
              <w:jc w:val="center"/>
              <w:textAlignment w:val="center"/>
              <w:rPr>
                <w:rFonts w:ascii="Times New Roman" w:hAnsi="Times New Roman" w:eastAsia="宋体" w:cs="Times New Roman"/>
                <w:color w:val="auto"/>
                <w:kern w:val="0"/>
                <w:sz w:val="21"/>
                <w:szCs w:val="21"/>
                <w:lang w:val="en-US" w:eastAsia="zh-CN" w:bidi="ar"/>
              </w:rPr>
            </w:pPr>
            <w:r>
              <w:rPr>
                <w:rFonts w:hint="eastAsia"/>
                <w:color w:val="auto"/>
                <w:kern w:val="0"/>
                <w:szCs w:val="21"/>
                <w:lang w:val="en-US" w:eastAsia="zh-CN" w:bidi="ar"/>
              </w:rPr>
              <w:t>ND</w:t>
            </w:r>
          </w:p>
        </w:tc>
      </w:tr>
      <w:tr w14:paraId="253ECED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7D8EC428">
            <w:pPr>
              <w:jc w:val="center"/>
              <w:rPr>
                <w:color w:val="auto"/>
                <w:szCs w:val="21"/>
              </w:rPr>
            </w:pPr>
          </w:p>
        </w:tc>
        <w:tc>
          <w:tcPr>
            <w:tcW w:w="534" w:type="pct"/>
            <w:vMerge w:val="continue"/>
            <w:tcBorders>
              <w:tl2br w:val="nil"/>
              <w:tr2bl w:val="nil"/>
            </w:tcBorders>
            <w:vAlign w:val="center"/>
          </w:tcPr>
          <w:p w14:paraId="125C6D18">
            <w:pPr>
              <w:jc w:val="center"/>
              <w:rPr>
                <w:color w:val="auto"/>
                <w:szCs w:val="21"/>
              </w:rPr>
            </w:pPr>
          </w:p>
        </w:tc>
        <w:tc>
          <w:tcPr>
            <w:tcW w:w="592" w:type="pct"/>
            <w:tcBorders>
              <w:tl2br w:val="nil"/>
              <w:tr2bl w:val="nil"/>
            </w:tcBorders>
            <w:vAlign w:val="center"/>
          </w:tcPr>
          <w:p w14:paraId="30E53A58">
            <w:pPr>
              <w:widowControl/>
              <w:jc w:val="center"/>
              <w:textAlignment w:val="center"/>
              <w:rPr>
                <w:color w:val="auto"/>
                <w:kern w:val="0"/>
                <w:szCs w:val="21"/>
                <w:lang w:bidi="ar"/>
              </w:rPr>
            </w:pPr>
            <w:r>
              <w:rPr>
                <w:rFonts w:hint="eastAsia"/>
                <w:color w:val="auto"/>
                <w:kern w:val="0"/>
                <w:szCs w:val="21"/>
                <w:lang w:val="en-US" w:eastAsia="zh-CN" w:bidi="ar"/>
              </w:rPr>
              <w:t>标准限值</w:t>
            </w:r>
          </w:p>
        </w:tc>
        <w:tc>
          <w:tcPr>
            <w:tcW w:w="3094" w:type="pct"/>
            <w:gridSpan w:val="4"/>
            <w:tcBorders>
              <w:tl2br w:val="nil"/>
              <w:tr2bl w:val="nil"/>
            </w:tcBorders>
            <w:vAlign w:val="center"/>
          </w:tcPr>
          <w:p w14:paraId="4D3002C7">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0.01</w:t>
            </w:r>
          </w:p>
        </w:tc>
      </w:tr>
      <w:tr w14:paraId="13020D9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56C4409C">
            <w:pPr>
              <w:jc w:val="center"/>
              <w:rPr>
                <w:color w:val="auto"/>
                <w:szCs w:val="21"/>
              </w:rPr>
            </w:pPr>
          </w:p>
        </w:tc>
        <w:tc>
          <w:tcPr>
            <w:tcW w:w="534" w:type="pct"/>
            <w:vMerge w:val="continue"/>
            <w:tcBorders>
              <w:tl2br w:val="nil"/>
              <w:tr2bl w:val="nil"/>
            </w:tcBorders>
            <w:vAlign w:val="center"/>
          </w:tcPr>
          <w:p w14:paraId="7F7077C4">
            <w:pPr>
              <w:jc w:val="center"/>
              <w:rPr>
                <w:color w:val="auto"/>
                <w:szCs w:val="21"/>
              </w:rPr>
            </w:pPr>
          </w:p>
        </w:tc>
        <w:tc>
          <w:tcPr>
            <w:tcW w:w="592" w:type="pct"/>
            <w:tcBorders>
              <w:tl2br w:val="nil"/>
              <w:tr2bl w:val="nil"/>
            </w:tcBorders>
            <w:vAlign w:val="center"/>
          </w:tcPr>
          <w:p w14:paraId="1787F6A3">
            <w:pPr>
              <w:widowControl/>
              <w:jc w:val="center"/>
              <w:textAlignment w:val="center"/>
              <w:rPr>
                <w:color w:val="auto"/>
                <w:kern w:val="0"/>
                <w:szCs w:val="21"/>
                <w:lang w:bidi="ar"/>
              </w:rPr>
            </w:pPr>
            <w:r>
              <w:rPr>
                <w:rFonts w:hint="eastAsia"/>
                <w:color w:val="auto"/>
                <w:kern w:val="0"/>
                <w:szCs w:val="21"/>
                <w:lang w:val="en-US" w:eastAsia="zh-CN" w:bidi="ar"/>
              </w:rPr>
              <w:t>是否达标</w:t>
            </w:r>
          </w:p>
        </w:tc>
        <w:tc>
          <w:tcPr>
            <w:tcW w:w="3094" w:type="pct"/>
            <w:gridSpan w:val="4"/>
            <w:tcBorders>
              <w:tl2br w:val="nil"/>
              <w:tr2bl w:val="nil"/>
            </w:tcBorders>
            <w:vAlign w:val="center"/>
          </w:tcPr>
          <w:p w14:paraId="041A2D9C">
            <w:pPr>
              <w:widowControl/>
              <w:jc w:val="center"/>
              <w:textAlignment w:val="center"/>
              <w:rPr>
                <w:rFonts w:hint="eastAsia" w:eastAsia="宋体"/>
                <w:color w:val="auto"/>
                <w:kern w:val="0"/>
                <w:szCs w:val="21"/>
                <w:lang w:val="en-US" w:eastAsia="zh-CN" w:bidi="ar"/>
              </w:rPr>
            </w:pPr>
            <w:r>
              <w:rPr>
                <w:rFonts w:hint="eastAsia"/>
                <w:color w:val="auto"/>
                <w:kern w:val="0"/>
                <w:szCs w:val="21"/>
                <w:lang w:val="en-US" w:eastAsia="zh-CN" w:bidi="ar"/>
              </w:rPr>
              <w:t>达标</w:t>
            </w:r>
          </w:p>
        </w:tc>
      </w:tr>
      <w:tr w14:paraId="7257EB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098236FF">
            <w:pPr>
              <w:jc w:val="center"/>
              <w:rPr>
                <w:color w:val="auto"/>
                <w:szCs w:val="21"/>
              </w:rPr>
            </w:pPr>
            <w:r>
              <w:rPr>
                <w:rFonts w:hint="eastAsia"/>
                <w:color w:val="auto"/>
                <w:szCs w:val="21"/>
                <w:lang w:val="en-US" w:eastAsia="zh-CN"/>
              </w:rPr>
              <w:t>镉及其化合物（mg/m</w:t>
            </w:r>
            <w:r>
              <w:rPr>
                <w:rFonts w:hint="eastAsia"/>
                <w:color w:val="auto"/>
                <w:szCs w:val="21"/>
                <w:vertAlign w:val="superscript"/>
                <w:lang w:val="en-US" w:eastAsia="zh-CN"/>
              </w:rPr>
              <w:t>3</w:t>
            </w:r>
            <w:r>
              <w:rPr>
                <w:rFonts w:hint="eastAsia"/>
                <w:color w:val="auto"/>
                <w:szCs w:val="21"/>
                <w:lang w:val="en-US" w:eastAsia="zh-CN"/>
              </w:rPr>
              <w:t>）</w:t>
            </w:r>
          </w:p>
        </w:tc>
        <w:tc>
          <w:tcPr>
            <w:tcW w:w="534" w:type="pct"/>
            <w:vMerge w:val="continue"/>
            <w:tcBorders>
              <w:tl2br w:val="nil"/>
              <w:tr2bl w:val="nil"/>
            </w:tcBorders>
            <w:vAlign w:val="center"/>
          </w:tcPr>
          <w:p w14:paraId="5602BD03">
            <w:pPr>
              <w:jc w:val="center"/>
              <w:rPr>
                <w:color w:val="auto"/>
                <w:szCs w:val="21"/>
              </w:rPr>
            </w:pPr>
          </w:p>
        </w:tc>
        <w:tc>
          <w:tcPr>
            <w:tcW w:w="592" w:type="pct"/>
            <w:tcBorders>
              <w:tl2br w:val="nil"/>
              <w:tr2bl w:val="nil"/>
            </w:tcBorders>
            <w:vAlign w:val="center"/>
          </w:tcPr>
          <w:p w14:paraId="67243C81">
            <w:pPr>
              <w:widowControl/>
              <w:jc w:val="center"/>
              <w:textAlignment w:val="center"/>
              <w:rPr>
                <w:color w:val="auto"/>
                <w:kern w:val="0"/>
                <w:szCs w:val="21"/>
                <w:lang w:bidi="ar"/>
              </w:rPr>
            </w:pPr>
            <w:r>
              <w:rPr>
                <w:color w:val="auto"/>
                <w:kern w:val="0"/>
                <w:szCs w:val="21"/>
                <w:lang w:bidi="ar"/>
              </w:rPr>
              <w:t>第一次</w:t>
            </w:r>
          </w:p>
        </w:tc>
        <w:tc>
          <w:tcPr>
            <w:tcW w:w="696" w:type="pct"/>
            <w:tcBorders>
              <w:tl2br w:val="nil"/>
              <w:tr2bl w:val="nil"/>
            </w:tcBorders>
            <w:vAlign w:val="center"/>
          </w:tcPr>
          <w:p w14:paraId="781C1997">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18652BDB">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66A80FB2">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053E7DC2">
            <w:pPr>
              <w:widowControl/>
              <w:jc w:val="center"/>
              <w:textAlignment w:val="center"/>
              <w:rPr>
                <w:color w:val="auto"/>
                <w:kern w:val="0"/>
                <w:szCs w:val="21"/>
                <w:lang w:bidi="ar"/>
              </w:rPr>
            </w:pPr>
            <w:r>
              <w:rPr>
                <w:rFonts w:hint="eastAsia"/>
                <w:color w:val="auto"/>
                <w:kern w:val="0"/>
                <w:szCs w:val="21"/>
                <w:lang w:val="en-US" w:eastAsia="zh-CN" w:bidi="ar"/>
              </w:rPr>
              <w:t>ND</w:t>
            </w:r>
          </w:p>
        </w:tc>
      </w:tr>
      <w:tr w14:paraId="77C5C17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454" w:hRule="atLeast"/>
        </w:trPr>
        <w:tc>
          <w:tcPr>
            <w:tcW w:w="777" w:type="pct"/>
            <w:vMerge w:val="continue"/>
            <w:tcBorders>
              <w:tl2br w:val="nil"/>
              <w:tr2bl w:val="nil"/>
            </w:tcBorders>
            <w:vAlign w:val="center"/>
          </w:tcPr>
          <w:p w14:paraId="36D17E2C">
            <w:pPr>
              <w:jc w:val="center"/>
              <w:rPr>
                <w:color w:val="auto"/>
                <w:szCs w:val="21"/>
              </w:rPr>
            </w:pPr>
          </w:p>
        </w:tc>
        <w:tc>
          <w:tcPr>
            <w:tcW w:w="534" w:type="pct"/>
            <w:vMerge w:val="continue"/>
            <w:tcBorders>
              <w:tl2br w:val="nil"/>
              <w:tr2bl w:val="nil"/>
            </w:tcBorders>
            <w:vAlign w:val="center"/>
          </w:tcPr>
          <w:p w14:paraId="1B96F321">
            <w:pPr>
              <w:jc w:val="center"/>
              <w:rPr>
                <w:color w:val="auto"/>
                <w:szCs w:val="21"/>
              </w:rPr>
            </w:pPr>
          </w:p>
        </w:tc>
        <w:tc>
          <w:tcPr>
            <w:tcW w:w="592" w:type="pct"/>
            <w:tcBorders>
              <w:tl2br w:val="nil"/>
              <w:tr2bl w:val="nil"/>
            </w:tcBorders>
            <w:vAlign w:val="center"/>
          </w:tcPr>
          <w:p w14:paraId="2A67CCC5">
            <w:pPr>
              <w:widowControl/>
              <w:jc w:val="center"/>
              <w:textAlignment w:val="center"/>
              <w:rPr>
                <w:color w:val="auto"/>
                <w:kern w:val="0"/>
                <w:szCs w:val="21"/>
                <w:lang w:bidi="ar"/>
              </w:rPr>
            </w:pPr>
            <w:r>
              <w:rPr>
                <w:color w:val="auto"/>
                <w:kern w:val="0"/>
                <w:szCs w:val="21"/>
                <w:lang w:bidi="ar"/>
              </w:rPr>
              <w:t>第二次</w:t>
            </w:r>
          </w:p>
        </w:tc>
        <w:tc>
          <w:tcPr>
            <w:tcW w:w="696" w:type="pct"/>
            <w:tcBorders>
              <w:tl2br w:val="nil"/>
              <w:tr2bl w:val="nil"/>
            </w:tcBorders>
            <w:vAlign w:val="center"/>
          </w:tcPr>
          <w:p w14:paraId="5E51E375">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3FF7FEC0">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69005899">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6552A2DB">
            <w:pPr>
              <w:widowControl/>
              <w:jc w:val="center"/>
              <w:textAlignment w:val="center"/>
              <w:rPr>
                <w:color w:val="auto"/>
                <w:kern w:val="0"/>
                <w:szCs w:val="21"/>
                <w:lang w:bidi="ar"/>
              </w:rPr>
            </w:pPr>
            <w:r>
              <w:rPr>
                <w:rFonts w:hint="eastAsia"/>
                <w:color w:val="auto"/>
                <w:kern w:val="0"/>
                <w:szCs w:val="21"/>
                <w:lang w:val="en-US" w:eastAsia="zh-CN" w:bidi="ar"/>
              </w:rPr>
              <w:t>ND</w:t>
            </w:r>
          </w:p>
        </w:tc>
      </w:tr>
      <w:tr w14:paraId="749D0A8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20E4C9A2">
            <w:pPr>
              <w:jc w:val="center"/>
              <w:rPr>
                <w:color w:val="auto"/>
                <w:szCs w:val="21"/>
              </w:rPr>
            </w:pPr>
          </w:p>
        </w:tc>
        <w:tc>
          <w:tcPr>
            <w:tcW w:w="534" w:type="pct"/>
            <w:vMerge w:val="continue"/>
            <w:tcBorders>
              <w:tl2br w:val="nil"/>
              <w:tr2bl w:val="nil"/>
            </w:tcBorders>
            <w:vAlign w:val="center"/>
          </w:tcPr>
          <w:p w14:paraId="705A7DD8">
            <w:pPr>
              <w:jc w:val="center"/>
              <w:rPr>
                <w:color w:val="auto"/>
                <w:szCs w:val="21"/>
              </w:rPr>
            </w:pPr>
          </w:p>
        </w:tc>
        <w:tc>
          <w:tcPr>
            <w:tcW w:w="592" w:type="pct"/>
            <w:tcBorders>
              <w:tl2br w:val="nil"/>
              <w:tr2bl w:val="nil"/>
            </w:tcBorders>
            <w:vAlign w:val="center"/>
          </w:tcPr>
          <w:p w14:paraId="3C399444">
            <w:pPr>
              <w:widowControl/>
              <w:jc w:val="center"/>
              <w:textAlignment w:val="center"/>
              <w:rPr>
                <w:color w:val="auto"/>
                <w:kern w:val="0"/>
                <w:szCs w:val="21"/>
                <w:lang w:bidi="ar"/>
              </w:rPr>
            </w:pPr>
            <w:r>
              <w:rPr>
                <w:color w:val="auto"/>
                <w:kern w:val="0"/>
                <w:szCs w:val="21"/>
                <w:lang w:bidi="ar"/>
              </w:rPr>
              <w:t>第三次</w:t>
            </w:r>
          </w:p>
        </w:tc>
        <w:tc>
          <w:tcPr>
            <w:tcW w:w="696" w:type="pct"/>
            <w:tcBorders>
              <w:tl2br w:val="nil"/>
              <w:tr2bl w:val="nil"/>
            </w:tcBorders>
            <w:vAlign w:val="center"/>
          </w:tcPr>
          <w:p w14:paraId="34191480">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56A756C6">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6C0EAEB4">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60BA1B49">
            <w:pPr>
              <w:widowControl/>
              <w:jc w:val="center"/>
              <w:textAlignment w:val="center"/>
              <w:rPr>
                <w:color w:val="auto"/>
                <w:kern w:val="0"/>
                <w:szCs w:val="21"/>
                <w:lang w:bidi="ar"/>
              </w:rPr>
            </w:pPr>
            <w:r>
              <w:rPr>
                <w:rFonts w:hint="eastAsia"/>
                <w:color w:val="auto"/>
                <w:kern w:val="0"/>
                <w:szCs w:val="21"/>
                <w:lang w:val="en-US" w:eastAsia="zh-CN" w:bidi="ar"/>
              </w:rPr>
              <w:t>ND</w:t>
            </w:r>
          </w:p>
        </w:tc>
      </w:tr>
      <w:tr w14:paraId="78AC29E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1D4A31D1">
            <w:pPr>
              <w:jc w:val="center"/>
              <w:rPr>
                <w:color w:val="auto"/>
                <w:szCs w:val="21"/>
              </w:rPr>
            </w:pPr>
          </w:p>
        </w:tc>
        <w:tc>
          <w:tcPr>
            <w:tcW w:w="534" w:type="pct"/>
            <w:vMerge w:val="continue"/>
            <w:tcBorders>
              <w:tl2br w:val="nil"/>
              <w:tr2bl w:val="nil"/>
            </w:tcBorders>
            <w:vAlign w:val="center"/>
          </w:tcPr>
          <w:p w14:paraId="5037FD37">
            <w:pPr>
              <w:jc w:val="center"/>
              <w:rPr>
                <w:color w:val="auto"/>
                <w:szCs w:val="21"/>
              </w:rPr>
            </w:pPr>
          </w:p>
        </w:tc>
        <w:tc>
          <w:tcPr>
            <w:tcW w:w="592" w:type="pct"/>
            <w:tcBorders>
              <w:tl2br w:val="nil"/>
              <w:tr2bl w:val="nil"/>
            </w:tcBorders>
            <w:vAlign w:val="center"/>
          </w:tcPr>
          <w:p w14:paraId="0A6A4954">
            <w:pPr>
              <w:widowControl/>
              <w:jc w:val="center"/>
              <w:textAlignment w:val="center"/>
              <w:rPr>
                <w:color w:val="auto"/>
                <w:kern w:val="0"/>
                <w:szCs w:val="21"/>
                <w:lang w:bidi="ar"/>
              </w:rPr>
            </w:pPr>
            <w:r>
              <w:rPr>
                <w:color w:val="auto"/>
                <w:kern w:val="0"/>
                <w:szCs w:val="21"/>
                <w:lang w:bidi="ar"/>
              </w:rPr>
              <w:t>第四次</w:t>
            </w:r>
          </w:p>
        </w:tc>
        <w:tc>
          <w:tcPr>
            <w:tcW w:w="696" w:type="pct"/>
            <w:tcBorders>
              <w:tl2br w:val="nil"/>
              <w:tr2bl w:val="nil"/>
            </w:tcBorders>
            <w:vAlign w:val="center"/>
          </w:tcPr>
          <w:p w14:paraId="77EB7286">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31F19378">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4BAE2B47">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5258A60E">
            <w:pPr>
              <w:widowControl/>
              <w:jc w:val="center"/>
              <w:textAlignment w:val="center"/>
              <w:rPr>
                <w:color w:val="auto"/>
                <w:kern w:val="0"/>
                <w:szCs w:val="21"/>
                <w:lang w:bidi="ar"/>
              </w:rPr>
            </w:pPr>
            <w:r>
              <w:rPr>
                <w:rFonts w:hint="eastAsia"/>
                <w:color w:val="auto"/>
                <w:kern w:val="0"/>
                <w:szCs w:val="21"/>
                <w:lang w:val="en-US" w:eastAsia="zh-CN" w:bidi="ar"/>
              </w:rPr>
              <w:t>ND</w:t>
            </w:r>
          </w:p>
        </w:tc>
      </w:tr>
      <w:tr w14:paraId="3796404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6D02A8FE">
            <w:pPr>
              <w:jc w:val="center"/>
              <w:rPr>
                <w:color w:val="auto"/>
                <w:szCs w:val="21"/>
              </w:rPr>
            </w:pPr>
          </w:p>
        </w:tc>
        <w:tc>
          <w:tcPr>
            <w:tcW w:w="534" w:type="pct"/>
            <w:vMerge w:val="continue"/>
            <w:tcBorders>
              <w:tl2br w:val="nil"/>
              <w:tr2bl w:val="nil"/>
            </w:tcBorders>
            <w:vAlign w:val="center"/>
          </w:tcPr>
          <w:p w14:paraId="435025F8">
            <w:pPr>
              <w:jc w:val="center"/>
              <w:rPr>
                <w:color w:val="auto"/>
                <w:szCs w:val="21"/>
              </w:rPr>
            </w:pPr>
          </w:p>
        </w:tc>
        <w:tc>
          <w:tcPr>
            <w:tcW w:w="592" w:type="pct"/>
            <w:tcBorders>
              <w:tl2br w:val="nil"/>
              <w:tr2bl w:val="nil"/>
            </w:tcBorders>
            <w:vAlign w:val="center"/>
          </w:tcPr>
          <w:p w14:paraId="79F9E890">
            <w:pPr>
              <w:widowControl/>
              <w:jc w:val="center"/>
              <w:textAlignment w:val="center"/>
              <w:rPr>
                <w:color w:val="auto"/>
                <w:kern w:val="0"/>
                <w:szCs w:val="21"/>
                <w:lang w:bidi="ar"/>
              </w:rPr>
            </w:pPr>
            <w:r>
              <w:rPr>
                <w:rFonts w:hint="eastAsia"/>
                <w:color w:val="auto"/>
                <w:kern w:val="0"/>
                <w:szCs w:val="21"/>
                <w:lang w:val="en-US" w:eastAsia="zh-CN" w:bidi="ar"/>
              </w:rPr>
              <w:t>标准限值</w:t>
            </w:r>
          </w:p>
        </w:tc>
        <w:tc>
          <w:tcPr>
            <w:tcW w:w="3094" w:type="pct"/>
            <w:gridSpan w:val="4"/>
            <w:tcBorders>
              <w:tl2br w:val="nil"/>
              <w:tr2bl w:val="nil"/>
            </w:tcBorders>
            <w:vAlign w:val="center"/>
          </w:tcPr>
          <w:p w14:paraId="65F106EF">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0.0002</w:t>
            </w:r>
          </w:p>
        </w:tc>
      </w:tr>
      <w:tr w14:paraId="67FD9D2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2CD47D6B">
            <w:pPr>
              <w:jc w:val="center"/>
              <w:rPr>
                <w:color w:val="auto"/>
                <w:szCs w:val="21"/>
              </w:rPr>
            </w:pPr>
          </w:p>
        </w:tc>
        <w:tc>
          <w:tcPr>
            <w:tcW w:w="534" w:type="pct"/>
            <w:vMerge w:val="continue"/>
            <w:tcBorders>
              <w:tl2br w:val="nil"/>
              <w:tr2bl w:val="nil"/>
            </w:tcBorders>
            <w:vAlign w:val="center"/>
          </w:tcPr>
          <w:p w14:paraId="69999D56">
            <w:pPr>
              <w:jc w:val="center"/>
              <w:rPr>
                <w:color w:val="auto"/>
                <w:szCs w:val="21"/>
              </w:rPr>
            </w:pPr>
          </w:p>
        </w:tc>
        <w:tc>
          <w:tcPr>
            <w:tcW w:w="592" w:type="pct"/>
            <w:tcBorders>
              <w:tl2br w:val="nil"/>
              <w:tr2bl w:val="nil"/>
            </w:tcBorders>
            <w:vAlign w:val="center"/>
          </w:tcPr>
          <w:p w14:paraId="28A8581F">
            <w:pPr>
              <w:widowControl/>
              <w:jc w:val="center"/>
              <w:textAlignment w:val="center"/>
              <w:rPr>
                <w:color w:val="auto"/>
                <w:kern w:val="0"/>
                <w:szCs w:val="21"/>
                <w:lang w:bidi="ar"/>
              </w:rPr>
            </w:pPr>
            <w:r>
              <w:rPr>
                <w:rFonts w:hint="eastAsia"/>
                <w:color w:val="auto"/>
                <w:kern w:val="0"/>
                <w:szCs w:val="21"/>
                <w:lang w:val="en-US" w:eastAsia="zh-CN" w:bidi="ar"/>
              </w:rPr>
              <w:t>是否达标</w:t>
            </w:r>
          </w:p>
        </w:tc>
        <w:tc>
          <w:tcPr>
            <w:tcW w:w="3094" w:type="pct"/>
            <w:gridSpan w:val="4"/>
            <w:tcBorders>
              <w:tl2br w:val="nil"/>
              <w:tr2bl w:val="nil"/>
            </w:tcBorders>
            <w:vAlign w:val="center"/>
          </w:tcPr>
          <w:p w14:paraId="5DA11E9C">
            <w:pPr>
              <w:widowControl/>
              <w:jc w:val="center"/>
              <w:textAlignment w:val="center"/>
              <w:rPr>
                <w:rFonts w:hint="eastAsia" w:eastAsia="宋体"/>
                <w:color w:val="auto"/>
                <w:kern w:val="0"/>
                <w:szCs w:val="21"/>
                <w:lang w:val="en-US" w:eastAsia="zh-CN" w:bidi="ar"/>
              </w:rPr>
            </w:pPr>
            <w:r>
              <w:rPr>
                <w:rFonts w:hint="eastAsia"/>
                <w:color w:val="auto"/>
                <w:kern w:val="0"/>
                <w:szCs w:val="21"/>
                <w:lang w:val="en-US" w:eastAsia="zh-CN" w:bidi="ar"/>
              </w:rPr>
              <w:t>达标</w:t>
            </w:r>
          </w:p>
        </w:tc>
      </w:tr>
      <w:tr w14:paraId="08339C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6E5CD530">
            <w:pPr>
              <w:jc w:val="center"/>
              <w:rPr>
                <w:rFonts w:hint="default" w:eastAsia="宋体"/>
                <w:color w:val="auto"/>
                <w:szCs w:val="21"/>
                <w:lang w:val="en-US" w:eastAsia="zh-CN"/>
              </w:rPr>
            </w:pPr>
            <w:r>
              <w:rPr>
                <w:rFonts w:hint="eastAsia"/>
                <w:color w:val="auto"/>
                <w:szCs w:val="21"/>
                <w:lang w:val="en-US" w:eastAsia="zh-CN"/>
              </w:rPr>
              <w:t>铬及其化合物（mg/m</w:t>
            </w:r>
            <w:r>
              <w:rPr>
                <w:rFonts w:hint="eastAsia"/>
                <w:color w:val="auto"/>
                <w:szCs w:val="21"/>
                <w:vertAlign w:val="superscript"/>
                <w:lang w:val="en-US" w:eastAsia="zh-CN"/>
              </w:rPr>
              <w:t>3</w:t>
            </w:r>
            <w:r>
              <w:rPr>
                <w:rFonts w:hint="eastAsia"/>
                <w:color w:val="auto"/>
                <w:szCs w:val="21"/>
                <w:lang w:val="en-US" w:eastAsia="zh-CN"/>
              </w:rPr>
              <w:t>）</w:t>
            </w:r>
          </w:p>
        </w:tc>
        <w:tc>
          <w:tcPr>
            <w:tcW w:w="534" w:type="pct"/>
            <w:vMerge w:val="continue"/>
            <w:tcBorders>
              <w:tl2br w:val="nil"/>
              <w:tr2bl w:val="nil"/>
            </w:tcBorders>
            <w:vAlign w:val="center"/>
          </w:tcPr>
          <w:p w14:paraId="07D668E3">
            <w:pPr>
              <w:jc w:val="center"/>
              <w:rPr>
                <w:color w:val="auto"/>
                <w:szCs w:val="21"/>
              </w:rPr>
            </w:pPr>
          </w:p>
        </w:tc>
        <w:tc>
          <w:tcPr>
            <w:tcW w:w="592" w:type="pct"/>
            <w:tcBorders>
              <w:tl2br w:val="nil"/>
              <w:tr2bl w:val="nil"/>
            </w:tcBorders>
            <w:vAlign w:val="center"/>
          </w:tcPr>
          <w:p w14:paraId="48D5BA5B">
            <w:pPr>
              <w:widowControl/>
              <w:jc w:val="center"/>
              <w:textAlignment w:val="center"/>
              <w:rPr>
                <w:color w:val="auto"/>
                <w:kern w:val="0"/>
                <w:szCs w:val="21"/>
                <w:lang w:bidi="ar"/>
              </w:rPr>
            </w:pPr>
            <w:r>
              <w:rPr>
                <w:color w:val="auto"/>
                <w:kern w:val="0"/>
                <w:szCs w:val="21"/>
                <w:lang w:bidi="ar"/>
              </w:rPr>
              <w:t>第一次</w:t>
            </w:r>
          </w:p>
        </w:tc>
        <w:tc>
          <w:tcPr>
            <w:tcW w:w="696" w:type="pct"/>
            <w:tcBorders>
              <w:tl2br w:val="nil"/>
              <w:tr2bl w:val="nil"/>
            </w:tcBorders>
            <w:vAlign w:val="center"/>
          </w:tcPr>
          <w:p w14:paraId="17D51276">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4BC0D103">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40040A9B">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458A1272">
            <w:pPr>
              <w:widowControl/>
              <w:jc w:val="center"/>
              <w:textAlignment w:val="center"/>
              <w:rPr>
                <w:color w:val="auto"/>
                <w:kern w:val="0"/>
                <w:szCs w:val="21"/>
                <w:lang w:bidi="ar"/>
              </w:rPr>
            </w:pPr>
            <w:r>
              <w:rPr>
                <w:rFonts w:hint="eastAsia"/>
                <w:color w:val="auto"/>
                <w:kern w:val="0"/>
                <w:szCs w:val="21"/>
                <w:lang w:val="en-US" w:eastAsia="zh-CN" w:bidi="ar"/>
              </w:rPr>
              <w:t>ND</w:t>
            </w:r>
          </w:p>
        </w:tc>
      </w:tr>
      <w:tr w14:paraId="3E731A6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01D1B134">
            <w:pPr>
              <w:jc w:val="center"/>
              <w:rPr>
                <w:color w:val="auto"/>
                <w:szCs w:val="21"/>
              </w:rPr>
            </w:pPr>
          </w:p>
        </w:tc>
        <w:tc>
          <w:tcPr>
            <w:tcW w:w="534" w:type="pct"/>
            <w:vMerge w:val="continue"/>
            <w:tcBorders>
              <w:tl2br w:val="nil"/>
              <w:tr2bl w:val="nil"/>
            </w:tcBorders>
            <w:vAlign w:val="center"/>
          </w:tcPr>
          <w:p w14:paraId="7077CBCB">
            <w:pPr>
              <w:jc w:val="center"/>
              <w:rPr>
                <w:color w:val="auto"/>
                <w:szCs w:val="21"/>
              </w:rPr>
            </w:pPr>
          </w:p>
        </w:tc>
        <w:tc>
          <w:tcPr>
            <w:tcW w:w="592" w:type="pct"/>
            <w:tcBorders>
              <w:tl2br w:val="nil"/>
              <w:tr2bl w:val="nil"/>
            </w:tcBorders>
            <w:vAlign w:val="center"/>
          </w:tcPr>
          <w:p w14:paraId="1C90AB6F">
            <w:pPr>
              <w:widowControl/>
              <w:jc w:val="center"/>
              <w:textAlignment w:val="center"/>
              <w:rPr>
                <w:color w:val="auto"/>
                <w:kern w:val="0"/>
                <w:szCs w:val="21"/>
                <w:lang w:bidi="ar"/>
              </w:rPr>
            </w:pPr>
            <w:r>
              <w:rPr>
                <w:color w:val="auto"/>
                <w:kern w:val="0"/>
                <w:szCs w:val="21"/>
                <w:lang w:bidi="ar"/>
              </w:rPr>
              <w:t>第二次</w:t>
            </w:r>
          </w:p>
        </w:tc>
        <w:tc>
          <w:tcPr>
            <w:tcW w:w="696" w:type="pct"/>
            <w:tcBorders>
              <w:tl2br w:val="nil"/>
              <w:tr2bl w:val="nil"/>
            </w:tcBorders>
            <w:vAlign w:val="center"/>
          </w:tcPr>
          <w:p w14:paraId="4783898C">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7C64D08C">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428F29C0">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267DA669">
            <w:pPr>
              <w:widowControl/>
              <w:jc w:val="center"/>
              <w:textAlignment w:val="center"/>
              <w:rPr>
                <w:color w:val="auto"/>
                <w:kern w:val="0"/>
                <w:szCs w:val="21"/>
                <w:lang w:bidi="ar"/>
              </w:rPr>
            </w:pPr>
            <w:r>
              <w:rPr>
                <w:rFonts w:hint="eastAsia"/>
                <w:color w:val="auto"/>
                <w:kern w:val="0"/>
                <w:szCs w:val="21"/>
                <w:lang w:val="en-US" w:eastAsia="zh-CN" w:bidi="ar"/>
              </w:rPr>
              <w:t>ND</w:t>
            </w:r>
          </w:p>
        </w:tc>
      </w:tr>
      <w:tr w14:paraId="1B44ED8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4E51CE21">
            <w:pPr>
              <w:jc w:val="center"/>
              <w:rPr>
                <w:color w:val="auto"/>
                <w:szCs w:val="21"/>
              </w:rPr>
            </w:pPr>
          </w:p>
        </w:tc>
        <w:tc>
          <w:tcPr>
            <w:tcW w:w="534" w:type="pct"/>
            <w:vMerge w:val="continue"/>
            <w:tcBorders>
              <w:tl2br w:val="nil"/>
              <w:tr2bl w:val="nil"/>
            </w:tcBorders>
            <w:vAlign w:val="center"/>
          </w:tcPr>
          <w:p w14:paraId="6ABC8EA0">
            <w:pPr>
              <w:jc w:val="center"/>
              <w:rPr>
                <w:color w:val="auto"/>
                <w:szCs w:val="21"/>
              </w:rPr>
            </w:pPr>
          </w:p>
        </w:tc>
        <w:tc>
          <w:tcPr>
            <w:tcW w:w="592" w:type="pct"/>
            <w:tcBorders>
              <w:tl2br w:val="nil"/>
              <w:tr2bl w:val="nil"/>
            </w:tcBorders>
            <w:vAlign w:val="center"/>
          </w:tcPr>
          <w:p w14:paraId="08454532">
            <w:pPr>
              <w:widowControl/>
              <w:jc w:val="center"/>
              <w:textAlignment w:val="center"/>
              <w:rPr>
                <w:color w:val="auto"/>
                <w:kern w:val="0"/>
                <w:szCs w:val="21"/>
                <w:lang w:bidi="ar"/>
              </w:rPr>
            </w:pPr>
            <w:r>
              <w:rPr>
                <w:color w:val="auto"/>
                <w:kern w:val="0"/>
                <w:szCs w:val="21"/>
                <w:lang w:bidi="ar"/>
              </w:rPr>
              <w:t>第三次</w:t>
            </w:r>
          </w:p>
        </w:tc>
        <w:tc>
          <w:tcPr>
            <w:tcW w:w="696" w:type="pct"/>
            <w:tcBorders>
              <w:tl2br w:val="nil"/>
              <w:tr2bl w:val="nil"/>
            </w:tcBorders>
            <w:vAlign w:val="center"/>
          </w:tcPr>
          <w:p w14:paraId="24CB0693">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495EAF05">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79766A77">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55C6F306">
            <w:pPr>
              <w:widowControl/>
              <w:jc w:val="center"/>
              <w:textAlignment w:val="center"/>
              <w:rPr>
                <w:color w:val="auto"/>
                <w:kern w:val="0"/>
                <w:szCs w:val="21"/>
                <w:lang w:bidi="ar"/>
              </w:rPr>
            </w:pPr>
            <w:r>
              <w:rPr>
                <w:rFonts w:hint="eastAsia"/>
                <w:color w:val="auto"/>
                <w:kern w:val="0"/>
                <w:szCs w:val="21"/>
                <w:lang w:val="en-US" w:eastAsia="zh-CN" w:bidi="ar"/>
              </w:rPr>
              <w:t>ND</w:t>
            </w:r>
          </w:p>
        </w:tc>
      </w:tr>
      <w:tr w14:paraId="483F307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0E8CF41A">
            <w:pPr>
              <w:jc w:val="center"/>
              <w:rPr>
                <w:color w:val="auto"/>
                <w:szCs w:val="21"/>
              </w:rPr>
            </w:pPr>
          </w:p>
        </w:tc>
        <w:tc>
          <w:tcPr>
            <w:tcW w:w="534" w:type="pct"/>
            <w:vMerge w:val="continue"/>
            <w:tcBorders>
              <w:tl2br w:val="nil"/>
              <w:tr2bl w:val="nil"/>
            </w:tcBorders>
            <w:vAlign w:val="center"/>
          </w:tcPr>
          <w:p w14:paraId="78B2BB00">
            <w:pPr>
              <w:jc w:val="center"/>
              <w:rPr>
                <w:color w:val="auto"/>
                <w:szCs w:val="21"/>
              </w:rPr>
            </w:pPr>
          </w:p>
        </w:tc>
        <w:tc>
          <w:tcPr>
            <w:tcW w:w="592" w:type="pct"/>
            <w:tcBorders>
              <w:tl2br w:val="nil"/>
              <w:tr2bl w:val="nil"/>
            </w:tcBorders>
            <w:vAlign w:val="center"/>
          </w:tcPr>
          <w:p w14:paraId="434BA8BA">
            <w:pPr>
              <w:widowControl/>
              <w:jc w:val="center"/>
              <w:textAlignment w:val="center"/>
              <w:rPr>
                <w:color w:val="auto"/>
                <w:kern w:val="0"/>
                <w:szCs w:val="21"/>
                <w:lang w:bidi="ar"/>
              </w:rPr>
            </w:pPr>
            <w:r>
              <w:rPr>
                <w:color w:val="auto"/>
                <w:kern w:val="0"/>
                <w:szCs w:val="21"/>
                <w:lang w:bidi="ar"/>
              </w:rPr>
              <w:t>第四次</w:t>
            </w:r>
          </w:p>
        </w:tc>
        <w:tc>
          <w:tcPr>
            <w:tcW w:w="696" w:type="pct"/>
            <w:tcBorders>
              <w:tl2br w:val="nil"/>
              <w:tr2bl w:val="nil"/>
            </w:tcBorders>
            <w:vAlign w:val="center"/>
          </w:tcPr>
          <w:p w14:paraId="39C25401">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5F2DE84E">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6177DE50">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62F5A6BB">
            <w:pPr>
              <w:widowControl/>
              <w:jc w:val="center"/>
              <w:textAlignment w:val="center"/>
              <w:rPr>
                <w:color w:val="auto"/>
                <w:kern w:val="0"/>
                <w:szCs w:val="21"/>
                <w:lang w:bidi="ar"/>
              </w:rPr>
            </w:pPr>
            <w:r>
              <w:rPr>
                <w:rFonts w:hint="eastAsia"/>
                <w:color w:val="auto"/>
                <w:kern w:val="0"/>
                <w:szCs w:val="21"/>
                <w:lang w:val="en-US" w:eastAsia="zh-CN" w:bidi="ar"/>
              </w:rPr>
              <w:t>ND</w:t>
            </w:r>
          </w:p>
        </w:tc>
      </w:tr>
      <w:tr w14:paraId="31E188A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4DA6B7BD">
            <w:pPr>
              <w:jc w:val="center"/>
              <w:rPr>
                <w:color w:val="auto"/>
                <w:szCs w:val="21"/>
              </w:rPr>
            </w:pPr>
          </w:p>
        </w:tc>
        <w:tc>
          <w:tcPr>
            <w:tcW w:w="534" w:type="pct"/>
            <w:vMerge w:val="continue"/>
            <w:tcBorders>
              <w:tl2br w:val="nil"/>
              <w:tr2bl w:val="nil"/>
            </w:tcBorders>
            <w:vAlign w:val="center"/>
          </w:tcPr>
          <w:p w14:paraId="1856724D">
            <w:pPr>
              <w:jc w:val="center"/>
              <w:rPr>
                <w:color w:val="auto"/>
                <w:szCs w:val="21"/>
              </w:rPr>
            </w:pPr>
          </w:p>
        </w:tc>
        <w:tc>
          <w:tcPr>
            <w:tcW w:w="592" w:type="pct"/>
            <w:tcBorders>
              <w:tl2br w:val="nil"/>
              <w:tr2bl w:val="nil"/>
            </w:tcBorders>
            <w:vAlign w:val="center"/>
          </w:tcPr>
          <w:p w14:paraId="7E52855D">
            <w:pPr>
              <w:widowControl/>
              <w:jc w:val="center"/>
              <w:textAlignment w:val="center"/>
              <w:rPr>
                <w:color w:val="auto"/>
                <w:kern w:val="0"/>
                <w:szCs w:val="21"/>
                <w:lang w:bidi="ar"/>
              </w:rPr>
            </w:pPr>
            <w:r>
              <w:rPr>
                <w:rFonts w:hint="eastAsia"/>
                <w:color w:val="auto"/>
                <w:kern w:val="0"/>
                <w:szCs w:val="21"/>
                <w:lang w:val="en-US" w:eastAsia="zh-CN" w:bidi="ar"/>
              </w:rPr>
              <w:t>标准限值</w:t>
            </w:r>
          </w:p>
        </w:tc>
        <w:tc>
          <w:tcPr>
            <w:tcW w:w="3094" w:type="pct"/>
            <w:gridSpan w:val="4"/>
            <w:tcBorders>
              <w:tl2br w:val="nil"/>
              <w:tr2bl w:val="nil"/>
            </w:tcBorders>
            <w:vAlign w:val="center"/>
          </w:tcPr>
          <w:p w14:paraId="278BE169">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0.006</w:t>
            </w:r>
          </w:p>
        </w:tc>
      </w:tr>
      <w:tr w14:paraId="5A3CC46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6A756FA7">
            <w:pPr>
              <w:jc w:val="center"/>
              <w:rPr>
                <w:color w:val="auto"/>
                <w:szCs w:val="21"/>
              </w:rPr>
            </w:pPr>
          </w:p>
        </w:tc>
        <w:tc>
          <w:tcPr>
            <w:tcW w:w="534" w:type="pct"/>
            <w:vMerge w:val="continue"/>
            <w:tcBorders>
              <w:tl2br w:val="nil"/>
              <w:tr2bl w:val="nil"/>
            </w:tcBorders>
            <w:vAlign w:val="center"/>
          </w:tcPr>
          <w:p w14:paraId="43340630">
            <w:pPr>
              <w:jc w:val="center"/>
              <w:rPr>
                <w:color w:val="auto"/>
                <w:szCs w:val="21"/>
              </w:rPr>
            </w:pPr>
          </w:p>
        </w:tc>
        <w:tc>
          <w:tcPr>
            <w:tcW w:w="592" w:type="pct"/>
            <w:tcBorders>
              <w:tl2br w:val="nil"/>
              <w:tr2bl w:val="nil"/>
            </w:tcBorders>
            <w:vAlign w:val="center"/>
          </w:tcPr>
          <w:p w14:paraId="7D170880">
            <w:pPr>
              <w:widowControl/>
              <w:jc w:val="center"/>
              <w:textAlignment w:val="center"/>
              <w:rPr>
                <w:color w:val="auto"/>
                <w:kern w:val="0"/>
                <w:szCs w:val="21"/>
                <w:lang w:bidi="ar"/>
              </w:rPr>
            </w:pPr>
            <w:r>
              <w:rPr>
                <w:rFonts w:hint="eastAsia"/>
                <w:color w:val="auto"/>
                <w:kern w:val="0"/>
                <w:szCs w:val="21"/>
                <w:lang w:val="en-US" w:eastAsia="zh-CN" w:bidi="ar"/>
              </w:rPr>
              <w:t>是否达标</w:t>
            </w:r>
          </w:p>
        </w:tc>
        <w:tc>
          <w:tcPr>
            <w:tcW w:w="3094" w:type="pct"/>
            <w:gridSpan w:val="4"/>
            <w:tcBorders>
              <w:tl2br w:val="nil"/>
              <w:tr2bl w:val="nil"/>
            </w:tcBorders>
            <w:vAlign w:val="center"/>
          </w:tcPr>
          <w:p w14:paraId="7430D208">
            <w:pPr>
              <w:widowControl/>
              <w:jc w:val="center"/>
              <w:textAlignment w:val="center"/>
              <w:rPr>
                <w:rFonts w:hint="eastAsia" w:eastAsia="宋体"/>
                <w:color w:val="auto"/>
                <w:kern w:val="0"/>
                <w:szCs w:val="21"/>
                <w:lang w:val="en-US" w:eastAsia="zh-CN" w:bidi="ar"/>
              </w:rPr>
            </w:pPr>
            <w:r>
              <w:rPr>
                <w:rFonts w:hint="eastAsia"/>
                <w:color w:val="auto"/>
                <w:kern w:val="0"/>
                <w:szCs w:val="21"/>
                <w:lang w:val="en-US" w:eastAsia="zh-CN" w:bidi="ar"/>
              </w:rPr>
              <w:t>达标</w:t>
            </w:r>
          </w:p>
        </w:tc>
      </w:tr>
      <w:tr w14:paraId="037E3F3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restart"/>
            <w:tcBorders>
              <w:tl2br w:val="nil"/>
              <w:tr2bl w:val="nil"/>
            </w:tcBorders>
            <w:vAlign w:val="center"/>
          </w:tcPr>
          <w:p w14:paraId="24335C57">
            <w:pPr>
              <w:jc w:val="center"/>
              <w:rPr>
                <w:rFonts w:hint="eastAsia" w:eastAsia="宋体"/>
                <w:color w:val="auto"/>
                <w:szCs w:val="21"/>
                <w:lang w:val="en-US" w:eastAsia="zh-CN"/>
              </w:rPr>
            </w:pPr>
            <w:r>
              <w:rPr>
                <w:rFonts w:hint="eastAsia"/>
                <w:color w:val="auto"/>
                <w:szCs w:val="21"/>
                <w:lang w:val="en-US" w:eastAsia="zh-CN"/>
              </w:rPr>
              <w:t>铅及其化合物（mg/m</w:t>
            </w:r>
            <w:r>
              <w:rPr>
                <w:rFonts w:hint="eastAsia"/>
                <w:color w:val="auto"/>
                <w:szCs w:val="21"/>
                <w:vertAlign w:val="superscript"/>
                <w:lang w:val="en-US" w:eastAsia="zh-CN"/>
              </w:rPr>
              <w:t>3</w:t>
            </w:r>
            <w:r>
              <w:rPr>
                <w:rFonts w:hint="eastAsia"/>
                <w:color w:val="auto"/>
                <w:szCs w:val="21"/>
                <w:lang w:val="en-US" w:eastAsia="zh-CN"/>
              </w:rPr>
              <w:t>）</w:t>
            </w:r>
          </w:p>
        </w:tc>
        <w:tc>
          <w:tcPr>
            <w:tcW w:w="534" w:type="pct"/>
            <w:vMerge w:val="continue"/>
            <w:tcBorders>
              <w:tl2br w:val="nil"/>
              <w:tr2bl w:val="nil"/>
            </w:tcBorders>
            <w:vAlign w:val="center"/>
          </w:tcPr>
          <w:p w14:paraId="7FBCA083">
            <w:pPr>
              <w:jc w:val="center"/>
              <w:rPr>
                <w:color w:val="auto"/>
                <w:szCs w:val="21"/>
              </w:rPr>
            </w:pPr>
          </w:p>
        </w:tc>
        <w:tc>
          <w:tcPr>
            <w:tcW w:w="592" w:type="pct"/>
            <w:tcBorders>
              <w:tl2br w:val="nil"/>
              <w:tr2bl w:val="nil"/>
            </w:tcBorders>
            <w:vAlign w:val="center"/>
          </w:tcPr>
          <w:p w14:paraId="3623A9FE">
            <w:pPr>
              <w:widowControl/>
              <w:jc w:val="center"/>
              <w:textAlignment w:val="center"/>
              <w:rPr>
                <w:color w:val="auto"/>
                <w:kern w:val="0"/>
                <w:szCs w:val="21"/>
                <w:lang w:bidi="ar"/>
              </w:rPr>
            </w:pPr>
            <w:r>
              <w:rPr>
                <w:color w:val="auto"/>
                <w:kern w:val="0"/>
                <w:szCs w:val="21"/>
                <w:lang w:bidi="ar"/>
              </w:rPr>
              <w:t>第一次</w:t>
            </w:r>
          </w:p>
        </w:tc>
        <w:tc>
          <w:tcPr>
            <w:tcW w:w="696" w:type="pct"/>
            <w:tcBorders>
              <w:tl2br w:val="nil"/>
              <w:tr2bl w:val="nil"/>
            </w:tcBorders>
            <w:vAlign w:val="center"/>
          </w:tcPr>
          <w:p w14:paraId="56287701">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0EC5D011">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13B8B1CA">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6BFDFFDA">
            <w:pPr>
              <w:widowControl/>
              <w:jc w:val="center"/>
              <w:textAlignment w:val="center"/>
              <w:rPr>
                <w:color w:val="auto"/>
                <w:kern w:val="0"/>
                <w:szCs w:val="21"/>
                <w:lang w:bidi="ar"/>
              </w:rPr>
            </w:pPr>
            <w:r>
              <w:rPr>
                <w:rFonts w:hint="eastAsia"/>
                <w:color w:val="auto"/>
                <w:kern w:val="0"/>
                <w:szCs w:val="21"/>
                <w:lang w:val="en-US" w:eastAsia="zh-CN" w:bidi="ar"/>
              </w:rPr>
              <w:t>ND</w:t>
            </w:r>
          </w:p>
        </w:tc>
      </w:tr>
      <w:tr w14:paraId="288BC66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5D52E954">
            <w:pPr>
              <w:jc w:val="center"/>
              <w:rPr>
                <w:color w:val="auto"/>
                <w:szCs w:val="21"/>
              </w:rPr>
            </w:pPr>
          </w:p>
        </w:tc>
        <w:tc>
          <w:tcPr>
            <w:tcW w:w="534" w:type="pct"/>
            <w:vMerge w:val="continue"/>
            <w:tcBorders>
              <w:tl2br w:val="nil"/>
              <w:tr2bl w:val="nil"/>
            </w:tcBorders>
            <w:vAlign w:val="center"/>
          </w:tcPr>
          <w:p w14:paraId="79F4C138">
            <w:pPr>
              <w:jc w:val="center"/>
              <w:rPr>
                <w:color w:val="auto"/>
                <w:szCs w:val="21"/>
              </w:rPr>
            </w:pPr>
          </w:p>
        </w:tc>
        <w:tc>
          <w:tcPr>
            <w:tcW w:w="592" w:type="pct"/>
            <w:tcBorders>
              <w:tl2br w:val="nil"/>
              <w:tr2bl w:val="nil"/>
            </w:tcBorders>
            <w:vAlign w:val="center"/>
          </w:tcPr>
          <w:p w14:paraId="601A3679">
            <w:pPr>
              <w:widowControl/>
              <w:jc w:val="center"/>
              <w:textAlignment w:val="center"/>
              <w:rPr>
                <w:color w:val="auto"/>
                <w:kern w:val="0"/>
                <w:szCs w:val="21"/>
                <w:lang w:bidi="ar"/>
              </w:rPr>
            </w:pPr>
            <w:r>
              <w:rPr>
                <w:color w:val="auto"/>
                <w:kern w:val="0"/>
                <w:szCs w:val="21"/>
                <w:lang w:bidi="ar"/>
              </w:rPr>
              <w:t>第二次</w:t>
            </w:r>
          </w:p>
        </w:tc>
        <w:tc>
          <w:tcPr>
            <w:tcW w:w="696" w:type="pct"/>
            <w:tcBorders>
              <w:tl2br w:val="nil"/>
              <w:tr2bl w:val="nil"/>
            </w:tcBorders>
            <w:vAlign w:val="center"/>
          </w:tcPr>
          <w:p w14:paraId="4851AE84">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1DDC64A4">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06169A47">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4D950D79">
            <w:pPr>
              <w:widowControl/>
              <w:jc w:val="center"/>
              <w:textAlignment w:val="center"/>
              <w:rPr>
                <w:color w:val="auto"/>
                <w:kern w:val="0"/>
                <w:szCs w:val="21"/>
                <w:lang w:bidi="ar"/>
              </w:rPr>
            </w:pPr>
            <w:r>
              <w:rPr>
                <w:rFonts w:hint="eastAsia"/>
                <w:color w:val="auto"/>
                <w:kern w:val="0"/>
                <w:szCs w:val="21"/>
                <w:lang w:val="en-US" w:eastAsia="zh-CN" w:bidi="ar"/>
              </w:rPr>
              <w:t>ND</w:t>
            </w:r>
          </w:p>
        </w:tc>
      </w:tr>
      <w:tr w14:paraId="3F2D2D7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5A6B994B">
            <w:pPr>
              <w:jc w:val="center"/>
              <w:rPr>
                <w:color w:val="auto"/>
                <w:szCs w:val="21"/>
              </w:rPr>
            </w:pPr>
          </w:p>
        </w:tc>
        <w:tc>
          <w:tcPr>
            <w:tcW w:w="534" w:type="pct"/>
            <w:vMerge w:val="continue"/>
            <w:tcBorders>
              <w:tl2br w:val="nil"/>
              <w:tr2bl w:val="nil"/>
            </w:tcBorders>
            <w:vAlign w:val="center"/>
          </w:tcPr>
          <w:p w14:paraId="6ED24E4B">
            <w:pPr>
              <w:jc w:val="center"/>
              <w:rPr>
                <w:color w:val="auto"/>
                <w:szCs w:val="21"/>
              </w:rPr>
            </w:pPr>
          </w:p>
        </w:tc>
        <w:tc>
          <w:tcPr>
            <w:tcW w:w="592" w:type="pct"/>
            <w:tcBorders>
              <w:tl2br w:val="nil"/>
              <w:tr2bl w:val="nil"/>
            </w:tcBorders>
            <w:vAlign w:val="center"/>
          </w:tcPr>
          <w:p w14:paraId="4F3D9327">
            <w:pPr>
              <w:widowControl/>
              <w:jc w:val="center"/>
              <w:textAlignment w:val="center"/>
              <w:rPr>
                <w:color w:val="auto"/>
                <w:kern w:val="0"/>
                <w:szCs w:val="21"/>
                <w:lang w:bidi="ar"/>
              </w:rPr>
            </w:pPr>
            <w:r>
              <w:rPr>
                <w:color w:val="auto"/>
                <w:kern w:val="0"/>
                <w:szCs w:val="21"/>
                <w:lang w:bidi="ar"/>
              </w:rPr>
              <w:t>第三次</w:t>
            </w:r>
          </w:p>
        </w:tc>
        <w:tc>
          <w:tcPr>
            <w:tcW w:w="696" w:type="pct"/>
            <w:tcBorders>
              <w:tl2br w:val="nil"/>
              <w:tr2bl w:val="nil"/>
            </w:tcBorders>
            <w:vAlign w:val="center"/>
          </w:tcPr>
          <w:p w14:paraId="7D16E133">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1D0539EE">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34614119">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369ED7F3">
            <w:pPr>
              <w:widowControl/>
              <w:jc w:val="center"/>
              <w:textAlignment w:val="center"/>
              <w:rPr>
                <w:color w:val="auto"/>
                <w:kern w:val="0"/>
                <w:szCs w:val="21"/>
                <w:lang w:bidi="ar"/>
              </w:rPr>
            </w:pPr>
            <w:r>
              <w:rPr>
                <w:rFonts w:hint="eastAsia"/>
                <w:color w:val="auto"/>
                <w:kern w:val="0"/>
                <w:szCs w:val="21"/>
                <w:lang w:val="en-US" w:eastAsia="zh-CN" w:bidi="ar"/>
              </w:rPr>
              <w:t>ND</w:t>
            </w:r>
          </w:p>
        </w:tc>
      </w:tr>
      <w:tr w14:paraId="41E5B81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01F4CF00">
            <w:pPr>
              <w:jc w:val="center"/>
              <w:rPr>
                <w:color w:val="auto"/>
                <w:szCs w:val="21"/>
              </w:rPr>
            </w:pPr>
          </w:p>
        </w:tc>
        <w:tc>
          <w:tcPr>
            <w:tcW w:w="534" w:type="pct"/>
            <w:vMerge w:val="continue"/>
            <w:tcBorders>
              <w:tl2br w:val="nil"/>
              <w:tr2bl w:val="nil"/>
            </w:tcBorders>
            <w:vAlign w:val="center"/>
          </w:tcPr>
          <w:p w14:paraId="3935A457">
            <w:pPr>
              <w:jc w:val="center"/>
              <w:rPr>
                <w:color w:val="auto"/>
                <w:szCs w:val="21"/>
              </w:rPr>
            </w:pPr>
          </w:p>
        </w:tc>
        <w:tc>
          <w:tcPr>
            <w:tcW w:w="592" w:type="pct"/>
            <w:tcBorders>
              <w:tl2br w:val="nil"/>
              <w:tr2bl w:val="nil"/>
            </w:tcBorders>
            <w:vAlign w:val="center"/>
          </w:tcPr>
          <w:p w14:paraId="659E8B6C">
            <w:pPr>
              <w:widowControl/>
              <w:jc w:val="center"/>
              <w:textAlignment w:val="center"/>
              <w:rPr>
                <w:color w:val="auto"/>
                <w:kern w:val="0"/>
                <w:szCs w:val="21"/>
                <w:lang w:bidi="ar"/>
              </w:rPr>
            </w:pPr>
            <w:r>
              <w:rPr>
                <w:color w:val="auto"/>
                <w:kern w:val="0"/>
                <w:szCs w:val="21"/>
                <w:lang w:bidi="ar"/>
              </w:rPr>
              <w:t>第四次</w:t>
            </w:r>
          </w:p>
        </w:tc>
        <w:tc>
          <w:tcPr>
            <w:tcW w:w="696" w:type="pct"/>
            <w:tcBorders>
              <w:tl2br w:val="nil"/>
              <w:tr2bl w:val="nil"/>
            </w:tcBorders>
            <w:vAlign w:val="center"/>
          </w:tcPr>
          <w:p w14:paraId="52631879">
            <w:pPr>
              <w:widowControl/>
              <w:jc w:val="center"/>
              <w:textAlignment w:val="center"/>
              <w:rPr>
                <w:color w:val="auto"/>
                <w:kern w:val="0"/>
                <w:szCs w:val="21"/>
                <w:lang w:bidi="ar"/>
              </w:rPr>
            </w:pPr>
            <w:r>
              <w:rPr>
                <w:rFonts w:hint="eastAsia"/>
                <w:color w:val="auto"/>
                <w:kern w:val="0"/>
                <w:szCs w:val="21"/>
                <w:lang w:val="en-US" w:eastAsia="zh-CN" w:bidi="ar"/>
              </w:rPr>
              <w:t>ND</w:t>
            </w:r>
          </w:p>
        </w:tc>
        <w:tc>
          <w:tcPr>
            <w:tcW w:w="681" w:type="pct"/>
            <w:tcBorders>
              <w:tl2br w:val="nil"/>
              <w:tr2bl w:val="nil"/>
            </w:tcBorders>
            <w:vAlign w:val="center"/>
          </w:tcPr>
          <w:p w14:paraId="744CA370">
            <w:pPr>
              <w:widowControl/>
              <w:jc w:val="center"/>
              <w:textAlignment w:val="center"/>
              <w:rPr>
                <w:color w:val="auto"/>
                <w:kern w:val="0"/>
                <w:szCs w:val="21"/>
                <w:lang w:bidi="ar"/>
              </w:rPr>
            </w:pPr>
            <w:r>
              <w:rPr>
                <w:rFonts w:hint="eastAsia"/>
                <w:color w:val="auto"/>
                <w:kern w:val="0"/>
                <w:szCs w:val="21"/>
                <w:lang w:val="en-US" w:eastAsia="zh-CN" w:bidi="ar"/>
              </w:rPr>
              <w:t>ND</w:t>
            </w:r>
          </w:p>
        </w:tc>
        <w:tc>
          <w:tcPr>
            <w:tcW w:w="738" w:type="pct"/>
            <w:tcBorders>
              <w:tl2br w:val="nil"/>
              <w:tr2bl w:val="nil"/>
            </w:tcBorders>
            <w:vAlign w:val="center"/>
          </w:tcPr>
          <w:p w14:paraId="2A4DE9AA">
            <w:pPr>
              <w:widowControl/>
              <w:jc w:val="center"/>
              <w:textAlignment w:val="center"/>
              <w:rPr>
                <w:color w:val="auto"/>
                <w:kern w:val="0"/>
                <w:szCs w:val="21"/>
                <w:lang w:bidi="ar"/>
              </w:rPr>
            </w:pPr>
            <w:r>
              <w:rPr>
                <w:rFonts w:hint="eastAsia"/>
                <w:color w:val="auto"/>
                <w:kern w:val="0"/>
                <w:szCs w:val="21"/>
                <w:lang w:val="en-US" w:eastAsia="zh-CN" w:bidi="ar"/>
              </w:rPr>
              <w:t>ND</w:t>
            </w:r>
          </w:p>
        </w:tc>
        <w:tc>
          <w:tcPr>
            <w:tcW w:w="978" w:type="pct"/>
            <w:tcBorders>
              <w:tl2br w:val="nil"/>
              <w:tr2bl w:val="nil"/>
            </w:tcBorders>
            <w:vAlign w:val="center"/>
          </w:tcPr>
          <w:p w14:paraId="74697C21">
            <w:pPr>
              <w:widowControl/>
              <w:jc w:val="center"/>
              <w:textAlignment w:val="center"/>
              <w:rPr>
                <w:color w:val="auto"/>
                <w:kern w:val="0"/>
                <w:szCs w:val="21"/>
                <w:lang w:bidi="ar"/>
              </w:rPr>
            </w:pPr>
            <w:r>
              <w:rPr>
                <w:rFonts w:hint="eastAsia"/>
                <w:color w:val="auto"/>
                <w:kern w:val="0"/>
                <w:szCs w:val="21"/>
                <w:lang w:val="en-US" w:eastAsia="zh-CN" w:bidi="ar"/>
              </w:rPr>
              <w:t>ND</w:t>
            </w:r>
          </w:p>
        </w:tc>
      </w:tr>
      <w:tr w14:paraId="2DD4647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6BB7EE9C">
            <w:pPr>
              <w:jc w:val="center"/>
              <w:rPr>
                <w:color w:val="auto"/>
                <w:szCs w:val="21"/>
              </w:rPr>
            </w:pPr>
          </w:p>
        </w:tc>
        <w:tc>
          <w:tcPr>
            <w:tcW w:w="534" w:type="pct"/>
            <w:vMerge w:val="continue"/>
            <w:tcBorders>
              <w:tl2br w:val="nil"/>
              <w:tr2bl w:val="nil"/>
            </w:tcBorders>
            <w:vAlign w:val="center"/>
          </w:tcPr>
          <w:p w14:paraId="43C0B019">
            <w:pPr>
              <w:jc w:val="center"/>
              <w:rPr>
                <w:color w:val="auto"/>
                <w:szCs w:val="21"/>
              </w:rPr>
            </w:pPr>
          </w:p>
        </w:tc>
        <w:tc>
          <w:tcPr>
            <w:tcW w:w="592" w:type="pct"/>
            <w:tcBorders>
              <w:tl2br w:val="nil"/>
              <w:tr2bl w:val="nil"/>
            </w:tcBorders>
            <w:vAlign w:val="center"/>
          </w:tcPr>
          <w:p w14:paraId="7C57A59E">
            <w:pPr>
              <w:widowControl/>
              <w:jc w:val="center"/>
              <w:textAlignment w:val="center"/>
              <w:rPr>
                <w:color w:val="auto"/>
                <w:kern w:val="0"/>
                <w:szCs w:val="21"/>
                <w:lang w:bidi="ar"/>
              </w:rPr>
            </w:pPr>
            <w:r>
              <w:rPr>
                <w:rFonts w:hint="eastAsia"/>
                <w:color w:val="auto"/>
                <w:kern w:val="0"/>
                <w:szCs w:val="21"/>
                <w:lang w:val="en-US" w:eastAsia="zh-CN" w:bidi="ar"/>
              </w:rPr>
              <w:t>标准限值</w:t>
            </w:r>
          </w:p>
        </w:tc>
        <w:tc>
          <w:tcPr>
            <w:tcW w:w="3094" w:type="pct"/>
            <w:gridSpan w:val="4"/>
            <w:tcBorders>
              <w:tl2br w:val="nil"/>
              <w:tr2bl w:val="nil"/>
            </w:tcBorders>
            <w:vAlign w:val="center"/>
          </w:tcPr>
          <w:p w14:paraId="07ECA0A6">
            <w:pPr>
              <w:widowControl/>
              <w:jc w:val="center"/>
              <w:textAlignment w:val="center"/>
              <w:rPr>
                <w:rFonts w:hint="default" w:eastAsia="宋体"/>
                <w:color w:val="auto"/>
                <w:kern w:val="0"/>
                <w:szCs w:val="21"/>
                <w:lang w:val="en-US" w:eastAsia="zh-CN" w:bidi="ar"/>
              </w:rPr>
            </w:pPr>
            <w:r>
              <w:rPr>
                <w:rFonts w:hint="eastAsia"/>
                <w:color w:val="auto"/>
                <w:kern w:val="0"/>
                <w:szCs w:val="21"/>
                <w:lang w:val="en-US" w:eastAsia="zh-CN" w:bidi="ar"/>
              </w:rPr>
              <w:t>0.006</w:t>
            </w:r>
          </w:p>
        </w:tc>
      </w:tr>
      <w:tr w14:paraId="3B66BEF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777" w:type="pct"/>
            <w:vMerge w:val="continue"/>
            <w:tcBorders>
              <w:tl2br w:val="nil"/>
              <w:tr2bl w:val="nil"/>
            </w:tcBorders>
            <w:vAlign w:val="center"/>
          </w:tcPr>
          <w:p w14:paraId="73A7B275">
            <w:pPr>
              <w:jc w:val="center"/>
              <w:rPr>
                <w:color w:val="auto"/>
                <w:szCs w:val="21"/>
              </w:rPr>
            </w:pPr>
          </w:p>
        </w:tc>
        <w:tc>
          <w:tcPr>
            <w:tcW w:w="534" w:type="pct"/>
            <w:vMerge w:val="continue"/>
            <w:tcBorders>
              <w:tl2br w:val="nil"/>
              <w:tr2bl w:val="nil"/>
            </w:tcBorders>
            <w:vAlign w:val="center"/>
          </w:tcPr>
          <w:p w14:paraId="6E7D67E8">
            <w:pPr>
              <w:jc w:val="center"/>
              <w:rPr>
                <w:color w:val="auto"/>
                <w:szCs w:val="21"/>
              </w:rPr>
            </w:pPr>
          </w:p>
        </w:tc>
        <w:tc>
          <w:tcPr>
            <w:tcW w:w="592" w:type="pct"/>
            <w:tcBorders>
              <w:tl2br w:val="nil"/>
              <w:tr2bl w:val="nil"/>
            </w:tcBorders>
            <w:vAlign w:val="center"/>
          </w:tcPr>
          <w:p w14:paraId="2583532B">
            <w:pPr>
              <w:widowControl/>
              <w:jc w:val="center"/>
              <w:textAlignment w:val="center"/>
              <w:rPr>
                <w:color w:val="auto"/>
                <w:kern w:val="0"/>
                <w:szCs w:val="21"/>
                <w:lang w:bidi="ar"/>
              </w:rPr>
            </w:pPr>
            <w:r>
              <w:rPr>
                <w:rFonts w:hint="eastAsia"/>
                <w:color w:val="auto"/>
                <w:kern w:val="0"/>
                <w:szCs w:val="21"/>
                <w:lang w:val="en-US" w:eastAsia="zh-CN" w:bidi="ar"/>
              </w:rPr>
              <w:t>是否达标</w:t>
            </w:r>
          </w:p>
        </w:tc>
        <w:tc>
          <w:tcPr>
            <w:tcW w:w="3094" w:type="pct"/>
            <w:gridSpan w:val="4"/>
            <w:tcBorders>
              <w:tl2br w:val="nil"/>
              <w:tr2bl w:val="nil"/>
            </w:tcBorders>
            <w:vAlign w:val="center"/>
          </w:tcPr>
          <w:p w14:paraId="397D0B19">
            <w:pPr>
              <w:widowControl/>
              <w:jc w:val="center"/>
              <w:textAlignment w:val="center"/>
              <w:rPr>
                <w:rFonts w:hint="eastAsia" w:eastAsia="宋体"/>
                <w:color w:val="auto"/>
                <w:kern w:val="0"/>
                <w:szCs w:val="21"/>
                <w:lang w:val="en-US" w:eastAsia="zh-CN" w:bidi="ar"/>
              </w:rPr>
            </w:pPr>
            <w:r>
              <w:rPr>
                <w:rFonts w:hint="eastAsia"/>
                <w:color w:val="auto"/>
                <w:kern w:val="0"/>
                <w:szCs w:val="21"/>
                <w:lang w:val="en-US" w:eastAsia="zh-CN" w:bidi="ar"/>
              </w:rPr>
              <w:t>达标</w:t>
            </w:r>
          </w:p>
        </w:tc>
      </w:tr>
      <w:tr w14:paraId="2EC460D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5000" w:type="pct"/>
            <w:gridSpan w:val="7"/>
            <w:tcBorders>
              <w:tl2br w:val="nil"/>
              <w:tr2bl w:val="nil"/>
            </w:tcBorders>
          </w:tcPr>
          <w:p w14:paraId="051A6874">
            <w:pPr>
              <w:widowControl/>
              <w:jc w:val="left"/>
              <w:textAlignment w:val="top"/>
              <w:rPr>
                <w:color w:val="auto"/>
                <w:szCs w:val="21"/>
              </w:rPr>
            </w:pPr>
            <w:r>
              <w:rPr>
                <w:color w:val="auto"/>
                <w:kern w:val="0"/>
                <w:szCs w:val="21"/>
                <w:lang w:bidi="ar"/>
              </w:rPr>
              <w:t>备注：ND表示未检出，检出限详见检测依据表。</w:t>
            </w:r>
          </w:p>
        </w:tc>
      </w:tr>
    </w:tbl>
    <w:p w14:paraId="216F8F9B">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eastAsia" w:ascii="Times New Roman" w:hAnsi="Times New Roman" w:cs="Times New Roman"/>
          <w:b w:val="0"/>
          <w:bCs w:val="0"/>
          <w:color w:val="auto"/>
          <w:sz w:val="24"/>
          <w:szCs w:val="32"/>
          <w:lang w:val="en-US" w:eastAsia="zh-CN"/>
        </w:rPr>
      </w:pPr>
    </w:p>
    <w:p w14:paraId="17DB47CE">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default" w:ascii="Times New Roman" w:hAnsi="Times New Roman" w:cs="Times New Roman"/>
          <w:b w:val="0"/>
          <w:bCs w:val="0"/>
          <w:color w:val="auto"/>
          <w:sz w:val="24"/>
          <w:szCs w:val="32"/>
          <w:lang w:val="en-US" w:eastAsia="zh-CN"/>
        </w:rPr>
      </w:pPr>
      <w:r>
        <w:rPr>
          <w:rFonts w:hint="eastAsia" w:ascii="Times New Roman" w:hAnsi="Times New Roman" w:cs="Times New Roman"/>
          <w:b w:val="0"/>
          <w:bCs w:val="0"/>
          <w:color w:val="auto"/>
          <w:sz w:val="24"/>
          <w:szCs w:val="32"/>
          <w:lang w:val="en-US" w:eastAsia="zh-CN"/>
        </w:rPr>
        <w:t>由上表可知，无组织废气颗粒物浓度满足《大气污染物综合排放标准》（GB16297-1996）无组织监控浓度限值，氯化氢、氟化物、锡及其化合物、砷及其化合物、镉及其化合物、铬及其化合物、铅及其化合物浓度满足《再生铜、铝、铅、锌工业污染物排放标准》（GB 31574-2015）中表5企业边界大气污染物限值。</w:t>
      </w:r>
    </w:p>
    <w:p w14:paraId="4EA160E4">
      <w:pPr>
        <w:spacing w:line="360" w:lineRule="auto"/>
        <w:outlineLvl w:val="2"/>
        <w:rPr>
          <w:rFonts w:hint="eastAsia"/>
          <w:b/>
          <w:bCs/>
          <w:color w:val="auto"/>
          <w:sz w:val="24"/>
          <w:lang w:val="en-US" w:eastAsia="zh-CN"/>
        </w:rPr>
      </w:pPr>
      <w:r>
        <w:rPr>
          <w:rFonts w:hint="eastAsia"/>
          <w:b/>
          <w:bCs/>
          <w:color w:val="auto"/>
          <w:sz w:val="24"/>
          <w:lang w:val="en-US" w:eastAsia="zh-CN"/>
        </w:rPr>
        <w:t>3.3.2废水污染源及其治理措施分析</w:t>
      </w:r>
    </w:p>
    <w:p w14:paraId="3B15F31B">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default" w:ascii="Times New Roman" w:hAnsi="Times New Roman" w:cs="Times New Roman"/>
          <w:b w:val="0"/>
          <w:bCs w:val="0"/>
          <w:color w:val="auto"/>
          <w:sz w:val="24"/>
          <w:szCs w:val="32"/>
        </w:rPr>
      </w:pPr>
      <w:r>
        <w:rPr>
          <w:rFonts w:hint="eastAsia"/>
          <w:color w:val="auto"/>
          <w:szCs w:val="21"/>
          <w:lang w:val="en-US" w:eastAsia="zh-CN"/>
        </w:rPr>
        <w:t>项目无生产废水外排，项目采用“雨污分流、清污分流”系统。循环冷却水回用于生产，不外排；生活污水经化粪池处理后排入开发区污水管网</w:t>
      </w:r>
      <w:r>
        <w:rPr>
          <w:rFonts w:hint="eastAsia"/>
          <w:bCs/>
          <w:color w:val="auto"/>
          <w:spacing w:val="6"/>
          <w:szCs w:val="21"/>
        </w:rPr>
        <w:t>进入滩溪县第二污水处理厂集中处理</w:t>
      </w:r>
      <w:r>
        <w:rPr>
          <w:rFonts w:hint="eastAsia"/>
          <w:bCs/>
          <w:color w:val="auto"/>
          <w:spacing w:val="6"/>
          <w:szCs w:val="21"/>
          <w:lang w:eastAsia="zh-CN"/>
        </w:rPr>
        <w:t>。</w:t>
      </w:r>
      <w:r>
        <w:rPr>
          <w:rFonts w:hint="eastAsia"/>
          <w:color w:val="auto"/>
          <w:kern w:val="24"/>
          <w:sz w:val="24"/>
          <w:lang w:val="en-US" w:eastAsia="zh-CN"/>
        </w:rPr>
        <w:t>安徽省裕康铝业有限公司经营该项目期间</w:t>
      </w:r>
      <w:r>
        <w:rPr>
          <w:rFonts w:hint="default" w:ascii="Times New Roman" w:hAnsi="Times New Roman" w:cs="Times New Roman"/>
          <w:b w:val="0"/>
          <w:bCs w:val="0"/>
          <w:color w:val="auto"/>
          <w:sz w:val="24"/>
          <w:lang w:val="en-US" w:eastAsia="zh-CN"/>
        </w:rPr>
        <w:t>于202</w:t>
      </w:r>
      <w:r>
        <w:rPr>
          <w:rFonts w:hint="eastAsia" w:ascii="Times New Roman" w:hAnsi="Times New Roman" w:cs="Times New Roman"/>
          <w:b w:val="0"/>
          <w:bCs w:val="0"/>
          <w:color w:val="auto"/>
          <w:sz w:val="24"/>
          <w:lang w:val="en-US" w:eastAsia="zh-CN"/>
        </w:rPr>
        <w:t>4</w:t>
      </w:r>
      <w:r>
        <w:rPr>
          <w:rFonts w:hint="default" w:ascii="Times New Roman" w:hAnsi="Times New Roman" w:cs="Times New Roman"/>
          <w:b w:val="0"/>
          <w:bCs w:val="0"/>
          <w:color w:val="auto"/>
          <w:sz w:val="24"/>
          <w:lang w:val="en-US" w:eastAsia="zh-CN"/>
        </w:rPr>
        <w:t>年</w:t>
      </w:r>
      <w:r>
        <w:rPr>
          <w:rFonts w:hint="eastAsia" w:ascii="Times New Roman" w:hAnsi="Times New Roman" w:cs="Times New Roman"/>
          <w:b w:val="0"/>
          <w:bCs w:val="0"/>
          <w:color w:val="auto"/>
          <w:sz w:val="24"/>
          <w:lang w:val="en-US" w:eastAsia="zh-CN"/>
        </w:rPr>
        <w:t>8</w:t>
      </w:r>
      <w:r>
        <w:rPr>
          <w:rFonts w:hint="default" w:ascii="Times New Roman" w:hAnsi="Times New Roman" w:cs="Times New Roman"/>
          <w:b w:val="0"/>
          <w:bCs w:val="0"/>
          <w:color w:val="auto"/>
          <w:sz w:val="24"/>
          <w:lang w:val="en-US" w:eastAsia="zh-CN"/>
        </w:rPr>
        <w:t>月</w:t>
      </w:r>
      <w:r>
        <w:rPr>
          <w:rFonts w:hint="eastAsia" w:ascii="Times New Roman" w:hAnsi="Times New Roman" w:cs="Times New Roman"/>
          <w:b w:val="0"/>
          <w:bCs w:val="0"/>
          <w:color w:val="auto"/>
          <w:sz w:val="24"/>
          <w:lang w:val="en-US" w:eastAsia="zh-CN"/>
        </w:rPr>
        <w:t>27</w:t>
      </w:r>
      <w:r>
        <w:rPr>
          <w:rFonts w:hint="default" w:ascii="Times New Roman" w:hAnsi="Times New Roman" w:cs="Times New Roman"/>
          <w:b w:val="0"/>
          <w:bCs w:val="0"/>
          <w:color w:val="auto"/>
          <w:sz w:val="24"/>
          <w:lang w:val="en-US" w:eastAsia="zh-CN"/>
        </w:rPr>
        <w:t>日委托</w:t>
      </w:r>
      <w:r>
        <w:rPr>
          <w:rFonts w:hint="default" w:ascii="Times New Roman" w:hAnsi="Times New Roman" w:cs="Times New Roman"/>
          <w:b w:val="0"/>
          <w:bCs w:val="0"/>
          <w:color w:val="auto"/>
          <w:sz w:val="24"/>
          <w:szCs w:val="32"/>
        </w:rPr>
        <w:t>安徽阿尔发环境工程有限公司对</w:t>
      </w:r>
      <w:r>
        <w:rPr>
          <w:rFonts w:hint="eastAsia" w:ascii="Times New Roman" w:hAnsi="Times New Roman" w:cs="Times New Roman"/>
          <w:b w:val="0"/>
          <w:bCs w:val="0"/>
          <w:color w:val="auto"/>
          <w:sz w:val="24"/>
          <w:szCs w:val="32"/>
          <w:lang w:val="en-US" w:eastAsia="zh-CN"/>
        </w:rPr>
        <w:t>生活污水排放口</w:t>
      </w:r>
      <w:r>
        <w:rPr>
          <w:rFonts w:hint="default" w:ascii="Times New Roman" w:hAnsi="Times New Roman" w:cs="Times New Roman"/>
          <w:b w:val="0"/>
          <w:bCs w:val="0"/>
          <w:color w:val="auto"/>
          <w:sz w:val="24"/>
          <w:szCs w:val="32"/>
        </w:rPr>
        <w:t>进行了检测，具体检测结果如下：</w:t>
      </w:r>
    </w:p>
    <w:p w14:paraId="6042A697">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jc w:val="center"/>
        <w:textAlignment w:val="auto"/>
        <w:rPr>
          <w:rFonts w:hint="default" w:ascii="Times New Roman" w:hAnsi="Times New Roman" w:eastAsia="宋体" w:cs="Times New Roman"/>
          <w:b/>
          <w:bCs/>
          <w:color w:val="auto"/>
          <w:sz w:val="24"/>
          <w:szCs w:val="32"/>
          <w:lang w:val="en-US" w:eastAsia="zh-CN"/>
        </w:rPr>
      </w:pPr>
      <w:r>
        <w:rPr>
          <w:rFonts w:hint="eastAsia" w:ascii="Times New Roman" w:hAnsi="Times New Roman" w:cs="Times New Roman"/>
          <w:b/>
          <w:bCs/>
          <w:color w:val="auto"/>
          <w:sz w:val="24"/>
          <w:szCs w:val="32"/>
          <w:lang w:val="en-US" w:eastAsia="zh-CN"/>
        </w:rPr>
        <w:t>表3-10 厂区污水排放口监测结果一览表  单位：mg/L，pH无量纲</w:t>
      </w:r>
    </w:p>
    <w:tbl>
      <w:tblPr>
        <w:tblStyle w:val="32"/>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82"/>
        <w:gridCol w:w="1563"/>
        <w:gridCol w:w="1422"/>
        <w:gridCol w:w="1422"/>
        <w:gridCol w:w="1422"/>
        <w:gridCol w:w="1423"/>
        <w:gridCol w:w="1423"/>
      </w:tblGrid>
      <w:tr w14:paraId="565433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2" w:hRule="atLeast"/>
        </w:trPr>
        <w:tc>
          <w:tcPr>
            <w:tcW w:w="1282" w:type="dxa"/>
            <w:tcBorders>
              <w:tl2br w:val="nil"/>
              <w:tr2bl w:val="nil"/>
            </w:tcBorders>
            <w:vAlign w:val="center"/>
          </w:tcPr>
          <w:p w14:paraId="47B21378">
            <w:pPr>
              <w:bidi w:val="0"/>
              <w:jc w:val="center"/>
              <w:rPr>
                <w:rFonts w:hint="default"/>
                <w:b/>
                <w:bCs/>
                <w:color w:val="auto"/>
                <w:lang w:val="en-US" w:eastAsia="zh-CN"/>
              </w:rPr>
            </w:pPr>
            <w:r>
              <w:rPr>
                <w:rFonts w:hint="eastAsia"/>
                <w:b/>
                <w:bCs/>
                <w:color w:val="auto"/>
                <w:lang w:val="en-US" w:eastAsia="zh-CN"/>
              </w:rPr>
              <w:t>监测点位</w:t>
            </w:r>
          </w:p>
        </w:tc>
        <w:tc>
          <w:tcPr>
            <w:tcW w:w="1563" w:type="dxa"/>
            <w:tcBorders>
              <w:tl2br w:val="nil"/>
              <w:tr2bl w:val="nil"/>
            </w:tcBorders>
            <w:vAlign w:val="center"/>
          </w:tcPr>
          <w:p w14:paraId="011CB4B5">
            <w:pPr>
              <w:bidi w:val="0"/>
              <w:jc w:val="center"/>
              <w:rPr>
                <w:rFonts w:hint="default"/>
                <w:b/>
                <w:bCs/>
                <w:color w:val="auto"/>
                <w:lang w:val="en-US" w:eastAsia="zh-CN"/>
              </w:rPr>
            </w:pPr>
            <w:r>
              <w:rPr>
                <w:rFonts w:hint="eastAsia"/>
                <w:b/>
                <w:bCs/>
                <w:color w:val="auto"/>
                <w:lang w:val="en-US" w:eastAsia="zh-CN"/>
              </w:rPr>
              <w:t>监测日期</w:t>
            </w:r>
          </w:p>
        </w:tc>
        <w:tc>
          <w:tcPr>
            <w:tcW w:w="1422" w:type="dxa"/>
            <w:tcBorders>
              <w:tl2br w:val="nil"/>
              <w:tr2bl w:val="nil"/>
            </w:tcBorders>
            <w:vAlign w:val="center"/>
          </w:tcPr>
          <w:p w14:paraId="20C6EC79">
            <w:pPr>
              <w:bidi w:val="0"/>
              <w:jc w:val="center"/>
              <w:rPr>
                <w:rFonts w:hint="default"/>
                <w:b/>
                <w:bCs/>
                <w:color w:val="auto"/>
                <w:lang w:val="en-US" w:eastAsia="zh-CN"/>
              </w:rPr>
            </w:pPr>
            <w:r>
              <w:rPr>
                <w:rFonts w:hint="eastAsia"/>
                <w:b/>
                <w:bCs/>
                <w:color w:val="auto"/>
                <w:lang w:val="en-US" w:eastAsia="zh-CN"/>
              </w:rPr>
              <w:t>监测项目</w:t>
            </w:r>
          </w:p>
        </w:tc>
        <w:tc>
          <w:tcPr>
            <w:tcW w:w="1422" w:type="dxa"/>
            <w:tcBorders>
              <w:tl2br w:val="nil"/>
              <w:tr2bl w:val="nil"/>
            </w:tcBorders>
            <w:vAlign w:val="center"/>
          </w:tcPr>
          <w:p w14:paraId="151211EB">
            <w:pPr>
              <w:bidi w:val="0"/>
              <w:jc w:val="center"/>
              <w:rPr>
                <w:rFonts w:hint="default"/>
                <w:b/>
                <w:bCs/>
                <w:color w:val="auto"/>
                <w:lang w:val="en-US" w:eastAsia="zh-CN"/>
              </w:rPr>
            </w:pPr>
            <w:r>
              <w:rPr>
                <w:rFonts w:hint="eastAsia"/>
                <w:b/>
                <w:bCs/>
                <w:color w:val="auto"/>
                <w:lang w:val="en-US" w:eastAsia="zh-CN"/>
              </w:rPr>
              <w:t>监测频次</w:t>
            </w:r>
          </w:p>
        </w:tc>
        <w:tc>
          <w:tcPr>
            <w:tcW w:w="1422" w:type="dxa"/>
            <w:tcBorders>
              <w:tl2br w:val="nil"/>
              <w:tr2bl w:val="nil"/>
            </w:tcBorders>
            <w:vAlign w:val="center"/>
          </w:tcPr>
          <w:p w14:paraId="4C196074">
            <w:pPr>
              <w:bidi w:val="0"/>
              <w:jc w:val="center"/>
              <w:rPr>
                <w:rFonts w:hint="default"/>
                <w:b/>
                <w:bCs/>
                <w:color w:val="auto"/>
                <w:lang w:val="en-US" w:eastAsia="zh-CN"/>
              </w:rPr>
            </w:pPr>
            <w:r>
              <w:rPr>
                <w:rFonts w:hint="eastAsia"/>
                <w:b/>
                <w:bCs/>
                <w:color w:val="auto"/>
                <w:lang w:val="en-US" w:eastAsia="zh-CN"/>
              </w:rPr>
              <w:t>监测浓度</w:t>
            </w:r>
          </w:p>
        </w:tc>
        <w:tc>
          <w:tcPr>
            <w:tcW w:w="1423" w:type="dxa"/>
            <w:tcBorders>
              <w:tl2br w:val="nil"/>
              <w:tr2bl w:val="nil"/>
            </w:tcBorders>
            <w:vAlign w:val="center"/>
          </w:tcPr>
          <w:p w14:paraId="577D0160">
            <w:pPr>
              <w:bidi w:val="0"/>
              <w:jc w:val="center"/>
              <w:rPr>
                <w:rFonts w:hint="default"/>
                <w:b/>
                <w:bCs/>
                <w:color w:val="auto"/>
                <w:lang w:val="en-US" w:eastAsia="zh-CN"/>
              </w:rPr>
            </w:pPr>
            <w:r>
              <w:rPr>
                <w:rFonts w:hint="eastAsia"/>
                <w:b/>
                <w:bCs/>
                <w:color w:val="auto"/>
                <w:lang w:val="en-US" w:eastAsia="zh-CN"/>
              </w:rPr>
              <w:t>标准限值</w:t>
            </w:r>
          </w:p>
        </w:tc>
        <w:tc>
          <w:tcPr>
            <w:tcW w:w="1423" w:type="dxa"/>
            <w:tcBorders>
              <w:tl2br w:val="nil"/>
              <w:tr2bl w:val="nil"/>
            </w:tcBorders>
            <w:vAlign w:val="center"/>
          </w:tcPr>
          <w:p w14:paraId="13DB83A3">
            <w:pPr>
              <w:bidi w:val="0"/>
              <w:jc w:val="center"/>
              <w:rPr>
                <w:rFonts w:hint="default"/>
                <w:b/>
                <w:bCs/>
                <w:color w:val="auto"/>
                <w:lang w:val="en-US" w:eastAsia="zh-CN"/>
              </w:rPr>
            </w:pPr>
            <w:r>
              <w:rPr>
                <w:rFonts w:hint="eastAsia"/>
                <w:b/>
                <w:bCs/>
                <w:color w:val="auto"/>
                <w:lang w:val="en-US" w:eastAsia="zh-CN"/>
              </w:rPr>
              <w:t>是否达标</w:t>
            </w:r>
          </w:p>
        </w:tc>
      </w:tr>
      <w:tr w14:paraId="14BFBE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restart"/>
            <w:tcBorders>
              <w:tl2br w:val="nil"/>
              <w:tr2bl w:val="nil"/>
            </w:tcBorders>
            <w:vAlign w:val="center"/>
          </w:tcPr>
          <w:p w14:paraId="03C155A2">
            <w:pPr>
              <w:bidi w:val="0"/>
              <w:jc w:val="center"/>
              <w:rPr>
                <w:rFonts w:hint="default"/>
                <w:color w:val="auto"/>
                <w:lang w:val="en-US" w:eastAsia="zh-CN"/>
              </w:rPr>
            </w:pPr>
            <w:r>
              <w:rPr>
                <w:rFonts w:hint="eastAsia"/>
                <w:color w:val="auto"/>
                <w:lang w:val="en-US" w:eastAsia="zh-CN"/>
              </w:rPr>
              <w:t>DW001生活污水排放口</w:t>
            </w:r>
          </w:p>
        </w:tc>
        <w:tc>
          <w:tcPr>
            <w:tcW w:w="1563" w:type="dxa"/>
            <w:vMerge w:val="restart"/>
            <w:tcBorders>
              <w:tl2br w:val="nil"/>
              <w:tr2bl w:val="nil"/>
            </w:tcBorders>
            <w:vAlign w:val="center"/>
          </w:tcPr>
          <w:p w14:paraId="59328500">
            <w:pPr>
              <w:bidi w:val="0"/>
              <w:jc w:val="center"/>
              <w:rPr>
                <w:rFonts w:hint="default"/>
                <w:color w:val="auto"/>
                <w:lang w:val="en-US" w:eastAsia="zh-CN"/>
              </w:rPr>
            </w:pPr>
            <w:r>
              <w:rPr>
                <w:rFonts w:hint="eastAsia"/>
                <w:color w:val="auto"/>
                <w:lang w:val="en-US" w:eastAsia="zh-CN"/>
              </w:rPr>
              <w:t>2024年8月27日</w:t>
            </w:r>
          </w:p>
        </w:tc>
        <w:tc>
          <w:tcPr>
            <w:tcW w:w="1422" w:type="dxa"/>
            <w:vMerge w:val="restart"/>
            <w:tcBorders>
              <w:tl2br w:val="nil"/>
              <w:tr2bl w:val="nil"/>
            </w:tcBorders>
            <w:vAlign w:val="center"/>
          </w:tcPr>
          <w:p w14:paraId="3EA330A0">
            <w:pPr>
              <w:bidi w:val="0"/>
              <w:jc w:val="center"/>
              <w:rPr>
                <w:rFonts w:hint="default"/>
                <w:color w:val="auto"/>
                <w:lang w:val="en-US" w:eastAsia="zh-CN"/>
              </w:rPr>
            </w:pPr>
            <w:r>
              <w:rPr>
                <w:rFonts w:hint="eastAsia"/>
                <w:color w:val="auto"/>
                <w:lang w:val="en-US" w:eastAsia="zh-CN"/>
              </w:rPr>
              <w:t>pH</w:t>
            </w:r>
          </w:p>
        </w:tc>
        <w:tc>
          <w:tcPr>
            <w:tcW w:w="1422" w:type="dxa"/>
            <w:tcBorders>
              <w:tl2br w:val="nil"/>
              <w:tr2bl w:val="nil"/>
            </w:tcBorders>
            <w:vAlign w:val="center"/>
          </w:tcPr>
          <w:p w14:paraId="20797FD7">
            <w:pPr>
              <w:widowControl/>
              <w:jc w:val="center"/>
              <w:textAlignment w:val="center"/>
              <w:rPr>
                <w:rFonts w:hint="eastAsia"/>
                <w:color w:val="auto"/>
                <w:lang w:val="en-US" w:eastAsia="zh-CN"/>
              </w:rPr>
            </w:pPr>
            <w:r>
              <w:rPr>
                <w:color w:val="auto"/>
                <w:kern w:val="0"/>
                <w:szCs w:val="21"/>
                <w:lang w:bidi="ar"/>
              </w:rPr>
              <w:t>第一次</w:t>
            </w:r>
          </w:p>
        </w:tc>
        <w:tc>
          <w:tcPr>
            <w:tcW w:w="1422" w:type="dxa"/>
            <w:tcBorders>
              <w:tl2br w:val="nil"/>
              <w:tr2bl w:val="nil"/>
            </w:tcBorders>
            <w:vAlign w:val="center"/>
          </w:tcPr>
          <w:p w14:paraId="7469025A">
            <w:pPr>
              <w:bidi w:val="0"/>
              <w:jc w:val="center"/>
              <w:rPr>
                <w:rFonts w:hint="default"/>
                <w:color w:val="auto"/>
                <w:lang w:val="en-US" w:eastAsia="zh-CN"/>
              </w:rPr>
            </w:pPr>
            <w:r>
              <w:rPr>
                <w:rFonts w:hint="eastAsia"/>
                <w:color w:val="auto"/>
                <w:lang w:val="en-US" w:eastAsia="zh-CN"/>
              </w:rPr>
              <w:t>7.6</w:t>
            </w:r>
          </w:p>
        </w:tc>
        <w:tc>
          <w:tcPr>
            <w:tcW w:w="1423" w:type="dxa"/>
            <w:vMerge w:val="restart"/>
            <w:tcBorders>
              <w:tl2br w:val="nil"/>
              <w:tr2bl w:val="nil"/>
            </w:tcBorders>
            <w:vAlign w:val="center"/>
          </w:tcPr>
          <w:p w14:paraId="73C2FD5B">
            <w:pPr>
              <w:bidi w:val="0"/>
              <w:jc w:val="center"/>
              <w:rPr>
                <w:rFonts w:hint="default"/>
                <w:color w:val="auto"/>
                <w:lang w:val="en-US" w:eastAsia="zh-CN"/>
              </w:rPr>
            </w:pPr>
            <w:r>
              <w:rPr>
                <w:rFonts w:hint="eastAsia"/>
                <w:color w:val="auto"/>
                <w:lang w:val="en-US" w:eastAsia="zh-CN"/>
              </w:rPr>
              <w:t>6.0~9.0</w:t>
            </w:r>
          </w:p>
        </w:tc>
        <w:tc>
          <w:tcPr>
            <w:tcW w:w="1423" w:type="dxa"/>
            <w:vMerge w:val="restart"/>
            <w:tcBorders>
              <w:tl2br w:val="nil"/>
              <w:tr2bl w:val="nil"/>
            </w:tcBorders>
            <w:vAlign w:val="center"/>
          </w:tcPr>
          <w:p w14:paraId="299465ED">
            <w:pPr>
              <w:bidi w:val="0"/>
              <w:jc w:val="center"/>
              <w:rPr>
                <w:rFonts w:hint="default"/>
                <w:color w:val="auto"/>
                <w:lang w:val="en-US" w:eastAsia="zh-CN"/>
              </w:rPr>
            </w:pPr>
            <w:r>
              <w:rPr>
                <w:rFonts w:hint="eastAsia"/>
                <w:color w:val="auto"/>
                <w:lang w:val="en-US" w:eastAsia="zh-CN"/>
              </w:rPr>
              <w:t>达标</w:t>
            </w:r>
          </w:p>
        </w:tc>
      </w:tr>
      <w:tr w14:paraId="72DC8E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3BEF8EA0">
            <w:pPr>
              <w:bidi w:val="0"/>
              <w:jc w:val="center"/>
              <w:rPr>
                <w:rFonts w:hint="eastAsia"/>
                <w:color w:val="auto"/>
                <w:lang w:val="en-US" w:eastAsia="zh-CN"/>
              </w:rPr>
            </w:pPr>
          </w:p>
        </w:tc>
        <w:tc>
          <w:tcPr>
            <w:tcW w:w="1563" w:type="dxa"/>
            <w:vMerge w:val="continue"/>
            <w:tcBorders>
              <w:tl2br w:val="nil"/>
              <w:tr2bl w:val="nil"/>
            </w:tcBorders>
            <w:vAlign w:val="center"/>
          </w:tcPr>
          <w:p w14:paraId="5C3E0CBA">
            <w:pPr>
              <w:bidi w:val="0"/>
              <w:jc w:val="center"/>
              <w:rPr>
                <w:rFonts w:hint="eastAsia"/>
                <w:color w:val="auto"/>
                <w:lang w:val="en-US" w:eastAsia="zh-CN"/>
              </w:rPr>
            </w:pPr>
          </w:p>
        </w:tc>
        <w:tc>
          <w:tcPr>
            <w:tcW w:w="1422" w:type="dxa"/>
            <w:vMerge w:val="continue"/>
            <w:tcBorders>
              <w:tl2br w:val="nil"/>
              <w:tr2bl w:val="nil"/>
            </w:tcBorders>
            <w:vAlign w:val="center"/>
          </w:tcPr>
          <w:p w14:paraId="00D514CA">
            <w:pPr>
              <w:bidi w:val="0"/>
              <w:jc w:val="center"/>
              <w:rPr>
                <w:rFonts w:hint="eastAsia"/>
                <w:color w:val="auto"/>
                <w:lang w:val="en-US" w:eastAsia="zh-CN"/>
              </w:rPr>
            </w:pPr>
          </w:p>
        </w:tc>
        <w:tc>
          <w:tcPr>
            <w:tcW w:w="1422" w:type="dxa"/>
            <w:tcBorders>
              <w:tl2br w:val="nil"/>
              <w:tr2bl w:val="nil"/>
            </w:tcBorders>
            <w:vAlign w:val="center"/>
          </w:tcPr>
          <w:p w14:paraId="777F4BA3">
            <w:pPr>
              <w:widowControl/>
              <w:jc w:val="center"/>
              <w:textAlignment w:val="center"/>
              <w:rPr>
                <w:rFonts w:hint="eastAsia"/>
                <w:color w:val="auto"/>
                <w:lang w:val="en-US" w:eastAsia="zh-CN"/>
              </w:rPr>
            </w:pPr>
            <w:r>
              <w:rPr>
                <w:color w:val="auto"/>
                <w:kern w:val="0"/>
                <w:szCs w:val="21"/>
                <w:lang w:bidi="ar"/>
              </w:rPr>
              <w:t>第二次</w:t>
            </w:r>
          </w:p>
        </w:tc>
        <w:tc>
          <w:tcPr>
            <w:tcW w:w="1422" w:type="dxa"/>
            <w:tcBorders>
              <w:tl2br w:val="nil"/>
              <w:tr2bl w:val="nil"/>
            </w:tcBorders>
            <w:vAlign w:val="center"/>
          </w:tcPr>
          <w:p w14:paraId="6ECDC67A">
            <w:pPr>
              <w:bidi w:val="0"/>
              <w:jc w:val="center"/>
              <w:rPr>
                <w:rFonts w:hint="default"/>
                <w:color w:val="auto"/>
                <w:lang w:val="en-US" w:eastAsia="zh-CN"/>
              </w:rPr>
            </w:pPr>
            <w:r>
              <w:rPr>
                <w:rFonts w:hint="eastAsia"/>
                <w:color w:val="auto"/>
                <w:lang w:val="en-US" w:eastAsia="zh-CN"/>
              </w:rPr>
              <w:t>7.7</w:t>
            </w:r>
          </w:p>
        </w:tc>
        <w:tc>
          <w:tcPr>
            <w:tcW w:w="1423" w:type="dxa"/>
            <w:vMerge w:val="continue"/>
            <w:tcBorders>
              <w:tl2br w:val="nil"/>
              <w:tr2bl w:val="nil"/>
            </w:tcBorders>
            <w:vAlign w:val="center"/>
          </w:tcPr>
          <w:p w14:paraId="0D7AEEA9">
            <w:pPr>
              <w:bidi w:val="0"/>
              <w:jc w:val="center"/>
              <w:rPr>
                <w:rFonts w:hint="eastAsia"/>
                <w:color w:val="auto"/>
                <w:lang w:val="en-US" w:eastAsia="zh-CN"/>
              </w:rPr>
            </w:pPr>
          </w:p>
        </w:tc>
        <w:tc>
          <w:tcPr>
            <w:tcW w:w="1423" w:type="dxa"/>
            <w:vMerge w:val="continue"/>
            <w:tcBorders>
              <w:tl2br w:val="nil"/>
              <w:tr2bl w:val="nil"/>
            </w:tcBorders>
            <w:vAlign w:val="center"/>
          </w:tcPr>
          <w:p w14:paraId="59674F71">
            <w:pPr>
              <w:bidi w:val="0"/>
              <w:jc w:val="center"/>
              <w:rPr>
                <w:rFonts w:hint="eastAsia"/>
                <w:color w:val="auto"/>
                <w:lang w:val="en-US" w:eastAsia="zh-CN"/>
              </w:rPr>
            </w:pPr>
          </w:p>
        </w:tc>
      </w:tr>
      <w:tr w14:paraId="4D5DC5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4C3C2EEF">
            <w:pPr>
              <w:bidi w:val="0"/>
              <w:jc w:val="center"/>
              <w:rPr>
                <w:rFonts w:hint="eastAsia"/>
                <w:color w:val="auto"/>
                <w:lang w:val="en-US" w:eastAsia="zh-CN"/>
              </w:rPr>
            </w:pPr>
          </w:p>
        </w:tc>
        <w:tc>
          <w:tcPr>
            <w:tcW w:w="1563" w:type="dxa"/>
            <w:vMerge w:val="continue"/>
            <w:tcBorders>
              <w:tl2br w:val="nil"/>
              <w:tr2bl w:val="nil"/>
            </w:tcBorders>
            <w:vAlign w:val="center"/>
          </w:tcPr>
          <w:p w14:paraId="74ADCD2F">
            <w:pPr>
              <w:bidi w:val="0"/>
              <w:jc w:val="center"/>
              <w:rPr>
                <w:rFonts w:hint="eastAsia"/>
                <w:color w:val="auto"/>
                <w:lang w:val="en-US" w:eastAsia="zh-CN"/>
              </w:rPr>
            </w:pPr>
          </w:p>
        </w:tc>
        <w:tc>
          <w:tcPr>
            <w:tcW w:w="1422" w:type="dxa"/>
            <w:vMerge w:val="continue"/>
            <w:tcBorders>
              <w:tl2br w:val="nil"/>
              <w:tr2bl w:val="nil"/>
            </w:tcBorders>
            <w:vAlign w:val="center"/>
          </w:tcPr>
          <w:p w14:paraId="557A9ACA">
            <w:pPr>
              <w:bidi w:val="0"/>
              <w:jc w:val="center"/>
              <w:rPr>
                <w:rFonts w:hint="eastAsia"/>
                <w:color w:val="auto"/>
                <w:lang w:val="en-US" w:eastAsia="zh-CN"/>
              </w:rPr>
            </w:pPr>
          </w:p>
        </w:tc>
        <w:tc>
          <w:tcPr>
            <w:tcW w:w="1422" w:type="dxa"/>
            <w:tcBorders>
              <w:tl2br w:val="nil"/>
              <w:tr2bl w:val="nil"/>
            </w:tcBorders>
            <w:vAlign w:val="center"/>
          </w:tcPr>
          <w:p w14:paraId="17DBD007">
            <w:pPr>
              <w:widowControl/>
              <w:jc w:val="center"/>
              <w:textAlignment w:val="center"/>
              <w:rPr>
                <w:rFonts w:hint="eastAsia"/>
                <w:color w:val="auto"/>
                <w:lang w:val="en-US" w:eastAsia="zh-CN"/>
              </w:rPr>
            </w:pPr>
            <w:r>
              <w:rPr>
                <w:color w:val="auto"/>
                <w:kern w:val="0"/>
                <w:szCs w:val="21"/>
                <w:lang w:bidi="ar"/>
              </w:rPr>
              <w:t>第三次</w:t>
            </w:r>
          </w:p>
        </w:tc>
        <w:tc>
          <w:tcPr>
            <w:tcW w:w="1422" w:type="dxa"/>
            <w:tcBorders>
              <w:tl2br w:val="nil"/>
              <w:tr2bl w:val="nil"/>
            </w:tcBorders>
            <w:vAlign w:val="center"/>
          </w:tcPr>
          <w:p w14:paraId="1C87D85C">
            <w:pPr>
              <w:bidi w:val="0"/>
              <w:jc w:val="center"/>
              <w:rPr>
                <w:rFonts w:hint="default"/>
                <w:color w:val="auto"/>
                <w:lang w:val="en-US" w:eastAsia="zh-CN"/>
              </w:rPr>
            </w:pPr>
            <w:r>
              <w:rPr>
                <w:rFonts w:hint="eastAsia"/>
                <w:color w:val="auto"/>
                <w:lang w:val="en-US" w:eastAsia="zh-CN"/>
              </w:rPr>
              <w:t>7.6</w:t>
            </w:r>
          </w:p>
        </w:tc>
        <w:tc>
          <w:tcPr>
            <w:tcW w:w="1423" w:type="dxa"/>
            <w:vMerge w:val="continue"/>
            <w:tcBorders>
              <w:tl2br w:val="nil"/>
              <w:tr2bl w:val="nil"/>
            </w:tcBorders>
            <w:vAlign w:val="center"/>
          </w:tcPr>
          <w:p w14:paraId="46B567EA">
            <w:pPr>
              <w:bidi w:val="0"/>
              <w:jc w:val="center"/>
              <w:rPr>
                <w:rFonts w:hint="eastAsia"/>
                <w:color w:val="auto"/>
                <w:lang w:val="en-US" w:eastAsia="zh-CN"/>
              </w:rPr>
            </w:pPr>
          </w:p>
        </w:tc>
        <w:tc>
          <w:tcPr>
            <w:tcW w:w="1423" w:type="dxa"/>
            <w:vMerge w:val="continue"/>
            <w:tcBorders>
              <w:tl2br w:val="nil"/>
              <w:tr2bl w:val="nil"/>
            </w:tcBorders>
            <w:vAlign w:val="center"/>
          </w:tcPr>
          <w:p w14:paraId="6AA94627">
            <w:pPr>
              <w:bidi w:val="0"/>
              <w:jc w:val="center"/>
              <w:rPr>
                <w:rFonts w:hint="eastAsia"/>
                <w:color w:val="auto"/>
                <w:lang w:val="en-US" w:eastAsia="zh-CN"/>
              </w:rPr>
            </w:pPr>
          </w:p>
        </w:tc>
      </w:tr>
      <w:tr w14:paraId="7BF929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5D738131">
            <w:pPr>
              <w:bidi w:val="0"/>
              <w:jc w:val="center"/>
              <w:rPr>
                <w:rFonts w:hint="eastAsia"/>
                <w:color w:val="auto"/>
                <w:lang w:val="en-US" w:eastAsia="zh-CN"/>
              </w:rPr>
            </w:pPr>
          </w:p>
        </w:tc>
        <w:tc>
          <w:tcPr>
            <w:tcW w:w="1563" w:type="dxa"/>
            <w:vMerge w:val="continue"/>
            <w:tcBorders>
              <w:tl2br w:val="nil"/>
              <w:tr2bl w:val="nil"/>
            </w:tcBorders>
            <w:vAlign w:val="center"/>
          </w:tcPr>
          <w:p w14:paraId="51CB1C76">
            <w:pPr>
              <w:bidi w:val="0"/>
              <w:jc w:val="center"/>
              <w:rPr>
                <w:rFonts w:hint="eastAsia"/>
                <w:color w:val="auto"/>
                <w:lang w:val="en-US" w:eastAsia="zh-CN"/>
              </w:rPr>
            </w:pPr>
          </w:p>
        </w:tc>
        <w:tc>
          <w:tcPr>
            <w:tcW w:w="1422" w:type="dxa"/>
            <w:vMerge w:val="continue"/>
            <w:tcBorders>
              <w:tl2br w:val="nil"/>
              <w:tr2bl w:val="nil"/>
            </w:tcBorders>
            <w:vAlign w:val="center"/>
          </w:tcPr>
          <w:p w14:paraId="7C8F406B">
            <w:pPr>
              <w:bidi w:val="0"/>
              <w:jc w:val="center"/>
              <w:rPr>
                <w:rFonts w:hint="eastAsia"/>
                <w:color w:val="auto"/>
                <w:lang w:val="en-US" w:eastAsia="zh-CN"/>
              </w:rPr>
            </w:pPr>
          </w:p>
        </w:tc>
        <w:tc>
          <w:tcPr>
            <w:tcW w:w="1422" w:type="dxa"/>
            <w:tcBorders>
              <w:tl2br w:val="nil"/>
              <w:tr2bl w:val="nil"/>
            </w:tcBorders>
            <w:vAlign w:val="center"/>
          </w:tcPr>
          <w:p w14:paraId="3850488C">
            <w:pPr>
              <w:widowControl/>
              <w:jc w:val="center"/>
              <w:textAlignment w:val="center"/>
              <w:rPr>
                <w:rFonts w:hint="eastAsia"/>
                <w:color w:val="auto"/>
                <w:lang w:val="en-US" w:eastAsia="zh-CN"/>
              </w:rPr>
            </w:pPr>
            <w:r>
              <w:rPr>
                <w:color w:val="auto"/>
                <w:kern w:val="0"/>
                <w:szCs w:val="21"/>
                <w:lang w:bidi="ar"/>
              </w:rPr>
              <w:t>第四次</w:t>
            </w:r>
          </w:p>
        </w:tc>
        <w:tc>
          <w:tcPr>
            <w:tcW w:w="1422" w:type="dxa"/>
            <w:tcBorders>
              <w:tl2br w:val="nil"/>
              <w:tr2bl w:val="nil"/>
            </w:tcBorders>
            <w:vAlign w:val="center"/>
          </w:tcPr>
          <w:p w14:paraId="6AD55B1B">
            <w:pPr>
              <w:bidi w:val="0"/>
              <w:jc w:val="center"/>
              <w:rPr>
                <w:rFonts w:hint="default"/>
                <w:color w:val="auto"/>
                <w:lang w:val="en-US" w:eastAsia="zh-CN"/>
              </w:rPr>
            </w:pPr>
            <w:r>
              <w:rPr>
                <w:rFonts w:hint="eastAsia"/>
                <w:color w:val="auto"/>
                <w:lang w:val="en-US" w:eastAsia="zh-CN"/>
              </w:rPr>
              <w:t>7.5</w:t>
            </w:r>
          </w:p>
        </w:tc>
        <w:tc>
          <w:tcPr>
            <w:tcW w:w="1423" w:type="dxa"/>
            <w:vMerge w:val="continue"/>
            <w:tcBorders>
              <w:tl2br w:val="nil"/>
              <w:tr2bl w:val="nil"/>
            </w:tcBorders>
            <w:vAlign w:val="center"/>
          </w:tcPr>
          <w:p w14:paraId="47859BE2">
            <w:pPr>
              <w:bidi w:val="0"/>
              <w:jc w:val="center"/>
              <w:rPr>
                <w:rFonts w:hint="eastAsia"/>
                <w:color w:val="auto"/>
                <w:lang w:val="en-US" w:eastAsia="zh-CN"/>
              </w:rPr>
            </w:pPr>
          </w:p>
        </w:tc>
        <w:tc>
          <w:tcPr>
            <w:tcW w:w="1423" w:type="dxa"/>
            <w:vMerge w:val="continue"/>
            <w:tcBorders>
              <w:tl2br w:val="nil"/>
              <w:tr2bl w:val="nil"/>
            </w:tcBorders>
            <w:vAlign w:val="center"/>
          </w:tcPr>
          <w:p w14:paraId="169D3573">
            <w:pPr>
              <w:bidi w:val="0"/>
              <w:jc w:val="center"/>
              <w:rPr>
                <w:rFonts w:hint="eastAsia"/>
                <w:color w:val="auto"/>
                <w:lang w:val="en-US" w:eastAsia="zh-CN"/>
              </w:rPr>
            </w:pPr>
          </w:p>
        </w:tc>
      </w:tr>
      <w:tr w14:paraId="75BF59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136589CC">
            <w:pPr>
              <w:bidi w:val="0"/>
              <w:jc w:val="center"/>
              <w:rPr>
                <w:rFonts w:hint="eastAsia"/>
                <w:color w:val="auto"/>
                <w:lang w:val="en-US" w:eastAsia="zh-CN"/>
              </w:rPr>
            </w:pPr>
          </w:p>
        </w:tc>
        <w:tc>
          <w:tcPr>
            <w:tcW w:w="1563" w:type="dxa"/>
            <w:vMerge w:val="continue"/>
            <w:tcBorders>
              <w:tl2br w:val="nil"/>
              <w:tr2bl w:val="nil"/>
            </w:tcBorders>
            <w:vAlign w:val="center"/>
          </w:tcPr>
          <w:p w14:paraId="4367F77B">
            <w:pPr>
              <w:bidi w:val="0"/>
              <w:jc w:val="center"/>
              <w:rPr>
                <w:rFonts w:hint="eastAsia"/>
                <w:color w:val="auto"/>
                <w:lang w:val="en-US" w:eastAsia="zh-CN"/>
              </w:rPr>
            </w:pPr>
          </w:p>
        </w:tc>
        <w:tc>
          <w:tcPr>
            <w:tcW w:w="1422" w:type="dxa"/>
            <w:vMerge w:val="restart"/>
            <w:tcBorders>
              <w:tl2br w:val="nil"/>
              <w:tr2bl w:val="nil"/>
            </w:tcBorders>
            <w:vAlign w:val="center"/>
          </w:tcPr>
          <w:p w14:paraId="294E6694">
            <w:pPr>
              <w:bidi w:val="0"/>
              <w:jc w:val="center"/>
              <w:rPr>
                <w:rFonts w:hint="default"/>
                <w:color w:val="auto"/>
                <w:lang w:val="en-US" w:eastAsia="zh-CN"/>
              </w:rPr>
            </w:pPr>
            <w:r>
              <w:rPr>
                <w:rFonts w:hint="eastAsia"/>
                <w:color w:val="auto"/>
                <w:lang w:val="en-US" w:eastAsia="zh-CN"/>
              </w:rPr>
              <w:t>悬浮物</w:t>
            </w:r>
          </w:p>
        </w:tc>
        <w:tc>
          <w:tcPr>
            <w:tcW w:w="1422" w:type="dxa"/>
            <w:tcBorders>
              <w:tl2br w:val="nil"/>
              <w:tr2bl w:val="nil"/>
            </w:tcBorders>
            <w:vAlign w:val="center"/>
          </w:tcPr>
          <w:p w14:paraId="2CC78DC3">
            <w:pPr>
              <w:widowControl/>
              <w:jc w:val="center"/>
              <w:textAlignment w:val="center"/>
              <w:rPr>
                <w:rFonts w:hint="eastAsia"/>
                <w:color w:val="auto"/>
                <w:lang w:val="en-US" w:eastAsia="zh-CN"/>
              </w:rPr>
            </w:pPr>
            <w:r>
              <w:rPr>
                <w:color w:val="auto"/>
                <w:kern w:val="0"/>
                <w:szCs w:val="21"/>
                <w:lang w:bidi="ar"/>
              </w:rPr>
              <w:t>第一次</w:t>
            </w:r>
          </w:p>
        </w:tc>
        <w:tc>
          <w:tcPr>
            <w:tcW w:w="1422" w:type="dxa"/>
            <w:tcBorders>
              <w:tl2br w:val="nil"/>
              <w:tr2bl w:val="nil"/>
            </w:tcBorders>
            <w:vAlign w:val="center"/>
          </w:tcPr>
          <w:p w14:paraId="629ADBE4">
            <w:pPr>
              <w:bidi w:val="0"/>
              <w:jc w:val="center"/>
              <w:rPr>
                <w:rFonts w:hint="default"/>
                <w:color w:val="auto"/>
                <w:lang w:val="en-US" w:eastAsia="zh-CN"/>
              </w:rPr>
            </w:pPr>
            <w:r>
              <w:rPr>
                <w:rFonts w:hint="eastAsia"/>
                <w:color w:val="auto"/>
                <w:lang w:val="en-US" w:eastAsia="zh-CN"/>
              </w:rPr>
              <w:t>15</w:t>
            </w:r>
          </w:p>
        </w:tc>
        <w:tc>
          <w:tcPr>
            <w:tcW w:w="1423" w:type="dxa"/>
            <w:vMerge w:val="restart"/>
            <w:tcBorders>
              <w:tl2br w:val="nil"/>
              <w:tr2bl w:val="nil"/>
            </w:tcBorders>
            <w:vAlign w:val="center"/>
          </w:tcPr>
          <w:p w14:paraId="25B7BF6E">
            <w:pPr>
              <w:bidi w:val="0"/>
              <w:jc w:val="center"/>
              <w:rPr>
                <w:rFonts w:hint="default"/>
                <w:color w:val="auto"/>
                <w:lang w:val="en-US" w:eastAsia="zh-CN"/>
              </w:rPr>
            </w:pPr>
            <w:r>
              <w:rPr>
                <w:rFonts w:hint="eastAsia"/>
                <w:color w:val="auto"/>
                <w:lang w:val="en-US" w:eastAsia="zh-CN"/>
              </w:rPr>
              <w:t>250</w:t>
            </w:r>
          </w:p>
        </w:tc>
        <w:tc>
          <w:tcPr>
            <w:tcW w:w="1423" w:type="dxa"/>
            <w:vMerge w:val="restart"/>
            <w:tcBorders>
              <w:tl2br w:val="nil"/>
              <w:tr2bl w:val="nil"/>
            </w:tcBorders>
            <w:vAlign w:val="center"/>
          </w:tcPr>
          <w:p w14:paraId="678B21AA">
            <w:pPr>
              <w:bidi w:val="0"/>
              <w:jc w:val="center"/>
              <w:rPr>
                <w:rFonts w:hint="eastAsia"/>
                <w:color w:val="auto"/>
                <w:lang w:val="en-US" w:eastAsia="zh-CN"/>
              </w:rPr>
            </w:pPr>
            <w:r>
              <w:rPr>
                <w:rFonts w:hint="eastAsia"/>
                <w:color w:val="auto"/>
                <w:lang w:val="en-US" w:eastAsia="zh-CN"/>
              </w:rPr>
              <w:t>达标</w:t>
            </w:r>
          </w:p>
        </w:tc>
      </w:tr>
      <w:tr w14:paraId="55107D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370AC252">
            <w:pPr>
              <w:bidi w:val="0"/>
              <w:jc w:val="center"/>
              <w:rPr>
                <w:rFonts w:hint="eastAsia"/>
                <w:color w:val="auto"/>
                <w:lang w:val="en-US" w:eastAsia="zh-CN"/>
              </w:rPr>
            </w:pPr>
          </w:p>
        </w:tc>
        <w:tc>
          <w:tcPr>
            <w:tcW w:w="1563" w:type="dxa"/>
            <w:vMerge w:val="continue"/>
            <w:tcBorders>
              <w:tl2br w:val="nil"/>
              <w:tr2bl w:val="nil"/>
            </w:tcBorders>
            <w:vAlign w:val="center"/>
          </w:tcPr>
          <w:p w14:paraId="1E52B956">
            <w:pPr>
              <w:bidi w:val="0"/>
              <w:jc w:val="center"/>
              <w:rPr>
                <w:rFonts w:hint="eastAsia"/>
                <w:color w:val="auto"/>
                <w:lang w:val="en-US" w:eastAsia="zh-CN"/>
              </w:rPr>
            </w:pPr>
          </w:p>
        </w:tc>
        <w:tc>
          <w:tcPr>
            <w:tcW w:w="1422" w:type="dxa"/>
            <w:vMerge w:val="continue"/>
            <w:tcBorders>
              <w:tl2br w:val="nil"/>
              <w:tr2bl w:val="nil"/>
            </w:tcBorders>
            <w:vAlign w:val="center"/>
          </w:tcPr>
          <w:p w14:paraId="010EBDB3">
            <w:pPr>
              <w:bidi w:val="0"/>
              <w:jc w:val="center"/>
              <w:rPr>
                <w:rFonts w:hint="eastAsia"/>
                <w:color w:val="auto"/>
                <w:lang w:val="en-US" w:eastAsia="zh-CN"/>
              </w:rPr>
            </w:pPr>
          </w:p>
        </w:tc>
        <w:tc>
          <w:tcPr>
            <w:tcW w:w="1422" w:type="dxa"/>
            <w:tcBorders>
              <w:tl2br w:val="nil"/>
              <w:tr2bl w:val="nil"/>
            </w:tcBorders>
            <w:vAlign w:val="center"/>
          </w:tcPr>
          <w:p w14:paraId="08F494BA">
            <w:pPr>
              <w:widowControl/>
              <w:jc w:val="center"/>
              <w:textAlignment w:val="center"/>
              <w:rPr>
                <w:rFonts w:hint="eastAsia"/>
                <w:color w:val="auto"/>
                <w:lang w:val="en-US" w:eastAsia="zh-CN"/>
              </w:rPr>
            </w:pPr>
            <w:r>
              <w:rPr>
                <w:color w:val="auto"/>
                <w:kern w:val="0"/>
                <w:szCs w:val="21"/>
                <w:lang w:bidi="ar"/>
              </w:rPr>
              <w:t>第二次</w:t>
            </w:r>
          </w:p>
        </w:tc>
        <w:tc>
          <w:tcPr>
            <w:tcW w:w="1422" w:type="dxa"/>
            <w:tcBorders>
              <w:tl2br w:val="nil"/>
              <w:tr2bl w:val="nil"/>
            </w:tcBorders>
            <w:vAlign w:val="center"/>
          </w:tcPr>
          <w:p w14:paraId="3691AF5B">
            <w:pPr>
              <w:bidi w:val="0"/>
              <w:jc w:val="center"/>
              <w:rPr>
                <w:rFonts w:hint="default"/>
                <w:color w:val="auto"/>
                <w:lang w:val="en-US" w:eastAsia="zh-CN"/>
              </w:rPr>
            </w:pPr>
            <w:r>
              <w:rPr>
                <w:rFonts w:hint="eastAsia"/>
                <w:color w:val="auto"/>
                <w:lang w:val="en-US" w:eastAsia="zh-CN"/>
              </w:rPr>
              <w:t>12</w:t>
            </w:r>
          </w:p>
        </w:tc>
        <w:tc>
          <w:tcPr>
            <w:tcW w:w="1423" w:type="dxa"/>
            <w:vMerge w:val="continue"/>
            <w:tcBorders>
              <w:tl2br w:val="nil"/>
              <w:tr2bl w:val="nil"/>
            </w:tcBorders>
            <w:vAlign w:val="center"/>
          </w:tcPr>
          <w:p w14:paraId="097E4CB3">
            <w:pPr>
              <w:bidi w:val="0"/>
              <w:jc w:val="center"/>
              <w:rPr>
                <w:rFonts w:hint="eastAsia"/>
                <w:color w:val="auto"/>
                <w:lang w:val="en-US" w:eastAsia="zh-CN"/>
              </w:rPr>
            </w:pPr>
          </w:p>
        </w:tc>
        <w:tc>
          <w:tcPr>
            <w:tcW w:w="1423" w:type="dxa"/>
            <w:vMerge w:val="continue"/>
            <w:tcBorders>
              <w:tl2br w:val="nil"/>
              <w:tr2bl w:val="nil"/>
            </w:tcBorders>
            <w:vAlign w:val="center"/>
          </w:tcPr>
          <w:p w14:paraId="1389703D">
            <w:pPr>
              <w:bidi w:val="0"/>
              <w:jc w:val="center"/>
              <w:rPr>
                <w:rFonts w:hint="eastAsia"/>
                <w:color w:val="auto"/>
                <w:lang w:val="en-US" w:eastAsia="zh-CN"/>
              </w:rPr>
            </w:pPr>
          </w:p>
        </w:tc>
      </w:tr>
      <w:tr w14:paraId="66D55E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11A850AF">
            <w:pPr>
              <w:bidi w:val="0"/>
              <w:jc w:val="center"/>
              <w:rPr>
                <w:rFonts w:hint="eastAsia"/>
                <w:color w:val="auto"/>
                <w:lang w:val="en-US" w:eastAsia="zh-CN"/>
              </w:rPr>
            </w:pPr>
          </w:p>
        </w:tc>
        <w:tc>
          <w:tcPr>
            <w:tcW w:w="1563" w:type="dxa"/>
            <w:vMerge w:val="continue"/>
            <w:tcBorders>
              <w:tl2br w:val="nil"/>
              <w:tr2bl w:val="nil"/>
            </w:tcBorders>
            <w:vAlign w:val="center"/>
          </w:tcPr>
          <w:p w14:paraId="7FCB8FBC">
            <w:pPr>
              <w:bidi w:val="0"/>
              <w:jc w:val="center"/>
              <w:rPr>
                <w:rFonts w:hint="eastAsia"/>
                <w:color w:val="auto"/>
                <w:lang w:val="en-US" w:eastAsia="zh-CN"/>
              </w:rPr>
            </w:pPr>
          </w:p>
        </w:tc>
        <w:tc>
          <w:tcPr>
            <w:tcW w:w="1422" w:type="dxa"/>
            <w:vMerge w:val="continue"/>
            <w:tcBorders>
              <w:tl2br w:val="nil"/>
              <w:tr2bl w:val="nil"/>
            </w:tcBorders>
            <w:vAlign w:val="center"/>
          </w:tcPr>
          <w:p w14:paraId="0520C0D3">
            <w:pPr>
              <w:bidi w:val="0"/>
              <w:jc w:val="center"/>
              <w:rPr>
                <w:rFonts w:hint="eastAsia"/>
                <w:color w:val="auto"/>
                <w:lang w:val="en-US" w:eastAsia="zh-CN"/>
              </w:rPr>
            </w:pPr>
          </w:p>
        </w:tc>
        <w:tc>
          <w:tcPr>
            <w:tcW w:w="1422" w:type="dxa"/>
            <w:tcBorders>
              <w:tl2br w:val="nil"/>
              <w:tr2bl w:val="nil"/>
            </w:tcBorders>
            <w:vAlign w:val="center"/>
          </w:tcPr>
          <w:p w14:paraId="7BD655FA">
            <w:pPr>
              <w:widowControl/>
              <w:jc w:val="center"/>
              <w:textAlignment w:val="center"/>
              <w:rPr>
                <w:rFonts w:hint="eastAsia"/>
                <w:color w:val="auto"/>
                <w:lang w:val="en-US" w:eastAsia="zh-CN"/>
              </w:rPr>
            </w:pPr>
            <w:r>
              <w:rPr>
                <w:color w:val="auto"/>
                <w:kern w:val="0"/>
                <w:szCs w:val="21"/>
                <w:lang w:bidi="ar"/>
              </w:rPr>
              <w:t>第三次</w:t>
            </w:r>
          </w:p>
        </w:tc>
        <w:tc>
          <w:tcPr>
            <w:tcW w:w="1422" w:type="dxa"/>
            <w:tcBorders>
              <w:tl2br w:val="nil"/>
              <w:tr2bl w:val="nil"/>
            </w:tcBorders>
            <w:vAlign w:val="center"/>
          </w:tcPr>
          <w:p w14:paraId="16B2B061">
            <w:pPr>
              <w:bidi w:val="0"/>
              <w:jc w:val="center"/>
              <w:rPr>
                <w:rFonts w:hint="default"/>
                <w:color w:val="auto"/>
                <w:lang w:val="en-US" w:eastAsia="zh-CN"/>
              </w:rPr>
            </w:pPr>
            <w:r>
              <w:rPr>
                <w:rFonts w:hint="eastAsia"/>
                <w:color w:val="auto"/>
                <w:lang w:val="en-US" w:eastAsia="zh-CN"/>
              </w:rPr>
              <w:t>16</w:t>
            </w:r>
          </w:p>
        </w:tc>
        <w:tc>
          <w:tcPr>
            <w:tcW w:w="1423" w:type="dxa"/>
            <w:vMerge w:val="continue"/>
            <w:tcBorders>
              <w:tl2br w:val="nil"/>
              <w:tr2bl w:val="nil"/>
            </w:tcBorders>
            <w:vAlign w:val="center"/>
          </w:tcPr>
          <w:p w14:paraId="50AD9172">
            <w:pPr>
              <w:bidi w:val="0"/>
              <w:jc w:val="center"/>
              <w:rPr>
                <w:rFonts w:hint="eastAsia"/>
                <w:color w:val="auto"/>
                <w:lang w:val="en-US" w:eastAsia="zh-CN"/>
              </w:rPr>
            </w:pPr>
          </w:p>
        </w:tc>
        <w:tc>
          <w:tcPr>
            <w:tcW w:w="1423" w:type="dxa"/>
            <w:vMerge w:val="continue"/>
            <w:tcBorders>
              <w:tl2br w:val="nil"/>
              <w:tr2bl w:val="nil"/>
            </w:tcBorders>
            <w:vAlign w:val="center"/>
          </w:tcPr>
          <w:p w14:paraId="53E1F82A">
            <w:pPr>
              <w:bidi w:val="0"/>
              <w:jc w:val="center"/>
              <w:rPr>
                <w:rFonts w:hint="eastAsia"/>
                <w:color w:val="auto"/>
                <w:lang w:val="en-US" w:eastAsia="zh-CN"/>
              </w:rPr>
            </w:pPr>
          </w:p>
        </w:tc>
      </w:tr>
      <w:tr w14:paraId="3B2B96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1E5E51D8">
            <w:pPr>
              <w:bidi w:val="0"/>
              <w:jc w:val="center"/>
              <w:rPr>
                <w:rFonts w:hint="eastAsia"/>
                <w:color w:val="auto"/>
                <w:lang w:val="en-US" w:eastAsia="zh-CN"/>
              </w:rPr>
            </w:pPr>
          </w:p>
        </w:tc>
        <w:tc>
          <w:tcPr>
            <w:tcW w:w="1563" w:type="dxa"/>
            <w:vMerge w:val="continue"/>
            <w:tcBorders>
              <w:tl2br w:val="nil"/>
              <w:tr2bl w:val="nil"/>
            </w:tcBorders>
            <w:vAlign w:val="center"/>
          </w:tcPr>
          <w:p w14:paraId="3206FA47">
            <w:pPr>
              <w:bidi w:val="0"/>
              <w:jc w:val="center"/>
              <w:rPr>
                <w:rFonts w:hint="eastAsia"/>
                <w:color w:val="auto"/>
                <w:lang w:val="en-US" w:eastAsia="zh-CN"/>
              </w:rPr>
            </w:pPr>
          </w:p>
        </w:tc>
        <w:tc>
          <w:tcPr>
            <w:tcW w:w="1422" w:type="dxa"/>
            <w:vMerge w:val="continue"/>
            <w:tcBorders>
              <w:tl2br w:val="nil"/>
              <w:tr2bl w:val="nil"/>
            </w:tcBorders>
            <w:vAlign w:val="center"/>
          </w:tcPr>
          <w:p w14:paraId="1C8A57DA">
            <w:pPr>
              <w:bidi w:val="0"/>
              <w:jc w:val="center"/>
              <w:rPr>
                <w:rFonts w:hint="eastAsia"/>
                <w:color w:val="auto"/>
                <w:lang w:val="en-US" w:eastAsia="zh-CN"/>
              </w:rPr>
            </w:pPr>
          </w:p>
        </w:tc>
        <w:tc>
          <w:tcPr>
            <w:tcW w:w="1422" w:type="dxa"/>
            <w:tcBorders>
              <w:tl2br w:val="nil"/>
              <w:tr2bl w:val="nil"/>
            </w:tcBorders>
            <w:vAlign w:val="center"/>
          </w:tcPr>
          <w:p w14:paraId="6DD83493">
            <w:pPr>
              <w:widowControl/>
              <w:jc w:val="center"/>
              <w:textAlignment w:val="center"/>
              <w:rPr>
                <w:rFonts w:hint="eastAsia"/>
                <w:color w:val="auto"/>
                <w:lang w:val="en-US" w:eastAsia="zh-CN"/>
              </w:rPr>
            </w:pPr>
            <w:r>
              <w:rPr>
                <w:color w:val="auto"/>
                <w:kern w:val="0"/>
                <w:szCs w:val="21"/>
                <w:lang w:bidi="ar"/>
              </w:rPr>
              <w:t>第四次</w:t>
            </w:r>
          </w:p>
        </w:tc>
        <w:tc>
          <w:tcPr>
            <w:tcW w:w="1422" w:type="dxa"/>
            <w:tcBorders>
              <w:tl2br w:val="nil"/>
              <w:tr2bl w:val="nil"/>
            </w:tcBorders>
            <w:vAlign w:val="center"/>
          </w:tcPr>
          <w:p w14:paraId="35244274">
            <w:pPr>
              <w:bidi w:val="0"/>
              <w:jc w:val="center"/>
              <w:rPr>
                <w:rFonts w:hint="default"/>
                <w:color w:val="auto"/>
                <w:lang w:val="en-US" w:eastAsia="zh-CN"/>
              </w:rPr>
            </w:pPr>
            <w:r>
              <w:rPr>
                <w:rFonts w:hint="eastAsia"/>
                <w:color w:val="auto"/>
                <w:lang w:val="en-US" w:eastAsia="zh-CN"/>
              </w:rPr>
              <w:t>14</w:t>
            </w:r>
          </w:p>
        </w:tc>
        <w:tc>
          <w:tcPr>
            <w:tcW w:w="1423" w:type="dxa"/>
            <w:vMerge w:val="continue"/>
            <w:tcBorders>
              <w:tl2br w:val="nil"/>
              <w:tr2bl w:val="nil"/>
            </w:tcBorders>
            <w:vAlign w:val="center"/>
          </w:tcPr>
          <w:p w14:paraId="115085FE">
            <w:pPr>
              <w:bidi w:val="0"/>
              <w:jc w:val="center"/>
              <w:rPr>
                <w:rFonts w:hint="eastAsia"/>
                <w:color w:val="auto"/>
                <w:lang w:val="en-US" w:eastAsia="zh-CN"/>
              </w:rPr>
            </w:pPr>
          </w:p>
        </w:tc>
        <w:tc>
          <w:tcPr>
            <w:tcW w:w="1423" w:type="dxa"/>
            <w:vMerge w:val="continue"/>
            <w:tcBorders>
              <w:tl2br w:val="nil"/>
              <w:tr2bl w:val="nil"/>
            </w:tcBorders>
            <w:vAlign w:val="center"/>
          </w:tcPr>
          <w:p w14:paraId="5AE414F4">
            <w:pPr>
              <w:bidi w:val="0"/>
              <w:jc w:val="center"/>
              <w:rPr>
                <w:rFonts w:hint="eastAsia"/>
                <w:color w:val="auto"/>
                <w:lang w:val="en-US" w:eastAsia="zh-CN"/>
              </w:rPr>
            </w:pPr>
          </w:p>
        </w:tc>
      </w:tr>
      <w:tr w14:paraId="604664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700DF55C">
            <w:pPr>
              <w:bidi w:val="0"/>
              <w:jc w:val="center"/>
              <w:rPr>
                <w:rFonts w:hint="eastAsia"/>
                <w:color w:val="auto"/>
                <w:lang w:val="en-US" w:eastAsia="zh-CN"/>
              </w:rPr>
            </w:pPr>
          </w:p>
        </w:tc>
        <w:tc>
          <w:tcPr>
            <w:tcW w:w="1563" w:type="dxa"/>
            <w:vMerge w:val="continue"/>
            <w:tcBorders>
              <w:tl2br w:val="nil"/>
              <w:tr2bl w:val="nil"/>
            </w:tcBorders>
            <w:vAlign w:val="center"/>
          </w:tcPr>
          <w:p w14:paraId="24BEE2DF">
            <w:pPr>
              <w:bidi w:val="0"/>
              <w:jc w:val="center"/>
              <w:rPr>
                <w:rFonts w:hint="eastAsia"/>
                <w:color w:val="auto"/>
                <w:lang w:val="en-US" w:eastAsia="zh-CN"/>
              </w:rPr>
            </w:pPr>
          </w:p>
        </w:tc>
        <w:tc>
          <w:tcPr>
            <w:tcW w:w="1422" w:type="dxa"/>
            <w:vMerge w:val="restart"/>
            <w:tcBorders>
              <w:tl2br w:val="nil"/>
              <w:tr2bl w:val="nil"/>
            </w:tcBorders>
            <w:vAlign w:val="center"/>
          </w:tcPr>
          <w:p w14:paraId="3D880EEB">
            <w:pPr>
              <w:bidi w:val="0"/>
              <w:jc w:val="center"/>
              <w:rPr>
                <w:rFonts w:hint="default"/>
                <w:color w:val="auto"/>
                <w:lang w:val="en-US" w:eastAsia="zh-CN"/>
              </w:rPr>
            </w:pPr>
            <w:r>
              <w:rPr>
                <w:rFonts w:hint="eastAsia"/>
                <w:color w:val="auto"/>
                <w:lang w:val="en-US" w:eastAsia="zh-CN"/>
              </w:rPr>
              <w:t>化学需氧量</w:t>
            </w:r>
          </w:p>
        </w:tc>
        <w:tc>
          <w:tcPr>
            <w:tcW w:w="1422" w:type="dxa"/>
            <w:tcBorders>
              <w:tl2br w:val="nil"/>
              <w:tr2bl w:val="nil"/>
            </w:tcBorders>
            <w:vAlign w:val="center"/>
          </w:tcPr>
          <w:p w14:paraId="77A64737">
            <w:pPr>
              <w:widowControl/>
              <w:jc w:val="center"/>
              <w:textAlignment w:val="center"/>
              <w:rPr>
                <w:rFonts w:hint="eastAsia"/>
                <w:color w:val="auto"/>
                <w:lang w:val="en-US" w:eastAsia="zh-CN"/>
              </w:rPr>
            </w:pPr>
            <w:r>
              <w:rPr>
                <w:color w:val="auto"/>
                <w:kern w:val="0"/>
                <w:szCs w:val="21"/>
                <w:lang w:bidi="ar"/>
              </w:rPr>
              <w:t>第一次</w:t>
            </w:r>
          </w:p>
        </w:tc>
        <w:tc>
          <w:tcPr>
            <w:tcW w:w="1422" w:type="dxa"/>
            <w:tcBorders>
              <w:tl2br w:val="nil"/>
              <w:tr2bl w:val="nil"/>
            </w:tcBorders>
            <w:vAlign w:val="center"/>
          </w:tcPr>
          <w:p w14:paraId="5748FB8C">
            <w:pPr>
              <w:bidi w:val="0"/>
              <w:jc w:val="center"/>
              <w:rPr>
                <w:rFonts w:hint="default"/>
                <w:color w:val="auto"/>
                <w:lang w:val="en-US" w:eastAsia="zh-CN"/>
              </w:rPr>
            </w:pPr>
            <w:r>
              <w:rPr>
                <w:rFonts w:hint="eastAsia"/>
                <w:color w:val="auto"/>
                <w:lang w:val="en-US" w:eastAsia="zh-CN"/>
              </w:rPr>
              <w:t>23</w:t>
            </w:r>
          </w:p>
        </w:tc>
        <w:tc>
          <w:tcPr>
            <w:tcW w:w="1423" w:type="dxa"/>
            <w:vMerge w:val="restart"/>
            <w:tcBorders>
              <w:tl2br w:val="nil"/>
              <w:tr2bl w:val="nil"/>
            </w:tcBorders>
            <w:vAlign w:val="center"/>
          </w:tcPr>
          <w:p w14:paraId="0F75A97C">
            <w:pPr>
              <w:bidi w:val="0"/>
              <w:jc w:val="center"/>
              <w:rPr>
                <w:rFonts w:hint="default"/>
                <w:color w:val="auto"/>
                <w:lang w:val="en-US" w:eastAsia="zh-CN"/>
              </w:rPr>
            </w:pPr>
            <w:r>
              <w:rPr>
                <w:rFonts w:hint="eastAsia"/>
                <w:color w:val="auto"/>
                <w:lang w:val="en-US" w:eastAsia="zh-CN"/>
              </w:rPr>
              <w:t>420</w:t>
            </w:r>
          </w:p>
        </w:tc>
        <w:tc>
          <w:tcPr>
            <w:tcW w:w="1423" w:type="dxa"/>
            <w:vMerge w:val="restart"/>
            <w:tcBorders>
              <w:tl2br w:val="nil"/>
              <w:tr2bl w:val="nil"/>
            </w:tcBorders>
            <w:vAlign w:val="center"/>
          </w:tcPr>
          <w:p w14:paraId="7C5CAFC1">
            <w:pPr>
              <w:bidi w:val="0"/>
              <w:jc w:val="center"/>
              <w:rPr>
                <w:rFonts w:hint="default"/>
                <w:color w:val="auto"/>
                <w:lang w:val="en-US" w:eastAsia="zh-CN"/>
              </w:rPr>
            </w:pPr>
            <w:r>
              <w:rPr>
                <w:rFonts w:hint="eastAsia"/>
                <w:color w:val="auto"/>
                <w:lang w:val="en-US" w:eastAsia="zh-CN"/>
              </w:rPr>
              <w:t>达标</w:t>
            </w:r>
          </w:p>
        </w:tc>
      </w:tr>
      <w:tr w14:paraId="2045D8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20C7002B">
            <w:pPr>
              <w:bidi w:val="0"/>
              <w:jc w:val="center"/>
              <w:rPr>
                <w:rFonts w:hint="eastAsia"/>
                <w:color w:val="auto"/>
                <w:lang w:val="en-US" w:eastAsia="zh-CN"/>
              </w:rPr>
            </w:pPr>
          </w:p>
        </w:tc>
        <w:tc>
          <w:tcPr>
            <w:tcW w:w="1563" w:type="dxa"/>
            <w:vMerge w:val="continue"/>
            <w:tcBorders>
              <w:tl2br w:val="nil"/>
              <w:tr2bl w:val="nil"/>
            </w:tcBorders>
            <w:vAlign w:val="center"/>
          </w:tcPr>
          <w:p w14:paraId="7213996D">
            <w:pPr>
              <w:bidi w:val="0"/>
              <w:jc w:val="center"/>
              <w:rPr>
                <w:rFonts w:hint="eastAsia"/>
                <w:color w:val="auto"/>
                <w:lang w:val="en-US" w:eastAsia="zh-CN"/>
              </w:rPr>
            </w:pPr>
          </w:p>
        </w:tc>
        <w:tc>
          <w:tcPr>
            <w:tcW w:w="1422" w:type="dxa"/>
            <w:vMerge w:val="continue"/>
            <w:tcBorders>
              <w:tl2br w:val="nil"/>
              <w:tr2bl w:val="nil"/>
            </w:tcBorders>
            <w:vAlign w:val="center"/>
          </w:tcPr>
          <w:p w14:paraId="1631D5C3">
            <w:pPr>
              <w:bidi w:val="0"/>
              <w:jc w:val="center"/>
              <w:rPr>
                <w:rFonts w:hint="eastAsia"/>
                <w:color w:val="auto"/>
                <w:lang w:val="en-US" w:eastAsia="zh-CN"/>
              </w:rPr>
            </w:pPr>
          </w:p>
        </w:tc>
        <w:tc>
          <w:tcPr>
            <w:tcW w:w="1422" w:type="dxa"/>
            <w:tcBorders>
              <w:tl2br w:val="nil"/>
              <w:tr2bl w:val="nil"/>
            </w:tcBorders>
            <w:vAlign w:val="center"/>
          </w:tcPr>
          <w:p w14:paraId="58309B74">
            <w:pPr>
              <w:widowControl/>
              <w:jc w:val="center"/>
              <w:textAlignment w:val="center"/>
              <w:rPr>
                <w:rFonts w:hint="eastAsia"/>
                <w:color w:val="auto"/>
                <w:lang w:val="en-US" w:eastAsia="zh-CN"/>
              </w:rPr>
            </w:pPr>
            <w:r>
              <w:rPr>
                <w:color w:val="auto"/>
                <w:kern w:val="0"/>
                <w:szCs w:val="21"/>
                <w:lang w:bidi="ar"/>
              </w:rPr>
              <w:t>第二次</w:t>
            </w:r>
          </w:p>
        </w:tc>
        <w:tc>
          <w:tcPr>
            <w:tcW w:w="1422" w:type="dxa"/>
            <w:tcBorders>
              <w:tl2br w:val="nil"/>
              <w:tr2bl w:val="nil"/>
            </w:tcBorders>
            <w:vAlign w:val="center"/>
          </w:tcPr>
          <w:p w14:paraId="07936079">
            <w:pPr>
              <w:bidi w:val="0"/>
              <w:jc w:val="center"/>
              <w:rPr>
                <w:rFonts w:hint="default"/>
                <w:color w:val="auto"/>
                <w:lang w:val="en-US" w:eastAsia="zh-CN"/>
              </w:rPr>
            </w:pPr>
            <w:r>
              <w:rPr>
                <w:rFonts w:hint="eastAsia"/>
                <w:color w:val="auto"/>
                <w:lang w:val="en-US" w:eastAsia="zh-CN"/>
              </w:rPr>
              <w:t>21</w:t>
            </w:r>
          </w:p>
        </w:tc>
        <w:tc>
          <w:tcPr>
            <w:tcW w:w="1423" w:type="dxa"/>
            <w:vMerge w:val="continue"/>
            <w:tcBorders>
              <w:tl2br w:val="nil"/>
              <w:tr2bl w:val="nil"/>
            </w:tcBorders>
            <w:vAlign w:val="center"/>
          </w:tcPr>
          <w:p w14:paraId="50A8ED1D">
            <w:pPr>
              <w:bidi w:val="0"/>
              <w:jc w:val="center"/>
              <w:rPr>
                <w:rFonts w:hint="eastAsia"/>
                <w:color w:val="auto"/>
                <w:lang w:val="en-US" w:eastAsia="zh-CN"/>
              </w:rPr>
            </w:pPr>
          </w:p>
        </w:tc>
        <w:tc>
          <w:tcPr>
            <w:tcW w:w="1423" w:type="dxa"/>
            <w:vMerge w:val="continue"/>
            <w:tcBorders>
              <w:tl2br w:val="nil"/>
              <w:tr2bl w:val="nil"/>
            </w:tcBorders>
            <w:vAlign w:val="center"/>
          </w:tcPr>
          <w:p w14:paraId="681742D5">
            <w:pPr>
              <w:bidi w:val="0"/>
              <w:jc w:val="center"/>
              <w:rPr>
                <w:rFonts w:hint="eastAsia"/>
                <w:color w:val="auto"/>
                <w:lang w:val="en-US" w:eastAsia="zh-CN"/>
              </w:rPr>
            </w:pPr>
          </w:p>
        </w:tc>
      </w:tr>
      <w:tr w14:paraId="4C022D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11368F67">
            <w:pPr>
              <w:bidi w:val="0"/>
              <w:jc w:val="center"/>
              <w:rPr>
                <w:rFonts w:hint="eastAsia"/>
                <w:color w:val="auto"/>
                <w:lang w:val="en-US" w:eastAsia="zh-CN"/>
              </w:rPr>
            </w:pPr>
          </w:p>
        </w:tc>
        <w:tc>
          <w:tcPr>
            <w:tcW w:w="1563" w:type="dxa"/>
            <w:vMerge w:val="continue"/>
            <w:tcBorders>
              <w:tl2br w:val="nil"/>
              <w:tr2bl w:val="nil"/>
            </w:tcBorders>
            <w:vAlign w:val="center"/>
          </w:tcPr>
          <w:p w14:paraId="588CC0E4">
            <w:pPr>
              <w:bidi w:val="0"/>
              <w:jc w:val="center"/>
              <w:rPr>
                <w:rFonts w:hint="eastAsia"/>
                <w:color w:val="auto"/>
                <w:lang w:val="en-US" w:eastAsia="zh-CN"/>
              </w:rPr>
            </w:pPr>
          </w:p>
        </w:tc>
        <w:tc>
          <w:tcPr>
            <w:tcW w:w="1422" w:type="dxa"/>
            <w:vMerge w:val="continue"/>
            <w:tcBorders>
              <w:tl2br w:val="nil"/>
              <w:tr2bl w:val="nil"/>
            </w:tcBorders>
            <w:vAlign w:val="center"/>
          </w:tcPr>
          <w:p w14:paraId="6715D38F">
            <w:pPr>
              <w:bidi w:val="0"/>
              <w:jc w:val="center"/>
              <w:rPr>
                <w:rFonts w:hint="eastAsia"/>
                <w:color w:val="auto"/>
                <w:lang w:val="en-US" w:eastAsia="zh-CN"/>
              </w:rPr>
            </w:pPr>
          </w:p>
        </w:tc>
        <w:tc>
          <w:tcPr>
            <w:tcW w:w="1422" w:type="dxa"/>
            <w:tcBorders>
              <w:tl2br w:val="nil"/>
              <w:tr2bl w:val="nil"/>
            </w:tcBorders>
            <w:vAlign w:val="center"/>
          </w:tcPr>
          <w:p w14:paraId="355A55DA">
            <w:pPr>
              <w:widowControl/>
              <w:jc w:val="center"/>
              <w:textAlignment w:val="center"/>
              <w:rPr>
                <w:rFonts w:hint="eastAsia"/>
                <w:color w:val="auto"/>
                <w:lang w:val="en-US" w:eastAsia="zh-CN"/>
              </w:rPr>
            </w:pPr>
            <w:r>
              <w:rPr>
                <w:color w:val="auto"/>
                <w:kern w:val="0"/>
                <w:szCs w:val="21"/>
                <w:lang w:bidi="ar"/>
              </w:rPr>
              <w:t>第三次</w:t>
            </w:r>
          </w:p>
        </w:tc>
        <w:tc>
          <w:tcPr>
            <w:tcW w:w="1422" w:type="dxa"/>
            <w:tcBorders>
              <w:tl2br w:val="nil"/>
              <w:tr2bl w:val="nil"/>
            </w:tcBorders>
            <w:vAlign w:val="center"/>
          </w:tcPr>
          <w:p w14:paraId="2EF780F8">
            <w:pPr>
              <w:bidi w:val="0"/>
              <w:jc w:val="center"/>
              <w:rPr>
                <w:rFonts w:hint="default"/>
                <w:color w:val="auto"/>
                <w:lang w:val="en-US" w:eastAsia="zh-CN"/>
              </w:rPr>
            </w:pPr>
            <w:r>
              <w:rPr>
                <w:rFonts w:hint="eastAsia"/>
                <w:color w:val="auto"/>
                <w:lang w:val="en-US" w:eastAsia="zh-CN"/>
              </w:rPr>
              <w:t>22</w:t>
            </w:r>
          </w:p>
        </w:tc>
        <w:tc>
          <w:tcPr>
            <w:tcW w:w="1423" w:type="dxa"/>
            <w:vMerge w:val="continue"/>
            <w:tcBorders>
              <w:tl2br w:val="nil"/>
              <w:tr2bl w:val="nil"/>
            </w:tcBorders>
            <w:vAlign w:val="center"/>
          </w:tcPr>
          <w:p w14:paraId="7358E899">
            <w:pPr>
              <w:bidi w:val="0"/>
              <w:jc w:val="center"/>
              <w:rPr>
                <w:rFonts w:hint="eastAsia"/>
                <w:color w:val="auto"/>
                <w:lang w:val="en-US" w:eastAsia="zh-CN"/>
              </w:rPr>
            </w:pPr>
          </w:p>
        </w:tc>
        <w:tc>
          <w:tcPr>
            <w:tcW w:w="1423" w:type="dxa"/>
            <w:vMerge w:val="continue"/>
            <w:tcBorders>
              <w:tl2br w:val="nil"/>
              <w:tr2bl w:val="nil"/>
            </w:tcBorders>
            <w:vAlign w:val="center"/>
          </w:tcPr>
          <w:p w14:paraId="227115DD">
            <w:pPr>
              <w:bidi w:val="0"/>
              <w:jc w:val="center"/>
              <w:rPr>
                <w:rFonts w:hint="eastAsia"/>
                <w:color w:val="auto"/>
                <w:lang w:val="en-US" w:eastAsia="zh-CN"/>
              </w:rPr>
            </w:pPr>
          </w:p>
        </w:tc>
      </w:tr>
      <w:tr w14:paraId="112F0C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0BE60BEB">
            <w:pPr>
              <w:bidi w:val="0"/>
              <w:jc w:val="center"/>
              <w:rPr>
                <w:rFonts w:hint="eastAsia"/>
                <w:color w:val="auto"/>
                <w:lang w:val="en-US" w:eastAsia="zh-CN"/>
              </w:rPr>
            </w:pPr>
          </w:p>
        </w:tc>
        <w:tc>
          <w:tcPr>
            <w:tcW w:w="1563" w:type="dxa"/>
            <w:vMerge w:val="continue"/>
            <w:tcBorders>
              <w:tl2br w:val="nil"/>
              <w:tr2bl w:val="nil"/>
            </w:tcBorders>
            <w:vAlign w:val="center"/>
          </w:tcPr>
          <w:p w14:paraId="6A8EF5A7">
            <w:pPr>
              <w:bidi w:val="0"/>
              <w:jc w:val="center"/>
              <w:rPr>
                <w:rFonts w:hint="eastAsia"/>
                <w:color w:val="auto"/>
                <w:lang w:val="en-US" w:eastAsia="zh-CN"/>
              </w:rPr>
            </w:pPr>
          </w:p>
        </w:tc>
        <w:tc>
          <w:tcPr>
            <w:tcW w:w="1422" w:type="dxa"/>
            <w:vMerge w:val="continue"/>
            <w:tcBorders>
              <w:tl2br w:val="nil"/>
              <w:tr2bl w:val="nil"/>
            </w:tcBorders>
            <w:vAlign w:val="center"/>
          </w:tcPr>
          <w:p w14:paraId="3323E0CE">
            <w:pPr>
              <w:bidi w:val="0"/>
              <w:jc w:val="center"/>
              <w:rPr>
                <w:rFonts w:hint="eastAsia"/>
                <w:color w:val="auto"/>
                <w:lang w:val="en-US" w:eastAsia="zh-CN"/>
              </w:rPr>
            </w:pPr>
          </w:p>
        </w:tc>
        <w:tc>
          <w:tcPr>
            <w:tcW w:w="1422" w:type="dxa"/>
            <w:tcBorders>
              <w:tl2br w:val="nil"/>
              <w:tr2bl w:val="nil"/>
            </w:tcBorders>
            <w:vAlign w:val="center"/>
          </w:tcPr>
          <w:p w14:paraId="5481CBA5">
            <w:pPr>
              <w:widowControl/>
              <w:jc w:val="center"/>
              <w:textAlignment w:val="center"/>
              <w:rPr>
                <w:rFonts w:hint="eastAsia"/>
                <w:color w:val="auto"/>
                <w:lang w:val="en-US" w:eastAsia="zh-CN"/>
              </w:rPr>
            </w:pPr>
            <w:r>
              <w:rPr>
                <w:color w:val="auto"/>
                <w:kern w:val="0"/>
                <w:szCs w:val="21"/>
                <w:lang w:bidi="ar"/>
              </w:rPr>
              <w:t>第四次</w:t>
            </w:r>
          </w:p>
        </w:tc>
        <w:tc>
          <w:tcPr>
            <w:tcW w:w="1422" w:type="dxa"/>
            <w:tcBorders>
              <w:tl2br w:val="nil"/>
              <w:tr2bl w:val="nil"/>
            </w:tcBorders>
            <w:vAlign w:val="center"/>
          </w:tcPr>
          <w:p w14:paraId="56CDDACE">
            <w:pPr>
              <w:bidi w:val="0"/>
              <w:jc w:val="center"/>
              <w:rPr>
                <w:rFonts w:hint="default"/>
                <w:color w:val="auto"/>
                <w:lang w:val="en-US" w:eastAsia="zh-CN"/>
              </w:rPr>
            </w:pPr>
            <w:r>
              <w:rPr>
                <w:rFonts w:hint="eastAsia"/>
                <w:color w:val="auto"/>
                <w:lang w:val="en-US" w:eastAsia="zh-CN"/>
              </w:rPr>
              <w:t>24</w:t>
            </w:r>
          </w:p>
        </w:tc>
        <w:tc>
          <w:tcPr>
            <w:tcW w:w="1423" w:type="dxa"/>
            <w:vMerge w:val="continue"/>
            <w:tcBorders>
              <w:tl2br w:val="nil"/>
              <w:tr2bl w:val="nil"/>
            </w:tcBorders>
            <w:vAlign w:val="center"/>
          </w:tcPr>
          <w:p w14:paraId="6BB3B57F">
            <w:pPr>
              <w:bidi w:val="0"/>
              <w:jc w:val="center"/>
              <w:rPr>
                <w:rFonts w:hint="eastAsia"/>
                <w:color w:val="auto"/>
                <w:lang w:val="en-US" w:eastAsia="zh-CN"/>
              </w:rPr>
            </w:pPr>
          </w:p>
        </w:tc>
        <w:tc>
          <w:tcPr>
            <w:tcW w:w="1423" w:type="dxa"/>
            <w:vMerge w:val="continue"/>
            <w:tcBorders>
              <w:tl2br w:val="nil"/>
              <w:tr2bl w:val="nil"/>
            </w:tcBorders>
            <w:vAlign w:val="center"/>
          </w:tcPr>
          <w:p w14:paraId="34A3061E">
            <w:pPr>
              <w:bidi w:val="0"/>
              <w:jc w:val="center"/>
              <w:rPr>
                <w:rFonts w:hint="eastAsia"/>
                <w:color w:val="auto"/>
                <w:lang w:val="en-US" w:eastAsia="zh-CN"/>
              </w:rPr>
            </w:pPr>
          </w:p>
        </w:tc>
      </w:tr>
      <w:tr w14:paraId="6F7E4C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5D66DE12">
            <w:pPr>
              <w:bidi w:val="0"/>
              <w:jc w:val="center"/>
              <w:rPr>
                <w:rFonts w:hint="eastAsia"/>
                <w:color w:val="auto"/>
                <w:lang w:val="en-US" w:eastAsia="zh-CN"/>
              </w:rPr>
            </w:pPr>
          </w:p>
        </w:tc>
        <w:tc>
          <w:tcPr>
            <w:tcW w:w="1563" w:type="dxa"/>
            <w:vMerge w:val="continue"/>
            <w:tcBorders>
              <w:tl2br w:val="nil"/>
              <w:tr2bl w:val="nil"/>
            </w:tcBorders>
            <w:vAlign w:val="center"/>
          </w:tcPr>
          <w:p w14:paraId="0F537CF6">
            <w:pPr>
              <w:bidi w:val="0"/>
              <w:jc w:val="center"/>
              <w:rPr>
                <w:rFonts w:hint="eastAsia"/>
                <w:color w:val="auto"/>
                <w:lang w:val="en-US" w:eastAsia="zh-CN"/>
              </w:rPr>
            </w:pPr>
          </w:p>
        </w:tc>
        <w:tc>
          <w:tcPr>
            <w:tcW w:w="1422" w:type="dxa"/>
            <w:vMerge w:val="restart"/>
            <w:tcBorders>
              <w:tl2br w:val="nil"/>
              <w:tr2bl w:val="nil"/>
            </w:tcBorders>
            <w:vAlign w:val="center"/>
          </w:tcPr>
          <w:p w14:paraId="5BEAB5F6">
            <w:pPr>
              <w:bidi w:val="0"/>
              <w:jc w:val="center"/>
              <w:rPr>
                <w:rFonts w:hint="default"/>
                <w:color w:val="auto"/>
                <w:lang w:val="en-US" w:eastAsia="zh-CN"/>
              </w:rPr>
            </w:pPr>
            <w:r>
              <w:rPr>
                <w:rFonts w:hint="eastAsia"/>
                <w:color w:val="auto"/>
                <w:lang w:val="en-US" w:eastAsia="zh-CN"/>
              </w:rPr>
              <w:t>五日生需氧量</w:t>
            </w:r>
          </w:p>
        </w:tc>
        <w:tc>
          <w:tcPr>
            <w:tcW w:w="1422" w:type="dxa"/>
            <w:tcBorders>
              <w:tl2br w:val="nil"/>
              <w:tr2bl w:val="nil"/>
            </w:tcBorders>
            <w:vAlign w:val="center"/>
          </w:tcPr>
          <w:p w14:paraId="11E38BB0">
            <w:pPr>
              <w:widowControl/>
              <w:jc w:val="center"/>
              <w:textAlignment w:val="center"/>
              <w:rPr>
                <w:color w:val="auto"/>
                <w:kern w:val="0"/>
                <w:szCs w:val="21"/>
                <w:lang w:bidi="ar"/>
              </w:rPr>
            </w:pPr>
            <w:r>
              <w:rPr>
                <w:color w:val="auto"/>
                <w:kern w:val="0"/>
                <w:szCs w:val="21"/>
                <w:lang w:bidi="ar"/>
              </w:rPr>
              <w:t>第一次</w:t>
            </w:r>
          </w:p>
        </w:tc>
        <w:tc>
          <w:tcPr>
            <w:tcW w:w="1422" w:type="dxa"/>
            <w:tcBorders>
              <w:tl2br w:val="nil"/>
              <w:tr2bl w:val="nil"/>
            </w:tcBorders>
            <w:vAlign w:val="center"/>
          </w:tcPr>
          <w:p w14:paraId="3FA07A77">
            <w:pPr>
              <w:bidi w:val="0"/>
              <w:jc w:val="center"/>
              <w:rPr>
                <w:rFonts w:hint="default"/>
                <w:color w:val="auto"/>
                <w:lang w:val="en-US" w:eastAsia="zh-CN"/>
              </w:rPr>
            </w:pPr>
            <w:r>
              <w:rPr>
                <w:rFonts w:hint="eastAsia"/>
                <w:color w:val="auto"/>
                <w:lang w:val="en-US" w:eastAsia="zh-CN"/>
              </w:rPr>
              <w:t>6.6</w:t>
            </w:r>
          </w:p>
        </w:tc>
        <w:tc>
          <w:tcPr>
            <w:tcW w:w="1423" w:type="dxa"/>
            <w:vMerge w:val="restart"/>
            <w:tcBorders>
              <w:tl2br w:val="nil"/>
              <w:tr2bl w:val="nil"/>
            </w:tcBorders>
            <w:vAlign w:val="center"/>
          </w:tcPr>
          <w:p w14:paraId="0E724C48">
            <w:pPr>
              <w:bidi w:val="0"/>
              <w:jc w:val="center"/>
              <w:rPr>
                <w:rFonts w:hint="default"/>
                <w:color w:val="auto"/>
                <w:lang w:val="en-US" w:eastAsia="zh-CN"/>
              </w:rPr>
            </w:pPr>
            <w:r>
              <w:rPr>
                <w:rFonts w:hint="eastAsia"/>
                <w:color w:val="auto"/>
                <w:lang w:val="en-US" w:eastAsia="zh-CN"/>
              </w:rPr>
              <w:t>150</w:t>
            </w:r>
          </w:p>
        </w:tc>
        <w:tc>
          <w:tcPr>
            <w:tcW w:w="1423" w:type="dxa"/>
            <w:vMerge w:val="restart"/>
            <w:tcBorders>
              <w:tl2br w:val="nil"/>
              <w:tr2bl w:val="nil"/>
            </w:tcBorders>
            <w:vAlign w:val="center"/>
          </w:tcPr>
          <w:p w14:paraId="79FD60B9">
            <w:pPr>
              <w:bidi w:val="0"/>
              <w:jc w:val="center"/>
              <w:rPr>
                <w:rFonts w:hint="eastAsia"/>
                <w:color w:val="auto"/>
                <w:lang w:val="en-US" w:eastAsia="zh-CN"/>
              </w:rPr>
            </w:pPr>
            <w:r>
              <w:rPr>
                <w:rFonts w:hint="eastAsia"/>
                <w:color w:val="auto"/>
                <w:lang w:val="en-US" w:eastAsia="zh-CN"/>
              </w:rPr>
              <w:t>达标</w:t>
            </w:r>
          </w:p>
        </w:tc>
      </w:tr>
      <w:tr w14:paraId="3F7439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00AFD2C5">
            <w:pPr>
              <w:bidi w:val="0"/>
              <w:jc w:val="center"/>
              <w:rPr>
                <w:rFonts w:hint="eastAsia"/>
                <w:color w:val="auto"/>
                <w:lang w:val="en-US" w:eastAsia="zh-CN"/>
              </w:rPr>
            </w:pPr>
          </w:p>
        </w:tc>
        <w:tc>
          <w:tcPr>
            <w:tcW w:w="1563" w:type="dxa"/>
            <w:vMerge w:val="continue"/>
            <w:tcBorders>
              <w:tl2br w:val="nil"/>
              <w:tr2bl w:val="nil"/>
            </w:tcBorders>
            <w:vAlign w:val="center"/>
          </w:tcPr>
          <w:p w14:paraId="18A6B1D0">
            <w:pPr>
              <w:bidi w:val="0"/>
              <w:jc w:val="center"/>
              <w:rPr>
                <w:rFonts w:hint="eastAsia"/>
                <w:color w:val="auto"/>
                <w:lang w:val="en-US" w:eastAsia="zh-CN"/>
              </w:rPr>
            </w:pPr>
          </w:p>
        </w:tc>
        <w:tc>
          <w:tcPr>
            <w:tcW w:w="1422" w:type="dxa"/>
            <w:vMerge w:val="continue"/>
            <w:tcBorders>
              <w:tl2br w:val="nil"/>
              <w:tr2bl w:val="nil"/>
            </w:tcBorders>
            <w:vAlign w:val="center"/>
          </w:tcPr>
          <w:p w14:paraId="416B002C">
            <w:pPr>
              <w:bidi w:val="0"/>
              <w:jc w:val="center"/>
              <w:rPr>
                <w:rFonts w:hint="eastAsia"/>
                <w:color w:val="auto"/>
                <w:lang w:val="en-US" w:eastAsia="zh-CN"/>
              </w:rPr>
            </w:pPr>
          </w:p>
        </w:tc>
        <w:tc>
          <w:tcPr>
            <w:tcW w:w="1422" w:type="dxa"/>
            <w:tcBorders>
              <w:tl2br w:val="nil"/>
              <w:tr2bl w:val="nil"/>
            </w:tcBorders>
            <w:vAlign w:val="center"/>
          </w:tcPr>
          <w:p w14:paraId="274139C9">
            <w:pPr>
              <w:widowControl/>
              <w:jc w:val="center"/>
              <w:textAlignment w:val="center"/>
              <w:rPr>
                <w:color w:val="auto"/>
                <w:kern w:val="0"/>
                <w:szCs w:val="21"/>
                <w:lang w:bidi="ar"/>
              </w:rPr>
            </w:pPr>
            <w:r>
              <w:rPr>
                <w:color w:val="auto"/>
                <w:kern w:val="0"/>
                <w:szCs w:val="21"/>
                <w:lang w:bidi="ar"/>
              </w:rPr>
              <w:t>第二次</w:t>
            </w:r>
          </w:p>
        </w:tc>
        <w:tc>
          <w:tcPr>
            <w:tcW w:w="1422" w:type="dxa"/>
            <w:tcBorders>
              <w:tl2br w:val="nil"/>
              <w:tr2bl w:val="nil"/>
            </w:tcBorders>
            <w:vAlign w:val="center"/>
          </w:tcPr>
          <w:p w14:paraId="451033AE">
            <w:pPr>
              <w:bidi w:val="0"/>
              <w:jc w:val="center"/>
              <w:rPr>
                <w:rFonts w:hint="default"/>
                <w:color w:val="auto"/>
                <w:lang w:val="en-US" w:eastAsia="zh-CN"/>
              </w:rPr>
            </w:pPr>
            <w:r>
              <w:rPr>
                <w:rFonts w:hint="eastAsia"/>
                <w:color w:val="auto"/>
                <w:lang w:val="en-US" w:eastAsia="zh-CN"/>
              </w:rPr>
              <w:t>6.3</w:t>
            </w:r>
          </w:p>
        </w:tc>
        <w:tc>
          <w:tcPr>
            <w:tcW w:w="1423" w:type="dxa"/>
            <w:vMerge w:val="continue"/>
            <w:tcBorders>
              <w:tl2br w:val="nil"/>
              <w:tr2bl w:val="nil"/>
            </w:tcBorders>
            <w:vAlign w:val="center"/>
          </w:tcPr>
          <w:p w14:paraId="5D4202D6">
            <w:pPr>
              <w:bidi w:val="0"/>
              <w:jc w:val="center"/>
              <w:rPr>
                <w:rFonts w:hint="eastAsia"/>
                <w:color w:val="auto"/>
                <w:lang w:val="en-US" w:eastAsia="zh-CN"/>
              </w:rPr>
            </w:pPr>
          </w:p>
        </w:tc>
        <w:tc>
          <w:tcPr>
            <w:tcW w:w="1423" w:type="dxa"/>
            <w:vMerge w:val="continue"/>
            <w:tcBorders>
              <w:tl2br w:val="nil"/>
              <w:tr2bl w:val="nil"/>
            </w:tcBorders>
            <w:vAlign w:val="center"/>
          </w:tcPr>
          <w:p w14:paraId="6B094C6E">
            <w:pPr>
              <w:bidi w:val="0"/>
              <w:jc w:val="center"/>
              <w:rPr>
                <w:rFonts w:hint="eastAsia"/>
                <w:color w:val="auto"/>
                <w:lang w:val="en-US" w:eastAsia="zh-CN"/>
              </w:rPr>
            </w:pPr>
          </w:p>
        </w:tc>
      </w:tr>
      <w:tr w14:paraId="47D44F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54C5391D">
            <w:pPr>
              <w:bidi w:val="0"/>
              <w:jc w:val="center"/>
              <w:rPr>
                <w:rFonts w:hint="eastAsia"/>
                <w:color w:val="auto"/>
                <w:lang w:val="en-US" w:eastAsia="zh-CN"/>
              </w:rPr>
            </w:pPr>
          </w:p>
        </w:tc>
        <w:tc>
          <w:tcPr>
            <w:tcW w:w="1563" w:type="dxa"/>
            <w:vMerge w:val="continue"/>
            <w:tcBorders>
              <w:tl2br w:val="nil"/>
              <w:tr2bl w:val="nil"/>
            </w:tcBorders>
            <w:vAlign w:val="center"/>
          </w:tcPr>
          <w:p w14:paraId="14AD57BA">
            <w:pPr>
              <w:bidi w:val="0"/>
              <w:jc w:val="center"/>
              <w:rPr>
                <w:rFonts w:hint="eastAsia"/>
                <w:color w:val="auto"/>
                <w:lang w:val="en-US" w:eastAsia="zh-CN"/>
              </w:rPr>
            </w:pPr>
          </w:p>
        </w:tc>
        <w:tc>
          <w:tcPr>
            <w:tcW w:w="1422" w:type="dxa"/>
            <w:vMerge w:val="continue"/>
            <w:tcBorders>
              <w:tl2br w:val="nil"/>
              <w:tr2bl w:val="nil"/>
            </w:tcBorders>
            <w:vAlign w:val="center"/>
          </w:tcPr>
          <w:p w14:paraId="1FEF7DA6">
            <w:pPr>
              <w:bidi w:val="0"/>
              <w:jc w:val="center"/>
              <w:rPr>
                <w:rFonts w:hint="eastAsia"/>
                <w:color w:val="auto"/>
                <w:lang w:val="en-US" w:eastAsia="zh-CN"/>
              </w:rPr>
            </w:pPr>
          </w:p>
        </w:tc>
        <w:tc>
          <w:tcPr>
            <w:tcW w:w="1422" w:type="dxa"/>
            <w:tcBorders>
              <w:tl2br w:val="nil"/>
              <w:tr2bl w:val="nil"/>
            </w:tcBorders>
            <w:vAlign w:val="center"/>
          </w:tcPr>
          <w:p w14:paraId="6F184854">
            <w:pPr>
              <w:widowControl/>
              <w:jc w:val="center"/>
              <w:textAlignment w:val="center"/>
              <w:rPr>
                <w:color w:val="auto"/>
                <w:kern w:val="0"/>
                <w:szCs w:val="21"/>
                <w:lang w:bidi="ar"/>
              </w:rPr>
            </w:pPr>
            <w:r>
              <w:rPr>
                <w:color w:val="auto"/>
                <w:kern w:val="0"/>
                <w:szCs w:val="21"/>
                <w:lang w:bidi="ar"/>
              </w:rPr>
              <w:t>第三次</w:t>
            </w:r>
          </w:p>
        </w:tc>
        <w:tc>
          <w:tcPr>
            <w:tcW w:w="1422" w:type="dxa"/>
            <w:tcBorders>
              <w:tl2br w:val="nil"/>
              <w:tr2bl w:val="nil"/>
            </w:tcBorders>
            <w:vAlign w:val="center"/>
          </w:tcPr>
          <w:p w14:paraId="42207543">
            <w:pPr>
              <w:bidi w:val="0"/>
              <w:jc w:val="center"/>
              <w:rPr>
                <w:rFonts w:hint="default"/>
                <w:color w:val="auto"/>
                <w:lang w:val="en-US" w:eastAsia="zh-CN"/>
              </w:rPr>
            </w:pPr>
            <w:r>
              <w:rPr>
                <w:rFonts w:hint="eastAsia"/>
                <w:color w:val="auto"/>
                <w:lang w:val="en-US" w:eastAsia="zh-CN"/>
              </w:rPr>
              <w:t>7.0</w:t>
            </w:r>
          </w:p>
        </w:tc>
        <w:tc>
          <w:tcPr>
            <w:tcW w:w="1423" w:type="dxa"/>
            <w:vMerge w:val="continue"/>
            <w:tcBorders>
              <w:tl2br w:val="nil"/>
              <w:tr2bl w:val="nil"/>
            </w:tcBorders>
            <w:vAlign w:val="center"/>
          </w:tcPr>
          <w:p w14:paraId="4E3F5605">
            <w:pPr>
              <w:bidi w:val="0"/>
              <w:jc w:val="center"/>
              <w:rPr>
                <w:rFonts w:hint="eastAsia"/>
                <w:color w:val="auto"/>
                <w:lang w:val="en-US" w:eastAsia="zh-CN"/>
              </w:rPr>
            </w:pPr>
          </w:p>
        </w:tc>
        <w:tc>
          <w:tcPr>
            <w:tcW w:w="1423" w:type="dxa"/>
            <w:vMerge w:val="continue"/>
            <w:tcBorders>
              <w:tl2br w:val="nil"/>
              <w:tr2bl w:val="nil"/>
            </w:tcBorders>
            <w:vAlign w:val="center"/>
          </w:tcPr>
          <w:p w14:paraId="31876978">
            <w:pPr>
              <w:bidi w:val="0"/>
              <w:jc w:val="center"/>
              <w:rPr>
                <w:rFonts w:hint="eastAsia"/>
                <w:color w:val="auto"/>
                <w:lang w:val="en-US" w:eastAsia="zh-CN"/>
              </w:rPr>
            </w:pPr>
          </w:p>
        </w:tc>
      </w:tr>
      <w:tr w14:paraId="6DD1CA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2A90740C">
            <w:pPr>
              <w:bidi w:val="0"/>
              <w:jc w:val="center"/>
              <w:rPr>
                <w:rFonts w:hint="eastAsia"/>
                <w:color w:val="auto"/>
                <w:lang w:val="en-US" w:eastAsia="zh-CN"/>
              </w:rPr>
            </w:pPr>
          </w:p>
        </w:tc>
        <w:tc>
          <w:tcPr>
            <w:tcW w:w="1563" w:type="dxa"/>
            <w:vMerge w:val="continue"/>
            <w:tcBorders>
              <w:tl2br w:val="nil"/>
              <w:tr2bl w:val="nil"/>
            </w:tcBorders>
            <w:vAlign w:val="center"/>
          </w:tcPr>
          <w:p w14:paraId="10A3DBC1">
            <w:pPr>
              <w:bidi w:val="0"/>
              <w:jc w:val="center"/>
              <w:rPr>
                <w:rFonts w:hint="eastAsia"/>
                <w:color w:val="auto"/>
                <w:lang w:val="en-US" w:eastAsia="zh-CN"/>
              </w:rPr>
            </w:pPr>
          </w:p>
        </w:tc>
        <w:tc>
          <w:tcPr>
            <w:tcW w:w="1422" w:type="dxa"/>
            <w:vMerge w:val="continue"/>
            <w:tcBorders>
              <w:tl2br w:val="nil"/>
              <w:tr2bl w:val="nil"/>
            </w:tcBorders>
            <w:vAlign w:val="center"/>
          </w:tcPr>
          <w:p w14:paraId="5B840090">
            <w:pPr>
              <w:bidi w:val="0"/>
              <w:jc w:val="center"/>
              <w:rPr>
                <w:rFonts w:hint="eastAsia"/>
                <w:color w:val="auto"/>
                <w:lang w:val="en-US" w:eastAsia="zh-CN"/>
              </w:rPr>
            </w:pPr>
          </w:p>
        </w:tc>
        <w:tc>
          <w:tcPr>
            <w:tcW w:w="1422" w:type="dxa"/>
            <w:tcBorders>
              <w:tl2br w:val="nil"/>
              <w:tr2bl w:val="nil"/>
            </w:tcBorders>
            <w:vAlign w:val="center"/>
          </w:tcPr>
          <w:p w14:paraId="175C56D6">
            <w:pPr>
              <w:widowControl/>
              <w:jc w:val="center"/>
              <w:textAlignment w:val="center"/>
              <w:rPr>
                <w:color w:val="auto"/>
                <w:kern w:val="0"/>
                <w:szCs w:val="21"/>
                <w:lang w:bidi="ar"/>
              </w:rPr>
            </w:pPr>
            <w:r>
              <w:rPr>
                <w:color w:val="auto"/>
                <w:kern w:val="0"/>
                <w:szCs w:val="21"/>
                <w:lang w:bidi="ar"/>
              </w:rPr>
              <w:t>第四次</w:t>
            </w:r>
          </w:p>
        </w:tc>
        <w:tc>
          <w:tcPr>
            <w:tcW w:w="1422" w:type="dxa"/>
            <w:tcBorders>
              <w:tl2br w:val="nil"/>
              <w:tr2bl w:val="nil"/>
            </w:tcBorders>
            <w:vAlign w:val="center"/>
          </w:tcPr>
          <w:p w14:paraId="670376C9">
            <w:pPr>
              <w:bidi w:val="0"/>
              <w:jc w:val="center"/>
              <w:rPr>
                <w:rFonts w:hint="default"/>
                <w:color w:val="auto"/>
                <w:lang w:val="en-US" w:eastAsia="zh-CN"/>
              </w:rPr>
            </w:pPr>
            <w:r>
              <w:rPr>
                <w:rFonts w:hint="eastAsia"/>
                <w:color w:val="auto"/>
                <w:lang w:val="en-US" w:eastAsia="zh-CN"/>
              </w:rPr>
              <w:t>7.1</w:t>
            </w:r>
          </w:p>
        </w:tc>
        <w:tc>
          <w:tcPr>
            <w:tcW w:w="1423" w:type="dxa"/>
            <w:vMerge w:val="continue"/>
            <w:tcBorders>
              <w:tl2br w:val="nil"/>
              <w:tr2bl w:val="nil"/>
            </w:tcBorders>
            <w:vAlign w:val="center"/>
          </w:tcPr>
          <w:p w14:paraId="440553F5">
            <w:pPr>
              <w:bidi w:val="0"/>
              <w:jc w:val="center"/>
              <w:rPr>
                <w:rFonts w:hint="eastAsia"/>
                <w:color w:val="auto"/>
                <w:lang w:val="en-US" w:eastAsia="zh-CN"/>
              </w:rPr>
            </w:pPr>
          </w:p>
        </w:tc>
        <w:tc>
          <w:tcPr>
            <w:tcW w:w="1423" w:type="dxa"/>
            <w:vMerge w:val="continue"/>
            <w:tcBorders>
              <w:tl2br w:val="nil"/>
              <w:tr2bl w:val="nil"/>
            </w:tcBorders>
            <w:vAlign w:val="center"/>
          </w:tcPr>
          <w:p w14:paraId="59B3A6C0">
            <w:pPr>
              <w:bidi w:val="0"/>
              <w:jc w:val="center"/>
              <w:rPr>
                <w:rFonts w:hint="eastAsia"/>
                <w:color w:val="auto"/>
                <w:lang w:val="en-US" w:eastAsia="zh-CN"/>
              </w:rPr>
            </w:pPr>
          </w:p>
        </w:tc>
      </w:tr>
      <w:tr w14:paraId="0455CA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73A19A45">
            <w:pPr>
              <w:bidi w:val="0"/>
              <w:jc w:val="center"/>
              <w:rPr>
                <w:rFonts w:hint="eastAsia"/>
                <w:color w:val="auto"/>
                <w:lang w:val="en-US" w:eastAsia="zh-CN"/>
              </w:rPr>
            </w:pPr>
          </w:p>
        </w:tc>
        <w:tc>
          <w:tcPr>
            <w:tcW w:w="1563" w:type="dxa"/>
            <w:vMerge w:val="continue"/>
            <w:tcBorders>
              <w:tl2br w:val="nil"/>
              <w:tr2bl w:val="nil"/>
            </w:tcBorders>
            <w:vAlign w:val="center"/>
          </w:tcPr>
          <w:p w14:paraId="6F545AE8">
            <w:pPr>
              <w:bidi w:val="0"/>
              <w:jc w:val="center"/>
              <w:rPr>
                <w:rFonts w:hint="eastAsia"/>
                <w:color w:val="auto"/>
                <w:lang w:val="en-US" w:eastAsia="zh-CN"/>
              </w:rPr>
            </w:pPr>
          </w:p>
        </w:tc>
        <w:tc>
          <w:tcPr>
            <w:tcW w:w="1422" w:type="dxa"/>
            <w:vMerge w:val="restart"/>
            <w:tcBorders>
              <w:tl2br w:val="nil"/>
              <w:tr2bl w:val="nil"/>
            </w:tcBorders>
            <w:vAlign w:val="center"/>
          </w:tcPr>
          <w:p w14:paraId="097A67C9">
            <w:pPr>
              <w:bidi w:val="0"/>
              <w:jc w:val="center"/>
              <w:rPr>
                <w:rFonts w:hint="default"/>
                <w:color w:val="auto"/>
                <w:lang w:val="en-US" w:eastAsia="zh-CN"/>
              </w:rPr>
            </w:pPr>
            <w:r>
              <w:rPr>
                <w:rFonts w:hint="eastAsia"/>
                <w:color w:val="auto"/>
                <w:lang w:val="en-US" w:eastAsia="zh-CN"/>
              </w:rPr>
              <w:t>氨氮</w:t>
            </w:r>
          </w:p>
        </w:tc>
        <w:tc>
          <w:tcPr>
            <w:tcW w:w="1422" w:type="dxa"/>
            <w:tcBorders>
              <w:tl2br w:val="nil"/>
              <w:tr2bl w:val="nil"/>
            </w:tcBorders>
            <w:vAlign w:val="center"/>
          </w:tcPr>
          <w:p w14:paraId="3C783814">
            <w:pPr>
              <w:widowControl/>
              <w:jc w:val="center"/>
              <w:textAlignment w:val="center"/>
              <w:rPr>
                <w:color w:val="auto"/>
                <w:kern w:val="0"/>
                <w:szCs w:val="21"/>
                <w:lang w:bidi="ar"/>
              </w:rPr>
            </w:pPr>
            <w:r>
              <w:rPr>
                <w:color w:val="auto"/>
                <w:kern w:val="0"/>
                <w:szCs w:val="21"/>
                <w:lang w:bidi="ar"/>
              </w:rPr>
              <w:t>第一次</w:t>
            </w:r>
          </w:p>
        </w:tc>
        <w:tc>
          <w:tcPr>
            <w:tcW w:w="1422" w:type="dxa"/>
            <w:tcBorders>
              <w:tl2br w:val="nil"/>
              <w:tr2bl w:val="nil"/>
            </w:tcBorders>
            <w:vAlign w:val="center"/>
          </w:tcPr>
          <w:p w14:paraId="30DC0C44">
            <w:pPr>
              <w:bidi w:val="0"/>
              <w:jc w:val="center"/>
              <w:rPr>
                <w:rFonts w:hint="default"/>
                <w:color w:val="auto"/>
                <w:lang w:val="en-US" w:eastAsia="zh-CN"/>
              </w:rPr>
            </w:pPr>
            <w:r>
              <w:rPr>
                <w:rFonts w:hint="eastAsia"/>
                <w:color w:val="auto"/>
                <w:lang w:val="en-US" w:eastAsia="zh-CN"/>
              </w:rPr>
              <w:t>1.00</w:t>
            </w:r>
          </w:p>
        </w:tc>
        <w:tc>
          <w:tcPr>
            <w:tcW w:w="1423" w:type="dxa"/>
            <w:vMerge w:val="restart"/>
            <w:tcBorders>
              <w:tl2br w:val="nil"/>
              <w:tr2bl w:val="nil"/>
            </w:tcBorders>
            <w:vAlign w:val="center"/>
          </w:tcPr>
          <w:p w14:paraId="46F6045F">
            <w:pPr>
              <w:bidi w:val="0"/>
              <w:jc w:val="center"/>
              <w:rPr>
                <w:rFonts w:hint="default"/>
                <w:color w:val="auto"/>
                <w:lang w:val="en-US" w:eastAsia="zh-CN"/>
              </w:rPr>
            </w:pPr>
            <w:r>
              <w:rPr>
                <w:rFonts w:hint="eastAsia"/>
                <w:color w:val="auto"/>
                <w:lang w:val="en-US" w:eastAsia="zh-CN"/>
              </w:rPr>
              <w:t>30</w:t>
            </w:r>
          </w:p>
        </w:tc>
        <w:tc>
          <w:tcPr>
            <w:tcW w:w="1423" w:type="dxa"/>
            <w:vMerge w:val="restart"/>
            <w:tcBorders>
              <w:tl2br w:val="nil"/>
              <w:tr2bl w:val="nil"/>
            </w:tcBorders>
            <w:vAlign w:val="center"/>
          </w:tcPr>
          <w:p w14:paraId="0C993FC7">
            <w:pPr>
              <w:bidi w:val="0"/>
              <w:jc w:val="center"/>
              <w:rPr>
                <w:rFonts w:hint="eastAsia"/>
                <w:color w:val="auto"/>
                <w:lang w:val="en-US" w:eastAsia="zh-CN"/>
              </w:rPr>
            </w:pPr>
            <w:r>
              <w:rPr>
                <w:rFonts w:hint="eastAsia"/>
                <w:color w:val="auto"/>
                <w:lang w:val="en-US" w:eastAsia="zh-CN"/>
              </w:rPr>
              <w:t>达标</w:t>
            </w:r>
          </w:p>
        </w:tc>
      </w:tr>
      <w:tr w14:paraId="084B74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6075EDEF">
            <w:pPr>
              <w:bidi w:val="0"/>
              <w:jc w:val="center"/>
              <w:rPr>
                <w:rFonts w:hint="eastAsia"/>
                <w:color w:val="auto"/>
                <w:lang w:val="en-US" w:eastAsia="zh-CN"/>
              </w:rPr>
            </w:pPr>
          </w:p>
        </w:tc>
        <w:tc>
          <w:tcPr>
            <w:tcW w:w="1563" w:type="dxa"/>
            <w:vMerge w:val="continue"/>
            <w:tcBorders>
              <w:tl2br w:val="nil"/>
              <w:tr2bl w:val="nil"/>
            </w:tcBorders>
            <w:vAlign w:val="center"/>
          </w:tcPr>
          <w:p w14:paraId="18BB2AC1">
            <w:pPr>
              <w:bidi w:val="0"/>
              <w:jc w:val="center"/>
              <w:rPr>
                <w:rFonts w:hint="eastAsia"/>
                <w:color w:val="auto"/>
                <w:lang w:val="en-US" w:eastAsia="zh-CN"/>
              </w:rPr>
            </w:pPr>
          </w:p>
        </w:tc>
        <w:tc>
          <w:tcPr>
            <w:tcW w:w="1422" w:type="dxa"/>
            <w:vMerge w:val="continue"/>
            <w:tcBorders>
              <w:tl2br w:val="nil"/>
              <w:tr2bl w:val="nil"/>
            </w:tcBorders>
            <w:vAlign w:val="center"/>
          </w:tcPr>
          <w:p w14:paraId="6F4D88C9">
            <w:pPr>
              <w:bidi w:val="0"/>
              <w:jc w:val="center"/>
              <w:rPr>
                <w:rFonts w:hint="eastAsia"/>
                <w:color w:val="auto"/>
                <w:lang w:val="en-US" w:eastAsia="zh-CN"/>
              </w:rPr>
            </w:pPr>
          </w:p>
        </w:tc>
        <w:tc>
          <w:tcPr>
            <w:tcW w:w="1422" w:type="dxa"/>
            <w:tcBorders>
              <w:tl2br w:val="nil"/>
              <w:tr2bl w:val="nil"/>
            </w:tcBorders>
            <w:vAlign w:val="center"/>
          </w:tcPr>
          <w:p w14:paraId="494BBFC4">
            <w:pPr>
              <w:widowControl/>
              <w:jc w:val="center"/>
              <w:textAlignment w:val="center"/>
              <w:rPr>
                <w:color w:val="auto"/>
                <w:kern w:val="0"/>
                <w:szCs w:val="21"/>
                <w:lang w:bidi="ar"/>
              </w:rPr>
            </w:pPr>
            <w:r>
              <w:rPr>
                <w:color w:val="auto"/>
                <w:kern w:val="0"/>
                <w:szCs w:val="21"/>
                <w:lang w:bidi="ar"/>
              </w:rPr>
              <w:t>第二次</w:t>
            </w:r>
          </w:p>
        </w:tc>
        <w:tc>
          <w:tcPr>
            <w:tcW w:w="1422" w:type="dxa"/>
            <w:tcBorders>
              <w:tl2br w:val="nil"/>
              <w:tr2bl w:val="nil"/>
            </w:tcBorders>
            <w:vAlign w:val="center"/>
          </w:tcPr>
          <w:p w14:paraId="237CA76E">
            <w:pPr>
              <w:bidi w:val="0"/>
              <w:jc w:val="center"/>
              <w:rPr>
                <w:rFonts w:hint="default"/>
                <w:color w:val="auto"/>
                <w:lang w:val="en-US" w:eastAsia="zh-CN"/>
              </w:rPr>
            </w:pPr>
            <w:r>
              <w:rPr>
                <w:rFonts w:hint="eastAsia"/>
                <w:color w:val="auto"/>
                <w:lang w:val="en-US" w:eastAsia="zh-CN"/>
              </w:rPr>
              <w:t>1.08</w:t>
            </w:r>
          </w:p>
        </w:tc>
        <w:tc>
          <w:tcPr>
            <w:tcW w:w="1423" w:type="dxa"/>
            <w:vMerge w:val="continue"/>
            <w:tcBorders>
              <w:tl2br w:val="nil"/>
              <w:tr2bl w:val="nil"/>
            </w:tcBorders>
            <w:vAlign w:val="center"/>
          </w:tcPr>
          <w:p w14:paraId="01B4F731">
            <w:pPr>
              <w:bidi w:val="0"/>
              <w:jc w:val="center"/>
              <w:rPr>
                <w:rFonts w:hint="eastAsia"/>
                <w:color w:val="auto"/>
                <w:lang w:val="en-US" w:eastAsia="zh-CN"/>
              </w:rPr>
            </w:pPr>
          </w:p>
        </w:tc>
        <w:tc>
          <w:tcPr>
            <w:tcW w:w="1423" w:type="dxa"/>
            <w:vMerge w:val="continue"/>
            <w:tcBorders>
              <w:tl2br w:val="nil"/>
              <w:tr2bl w:val="nil"/>
            </w:tcBorders>
            <w:vAlign w:val="center"/>
          </w:tcPr>
          <w:p w14:paraId="78BBDEDE">
            <w:pPr>
              <w:bidi w:val="0"/>
              <w:jc w:val="center"/>
              <w:rPr>
                <w:rFonts w:hint="eastAsia"/>
                <w:color w:val="auto"/>
                <w:lang w:val="en-US" w:eastAsia="zh-CN"/>
              </w:rPr>
            </w:pPr>
          </w:p>
        </w:tc>
      </w:tr>
      <w:tr w14:paraId="38895A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7393500B">
            <w:pPr>
              <w:bidi w:val="0"/>
              <w:jc w:val="center"/>
              <w:rPr>
                <w:rFonts w:hint="eastAsia"/>
                <w:color w:val="auto"/>
                <w:lang w:val="en-US" w:eastAsia="zh-CN"/>
              </w:rPr>
            </w:pPr>
          </w:p>
        </w:tc>
        <w:tc>
          <w:tcPr>
            <w:tcW w:w="1563" w:type="dxa"/>
            <w:vMerge w:val="continue"/>
            <w:tcBorders>
              <w:tl2br w:val="nil"/>
              <w:tr2bl w:val="nil"/>
            </w:tcBorders>
            <w:vAlign w:val="center"/>
          </w:tcPr>
          <w:p w14:paraId="73714721">
            <w:pPr>
              <w:bidi w:val="0"/>
              <w:jc w:val="center"/>
              <w:rPr>
                <w:rFonts w:hint="eastAsia"/>
                <w:color w:val="auto"/>
                <w:lang w:val="en-US" w:eastAsia="zh-CN"/>
              </w:rPr>
            </w:pPr>
          </w:p>
        </w:tc>
        <w:tc>
          <w:tcPr>
            <w:tcW w:w="1422" w:type="dxa"/>
            <w:vMerge w:val="continue"/>
            <w:tcBorders>
              <w:tl2br w:val="nil"/>
              <w:tr2bl w:val="nil"/>
            </w:tcBorders>
            <w:vAlign w:val="center"/>
          </w:tcPr>
          <w:p w14:paraId="119B2623">
            <w:pPr>
              <w:bidi w:val="0"/>
              <w:jc w:val="center"/>
              <w:rPr>
                <w:rFonts w:hint="eastAsia"/>
                <w:color w:val="auto"/>
                <w:lang w:val="en-US" w:eastAsia="zh-CN"/>
              </w:rPr>
            </w:pPr>
          </w:p>
        </w:tc>
        <w:tc>
          <w:tcPr>
            <w:tcW w:w="1422" w:type="dxa"/>
            <w:tcBorders>
              <w:tl2br w:val="nil"/>
              <w:tr2bl w:val="nil"/>
            </w:tcBorders>
            <w:vAlign w:val="center"/>
          </w:tcPr>
          <w:p w14:paraId="6469D0F5">
            <w:pPr>
              <w:widowControl/>
              <w:jc w:val="center"/>
              <w:textAlignment w:val="center"/>
              <w:rPr>
                <w:color w:val="auto"/>
                <w:kern w:val="0"/>
                <w:szCs w:val="21"/>
                <w:lang w:bidi="ar"/>
              </w:rPr>
            </w:pPr>
            <w:r>
              <w:rPr>
                <w:color w:val="auto"/>
                <w:kern w:val="0"/>
                <w:szCs w:val="21"/>
                <w:lang w:bidi="ar"/>
              </w:rPr>
              <w:t>第三次</w:t>
            </w:r>
          </w:p>
        </w:tc>
        <w:tc>
          <w:tcPr>
            <w:tcW w:w="1422" w:type="dxa"/>
            <w:tcBorders>
              <w:tl2br w:val="nil"/>
              <w:tr2bl w:val="nil"/>
            </w:tcBorders>
            <w:vAlign w:val="center"/>
          </w:tcPr>
          <w:p w14:paraId="29BFAAE1">
            <w:pPr>
              <w:bidi w:val="0"/>
              <w:jc w:val="center"/>
              <w:rPr>
                <w:rFonts w:hint="default"/>
                <w:color w:val="auto"/>
                <w:lang w:val="en-US" w:eastAsia="zh-CN"/>
              </w:rPr>
            </w:pPr>
            <w:r>
              <w:rPr>
                <w:rFonts w:hint="eastAsia"/>
                <w:color w:val="auto"/>
                <w:lang w:val="en-US" w:eastAsia="zh-CN"/>
              </w:rPr>
              <w:t>1.03</w:t>
            </w:r>
          </w:p>
        </w:tc>
        <w:tc>
          <w:tcPr>
            <w:tcW w:w="1423" w:type="dxa"/>
            <w:vMerge w:val="continue"/>
            <w:tcBorders>
              <w:tl2br w:val="nil"/>
              <w:tr2bl w:val="nil"/>
            </w:tcBorders>
            <w:vAlign w:val="center"/>
          </w:tcPr>
          <w:p w14:paraId="211293F9">
            <w:pPr>
              <w:bidi w:val="0"/>
              <w:jc w:val="center"/>
              <w:rPr>
                <w:rFonts w:hint="eastAsia"/>
                <w:color w:val="auto"/>
                <w:lang w:val="en-US" w:eastAsia="zh-CN"/>
              </w:rPr>
            </w:pPr>
          </w:p>
        </w:tc>
        <w:tc>
          <w:tcPr>
            <w:tcW w:w="1423" w:type="dxa"/>
            <w:vMerge w:val="continue"/>
            <w:tcBorders>
              <w:tl2br w:val="nil"/>
              <w:tr2bl w:val="nil"/>
            </w:tcBorders>
            <w:vAlign w:val="center"/>
          </w:tcPr>
          <w:p w14:paraId="4205D108">
            <w:pPr>
              <w:bidi w:val="0"/>
              <w:jc w:val="center"/>
              <w:rPr>
                <w:rFonts w:hint="eastAsia"/>
                <w:color w:val="auto"/>
                <w:lang w:val="en-US" w:eastAsia="zh-CN"/>
              </w:rPr>
            </w:pPr>
          </w:p>
        </w:tc>
      </w:tr>
      <w:tr w14:paraId="373802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2CACD6D9">
            <w:pPr>
              <w:bidi w:val="0"/>
              <w:jc w:val="center"/>
              <w:rPr>
                <w:rFonts w:hint="eastAsia"/>
                <w:color w:val="auto"/>
                <w:lang w:val="en-US" w:eastAsia="zh-CN"/>
              </w:rPr>
            </w:pPr>
          </w:p>
        </w:tc>
        <w:tc>
          <w:tcPr>
            <w:tcW w:w="1563" w:type="dxa"/>
            <w:vMerge w:val="continue"/>
            <w:tcBorders>
              <w:tl2br w:val="nil"/>
              <w:tr2bl w:val="nil"/>
            </w:tcBorders>
            <w:vAlign w:val="center"/>
          </w:tcPr>
          <w:p w14:paraId="54A12654">
            <w:pPr>
              <w:bidi w:val="0"/>
              <w:jc w:val="center"/>
              <w:rPr>
                <w:rFonts w:hint="eastAsia"/>
                <w:color w:val="auto"/>
                <w:lang w:val="en-US" w:eastAsia="zh-CN"/>
              </w:rPr>
            </w:pPr>
          </w:p>
        </w:tc>
        <w:tc>
          <w:tcPr>
            <w:tcW w:w="1422" w:type="dxa"/>
            <w:vMerge w:val="continue"/>
            <w:tcBorders>
              <w:tl2br w:val="nil"/>
              <w:tr2bl w:val="nil"/>
            </w:tcBorders>
            <w:vAlign w:val="center"/>
          </w:tcPr>
          <w:p w14:paraId="13206BC6">
            <w:pPr>
              <w:bidi w:val="0"/>
              <w:jc w:val="center"/>
              <w:rPr>
                <w:rFonts w:hint="eastAsia"/>
                <w:color w:val="auto"/>
                <w:lang w:val="en-US" w:eastAsia="zh-CN"/>
              </w:rPr>
            </w:pPr>
          </w:p>
        </w:tc>
        <w:tc>
          <w:tcPr>
            <w:tcW w:w="1422" w:type="dxa"/>
            <w:tcBorders>
              <w:tl2br w:val="nil"/>
              <w:tr2bl w:val="nil"/>
            </w:tcBorders>
            <w:vAlign w:val="center"/>
          </w:tcPr>
          <w:p w14:paraId="6C7AC52C">
            <w:pPr>
              <w:widowControl/>
              <w:jc w:val="center"/>
              <w:textAlignment w:val="center"/>
              <w:rPr>
                <w:color w:val="auto"/>
                <w:kern w:val="0"/>
                <w:szCs w:val="21"/>
                <w:lang w:bidi="ar"/>
              </w:rPr>
            </w:pPr>
            <w:r>
              <w:rPr>
                <w:color w:val="auto"/>
                <w:kern w:val="0"/>
                <w:szCs w:val="21"/>
                <w:lang w:bidi="ar"/>
              </w:rPr>
              <w:t>第四次</w:t>
            </w:r>
          </w:p>
        </w:tc>
        <w:tc>
          <w:tcPr>
            <w:tcW w:w="1422" w:type="dxa"/>
            <w:tcBorders>
              <w:tl2br w:val="nil"/>
              <w:tr2bl w:val="nil"/>
            </w:tcBorders>
            <w:vAlign w:val="center"/>
          </w:tcPr>
          <w:p w14:paraId="035D739C">
            <w:pPr>
              <w:bidi w:val="0"/>
              <w:jc w:val="center"/>
              <w:rPr>
                <w:rFonts w:hint="default"/>
                <w:color w:val="auto"/>
                <w:lang w:val="en-US" w:eastAsia="zh-CN"/>
              </w:rPr>
            </w:pPr>
            <w:r>
              <w:rPr>
                <w:rFonts w:hint="eastAsia"/>
                <w:color w:val="auto"/>
                <w:lang w:val="en-US" w:eastAsia="zh-CN"/>
              </w:rPr>
              <w:t>1.07</w:t>
            </w:r>
          </w:p>
        </w:tc>
        <w:tc>
          <w:tcPr>
            <w:tcW w:w="1423" w:type="dxa"/>
            <w:vMerge w:val="continue"/>
            <w:tcBorders>
              <w:tl2br w:val="nil"/>
              <w:tr2bl w:val="nil"/>
            </w:tcBorders>
            <w:vAlign w:val="center"/>
          </w:tcPr>
          <w:p w14:paraId="54C6CEB1">
            <w:pPr>
              <w:bidi w:val="0"/>
              <w:jc w:val="center"/>
              <w:rPr>
                <w:rFonts w:hint="eastAsia"/>
                <w:color w:val="auto"/>
                <w:lang w:val="en-US" w:eastAsia="zh-CN"/>
              </w:rPr>
            </w:pPr>
          </w:p>
        </w:tc>
        <w:tc>
          <w:tcPr>
            <w:tcW w:w="1423" w:type="dxa"/>
            <w:vMerge w:val="continue"/>
            <w:tcBorders>
              <w:tl2br w:val="nil"/>
              <w:tr2bl w:val="nil"/>
            </w:tcBorders>
            <w:vAlign w:val="center"/>
          </w:tcPr>
          <w:p w14:paraId="0FC1DE72">
            <w:pPr>
              <w:bidi w:val="0"/>
              <w:jc w:val="center"/>
              <w:rPr>
                <w:rFonts w:hint="eastAsia"/>
                <w:color w:val="auto"/>
                <w:lang w:val="en-US" w:eastAsia="zh-CN"/>
              </w:rPr>
            </w:pPr>
          </w:p>
        </w:tc>
      </w:tr>
    </w:tbl>
    <w:p w14:paraId="4F04C015">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jc w:val="both"/>
        <w:textAlignment w:val="auto"/>
        <w:rPr>
          <w:rFonts w:hint="eastAsia" w:ascii="Times New Roman" w:hAnsi="Times New Roman" w:cs="Times New Roman"/>
          <w:b w:val="0"/>
          <w:bCs w:val="0"/>
          <w:color w:val="auto"/>
          <w:sz w:val="24"/>
          <w:szCs w:val="32"/>
          <w:lang w:val="en-US" w:eastAsia="zh-CN"/>
        </w:rPr>
      </w:pPr>
    </w:p>
    <w:p w14:paraId="7652F3DD">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default" w:ascii="Times New Roman" w:hAnsi="Times New Roman" w:cs="Times New Roman"/>
          <w:b w:val="0"/>
          <w:bCs w:val="0"/>
          <w:color w:val="auto"/>
          <w:sz w:val="24"/>
          <w:szCs w:val="32"/>
          <w:lang w:val="en-US" w:eastAsia="zh-CN"/>
        </w:rPr>
      </w:pPr>
      <w:r>
        <w:rPr>
          <w:rFonts w:hint="eastAsia" w:ascii="Times New Roman" w:hAnsi="Times New Roman" w:cs="Times New Roman"/>
          <w:b w:val="0"/>
          <w:bCs w:val="0"/>
          <w:color w:val="auto"/>
          <w:sz w:val="24"/>
          <w:szCs w:val="32"/>
          <w:lang w:val="en-US" w:eastAsia="zh-CN"/>
        </w:rPr>
        <w:t>由上表监测数据可知，</w:t>
      </w:r>
      <w:r>
        <w:rPr>
          <w:color w:val="auto"/>
          <w:sz w:val="24"/>
          <w:szCs w:val="28"/>
        </w:rPr>
        <w:t>本项目生活污水经化粪池预处理后，</w:t>
      </w:r>
      <w:r>
        <w:rPr>
          <w:color w:val="auto"/>
          <w:sz w:val="24"/>
          <w:szCs w:val="32"/>
        </w:rPr>
        <w:t>废水排放</w:t>
      </w:r>
      <w:r>
        <w:rPr>
          <w:rFonts w:hint="eastAsia"/>
          <w:color w:val="auto"/>
          <w:sz w:val="24"/>
          <w:szCs w:val="32"/>
          <w:lang w:val="en-US" w:eastAsia="zh-CN"/>
        </w:rPr>
        <w:t>浓度满足</w:t>
      </w:r>
      <w:r>
        <w:rPr>
          <w:color w:val="auto"/>
          <w:sz w:val="24"/>
          <w:szCs w:val="32"/>
        </w:rPr>
        <w:t>濉溪县第二污水处理厂接管限值</w:t>
      </w:r>
      <w:r>
        <w:rPr>
          <w:rFonts w:hint="eastAsia"/>
          <w:color w:val="auto"/>
          <w:sz w:val="24"/>
          <w:szCs w:val="32"/>
          <w:lang w:val="en-US" w:eastAsia="zh-CN"/>
        </w:rPr>
        <w:t>要求。</w:t>
      </w:r>
    </w:p>
    <w:p w14:paraId="42F0AAA5">
      <w:pPr>
        <w:spacing w:line="360" w:lineRule="auto"/>
        <w:outlineLvl w:val="2"/>
        <w:rPr>
          <w:rFonts w:hint="eastAsia"/>
          <w:b/>
          <w:bCs/>
          <w:color w:val="auto"/>
          <w:sz w:val="24"/>
          <w:lang w:val="en-US" w:eastAsia="zh-CN"/>
        </w:rPr>
      </w:pPr>
      <w:r>
        <w:rPr>
          <w:rFonts w:hint="eastAsia"/>
          <w:b/>
          <w:bCs/>
          <w:color w:val="auto"/>
          <w:sz w:val="24"/>
          <w:lang w:val="en-US" w:eastAsia="zh-CN"/>
        </w:rPr>
        <w:t>3.3.3噪声污染源及其治理措施分析</w:t>
      </w:r>
    </w:p>
    <w:p w14:paraId="5F8E462A">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eastAsia" w:ascii="Times New Roman" w:hAnsi="Times New Roman" w:cs="Times New Roman"/>
          <w:b w:val="0"/>
          <w:bCs w:val="0"/>
          <w:color w:val="auto"/>
          <w:sz w:val="24"/>
          <w:lang w:val="en-US" w:eastAsia="zh-CN"/>
        </w:rPr>
      </w:pPr>
      <w:r>
        <w:rPr>
          <w:rFonts w:hint="default" w:ascii="Times New Roman" w:hAnsi="Times New Roman" w:cs="Times New Roman"/>
          <w:b w:val="0"/>
          <w:bCs w:val="0"/>
          <w:color w:val="auto"/>
          <w:sz w:val="24"/>
          <w:lang w:val="en-US" w:eastAsia="zh-CN"/>
        </w:rPr>
        <w:t>公司产噪设备主要为空压机</w:t>
      </w:r>
      <w:r>
        <w:rPr>
          <w:rFonts w:hint="eastAsia" w:ascii="Times New Roman" w:hAnsi="Times New Roman" w:cs="Times New Roman"/>
          <w:b w:val="0"/>
          <w:bCs w:val="0"/>
          <w:color w:val="auto"/>
          <w:sz w:val="24"/>
          <w:lang w:val="en-US" w:eastAsia="zh-CN"/>
        </w:rPr>
        <w:t>和各类生产设备</w:t>
      </w:r>
      <w:r>
        <w:rPr>
          <w:rFonts w:hint="default" w:ascii="Times New Roman" w:hAnsi="Times New Roman" w:cs="Times New Roman"/>
          <w:b w:val="0"/>
          <w:bCs w:val="0"/>
          <w:color w:val="auto"/>
          <w:sz w:val="24"/>
          <w:lang w:val="en-US" w:eastAsia="zh-CN"/>
        </w:rPr>
        <w:t>等，采取消音、减振、隔声等降噪措施。</w:t>
      </w:r>
      <w:r>
        <w:rPr>
          <w:rFonts w:hint="eastAsia"/>
          <w:color w:val="auto"/>
          <w:kern w:val="24"/>
          <w:sz w:val="24"/>
          <w:lang w:val="en-US" w:eastAsia="zh-CN"/>
        </w:rPr>
        <w:t>安徽省裕康铝业有限公司经营该项目期间</w:t>
      </w:r>
      <w:r>
        <w:rPr>
          <w:rFonts w:hint="default" w:ascii="Times New Roman" w:hAnsi="Times New Roman" w:cs="Times New Roman"/>
          <w:b w:val="0"/>
          <w:bCs w:val="0"/>
          <w:color w:val="auto"/>
          <w:sz w:val="24"/>
          <w:lang w:val="en-US" w:eastAsia="zh-CN"/>
        </w:rPr>
        <w:t>于202</w:t>
      </w:r>
      <w:r>
        <w:rPr>
          <w:rFonts w:hint="eastAsia" w:ascii="Times New Roman" w:hAnsi="Times New Roman" w:cs="Times New Roman"/>
          <w:b w:val="0"/>
          <w:bCs w:val="0"/>
          <w:color w:val="auto"/>
          <w:sz w:val="24"/>
          <w:lang w:val="en-US" w:eastAsia="zh-CN"/>
        </w:rPr>
        <w:t>4</w:t>
      </w:r>
      <w:r>
        <w:rPr>
          <w:rFonts w:hint="default" w:ascii="Times New Roman" w:hAnsi="Times New Roman" w:cs="Times New Roman"/>
          <w:b w:val="0"/>
          <w:bCs w:val="0"/>
          <w:color w:val="auto"/>
          <w:sz w:val="24"/>
          <w:lang w:val="en-US" w:eastAsia="zh-CN"/>
        </w:rPr>
        <w:t>年</w:t>
      </w:r>
      <w:r>
        <w:rPr>
          <w:rFonts w:hint="eastAsia" w:ascii="Times New Roman" w:hAnsi="Times New Roman" w:cs="Times New Roman"/>
          <w:b w:val="0"/>
          <w:bCs w:val="0"/>
          <w:color w:val="auto"/>
          <w:sz w:val="24"/>
          <w:lang w:val="en-US" w:eastAsia="zh-CN"/>
        </w:rPr>
        <w:t>8</w:t>
      </w:r>
      <w:r>
        <w:rPr>
          <w:rFonts w:hint="default" w:ascii="Times New Roman" w:hAnsi="Times New Roman" w:cs="Times New Roman"/>
          <w:b w:val="0"/>
          <w:bCs w:val="0"/>
          <w:color w:val="auto"/>
          <w:sz w:val="24"/>
          <w:lang w:val="en-US" w:eastAsia="zh-CN"/>
        </w:rPr>
        <w:t>月</w:t>
      </w:r>
      <w:r>
        <w:rPr>
          <w:rFonts w:hint="eastAsia" w:ascii="Times New Roman" w:hAnsi="Times New Roman" w:cs="Times New Roman"/>
          <w:b w:val="0"/>
          <w:bCs w:val="0"/>
          <w:color w:val="auto"/>
          <w:sz w:val="24"/>
          <w:lang w:val="en-US" w:eastAsia="zh-CN"/>
        </w:rPr>
        <w:t>27</w:t>
      </w:r>
      <w:r>
        <w:rPr>
          <w:rFonts w:hint="default" w:ascii="Times New Roman" w:hAnsi="Times New Roman" w:cs="Times New Roman"/>
          <w:b w:val="0"/>
          <w:bCs w:val="0"/>
          <w:color w:val="auto"/>
          <w:sz w:val="24"/>
          <w:lang w:val="en-US" w:eastAsia="zh-CN"/>
        </w:rPr>
        <w:t>日委托</w:t>
      </w:r>
      <w:r>
        <w:rPr>
          <w:rFonts w:hint="default" w:ascii="Times New Roman" w:hAnsi="Times New Roman" w:cs="Times New Roman"/>
          <w:b w:val="0"/>
          <w:bCs w:val="0"/>
          <w:color w:val="auto"/>
          <w:sz w:val="24"/>
          <w:szCs w:val="32"/>
        </w:rPr>
        <w:t>安徽阿尔发环境工程有限公司对</w:t>
      </w:r>
      <w:r>
        <w:rPr>
          <w:rFonts w:hint="eastAsia" w:ascii="Times New Roman" w:hAnsi="Times New Roman" w:cs="Times New Roman"/>
          <w:b w:val="0"/>
          <w:bCs w:val="0"/>
          <w:color w:val="auto"/>
          <w:sz w:val="24"/>
          <w:szCs w:val="32"/>
          <w:lang w:val="en-US" w:eastAsia="zh-CN"/>
        </w:rPr>
        <w:t>厂界昼间噪声</w:t>
      </w:r>
      <w:r>
        <w:rPr>
          <w:rFonts w:hint="default" w:ascii="Times New Roman" w:hAnsi="Times New Roman" w:cs="Times New Roman"/>
          <w:b w:val="0"/>
          <w:bCs w:val="0"/>
          <w:color w:val="auto"/>
          <w:sz w:val="24"/>
          <w:szCs w:val="32"/>
        </w:rPr>
        <w:t>进行了检测，具体检测结果如下：</w:t>
      </w:r>
    </w:p>
    <w:p w14:paraId="35780A11">
      <w:pPr>
        <w:spacing w:line="360" w:lineRule="auto"/>
        <w:jc w:val="center"/>
        <w:rPr>
          <w:b/>
          <w:bCs/>
          <w:color w:val="auto"/>
          <w:sz w:val="24"/>
          <w:szCs w:val="32"/>
        </w:rPr>
      </w:pPr>
      <w:r>
        <w:rPr>
          <w:b/>
          <w:bCs/>
          <w:color w:val="auto"/>
          <w:sz w:val="24"/>
          <w:szCs w:val="32"/>
        </w:rPr>
        <w:t>表3-</w:t>
      </w:r>
      <w:r>
        <w:rPr>
          <w:rFonts w:hint="eastAsia"/>
          <w:b/>
          <w:bCs/>
          <w:color w:val="auto"/>
          <w:sz w:val="24"/>
          <w:szCs w:val="32"/>
          <w:lang w:val="en-US" w:eastAsia="zh-CN"/>
        </w:rPr>
        <w:t>11</w:t>
      </w:r>
      <w:r>
        <w:rPr>
          <w:b/>
          <w:bCs/>
          <w:color w:val="auto"/>
          <w:sz w:val="24"/>
          <w:szCs w:val="32"/>
        </w:rPr>
        <w:t>厂界噪声监测结果</w:t>
      </w:r>
      <w:r>
        <w:rPr>
          <w:rFonts w:hint="eastAsia"/>
          <w:b/>
          <w:bCs/>
          <w:color w:val="auto"/>
          <w:sz w:val="24"/>
          <w:szCs w:val="32"/>
          <w:lang w:val="en-US" w:eastAsia="zh-CN"/>
        </w:rPr>
        <w:t>一览</w:t>
      </w:r>
      <w:r>
        <w:rPr>
          <w:b/>
          <w:bCs/>
          <w:color w:val="auto"/>
          <w:sz w:val="24"/>
          <w:szCs w:val="32"/>
        </w:rPr>
        <w:t>表</w:t>
      </w:r>
    </w:p>
    <w:tbl>
      <w:tblPr>
        <w:tblStyle w:val="31"/>
        <w:tblW w:w="4991"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15" w:type="dxa"/>
          <w:left w:w="15" w:type="dxa"/>
          <w:bottom w:w="15" w:type="dxa"/>
          <w:right w:w="15" w:type="dxa"/>
        </w:tblCellMar>
      </w:tblPr>
      <w:tblGrid>
        <w:gridCol w:w="1618"/>
        <w:gridCol w:w="1622"/>
        <w:gridCol w:w="3259"/>
        <w:gridCol w:w="3259"/>
      </w:tblGrid>
      <w:tr w14:paraId="507063C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vMerge w:val="restart"/>
            <w:tcBorders>
              <w:tl2br w:val="nil"/>
              <w:tr2bl w:val="nil"/>
            </w:tcBorders>
            <w:noWrap/>
            <w:vAlign w:val="center"/>
          </w:tcPr>
          <w:p w14:paraId="03D2637C">
            <w:pPr>
              <w:widowControl/>
              <w:jc w:val="center"/>
              <w:textAlignment w:val="center"/>
              <w:rPr>
                <w:b/>
                <w:bCs/>
                <w:color w:val="auto"/>
                <w:szCs w:val="21"/>
              </w:rPr>
            </w:pPr>
            <w:r>
              <w:rPr>
                <w:b/>
                <w:bCs/>
                <w:color w:val="auto"/>
                <w:kern w:val="0"/>
                <w:szCs w:val="21"/>
                <w:lang w:bidi="ar"/>
              </w:rPr>
              <w:t>测点位置</w:t>
            </w:r>
          </w:p>
        </w:tc>
        <w:tc>
          <w:tcPr>
            <w:tcW w:w="831" w:type="pct"/>
            <w:vMerge w:val="restart"/>
            <w:tcBorders>
              <w:tl2br w:val="nil"/>
              <w:tr2bl w:val="nil"/>
            </w:tcBorders>
            <w:noWrap/>
            <w:vAlign w:val="center"/>
          </w:tcPr>
          <w:p w14:paraId="4328D839">
            <w:pPr>
              <w:widowControl/>
              <w:jc w:val="center"/>
              <w:textAlignment w:val="center"/>
              <w:rPr>
                <w:b/>
                <w:bCs/>
                <w:color w:val="auto"/>
                <w:szCs w:val="21"/>
              </w:rPr>
            </w:pPr>
            <w:r>
              <w:rPr>
                <w:b/>
                <w:bCs/>
                <w:color w:val="auto"/>
                <w:kern w:val="0"/>
                <w:szCs w:val="21"/>
                <w:lang w:bidi="ar"/>
              </w:rPr>
              <w:t>主要声源</w:t>
            </w:r>
          </w:p>
        </w:tc>
        <w:tc>
          <w:tcPr>
            <w:tcW w:w="3338" w:type="pct"/>
            <w:gridSpan w:val="2"/>
            <w:tcBorders>
              <w:tl2br w:val="nil"/>
              <w:tr2bl w:val="nil"/>
            </w:tcBorders>
            <w:noWrap/>
            <w:vAlign w:val="center"/>
          </w:tcPr>
          <w:p w14:paraId="168BD69B">
            <w:pPr>
              <w:widowControl/>
              <w:jc w:val="center"/>
              <w:textAlignment w:val="center"/>
              <w:rPr>
                <w:rFonts w:hint="default" w:eastAsia="宋体"/>
                <w:b/>
                <w:bCs/>
                <w:color w:val="auto"/>
                <w:szCs w:val="21"/>
                <w:lang w:val="en-US" w:eastAsia="zh-CN"/>
              </w:rPr>
            </w:pPr>
            <w:r>
              <w:rPr>
                <w:b/>
                <w:bCs/>
                <w:color w:val="auto"/>
                <w:kern w:val="0"/>
                <w:szCs w:val="21"/>
                <w:lang w:bidi="ar"/>
              </w:rPr>
              <w:t>2024/0</w:t>
            </w:r>
            <w:r>
              <w:rPr>
                <w:rFonts w:hint="eastAsia"/>
                <w:b/>
                <w:bCs/>
                <w:color w:val="auto"/>
                <w:kern w:val="0"/>
                <w:szCs w:val="21"/>
                <w:lang w:val="en-US" w:eastAsia="zh-CN" w:bidi="ar"/>
              </w:rPr>
              <w:t>8</w:t>
            </w:r>
            <w:r>
              <w:rPr>
                <w:b/>
                <w:bCs/>
                <w:color w:val="auto"/>
                <w:kern w:val="0"/>
                <w:szCs w:val="21"/>
                <w:lang w:bidi="ar"/>
              </w:rPr>
              <w:t>/</w:t>
            </w:r>
            <w:r>
              <w:rPr>
                <w:rFonts w:hint="eastAsia"/>
                <w:b/>
                <w:bCs/>
                <w:color w:val="auto"/>
                <w:kern w:val="0"/>
                <w:szCs w:val="21"/>
                <w:lang w:val="en-US" w:eastAsia="zh-CN" w:bidi="ar"/>
              </w:rPr>
              <w:t>27</w:t>
            </w:r>
          </w:p>
        </w:tc>
      </w:tr>
      <w:tr w14:paraId="22796F9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vMerge w:val="continue"/>
            <w:tcBorders>
              <w:tl2br w:val="nil"/>
              <w:tr2bl w:val="nil"/>
            </w:tcBorders>
            <w:noWrap/>
            <w:vAlign w:val="center"/>
          </w:tcPr>
          <w:p w14:paraId="0FA7EBF6">
            <w:pPr>
              <w:jc w:val="center"/>
              <w:rPr>
                <w:b/>
                <w:bCs/>
                <w:color w:val="auto"/>
                <w:szCs w:val="21"/>
              </w:rPr>
            </w:pPr>
          </w:p>
        </w:tc>
        <w:tc>
          <w:tcPr>
            <w:tcW w:w="831" w:type="pct"/>
            <w:vMerge w:val="continue"/>
            <w:tcBorders>
              <w:tl2br w:val="nil"/>
              <w:tr2bl w:val="nil"/>
            </w:tcBorders>
            <w:noWrap/>
            <w:vAlign w:val="center"/>
          </w:tcPr>
          <w:p w14:paraId="227E606F">
            <w:pPr>
              <w:jc w:val="center"/>
              <w:rPr>
                <w:b/>
                <w:bCs/>
                <w:color w:val="auto"/>
                <w:szCs w:val="21"/>
              </w:rPr>
            </w:pPr>
          </w:p>
        </w:tc>
        <w:tc>
          <w:tcPr>
            <w:tcW w:w="1669" w:type="pct"/>
            <w:tcBorders>
              <w:tl2br w:val="nil"/>
              <w:tr2bl w:val="nil"/>
            </w:tcBorders>
            <w:noWrap/>
            <w:vAlign w:val="center"/>
          </w:tcPr>
          <w:p w14:paraId="4C0CB346">
            <w:pPr>
              <w:widowControl/>
              <w:jc w:val="center"/>
              <w:textAlignment w:val="center"/>
              <w:rPr>
                <w:b/>
                <w:bCs/>
                <w:color w:val="auto"/>
                <w:szCs w:val="21"/>
              </w:rPr>
            </w:pPr>
            <w:r>
              <w:rPr>
                <w:b/>
                <w:bCs/>
                <w:color w:val="auto"/>
                <w:kern w:val="0"/>
                <w:szCs w:val="21"/>
                <w:lang w:bidi="ar"/>
              </w:rPr>
              <w:t>测量时间</w:t>
            </w:r>
          </w:p>
        </w:tc>
        <w:tc>
          <w:tcPr>
            <w:tcW w:w="1669" w:type="pct"/>
            <w:tcBorders>
              <w:tl2br w:val="nil"/>
              <w:tr2bl w:val="nil"/>
            </w:tcBorders>
            <w:noWrap/>
            <w:vAlign w:val="center"/>
          </w:tcPr>
          <w:p w14:paraId="30FA089F">
            <w:pPr>
              <w:widowControl/>
              <w:jc w:val="center"/>
              <w:textAlignment w:val="center"/>
              <w:rPr>
                <w:b/>
                <w:bCs/>
                <w:color w:val="auto"/>
                <w:szCs w:val="21"/>
              </w:rPr>
            </w:pPr>
            <w:r>
              <w:rPr>
                <w:b/>
                <w:bCs/>
                <w:color w:val="auto"/>
                <w:kern w:val="0"/>
                <w:szCs w:val="21"/>
                <w:lang w:bidi="ar"/>
              </w:rPr>
              <w:t>结果</w:t>
            </w:r>
          </w:p>
        </w:tc>
      </w:tr>
      <w:tr w14:paraId="293DF11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508FD541">
            <w:pPr>
              <w:widowControl/>
              <w:jc w:val="center"/>
              <w:textAlignment w:val="center"/>
              <w:rPr>
                <w:color w:val="auto"/>
                <w:szCs w:val="21"/>
              </w:rPr>
            </w:pPr>
            <w:r>
              <w:rPr>
                <w:color w:val="auto"/>
                <w:kern w:val="0"/>
                <w:szCs w:val="21"/>
                <w:lang w:bidi="ar"/>
              </w:rPr>
              <w:t>东厂界处</w:t>
            </w:r>
          </w:p>
        </w:tc>
        <w:tc>
          <w:tcPr>
            <w:tcW w:w="831" w:type="pct"/>
            <w:vMerge w:val="restart"/>
            <w:tcBorders>
              <w:tl2br w:val="nil"/>
              <w:tr2bl w:val="nil"/>
            </w:tcBorders>
            <w:noWrap/>
            <w:vAlign w:val="center"/>
          </w:tcPr>
          <w:p w14:paraId="24530625">
            <w:pPr>
              <w:widowControl/>
              <w:jc w:val="center"/>
              <w:textAlignment w:val="center"/>
              <w:rPr>
                <w:color w:val="auto"/>
                <w:szCs w:val="21"/>
              </w:rPr>
            </w:pPr>
            <w:r>
              <w:rPr>
                <w:color w:val="auto"/>
                <w:kern w:val="0"/>
                <w:szCs w:val="21"/>
                <w:lang w:bidi="ar"/>
              </w:rPr>
              <w:t>厂界噪声</w:t>
            </w:r>
          </w:p>
        </w:tc>
        <w:tc>
          <w:tcPr>
            <w:tcW w:w="1669" w:type="pct"/>
            <w:tcBorders>
              <w:tl2br w:val="nil"/>
              <w:tr2bl w:val="nil"/>
            </w:tcBorders>
            <w:noWrap/>
            <w:vAlign w:val="center"/>
          </w:tcPr>
          <w:p w14:paraId="29DAE8EF">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10</w:t>
            </w:r>
            <w:r>
              <w:rPr>
                <w:color w:val="auto"/>
                <w:kern w:val="0"/>
                <w:szCs w:val="21"/>
                <w:lang w:bidi="ar"/>
              </w:rPr>
              <w:t>:</w:t>
            </w:r>
            <w:r>
              <w:rPr>
                <w:rFonts w:hint="eastAsia"/>
                <w:color w:val="auto"/>
                <w:kern w:val="0"/>
                <w:szCs w:val="21"/>
                <w:lang w:val="en-US" w:eastAsia="zh-CN" w:bidi="ar"/>
              </w:rPr>
              <w:t>52</w:t>
            </w:r>
          </w:p>
        </w:tc>
        <w:tc>
          <w:tcPr>
            <w:tcW w:w="1669" w:type="pct"/>
            <w:tcBorders>
              <w:tl2br w:val="nil"/>
              <w:tr2bl w:val="nil"/>
            </w:tcBorders>
            <w:noWrap/>
            <w:vAlign w:val="center"/>
          </w:tcPr>
          <w:p w14:paraId="253C97A1">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58.3</w:t>
            </w:r>
          </w:p>
        </w:tc>
      </w:tr>
      <w:tr w14:paraId="5B59276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5983C76E">
            <w:pPr>
              <w:widowControl/>
              <w:jc w:val="center"/>
              <w:textAlignment w:val="center"/>
              <w:rPr>
                <w:color w:val="auto"/>
                <w:szCs w:val="21"/>
              </w:rPr>
            </w:pPr>
            <w:r>
              <w:rPr>
                <w:color w:val="auto"/>
                <w:kern w:val="0"/>
                <w:szCs w:val="21"/>
                <w:lang w:bidi="ar"/>
              </w:rPr>
              <w:t>南厂界处</w:t>
            </w:r>
          </w:p>
        </w:tc>
        <w:tc>
          <w:tcPr>
            <w:tcW w:w="831" w:type="pct"/>
            <w:vMerge w:val="continue"/>
            <w:tcBorders>
              <w:tl2br w:val="nil"/>
              <w:tr2bl w:val="nil"/>
            </w:tcBorders>
            <w:noWrap/>
            <w:vAlign w:val="center"/>
          </w:tcPr>
          <w:p w14:paraId="4A73CEA2">
            <w:pPr>
              <w:jc w:val="center"/>
              <w:rPr>
                <w:color w:val="auto"/>
                <w:szCs w:val="21"/>
              </w:rPr>
            </w:pPr>
          </w:p>
        </w:tc>
        <w:tc>
          <w:tcPr>
            <w:tcW w:w="1669" w:type="pct"/>
            <w:tcBorders>
              <w:tl2br w:val="nil"/>
              <w:tr2bl w:val="nil"/>
            </w:tcBorders>
            <w:noWrap/>
            <w:vAlign w:val="center"/>
          </w:tcPr>
          <w:p w14:paraId="2F0E013E">
            <w:pPr>
              <w:widowControl/>
              <w:jc w:val="center"/>
              <w:textAlignment w:val="center"/>
              <w:rPr>
                <w:rFonts w:hint="default"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w:t>
            </w:r>
            <w:r>
              <w:rPr>
                <w:rFonts w:hint="eastAsia"/>
                <w:color w:val="auto"/>
                <w:kern w:val="0"/>
                <w:szCs w:val="21"/>
                <w:lang w:val="en-US" w:eastAsia="zh-CN" w:bidi="ar"/>
              </w:rPr>
              <w:t>23</w:t>
            </w:r>
          </w:p>
        </w:tc>
        <w:tc>
          <w:tcPr>
            <w:tcW w:w="1669" w:type="pct"/>
            <w:tcBorders>
              <w:tl2br w:val="nil"/>
              <w:tr2bl w:val="nil"/>
            </w:tcBorders>
            <w:noWrap/>
            <w:vAlign w:val="center"/>
          </w:tcPr>
          <w:p w14:paraId="7D017DEE">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55.8</w:t>
            </w:r>
          </w:p>
        </w:tc>
      </w:tr>
      <w:tr w14:paraId="2FC7207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38A08BA1">
            <w:pPr>
              <w:widowControl/>
              <w:jc w:val="center"/>
              <w:textAlignment w:val="center"/>
              <w:rPr>
                <w:color w:val="auto"/>
                <w:szCs w:val="21"/>
              </w:rPr>
            </w:pPr>
            <w:r>
              <w:rPr>
                <w:color w:val="auto"/>
                <w:kern w:val="0"/>
                <w:szCs w:val="21"/>
                <w:lang w:bidi="ar"/>
              </w:rPr>
              <w:t>西厂界处</w:t>
            </w:r>
          </w:p>
        </w:tc>
        <w:tc>
          <w:tcPr>
            <w:tcW w:w="831" w:type="pct"/>
            <w:vMerge w:val="continue"/>
            <w:tcBorders>
              <w:tl2br w:val="nil"/>
              <w:tr2bl w:val="nil"/>
            </w:tcBorders>
            <w:noWrap/>
            <w:vAlign w:val="center"/>
          </w:tcPr>
          <w:p w14:paraId="0F6FE10D">
            <w:pPr>
              <w:jc w:val="center"/>
              <w:rPr>
                <w:color w:val="auto"/>
                <w:szCs w:val="21"/>
              </w:rPr>
            </w:pPr>
          </w:p>
        </w:tc>
        <w:tc>
          <w:tcPr>
            <w:tcW w:w="1669" w:type="pct"/>
            <w:tcBorders>
              <w:tl2br w:val="nil"/>
              <w:tr2bl w:val="nil"/>
            </w:tcBorders>
            <w:noWrap/>
            <w:vAlign w:val="center"/>
          </w:tcPr>
          <w:p w14:paraId="36BEC666">
            <w:pPr>
              <w:widowControl/>
              <w:jc w:val="center"/>
              <w:textAlignment w:val="center"/>
              <w:rPr>
                <w:rFonts w:hint="default"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w:t>
            </w:r>
            <w:r>
              <w:rPr>
                <w:rFonts w:hint="eastAsia"/>
                <w:color w:val="auto"/>
                <w:kern w:val="0"/>
                <w:szCs w:val="21"/>
                <w:lang w:val="en-US" w:eastAsia="zh-CN" w:bidi="ar"/>
              </w:rPr>
              <w:t>36</w:t>
            </w:r>
          </w:p>
        </w:tc>
        <w:tc>
          <w:tcPr>
            <w:tcW w:w="1669" w:type="pct"/>
            <w:tcBorders>
              <w:tl2br w:val="nil"/>
              <w:tr2bl w:val="nil"/>
            </w:tcBorders>
            <w:noWrap/>
            <w:vAlign w:val="center"/>
          </w:tcPr>
          <w:p w14:paraId="3844888D">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54.4</w:t>
            </w:r>
          </w:p>
        </w:tc>
      </w:tr>
      <w:tr w14:paraId="0C7D745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15638FF1">
            <w:pPr>
              <w:widowControl/>
              <w:jc w:val="center"/>
              <w:textAlignment w:val="center"/>
              <w:rPr>
                <w:color w:val="auto"/>
                <w:szCs w:val="21"/>
              </w:rPr>
            </w:pPr>
            <w:r>
              <w:rPr>
                <w:color w:val="auto"/>
                <w:kern w:val="0"/>
                <w:szCs w:val="21"/>
                <w:lang w:bidi="ar"/>
              </w:rPr>
              <w:t>北厂界处</w:t>
            </w:r>
          </w:p>
        </w:tc>
        <w:tc>
          <w:tcPr>
            <w:tcW w:w="831" w:type="pct"/>
            <w:vMerge w:val="continue"/>
            <w:tcBorders>
              <w:tl2br w:val="nil"/>
              <w:tr2bl w:val="nil"/>
            </w:tcBorders>
            <w:noWrap/>
            <w:vAlign w:val="center"/>
          </w:tcPr>
          <w:p w14:paraId="387513EB">
            <w:pPr>
              <w:jc w:val="center"/>
              <w:rPr>
                <w:color w:val="auto"/>
                <w:szCs w:val="21"/>
              </w:rPr>
            </w:pPr>
          </w:p>
        </w:tc>
        <w:tc>
          <w:tcPr>
            <w:tcW w:w="1669" w:type="pct"/>
            <w:tcBorders>
              <w:tl2br w:val="nil"/>
              <w:tr2bl w:val="nil"/>
            </w:tcBorders>
            <w:noWrap/>
            <w:vAlign w:val="center"/>
          </w:tcPr>
          <w:p w14:paraId="6013AEED">
            <w:pPr>
              <w:widowControl/>
              <w:jc w:val="center"/>
              <w:textAlignment w:val="center"/>
              <w:rPr>
                <w:rFonts w:hint="eastAsia"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:0</w:t>
            </w:r>
            <w:r>
              <w:rPr>
                <w:rFonts w:hint="eastAsia"/>
                <w:color w:val="auto"/>
                <w:kern w:val="0"/>
                <w:szCs w:val="21"/>
                <w:lang w:val="en-US" w:eastAsia="zh-CN" w:bidi="ar"/>
              </w:rPr>
              <w:t>9</w:t>
            </w:r>
          </w:p>
        </w:tc>
        <w:tc>
          <w:tcPr>
            <w:tcW w:w="1669" w:type="pct"/>
            <w:tcBorders>
              <w:tl2br w:val="nil"/>
              <w:tr2bl w:val="nil"/>
            </w:tcBorders>
            <w:noWrap/>
            <w:vAlign w:val="center"/>
          </w:tcPr>
          <w:p w14:paraId="53538B77">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54.9</w:t>
            </w:r>
          </w:p>
        </w:tc>
      </w:tr>
    </w:tbl>
    <w:p w14:paraId="489BFB73">
      <w:pPr>
        <w:spacing w:line="360" w:lineRule="auto"/>
        <w:ind w:firstLine="480" w:firstLineChars="200"/>
        <w:rPr>
          <w:rFonts w:hint="eastAsia"/>
          <w:color w:val="auto"/>
          <w:sz w:val="24"/>
        </w:rPr>
      </w:pPr>
    </w:p>
    <w:p w14:paraId="39D2D37E">
      <w:pPr>
        <w:spacing w:line="360" w:lineRule="auto"/>
        <w:ind w:firstLine="480" w:firstLineChars="200"/>
        <w:rPr>
          <w:color w:val="auto"/>
          <w:sz w:val="24"/>
        </w:rPr>
      </w:pPr>
      <w:r>
        <w:rPr>
          <w:rFonts w:hint="eastAsia"/>
          <w:color w:val="auto"/>
          <w:sz w:val="24"/>
        </w:rPr>
        <w:t>由上表可知，</w:t>
      </w:r>
      <w:r>
        <w:rPr>
          <w:color w:val="auto"/>
          <w:sz w:val="24"/>
        </w:rPr>
        <w:t>厂界四周</w:t>
      </w:r>
      <w:r>
        <w:rPr>
          <w:rFonts w:hint="eastAsia"/>
          <w:color w:val="auto"/>
          <w:sz w:val="24"/>
        </w:rPr>
        <w:t>昼</w:t>
      </w:r>
      <w:r>
        <w:rPr>
          <w:rFonts w:hint="eastAsia"/>
          <w:color w:val="auto"/>
          <w:sz w:val="24"/>
          <w:lang w:val="en-US" w:eastAsia="zh-CN"/>
        </w:rPr>
        <w:t>间</w:t>
      </w:r>
      <w:r>
        <w:rPr>
          <w:color w:val="auto"/>
          <w:sz w:val="24"/>
        </w:rPr>
        <w:t>噪声符合</w:t>
      </w:r>
      <w:r>
        <w:rPr>
          <w:rFonts w:hint="eastAsia"/>
          <w:color w:val="auto"/>
          <w:sz w:val="24"/>
        </w:rPr>
        <w:t>《工业企业厂界环境噪声排放标准》（GB12348-2008）</w:t>
      </w:r>
      <w:r>
        <w:rPr>
          <w:color w:val="auto"/>
          <w:sz w:val="24"/>
        </w:rPr>
        <w:t>中3类标准要求。</w:t>
      </w:r>
    </w:p>
    <w:p w14:paraId="42F397CE">
      <w:pPr>
        <w:spacing w:line="360" w:lineRule="auto"/>
        <w:outlineLvl w:val="2"/>
        <w:rPr>
          <w:rFonts w:hint="eastAsia"/>
          <w:b/>
          <w:bCs/>
          <w:color w:val="auto"/>
          <w:sz w:val="24"/>
          <w:lang w:val="en-US" w:eastAsia="zh-CN"/>
        </w:rPr>
      </w:pPr>
      <w:r>
        <w:rPr>
          <w:rFonts w:hint="eastAsia"/>
          <w:b/>
          <w:bCs/>
          <w:color w:val="auto"/>
          <w:sz w:val="24"/>
          <w:lang w:val="en-US" w:eastAsia="zh-CN"/>
        </w:rPr>
        <w:t>3.3.4固体废物及其治理措施分析</w:t>
      </w:r>
    </w:p>
    <w:p w14:paraId="7269EEEF">
      <w:pPr>
        <w:spacing w:line="360" w:lineRule="auto"/>
        <w:ind w:firstLine="480" w:firstLineChars="200"/>
        <w:rPr>
          <w:color w:val="auto"/>
          <w:sz w:val="24"/>
          <w:szCs w:val="32"/>
        </w:rPr>
      </w:pPr>
      <w:r>
        <w:rPr>
          <w:rFonts w:hint="eastAsia"/>
          <w:color w:val="auto"/>
          <w:sz w:val="24"/>
          <w:szCs w:val="32"/>
          <w:lang w:val="en-US" w:eastAsia="zh-CN"/>
        </w:rPr>
        <w:t>与验收阶段对比，</w:t>
      </w:r>
      <w:r>
        <w:rPr>
          <w:rFonts w:hint="eastAsia"/>
          <w:color w:val="auto"/>
          <w:sz w:val="24"/>
          <w:szCs w:val="32"/>
        </w:rPr>
        <w:t>在实际生产</w:t>
      </w:r>
      <w:r>
        <w:rPr>
          <w:rFonts w:hint="eastAsia"/>
          <w:color w:val="auto"/>
          <w:sz w:val="24"/>
          <w:szCs w:val="32"/>
          <w:lang w:val="en-US" w:eastAsia="zh-CN"/>
        </w:rPr>
        <w:t>过程</w:t>
      </w:r>
      <w:r>
        <w:rPr>
          <w:rFonts w:hint="eastAsia"/>
          <w:color w:val="auto"/>
          <w:sz w:val="24"/>
          <w:szCs w:val="32"/>
        </w:rPr>
        <w:t>中</w:t>
      </w:r>
      <w:r>
        <w:rPr>
          <w:rFonts w:hint="eastAsia"/>
          <w:color w:val="auto"/>
          <w:sz w:val="24"/>
          <w:szCs w:val="32"/>
          <w:lang w:val="en-US" w:eastAsia="zh-CN"/>
        </w:rPr>
        <w:t>未发生变化</w:t>
      </w:r>
      <w:r>
        <w:rPr>
          <w:rFonts w:hint="eastAsia"/>
          <w:color w:val="auto"/>
          <w:sz w:val="24"/>
          <w:szCs w:val="32"/>
        </w:rPr>
        <w:t>，</w:t>
      </w:r>
      <w:r>
        <w:rPr>
          <w:rFonts w:hint="eastAsia"/>
          <w:color w:val="auto"/>
          <w:sz w:val="24"/>
          <w:szCs w:val="32"/>
          <w:lang w:val="en-US" w:eastAsia="zh-CN"/>
        </w:rPr>
        <w:t>项目固体废物主要为废铁、废塑料杂质、废除尘灰和铝灰渣等，项目实际产生的固体废物和处理处置去向见下表：</w:t>
      </w:r>
    </w:p>
    <w:p w14:paraId="07E3CC8B">
      <w:pPr>
        <w:spacing w:line="360" w:lineRule="auto"/>
        <w:jc w:val="center"/>
        <w:rPr>
          <w:rFonts w:hint="eastAsia" w:eastAsia="宋体"/>
          <w:b/>
          <w:bCs/>
          <w:color w:val="auto"/>
          <w:sz w:val="24"/>
          <w:szCs w:val="32"/>
          <w:lang w:val="en-US" w:eastAsia="zh-CN"/>
        </w:rPr>
      </w:pPr>
      <w:r>
        <w:rPr>
          <w:b/>
          <w:bCs/>
          <w:color w:val="auto"/>
          <w:sz w:val="24"/>
          <w:szCs w:val="32"/>
        </w:rPr>
        <w:t>表3-</w:t>
      </w:r>
      <w:r>
        <w:rPr>
          <w:rFonts w:hint="eastAsia"/>
          <w:b/>
          <w:bCs/>
          <w:color w:val="auto"/>
          <w:sz w:val="24"/>
          <w:szCs w:val="32"/>
          <w:lang w:val="en-US" w:eastAsia="zh-CN"/>
        </w:rPr>
        <w:t>12</w:t>
      </w:r>
      <w:r>
        <w:rPr>
          <w:b/>
          <w:bCs/>
          <w:color w:val="auto"/>
          <w:sz w:val="24"/>
          <w:szCs w:val="32"/>
        </w:rPr>
        <w:t xml:space="preserve"> </w:t>
      </w:r>
      <w:r>
        <w:rPr>
          <w:rFonts w:hint="eastAsia"/>
          <w:b/>
          <w:bCs/>
          <w:color w:val="auto"/>
          <w:sz w:val="24"/>
          <w:szCs w:val="32"/>
        </w:rPr>
        <w:t>项目一期</w:t>
      </w:r>
      <w:r>
        <w:rPr>
          <w:rFonts w:hint="eastAsia"/>
          <w:b/>
          <w:bCs/>
          <w:color w:val="auto"/>
          <w:sz w:val="24"/>
          <w:szCs w:val="32"/>
          <w:lang w:val="en-US" w:eastAsia="zh-CN"/>
        </w:rPr>
        <w:t>工程</w:t>
      </w:r>
      <w:r>
        <w:rPr>
          <w:b/>
          <w:bCs/>
          <w:color w:val="auto"/>
          <w:sz w:val="24"/>
          <w:szCs w:val="32"/>
        </w:rPr>
        <w:t>实际产生的固体废弃物和处理处置去向</w:t>
      </w:r>
      <w:r>
        <w:rPr>
          <w:rFonts w:hint="eastAsia"/>
          <w:b/>
          <w:bCs/>
          <w:color w:val="auto"/>
          <w:sz w:val="24"/>
          <w:szCs w:val="32"/>
          <w:lang w:val="en-US" w:eastAsia="zh-CN"/>
        </w:rPr>
        <w:t>一览表</w:t>
      </w:r>
    </w:p>
    <w:tbl>
      <w:tblPr>
        <w:tblStyle w:val="3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 w:type="dxa"/>
          <w:bottom w:w="0" w:type="dxa"/>
          <w:right w:w="10" w:type="dxa"/>
        </w:tblCellMar>
      </w:tblPr>
      <w:tblGrid>
        <w:gridCol w:w="756"/>
        <w:gridCol w:w="1258"/>
        <w:gridCol w:w="1430"/>
        <w:gridCol w:w="1383"/>
        <w:gridCol w:w="1910"/>
        <w:gridCol w:w="914"/>
        <w:gridCol w:w="2111"/>
      </w:tblGrid>
      <w:tr w14:paraId="607304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54" w:hRule="atLeast"/>
          <w:jc w:val="center"/>
        </w:trPr>
        <w:tc>
          <w:tcPr>
            <w:tcW w:w="387" w:type="pct"/>
            <w:tcBorders>
              <w:tl2br w:val="nil"/>
              <w:tr2bl w:val="nil"/>
            </w:tcBorders>
            <w:vAlign w:val="center"/>
          </w:tcPr>
          <w:p w14:paraId="726F9DD6">
            <w:pPr>
              <w:jc w:val="center"/>
              <w:rPr>
                <w:b/>
                <w:bCs/>
                <w:color w:val="auto"/>
              </w:rPr>
            </w:pPr>
            <w:r>
              <w:rPr>
                <w:b/>
                <w:bCs/>
                <w:color w:val="auto"/>
              </w:rPr>
              <w:t>序号</w:t>
            </w:r>
          </w:p>
        </w:tc>
        <w:tc>
          <w:tcPr>
            <w:tcW w:w="644" w:type="pct"/>
            <w:tcBorders>
              <w:tl2br w:val="nil"/>
              <w:tr2bl w:val="nil"/>
            </w:tcBorders>
            <w:vAlign w:val="center"/>
          </w:tcPr>
          <w:p w14:paraId="634F6DEA">
            <w:pPr>
              <w:jc w:val="center"/>
              <w:rPr>
                <w:b/>
                <w:bCs/>
                <w:color w:val="auto"/>
              </w:rPr>
            </w:pPr>
            <w:r>
              <w:rPr>
                <w:b/>
                <w:bCs/>
                <w:color w:val="auto"/>
              </w:rPr>
              <w:t>名称</w:t>
            </w:r>
          </w:p>
        </w:tc>
        <w:tc>
          <w:tcPr>
            <w:tcW w:w="732" w:type="pct"/>
            <w:tcBorders>
              <w:tl2br w:val="nil"/>
              <w:tr2bl w:val="nil"/>
            </w:tcBorders>
            <w:vAlign w:val="center"/>
          </w:tcPr>
          <w:p w14:paraId="14262724">
            <w:pPr>
              <w:jc w:val="center"/>
              <w:rPr>
                <w:b/>
                <w:bCs/>
                <w:color w:val="auto"/>
              </w:rPr>
            </w:pPr>
            <w:r>
              <w:rPr>
                <w:b/>
                <w:bCs/>
                <w:color w:val="auto"/>
              </w:rPr>
              <w:t>主要成分</w:t>
            </w:r>
          </w:p>
        </w:tc>
        <w:tc>
          <w:tcPr>
            <w:tcW w:w="708" w:type="pct"/>
            <w:tcBorders>
              <w:tl2br w:val="nil"/>
              <w:tr2bl w:val="nil"/>
            </w:tcBorders>
            <w:vAlign w:val="center"/>
          </w:tcPr>
          <w:p w14:paraId="1F1FAF23">
            <w:pPr>
              <w:jc w:val="center"/>
              <w:rPr>
                <w:rFonts w:hint="default" w:eastAsia="宋体"/>
                <w:b/>
                <w:bCs/>
                <w:color w:val="auto"/>
                <w:lang w:val="en-US" w:eastAsia="zh-CN"/>
              </w:rPr>
            </w:pPr>
            <w:r>
              <w:rPr>
                <w:rFonts w:hint="eastAsia"/>
                <w:b/>
                <w:bCs/>
                <w:color w:val="auto"/>
                <w:lang w:val="en-US" w:eastAsia="zh-CN"/>
              </w:rPr>
              <w:t>固废属性</w:t>
            </w:r>
          </w:p>
        </w:tc>
        <w:tc>
          <w:tcPr>
            <w:tcW w:w="978" w:type="pct"/>
            <w:tcBorders>
              <w:tl2br w:val="nil"/>
              <w:tr2bl w:val="nil"/>
            </w:tcBorders>
            <w:vAlign w:val="center"/>
          </w:tcPr>
          <w:p w14:paraId="105EC3E9">
            <w:pPr>
              <w:jc w:val="center"/>
              <w:rPr>
                <w:b/>
                <w:bCs/>
                <w:color w:val="auto"/>
              </w:rPr>
            </w:pPr>
            <w:r>
              <w:rPr>
                <w:rFonts w:hint="eastAsia"/>
                <w:b/>
                <w:bCs/>
                <w:color w:val="auto"/>
                <w:lang w:val="en-US" w:eastAsia="zh-CN"/>
              </w:rPr>
              <w:t>固废类别及</w:t>
            </w:r>
            <w:r>
              <w:rPr>
                <w:b/>
                <w:bCs/>
                <w:color w:val="auto"/>
              </w:rPr>
              <w:t>代码</w:t>
            </w:r>
          </w:p>
        </w:tc>
        <w:tc>
          <w:tcPr>
            <w:tcW w:w="468" w:type="pct"/>
            <w:tcBorders>
              <w:tl2br w:val="nil"/>
              <w:tr2bl w:val="nil"/>
            </w:tcBorders>
            <w:vAlign w:val="center"/>
          </w:tcPr>
          <w:p w14:paraId="0FBF23EB">
            <w:pPr>
              <w:jc w:val="center"/>
              <w:rPr>
                <w:b/>
                <w:bCs/>
                <w:color w:val="auto"/>
              </w:rPr>
            </w:pPr>
            <w:r>
              <w:rPr>
                <w:b/>
                <w:bCs/>
                <w:color w:val="auto"/>
              </w:rPr>
              <w:t>排放量</w:t>
            </w:r>
          </w:p>
        </w:tc>
        <w:tc>
          <w:tcPr>
            <w:tcW w:w="1081" w:type="pct"/>
            <w:tcBorders>
              <w:tl2br w:val="nil"/>
              <w:tr2bl w:val="nil"/>
            </w:tcBorders>
            <w:vAlign w:val="center"/>
          </w:tcPr>
          <w:p w14:paraId="1BAED135">
            <w:pPr>
              <w:jc w:val="center"/>
              <w:rPr>
                <w:b/>
                <w:bCs/>
                <w:color w:val="auto"/>
              </w:rPr>
            </w:pPr>
            <w:r>
              <w:rPr>
                <w:b/>
                <w:bCs/>
                <w:color w:val="auto"/>
              </w:rPr>
              <w:t>处置去向</w:t>
            </w:r>
          </w:p>
        </w:tc>
      </w:tr>
      <w:tr w14:paraId="7626C6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387" w:type="pct"/>
            <w:tcBorders>
              <w:tl2br w:val="nil"/>
              <w:tr2bl w:val="nil"/>
            </w:tcBorders>
            <w:vAlign w:val="center"/>
          </w:tcPr>
          <w:p w14:paraId="01D5DE53">
            <w:pPr>
              <w:jc w:val="center"/>
              <w:rPr>
                <w:color w:val="auto"/>
              </w:rPr>
            </w:pPr>
            <w:r>
              <w:rPr>
                <w:color w:val="auto"/>
              </w:rPr>
              <w:t>1</w:t>
            </w:r>
          </w:p>
        </w:tc>
        <w:tc>
          <w:tcPr>
            <w:tcW w:w="644" w:type="pct"/>
            <w:tcBorders>
              <w:tl2br w:val="nil"/>
              <w:tr2bl w:val="nil"/>
            </w:tcBorders>
            <w:vAlign w:val="center"/>
          </w:tcPr>
          <w:p w14:paraId="54B1193D">
            <w:pPr>
              <w:jc w:val="center"/>
              <w:rPr>
                <w:color w:val="auto"/>
              </w:rPr>
            </w:pPr>
            <w:r>
              <w:rPr>
                <w:rFonts w:hint="eastAsia"/>
                <w:color w:val="auto"/>
                <w:lang w:val="en-US" w:eastAsia="zh-CN"/>
              </w:rPr>
              <w:t>废铁、废塑料杂质</w:t>
            </w:r>
          </w:p>
        </w:tc>
        <w:tc>
          <w:tcPr>
            <w:tcW w:w="732" w:type="pct"/>
            <w:tcBorders>
              <w:tl2br w:val="nil"/>
              <w:tr2bl w:val="nil"/>
            </w:tcBorders>
            <w:vAlign w:val="center"/>
          </w:tcPr>
          <w:p w14:paraId="69168F12">
            <w:pPr>
              <w:jc w:val="center"/>
              <w:rPr>
                <w:rFonts w:hint="default"/>
                <w:color w:val="auto"/>
                <w:lang w:val="en-US"/>
              </w:rPr>
            </w:pPr>
            <w:r>
              <w:rPr>
                <w:rFonts w:hint="eastAsia"/>
                <w:color w:val="auto"/>
                <w:lang w:val="en-US" w:eastAsia="zh-CN"/>
              </w:rPr>
              <w:t>废铁、废塑料等</w:t>
            </w:r>
          </w:p>
        </w:tc>
        <w:tc>
          <w:tcPr>
            <w:tcW w:w="708" w:type="pct"/>
            <w:tcBorders>
              <w:tl2br w:val="nil"/>
              <w:tr2bl w:val="nil"/>
            </w:tcBorders>
            <w:vAlign w:val="center"/>
          </w:tcPr>
          <w:p w14:paraId="3126AD03">
            <w:pPr>
              <w:jc w:val="center"/>
              <w:rPr>
                <w:rFonts w:hint="default"/>
                <w:color w:val="auto"/>
                <w:lang w:val="en-US" w:eastAsia="zh-CN"/>
              </w:rPr>
            </w:pPr>
            <w:r>
              <w:rPr>
                <w:rFonts w:hint="eastAsia"/>
                <w:color w:val="auto"/>
                <w:lang w:val="en-US" w:eastAsia="zh-CN"/>
              </w:rPr>
              <w:t>一般固废</w:t>
            </w:r>
          </w:p>
        </w:tc>
        <w:tc>
          <w:tcPr>
            <w:tcW w:w="978" w:type="pct"/>
            <w:tcBorders>
              <w:tl2br w:val="nil"/>
              <w:tr2bl w:val="nil"/>
            </w:tcBorders>
            <w:vAlign w:val="center"/>
          </w:tcPr>
          <w:p w14:paraId="7EA9C6CF">
            <w:pPr>
              <w:jc w:val="center"/>
              <w:rPr>
                <w:rFonts w:hint="eastAsia" w:eastAsia="宋体"/>
                <w:color w:val="auto"/>
                <w:lang w:eastAsia="zh-CN"/>
              </w:rPr>
            </w:pPr>
            <w:r>
              <w:rPr>
                <w:rFonts w:hint="eastAsia"/>
                <w:color w:val="auto"/>
                <w:lang w:val="en-US" w:eastAsia="zh-CN"/>
              </w:rPr>
              <w:t>/</w:t>
            </w:r>
          </w:p>
        </w:tc>
        <w:tc>
          <w:tcPr>
            <w:tcW w:w="468" w:type="pct"/>
            <w:tcBorders>
              <w:tl2br w:val="nil"/>
              <w:tr2bl w:val="nil"/>
            </w:tcBorders>
            <w:vAlign w:val="center"/>
          </w:tcPr>
          <w:p w14:paraId="43597296">
            <w:pPr>
              <w:jc w:val="center"/>
              <w:rPr>
                <w:rFonts w:hint="default" w:eastAsia="宋体"/>
                <w:color w:val="auto"/>
                <w:lang w:val="en-US" w:eastAsia="zh-CN"/>
              </w:rPr>
            </w:pPr>
            <w:r>
              <w:rPr>
                <w:rFonts w:hint="eastAsia"/>
                <w:color w:val="auto"/>
                <w:lang w:val="en-US" w:eastAsia="zh-CN"/>
              </w:rPr>
              <w:t>233.22</w:t>
            </w:r>
          </w:p>
        </w:tc>
        <w:tc>
          <w:tcPr>
            <w:tcW w:w="1081" w:type="pct"/>
            <w:tcBorders>
              <w:tl2br w:val="nil"/>
              <w:tr2bl w:val="nil"/>
            </w:tcBorders>
            <w:vAlign w:val="center"/>
          </w:tcPr>
          <w:p w14:paraId="4DF0A6E2">
            <w:pPr>
              <w:jc w:val="center"/>
              <w:rPr>
                <w:rFonts w:hint="default" w:eastAsia="宋体"/>
                <w:color w:val="auto"/>
                <w:lang w:val="en-US" w:eastAsia="zh-CN"/>
              </w:rPr>
            </w:pPr>
            <w:r>
              <w:rPr>
                <w:rFonts w:hint="eastAsia"/>
                <w:color w:val="auto"/>
                <w:lang w:val="en-US" w:eastAsia="zh-CN"/>
              </w:rPr>
              <w:t>外售</w:t>
            </w:r>
          </w:p>
        </w:tc>
      </w:tr>
      <w:tr w14:paraId="48E8DF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387" w:type="pct"/>
            <w:tcBorders>
              <w:tl2br w:val="nil"/>
              <w:tr2bl w:val="nil"/>
            </w:tcBorders>
            <w:vAlign w:val="center"/>
          </w:tcPr>
          <w:p w14:paraId="74F7867F">
            <w:pPr>
              <w:jc w:val="center"/>
              <w:rPr>
                <w:color w:val="auto"/>
              </w:rPr>
            </w:pPr>
            <w:r>
              <w:rPr>
                <w:color w:val="auto"/>
              </w:rPr>
              <w:t>2</w:t>
            </w:r>
          </w:p>
        </w:tc>
        <w:tc>
          <w:tcPr>
            <w:tcW w:w="644" w:type="pct"/>
            <w:tcBorders>
              <w:tl2br w:val="nil"/>
              <w:tr2bl w:val="nil"/>
            </w:tcBorders>
            <w:vAlign w:val="center"/>
          </w:tcPr>
          <w:p w14:paraId="6F30AAA7">
            <w:pPr>
              <w:jc w:val="center"/>
              <w:rPr>
                <w:rFonts w:hint="default" w:eastAsia="宋体"/>
                <w:color w:val="auto"/>
                <w:lang w:val="en-US" w:eastAsia="zh-CN"/>
              </w:rPr>
            </w:pPr>
            <w:r>
              <w:rPr>
                <w:rFonts w:hint="eastAsia"/>
                <w:color w:val="auto"/>
                <w:lang w:val="en-US" w:eastAsia="zh-CN"/>
              </w:rPr>
              <w:t>废除尘灰</w:t>
            </w:r>
          </w:p>
        </w:tc>
        <w:tc>
          <w:tcPr>
            <w:tcW w:w="732" w:type="pct"/>
            <w:tcBorders>
              <w:tl2br w:val="nil"/>
              <w:tr2bl w:val="nil"/>
            </w:tcBorders>
            <w:vAlign w:val="center"/>
          </w:tcPr>
          <w:p w14:paraId="524D994C">
            <w:pPr>
              <w:jc w:val="center"/>
              <w:rPr>
                <w:rFonts w:hint="eastAsia" w:eastAsia="宋体"/>
                <w:color w:val="auto"/>
                <w:lang w:val="en-US" w:eastAsia="zh-CN"/>
              </w:rPr>
            </w:pPr>
            <w:r>
              <w:rPr>
                <w:rFonts w:hint="eastAsia"/>
                <w:color w:val="auto"/>
                <w:lang w:val="en-US" w:eastAsia="zh-CN"/>
              </w:rPr>
              <w:t>铝灰</w:t>
            </w:r>
          </w:p>
        </w:tc>
        <w:tc>
          <w:tcPr>
            <w:tcW w:w="708" w:type="pct"/>
            <w:tcBorders>
              <w:tl2br w:val="nil"/>
              <w:tr2bl w:val="nil"/>
            </w:tcBorders>
            <w:vAlign w:val="center"/>
          </w:tcPr>
          <w:p w14:paraId="656047EC">
            <w:pPr>
              <w:jc w:val="center"/>
              <w:rPr>
                <w:rFonts w:hint="default" w:eastAsia="宋体"/>
                <w:color w:val="auto"/>
                <w:lang w:val="en-US" w:eastAsia="zh-CN"/>
              </w:rPr>
            </w:pPr>
            <w:r>
              <w:rPr>
                <w:rFonts w:hint="eastAsia"/>
                <w:color w:val="auto"/>
                <w:lang w:val="en-US" w:eastAsia="zh-CN"/>
              </w:rPr>
              <w:t>危险废物</w:t>
            </w:r>
          </w:p>
        </w:tc>
        <w:tc>
          <w:tcPr>
            <w:tcW w:w="978" w:type="pct"/>
            <w:tcBorders>
              <w:tl2br w:val="nil"/>
              <w:tr2bl w:val="nil"/>
            </w:tcBorders>
            <w:vAlign w:val="center"/>
          </w:tcPr>
          <w:p w14:paraId="1E426448">
            <w:pPr>
              <w:jc w:val="center"/>
              <w:rPr>
                <w:rFonts w:hint="default" w:eastAsia="宋体"/>
                <w:color w:val="auto"/>
                <w:lang w:val="en-US" w:eastAsia="zh-CN"/>
              </w:rPr>
            </w:pPr>
            <w:r>
              <w:rPr>
                <w:color w:val="auto"/>
              </w:rPr>
              <w:t>HW4</w:t>
            </w:r>
            <w:r>
              <w:rPr>
                <w:rFonts w:hint="eastAsia"/>
                <w:color w:val="auto"/>
                <w:lang w:val="en-US" w:eastAsia="zh-CN"/>
              </w:rPr>
              <w:t>8</w:t>
            </w:r>
            <w:r>
              <w:rPr>
                <w:rFonts w:hint="eastAsia"/>
                <w:color w:val="auto"/>
                <w:lang w:eastAsia="zh-CN"/>
              </w:rPr>
              <w:t>，</w:t>
            </w:r>
            <w:r>
              <w:rPr>
                <w:rFonts w:hint="eastAsia"/>
                <w:color w:val="auto"/>
                <w:lang w:val="en-US" w:eastAsia="zh-CN"/>
              </w:rPr>
              <w:t>321-034-48</w:t>
            </w:r>
          </w:p>
        </w:tc>
        <w:tc>
          <w:tcPr>
            <w:tcW w:w="468" w:type="pct"/>
            <w:tcBorders>
              <w:tl2br w:val="nil"/>
              <w:tr2bl w:val="nil"/>
            </w:tcBorders>
            <w:vAlign w:val="center"/>
          </w:tcPr>
          <w:p w14:paraId="4E1835D3">
            <w:pPr>
              <w:jc w:val="center"/>
              <w:rPr>
                <w:rFonts w:hint="default" w:eastAsia="宋体"/>
                <w:color w:val="auto"/>
                <w:lang w:val="en-US" w:eastAsia="zh-CN"/>
              </w:rPr>
            </w:pPr>
            <w:r>
              <w:rPr>
                <w:rFonts w:hint="eastAsia"/>
                <w:color w:val="auto"/>
                <w:lang w:val="en-US" w:eastAsia="zh-CN"/>
              </w:rPr>
              <w:t>1518.82</w:t>
            </w:r>
          </w:p>
        </w:tc>
        <w:tc>
          <w:tcPr>
            <w:tcW w:w="1081" w:type="pct"/>
            <w:tcBorders>
              <w:tl2br w:val="nil"/>
              <w:tr2bl w:val="nil"/>
            </w:tcBorders>
            <w:vAlign w:val="center"/>
          </w:tcPr>
          <w:p w14:paraId="5C0E3BE1">
            <w:pPr>
              <w:jc w:val="center"/>
              <w:rPr>
                <w:rFonts w:hint="default" w:eastAsia="宋体"/>
                <w:color w:val="auto"/>
                <w:lang w:val="en-US" w:eastAsia="zh-CN"/>
              </w:rPr>
            </w:pPr>
            <w:r>
              <w:rPr>
                <w:color w:val="auto"/>
              </w:rPr>
              <w:t>委托</w:t>
            </w:r>
            <w:r>
              <w:rPr>
                <w:rFonts w:hint="eastAsia"/>
                <w:color w:val="auto"/>
                <w:lang w:val="en-US" w:eastAsia="zh-CN"/>
              </w:rPr>
              <w:t>有资质单位处置</w:t>
            </w:r>
          </w:p>
        </w:tc>
      </w:tr>
      <w:tr w14:paraId="35BD20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387" w:type="pct"/>
            <w:tcBorders>
              <w:tl2br w:val="nil"/>
              <w:tr2bl w:val="nil"/>
            </w:tcBorders>
            <w:vAlign w:val="center"/>
          </w:tcPr>
          <w:p w14:paraId="4307B458">
            <w:pPr>
              <w:jc w:val="center"/>
              <w:rPr>
                <w:color w:val="auto"/>
              </w:rPr>
            </w:pPr>
            <w:r>
              <w:rPr>
                <w:color w:val="auto"/>
              </w:rPr>
              <w:t>3</w:t>
            </w:r>
          </w:p>
        </w:tc>
        <w:tc>
          <w:tcPr>
            <w:tcW w:w="644" w:type="pct"/>
            <w:tcBorders>
              <w:tl2br w:val="nil"/>
              <w:tr2bl w:val="nil"/>
            </w:tcBorders>
            <w:vAlign w:val="center"/>
          </w:tcPr>
          <w:p w14:paraId="2687A69E">
            <w:pPr>
              <w:jc w:val="center"/>
              <w:rPr>
                <w:rFonts w:hint="eastAsia" w:eastAsia="宋体"/>
                <w:color w:val="auto"/>
                <w:lang w:eastAsia="zh-CN"/>
              </w:rPr>
            </w:pPr>
            <w:r>
              <w:rPr>
                <w:rFonts w:hint="eastAsia" w:eastAsia="宋体"/>
                <w:color w:val="auto"/>
                <w:lang w:val="en-US" w:eastAsia="zh-CN"/>
              </w:rPr>
              <w:t>铝灰渣</w:t>
            </w:r>
          </w:p>
        </w:tc>
        <w:tc>
          <w:tcPr>
            <w:tcW w:w="732" w:type="pct"/>
            <w:tcBorders>
              <w:tl2br w:val="nil"/>
              <w:tr2bl w:val="nil"/>
            </w:tcBorders>
            <w:vAlign w:val="center"/>
          </w:tcPr>
          <w:p w14:paraId="647EED6B">
            <w:pPr>
              <w:jc w:val="center"/>
              <w:rPr>
                <w:color w:val="auto"/>
              </w:rPr>
            </w:pPr>
            <w:r>
              <w:rPr>
                <w:rFonts w:hint="default" w:ascii="Times New Roman" w:hAnsi="Times New Roman" w:eastAsia="宋体" w:cs="Times New Roman"/>
                <w:color w:val="auto"/>
                <w:kern w:val="0"/>
                <w:sz w:val="21"/>
                <w:szCs w:val="21"/>
              </w:rPr>
              <w:t>铝灰</w:t>
            </w:r>
          </w:p>
        </w:tc>
        <w:tc>
          <w:tcPr>
            <w:tcW w:w="708" w:type="pct"/>
            <w:tcBorders>
              <w:tl2br w:val="nil"/>
              <w:tr2bl w:val="nil"/>
            </w:tcBorders>
            <w:vAlign w:val="center"/>
          </w:tcPr>
          <w:p w14:paraId="6F160864">
            <w:pPr>
              <w:jc w:val="center"/>
              <w:rPr>
                <w:rFonts w:hint="default" w:eastAsia="宋体"/>
                <w:color w:val="auto"/>
                <w:lang w:val="en-US" w:eastAsia="zh-CN"/>
              </w:rPr>
            </w:pPr>
            <w:r>
              <w:rPr>
                <w:rFonts w:hint="eastAsia"/>
                <w:color w:val="auto"/>
                <w:lang w:val="en-US" w:eastAsia="zh-CN"/>
              </w:rPr>
              <w:t>危险废物</w:t>
            </w:r>
          </w:p>
        </w:tc>
        <w:tc>
          <w:tcPr>
            <w:tcW w:w="978" w:type="pct"/>
            <w:tcBorders>
              <w:tl2br w:val="nil"/>
              <w:tr2bl w:val="nil"/>
            </w:tcBorders>
            <w:vAlign w:val="center"/>
          </w:tcPr>
          <w:p w14:paraId="7E87B3EF">
            <w:pPr>
              <w:jc w:val="center"/>
              <w:rPr>
                <w:color w:val="auto"/>
              </w:rPr>
            </w:pPr>
            <w:r>
              <w:rPr>
                <w:color w:val="auto"/>
              </w:rPr>
              <w:t>HW4</w:t>
            </w:r>
            <w:r>
              <w:rPr>
                <w:rFonts w:hint="eastAsia"/>
                <w:color w:val="auto"/>
                <w:lang w:val="en-US" w:eastAsia="zh-CN"/>
              </w:rPr>
              <w:t>8</w:t>
            </w:r>
            <w:r>
              <w:rPr>
                <w:rFonts w:hint="eastAsia"/>
                <w:color w:val="auto"/>
                <w:lang w:eastAsia="zh-CN"/>
              </w:rPr>
              <w:t>，</w:t>
            </w:r>
            <w:r>
              <w:rPr>
                <w:rFonts w:hint="eastAsia"/>
                <w:color w:val="auto"/>
                <w:lang w:val="en-US" w:eastAsia="zh-CN"/>
              </w:rPr>
              <w:t>321-026-48</w:t>
            </w:r>
          </w:p>
        </w:tc>
        <w:tc>
          <w:tcPr>
            <w:tcW w:w="468" w:type="pct"/>
            <w:tcBorders>
              <w:tl2br w:val="nil"/>
              <w:tr2bl w:val="nil"/>
            </w:tcBorders>
            <w:vAlign w:val="center"/>
          </w:tcPr>
          <w:p w14:paraId="1BD220B1">
            <w:pPr>
              <w:jc w:val="center"/>
              <w:rPr>
                <w:rFonts w:hint="default" w:eastAsia="宋体"/>
                <w:color w:val="auto"/>
                <w:lang w:val="en-US" w:eastAsia="zh-CN"/>
              </w:rPr>
            </w:pPr>
            <w:r>
              <w:rPr>
                <w:rFonts w:hint="eastAsia"/>
                <w:color w:val="auto"/>
                <w:lang w:val="en-US" w:eastAsia="zh-CN"/>
              </w:rPr>
              <w:t>1880.43</w:t>
            </w:r>
          </w:p>
        </w:tc>
        <w:tc>
          <w:tcPr>
            <w:tcW w:w="1081" w:type="pct"/>
            <w:tcBorders>
              <w:tl2br w:val="nil"/>
              <w:tr2bl w:val="nil"/>
            </w:tcBorders>
            <w:vAlign w:val="center"/>
          </w:tcPr>
          <w:p w14:paraId="252D2D5A">
            <w:pPr>
              <w:jc w:val="center"/>
              <w:rPr>
                <w:color w:val="auto"/>
              </w:rPr>
            </w:pPr>
            <w:r>
              <w:rPr>
                <w:color w:val="auto"/>
              </w:rPr>
              <w:t>委托</w:t>
            </w:r>
            <w:r>
              <w:rPr>
                <w:rFonts w:hint="eastAsia"/>
                <w:color w:val="auto"/>
                <w:lang w:val="en-US" w:eastAsia="zh-CN"/>
              </w:rPr>
              <w:t>有资质单位处置</w:t>
            </w:r>
          </w:p>
        </w:tc>
      </w:tr>
    </w:tbl>
    <w:p w14:paraId="7C342841">
      <w:pPr>
        <w:spacing w:line="360" w:lineRule="auto"/>
        <w:outlineLvl w:val="2"/>
        <w:rPr>
          <w:rFonts w:hint="eastAsia"/>
          <w:b/>
          <w:bCs/>
          <w:color w:val="auto"/>
          <w:sz w:val="24"/>
          <w:lang w:val="en-US" w:eastAsia="zh-CN"/>
        </w:rPr>
      </w:pPr>
    </w:p>
    <w:p w14:paraId="4307C8E3">
      <w:pPr>
        <w:spacing w:line="360" w:lineRule="auto"/>
        <w:outlineLvl w:val="2"/>
        <w:rPr>
          <w:rFonts w:hint="eastAsia"/>
          <w:b/>
          <w:bCs/>
          <w:color w:val="auto"/>
          <w:sz w:val="24"/>
          <w:lang w:val="en-US" w:eastAsia="zh-CN"/>
        </w:rPr>
      </w:pPr>
      <w:r>
        <w:rPr>
          <w:rFonts w:hint="eastAsia"/>
          <w:b/>
          <w:bCs/>
          <w:color w:val="auto"/>
          <w:sz w:val="24"/>
          <w:lang w:val="en-US" w:eastAsia="zh-CN"/>
        </w:rPr>
        <w:t>3.3.5风险防范及应急措施</w:t>
      </w:r>
    </w:p>
    <w:p w14:paraId="04BD597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auto"/>
          <w:sz w:val="24"/>
          <w:szCs w:val="32"/>
        </w:rPr>
      </w:pPr>
      <w:r>
        <w:rPr>
          <w:color w:val="auto"/>
          <w:sz w:val="24"/>
          <w:szCs w:val="32"/>
        </w:rPr>
        <w:t>1、环评要求</w:t>
      </w:r>
    </w:p>
    <w:p w14:paraId="72781C3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auto"/>
          <w:sz w:val="24"/>
          <w:szCs w:val="32"/>
        </w:rPr>
      </w:pPr>
      <w:r>
        <w:rPr>
          <w:color w:val="auto"/>
          <w:sz w:val="24"/>
          <w:szCs w:val="32"/>
        </w:rPr>
        <w:t>（1）分区防渗措施：环评</w:t>
      </w:r>
      <w:r>
        <w:rPr>
          <w:rFonts w:hint="eastAsia"/>
          <w:color w:val="auto"/>
          <w:sz w:val="24"/>
          <w:szCs w:val="32"/>
        </w:rPr>
        <w:t>要求重点防渗区（事故池、危废库、污水管沟）：基础防渗层为至少1米厚粘土层（渗透系数≤10</w:t>
      </w:r>
      <w:r>
        <w:rPr>
          <w:rFonts w:hint="eastAsia"/>
          <w:color w:val="auto"/>
          <w:sz w:val="24"/>
          <w:szCs w:val="32"/>
          <w:vertAlign w:val="superscript"/>
        </w:rPr>
        <w:t>-7</w:t>
      </w:r>
      <w:r>
        <w:rPr>
          <w:rFonts w:hint="eastAsia"/>
          <w:color w:val="auto"/>
          <w:sz w:val="24"/>
          <w:szCs w:val="32"/>
        </w:rPr>
        <w:t>cm/s），或2mm厚高密度聚乙烯，或至少2mm厚的其它人工材料（渗透系数≤10</w:t>
      </w:r>
      <w:r>
        <w:rPr>
          <w:rFonts w:hint="eastAsia"/>
          <w:color w:val="auto"/>
          <w:sz w:val="24"/>
          <w:szCs w:val="32"/>
          <w:vertAlign w:val="superscript"/>
        </w:rPr>
        <w:t>-10</w:t>
      </w:r>
      <w:r>
        <w:rPr>
          <w:rFonts w:hint="eastAsia"/>
          <w:color w:val="auto"/>
          <w:sz w:val="24"/>
          <w:szCs w:val="32"/>
        </w:rPr>
        <w:t>cm/s）；一般防渗区（</w:t>
      </w:r>
      <w:r>
        <w:rPr>
          <w:rFonts w:hint="eastAsia"/>
          <w:color w:val="auto"/>
          <w:sz w:val="24"/>
          <w:szCs w:val="32"/>
          <w:lang w:val="en-US" w:eastAsia="zh-CN"/>
        </w:rPr>
        <w:t>生产车间、原料库、成品库</w:t>
      </w:r>
      <w:r>
        <w:rPr>
          <w:rFonts w:hint="eastAsia"/>
          <w:color w:val="auto"/>
          <w:sz w:val="24"/>
          <w:szCs w:val="32"/>
        </w:rPr>
        <w:t>）：防渗层的防渗性能不应低于1.5m厚渗透系数为1.0×10</w:t>
      </w:r>
      <w:r>
        <w:rPr>
          <w:rFonts w:hint="eastAsia"/>
          <w:color w:val="auto"/>
          <w:sz w:val="24"/>
          <w:szCs w:val="32"/>
          <w:vertAlign w:val="superscript"/>
        </w:rPr>
        <w:t>-7</w:t>
      </w:r>
      <w:r>
        <w:rPr>
          <w:rFonts w:hint="eastAsia"/>
          <w:color w:val="auto"/>
          <w:sz w:val="24"/>
          <w:szCs w:val="32"/>
        </w:rPr>
        <w:t>cm/s的黏土层的防渗性能。</w:t>
      </w:r>
    </w:p>
    <w:p w14:paraId="542DCF8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olor w:val="auto"/>
          <w:sz w:val="24"/>
          <w:szCs w:val="32"/>
          <w:lang w:eastAsia="zh-CN"/>
        </w:rPr>
      </w:pPr>
      <w:r>
        <w:rPr>
          <w:color w:val="auto"/>
          <w:sz w:val="24"/>
          <w:szCs w:val="32"/>
        </w:rPr>
        <w:t>（</w:t>
      </w:r>
      <w:r>
        <w:rPr>
          <w:rFonts w:hint="eastAsia"/>
          <w:color w:val="auto"/>
          <w:sz w:val="24"/>
          <w:szCs w:val="32"/>
          <w:lang w:val="en-US" w:eastAsia="zh-CN"/>
        </w:rPr>
        <w:t>2</w:t>
      </w:r>
      <w:r>
        <w:rPr>
          <w:color w:val="auto"/>
          <w:sz w:val="24"/>
          <w:szCs w:val="32"/>
        </w:rPr>
        <w:t>）紧急处置措施：</w:t>
      </w:r>
      <w:r>
        <w:rPr>
          <w:rFonts w:hint="eastAsia"/>
          <w:color w:val="auto"/>
          <w:sz w:val="24"/>
          <w:szCs w:val="32"/>
          <w:lang w:val="en-US" w:eastAsia="zh-CN"/>
        </w:rPr>
        <w:t>设置泄漏与截断措施：在厂区污水总排口及雨水排口设置切断装置，确保在紧急情况下能立即切断污染物流向。对天然气管道设置安全阀门及泄漏自动报警装置</w:t>
      </w:r>
      <w:r>
        <w:rPr>
          <w:color w:val="auto"/>
          <w:sz w:val="24"/>
          <w:szCs w:val="32"/>
        </w:rPr>
        <w:t>。发生</w:t>
      </w:r>
      <w:r>
        <w:rPr>
          <w:rFonts w:hint="eastAsia"/>
          <w:color w:val="auto"/>
          <w:sz w:val="24"/>
          <w:szCs w:val="32"/>
          <w:lang w:val="en-US" w:eastAsia="zh-CN"/>
        </w:rPr>
        <w:t>突发环境事件</w:t>
      </w:r>
      <w:r>
        <w:rPr>
          <w:color w:val="auto"/>
          <w:sz w:val="24"/>
          <w:szCs w:val="32"/>
        </w:rPr>
        <w:t>启动本企业</w:t>
      </w:r>
      <w:r>
        <w:rPr>
          <w:rFonts w:hint="eastAsia"/>
          <w:color w:val="auto"/>
          <w:sz w:val="24"/>
          <w:szCs w:val="32"/>
        </w:rPr>
        <w:t>突发环境事件应急预案</w:t>
      </w:r>
      <w:r>
        <w:rPr>
          <w:rFonts w:hint="eastAsia"/>
          <w:color w:val="auto"/>
          <w:sz w:val="24"/>
          <w:szCs w:val="32"/>
          <w:lang w:eastAsia="zh-CN"/>
        </w:rPr>
        <w:t>。</w:t>
      </w:r>
    </w:p>
    <w:p w14:paraId="42FC05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32"/>
        </w:rPr>
      </w:pPr>
      <w:r>
        <w:rPr>
          <w:rFonts w:hint="default" w:ascii="Times New Roman" w:hAnsi="Times New Roman" w:cs="Times New Roman"/>
          <w:color w:val="auto"/>
          <w:sz w:val="24"/>
          <w:szCs w:val="32"/>
        </w:rPr>
        <w:t>2、实际建设情况</w:t>
      </w:r>
    </w:p>
    <w:p w14:paraId="108951B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32"/>
        </w:rPr>
      </w:pPr>
      <w:r>
        <w:rPr>
          <w:rFonts w:hint="default" w:ascii="Times New Roman" w:hAnsi="Times New Roman" w:cs="Times New Roman"/>
          <w:color w:val="auto"/>
          <w:sz w:val="24"/>
          <w:szCs w:val="32"/>
        </w:rPr>
        <w:t>根据企业提供的材料：</w:t>
      </w:r>
    </w:p>
    <w:p w14:paraId="01D0F64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cs="Times New Roman"/>
          <w:b w:val="0"/>
          <w:bCs w:val="0"/>
          <w:color w:val="auto"/>
          <w:sz w:val="24"/>
          <w:szCs w:val="24"/>
          <w:highlight w:val="none"/>
          <w:lang w:val="en-US" w:eastAsia="zh-CN"/>
        </w:rPr>
      </w:pPr>
      <w:r>
        <w:rPr>
          <w:rFonts w:hint="default" w:ascii="Times New Roman" w:hAnsi="Times New Roman" w:cs="Times New Roman"/>
          <w:b w:val="0"/>
          <w:bCs w:val="0"/>
          <w:color w:val="auto"/>
          <w:sz w:val="24"/>
          <w:szCs w:val="24"/>
          <w:lang w:val="en-US" w:eastAsia="zh-CN"/>
        </w:rPr>
        <w:t>（1）原辅材料设置专用原料库进行储存，原料库地面做硬化措施，各原料分区堆放储存，并</w:t>
      </w:r>
      <w:r>
        <w:rPr>
          <w:rFonts w:hint="default" w:ascii="Times New Roman" w:hAnsi="Times New Roman" w:cs="Times New Roman"/>
          <w:b w:val="0"/>
          <w:bCs w:val="0"/>
          <w:color w:val="auto"/>
          <w:sz w:val="24"/>
          <w:szCs w:val="24"/>
          <w:highlight w:val="none"/>
          <w:lang w:val="en-US" w:eastAsia="zh-CN"/>
        </w:rPr>
        <w:t>保持干燥通风，危废</w:t>
      </w:r>
      <w:r>
        <w:rPr>
          <w:rFonts w:hint="eastAsia" w:cs="Times New Roman"/>
          <w:b w:val="0"/>
          <w:bCs w:val="0"/>
          <w:color w:val="auto"/>
          <w:sz w:val="24"/>
          <w:szCs w:val="24"/>
          <w:highlight w:val="none"/>
          <w:lang w:val="en-US" w:eastAsia="zh-CN"/>
        </w:rPr>
        <w:t>库已采取重点防渗措施</w:t>
      </w:r>
      <w:r>
        <w:rPr>
          <w:rFonts w:hint="default" w:ascii="Times New Roman" w:hAnsi="Times New Roman" w:cs="Times New Roman"/>
          <w:b w:val="0"/>
          <w:bCs w:val="0"/>
          <w:color w:val="auto"/>
          <w:sz w:val="24"/>
          <w:szCs w:val="24"/>
          <w:highlight w:val="none"/>
          <w:lang w:val="en-US" w:eastAsia="zh-CN"/>
        </w:rPr>
        <w:t>。</w:t>
      </w:r>
    </w:p>
    <w:p w14:paraId="7A7DDB1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cs="Times New Roman"/>
          <w:b w:val="0"/>
          <w:bCs w:val="0"/>
          <w:color w:val="auto"/>
          <w:sz w:val="24"/>
          <w:szCs w:val="24"/>
          <w:highlight w:val="none"/>
          <w:lang w:val="en-US" w:eastAsia="zh-CN"/>
        </w:rPr>
      </w:pPr>
      <w:r>
        <w:rPr>
          <w:rFonts w:hint="default" w:ascii="Times New Roman" w:hAnsi="Times New Roman" w:cs="Times New Roman"/>
          <w:b w:val="0"/>
          <w:bCs w:val="0"/>
          <w:color w:val="auto"/>
          <w:sz w:val="24"/>
          <w:szCs w:val="24"/>
          <w:highlight w:val="none"/>
          <w:lang w:val="en-US" w:eastAsia="zh-CN"/>
        </w:rPr>
        <w:t>（2）生产过程中选用密封良好的输送泵，工艺管线密封防腐防泄漏，设备配套的阀门、仪表接头等密闭，基本无跑、冒、滴、漏现象。</w:t>
      </w:r>
    </w:p>
    <w:p w14:paraId="692DDB3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cs="Times New Roman"/>
          <w:b w:val="0"/>
          <w:bCs w:val="0"/>
          <w:color w:val="auto"/>
          <w:sz w:val="24"/>
          <w:szCs w:val="24"/>
          <w:highlight w:val="none"/>
          <w:lang w:val="en-US" w:eastAsia="zh-CN"/>
        </w:rPr>
      </w:pPr>
      <w:r>
        <w:rPr>
          <w:rFonts w:hint="default" w:ascii="Times New Roman" w:hAnsi="Times New Roman" w:cs="Times New Roman"/>
          <w:b w:val="0"/>
          <w:bCs w:val="0"/>
          <w:color w:val="auto"/>
          <w:sz w:val="24"/>
          <w:szCs w:val="24"/>
          <w:highlight w:val="none"/>
          <w:lang w:val="en-US" w:eastAsia="zh-CN"/>
        </w:rPr>
        <w:t>（4）全厂雨排水管道与污水管道不发生串漏。</w:t>
      </w:r>
    </w:p>
    <w:p w14:paraId="4E9CE168">
      <w:pPr>
        <w:spacing w:line="360" w:lineRule="auto"/>
        <w:outlineLvl w:val="1"/>
        <w:rPr>
          <w:rFonts w:hint="default"/>
          <w:b/>
          <w:bCs/>
          <w:color w:val="auto"/>
          <w:sz w:val="28"/>
          <w:szCs w:val="28"/>
          <w:lang w:val="en-US" w:eastAsia="zh-CN"/>
        </w:rPr>
      </w:pPr>
      <w:bookmarkStart w:id="290" w:name="_Toc3935"/>
      <w:r>
        <w:rPr>
          <w:rFonts w:hint="default"/>
          <w:b/>
          <w:bCs/>
          <w:color w:val="auto"/>
          <w:sz w:val="28"/>
          <w:szCs w:val="28"/>
          <w:lang w:val="en-US" w:eastAsia="zh-CN"/>
        </w:rPr>
        <w:t>3.4总量可达性分析</w:t>
      </w:r>
      <w:bookmarkEnd w:id="290"/>
    </w:p>
    <w:p w14:paraId="5C1659FD">
      <w:pPr>
        <w:adjustRightInd w:val="0"/>
        <w:snapToGrid w:val="0"/>
        <w:spacing w:line="360" w:lineRule="auto"/>
        <w:ind w:firstLine="480" w:firstLineChars="200"/>
        <w:rPr>
          <w:color w:val="auto"/>
          <w:sz w:val="24"/>
          <w:szCs w:val="32"/>
        </w:rPr>
      </w:pPr>
      <w:r>
        <w:rPr>
          <w:rFonts w:hint="eastAsia"/>
          <w:color w:val="auto"/>
          <w:sz w:val="24"/>
          <w:szCs w:val="32"/>
          <w:lang w:val="en-US" w:eastAsia="zh-CN"/>
        </w:rPr>
        <w:t>根据</w:t>
      </w:r>
      <w:r>
        <w:rPr>
          <w:color w:val="auto"/>
          <w:sz w:val="24"/>
          <w:szCs w:val="32"/>
        </w:rPr>
        <w:t>《</w:t>
      </w:r>
      <w:r>
        <w:rPr>
          <w:rFonts w:hint="eastAsia"/>
          <w:color w:val="auto"/>
          <w:kern w:val="24"/>
          <w:sz w:val="24"/>
        </w:rPr>
        <w:t>安徽华中天力铝业有限公司年产11万吨再生铝建设项目环境影响报告书</w:t>
      </w:r>
      <w:r>
        <w:rPr>
          <w:color w:val="auto"/>
          <w:sz w:val="24"/>
          <w:szCs w:val="32"/>
        </w:rPr>
        <w:t>》环评批复（</w:t>
      </w:r>
      <w:r>
        <w:rPr>
          <w:rFonts w:hint="eastAsia"/>
          <w:color w:val="auto"/>
          <w:sz w:val="24"/>
          <w:szCs w:val="32"/>
          <w:lang w:val="en-US" w:eastAsia="zh-CN"/>
        </w:rPr>
        <w:t>淮环行【2016】27号</w:t>
      </w:r>
      <w:r>
        <w:rPr>
          <w:color w:val="auto"/>
          <w:sz w:val="24"/>
          <w:szCs w:val="32"/>
        </w:rPr>
        <w:t>）</w:t>
      </w:r>
      <w:r>
        <w:rPr>
          <w:rFonts w:hint="eastAsia"/>
          <w:color w:val="auto"/>
          <w:sz w:val="24"/>
          <w:szCs w:val="32"/>
          <w:lang w:val="en-US" w:eastAsia="zh-CN"/>
        </w:rPr>
        <w:t>和</w:t>
      </w:r>
      <w:r>
        <w:rPr>
          <w:rFonts w:hint="eastAsia" w:cs="Times New Roman"/>
          <w:color w:val="auto"/>
          <w:sz w:val="24"/>
          <w:szCs w:val="24"/>
          <w:lang w:val="en-US" w:eastAsia="zh-CN"/>
        </w:rPr>
        <w:t>安徽瑞瑟科金属材料有限公司（原安徽华中天力铝业有限公司年产11万吨再生铝建设项目）主要排放口二氧化硫、氨氧化物许可排放量核算报告》可知</w:t>
      </w:r>
      <w:r>
        <w:rPr>
          <w:color w:val="auto"/>
          <w:sz w:val="24"/>
          <w:szCs w:val="32"/>
        </w:rPr>
        <w:t>，</w:t>
      </w:r>
      <w:r>
        <w:rPr>
          <w:rFonts w:hint="eastAsia"/>
          <w:color w:val="auto"/>
          <w:sz w:val="24"/>
          <w:szCs w:val="32"/>
          <w:lang w:val="en-US" w:eastAsia="zh-CN"/>
        </w:rPr>
        <w:t>现有一期工程</w:t>
      </w:r>
      <w:r>
        <w:rPr>
          <w:rFonts w:hint="eastAsia"/>
          <w:color w:val="auto"/>
          <w:sz w:val="24"/>
          <w:szCs w:val="32"/>
        </w:rPr>
        <w:t>总量控制指标为</w:t>
      </w:r>
      <w:r>
        <w:rPr>
          <w:rFonts w:hint="eastAsia"/>
          <w:color w:val="auto"/>
          <w:sz w:val="24"/>
          <w:szCs w:val="32"/>
          <w:lang w:val="en-US" w:eastAsia="zh-CN"/>
        </w:rPr>
        <w:t>颗粒物6.8</w:t>
      </w:r>
      <w:r>
        <w:rPr>
          <w:color w:val="auto"/>
          <w:sz w:val="24"/>
          <w:szCs w:val="32"/>
        </w:rPr>
        <w:t>t/a</w:t>
      </w:r>
      <w:r>
        <w:rPr>
          <w:rFonts w:hint="eastAsia"/>
          <w:color w:val="auto"/>
          <w:sz w:val="24"/>
          <w:szCs w:val="32"/>
        </w:rPr>
        <w:t>、</w:t>
      </w:r>
      <w:r>
        <w:rPr>
          <w:rFonts w:hint="eastAsia"/>
          <w:color w:val="auto"/>
          <w:sz w:val="24"/>
          <w:szCs w:val="32"/>
          <w:lang w:val="en-US" w:eastAsia="zh-CN"/>
        </w:rPr>
        <w:t>二氧化硫12.635</w:t>
      </w:r>
      <w:r>
        <w:rPr>
          <w:rFonts w:hint="eastAsia"/>
          <w:color w:val="auto"/>
          <w:sz w:val="24"/>
          <w:szCs w:val="32"/>
        </w:rPr>
        <w:t>t/a</w:t>
      </w:r>
      <w:r>
        <w:rPr>
          <w:rFonts w:hint="eastAsia"/>
          <w:color w:val="auto"/>
          <w:sz w:val="24"/>
          <w:szCs w:val="32"/>
          <w:lang w:eastAsia="zh-CN"/>
        </w:rPr>
        <w:t>、</w:t>
      </w:r>
      <w:r>
        <w:rPr>
          <w:rFonts w:hint="eastAsia"/>
          <w:color w:val="auto"/>
          <w:sz w:val="24"/>
          <w:szCs w:val="32"/>
          <w:lang w:val="en-US" w:eastAsia="zh-CN"/>
        </w:rPr>
        <w:t>氮氧化物19.454</w:t>
      </w:r>
      <w:r>
        <w:rPr>
          <w:rFonts w:hint="eastAsia"/>
          <w:color w:val="auto"/>
          <w:sz w:val="24"/>
          <w:szCs w:val="32"/>
        </w:rPr>
        <w:t>t/a</w:t>
      </w:r>
      <w:r>
        <w:rPr>
          <w:color w:val="auto"/>
          <w:sz w:val="24"/>
          <w:szCs w:val="32"/>
        </w:rPr>
        <w:t>。</w:t>
      </w:r>
    </w:p>
    <w:p w14:paraId="3A0DD622">
      <w:pPr>
        <w:spacing w:line="360" w:lineRule="auto"/>
        <w:ind w:firstLine="480" w:firstLineChars="200"/>
        <w:rPr>
          <w:color w:val="auto"/>
          <w:sz w:val="24"/>
          <w:szCs w:val="32"/>
        </w:rPr>
      </w:pPr>
      <w:r>
        <w:rPr>
          <w:rFonts w:hint="eastAsia"/>
          <w:color w:val="auto"/>
          <w:sz w:val="24"/>
        </w:rPr>
        <w:t>根据企业</w:t>
      </w:r>
      <w:r>
        <w:rPr>
          <w:rFonts w:hint="eastAsia"/>
          <w:color w:val="auto"/>
          <w:sz w:val="24"/>
          <w:lang w:val="en-US" w:eastAsia="zh-CN"/>
        </w:rPr>
        <w:t>2024年在线监测</w:t>
      </w:r>
      <w:r>
        <w:rPr>
          <w:rFonts w:hint="eastAsia"/>
          <w:color w:val="auto"/>
          <w:sz w:val="24"/>
        </w:rPr>
        <w:t>结果可知：一期</w:t>
      </w:r>
      <w:r>
        <w:rPr>
          <w:rFonts w:hint="eastAsia"/>
          <w:color w:val="auto"/>
          <w:sz w:val="24"/>
          <w:lang w:val="en-US" w:eastAsia="zh-CN"/>
        </w:rPr>
        <w:t>工程</w:t>
      </w:r>
      <w:r>
        <w:rPr>
          <w:rFonts w:hint="eastAsia"/>
          <w:color w:val="auto"/>
          <w:sz w:val="24"/>
        </w:rPr>
        <w:t>颗粒物排放量为</w:t>
      </w:r>
      <w:r>
        <w:rPr>
          <w:rFonts w:hint="eastAsia"/>
          <w:color w:val="auto"/>
          <w:sz w:val="24"/>
          <w:lang w:val="en-US" w:eastAsia="zh-CN"/>
        </w:rPr>
        <w:t>2.44</w:t>
      </w:r>
      <w:r>
        <w:rPr>
          <w:rFonts w:hint="eastAsia"/>
          <w:color w:val="auto"/>
          <w:sz w:val="24"/>
        </w:rPr>
        <w:t>t/a，</w:t>
      </w:r>
      <w:r>
        <w:rPr>
          <w:rFonts w:hint="eastAsia"/>
          <w:color w:val="auto"/>
          <w:sz w:val="24"/>
          <w:szCs w:val="32"/>
          <w:lang w:val="en-US" w:eastAsia="zh-CN"/>
        </w:rPr>
        <w:t>二氧化硫</w:t>
      </w:r>
      <w:r>
        <w:rPr>
          <w:rFonts w:hint="eastAsia"/>
          <w:color w:val="auto"/>
          <w:sz w:val="24"/>
        </w:rPr>
        <w:t>排放量为</w:t>
      </w:r>
      <w:r>
        <w:rPr>
          <w:rFonts w:hint="eastAsia"/>
          <w:color w:val="auto"/>
          <w:sz w:val="24"/>
          <w:lang w:val="en-US" w:eastAsia="zh-CN"/>
        </w:rPr>
        <w:t>3.99</w:t>
      </w:r>
      <w:r>
        <w:rPr>
          <w:rFonts w:hint="eastAsia"/>
          <w:color w:val="auto"/>
          <w:sz w:val="24"/>
        </w:rPr>
        <w:t>t/a</w:t>
      </w:r>
      <w:r>
        <w:rPr>
          <w:rFonts w:hint="eastAsia"/>
          <w:color w:val="auto"/>
          <w:sz w:val="24"/>
          <w:szCs w:val="32"/>
          <w:lang w:val="en-US" w:eastAsia="zh-CN"/>
        </w:rPr>
        <w:t>，氮氧化物</w:t>
      </w:r>
      <w:r>
        <w:rPr>
          <w:rFonts w:hint="eastAsia"/>
          <w:color w:val="auto"/>
          <w:sz w:val="24"/>
        </w:rPr>
        <w:t>排放量为</w:t>
      </w:r>
      <w:r>
        <w:rPr>
          <w:rFonts w:hint="eastAsia"/>
          <w:color w:val="auto"/>
          <w:sz w:val="24"/>
          <w:lang w:val="en-US" w:eastAsia="zh-CN"/>
        </w:rPr>
        <w:t>8.55</w:t>
      </w:r>
      <w:r>
        <w:rPr>
          <w:rFonts w:hint="eastAsia"/>
          <w:color w:val="auto"/>
          <w:sz w:val="24"/>
        </w:rPr>
        <w:t>t/a，满足</w:t>
      </w:r>
      <w:r>
        <w:rPr>
          <w:rFonts w:hint="eastAsia"/>
          <w:color w:val="auto"/>
          <w:sz w:val="24"/>
          <w:lang w:val="en-US" w:eastAsia="zh-CN"/>
        </w:rPr>
        <w:t>现有</w:t>
      </w:r>
      <w:r>
        <w:rPr>
          <w:rFonts w:hint="eastAsia"/>
          <w:color w:val="auto"/>
          <w:sz w:val="24"/>
        </w:rPr>
        <w:t>总量</w:t>
      </w:r>
      <w:r>
        <w:rPr>
          <w:rFonts w:hint="eastAsia"/>
          <w:color w:val="auto"/>
          <w:sz w:val="24"/>
          <w:lang w:val="en-US" w:eastAsia="zh-CN"/>
        </w:rPr>
        <w:t>控制指标</w:t>
      </w:r>
      <w:r>
        <w:rPr>
          <w:rFonts w:hint="eastAsia"/>
          <w:color w:val="auto"/>
          <w:sz w:val="24"/>
        </w:rPr>
        <w:t>要求</w:t>
      </w:r>
      <w:r>
        <w:rPr>
          <w:color w:val="auto"/>
          <w:sz w:val="24"/>
          <w:szCs w:val="32"/>
        </w:rPr>
        <w:t>。</w:t>
      </w:r>
    </w:p>
    <w:p w14:paraId="32B062D2">
      <w:pPr>
        <w:spacing w:line="360" w:lineRule="auto"/>
        <w:ind w:firstLine="480" w:firstLineChars="200"/>
        <w:rPr>
          <w:rFonts w:hint="default" w:eastAsia="宋体"/>
          <w:color w:val="auto"/>
          <w:sz w:val="24"/>
          <w:szCs w:val="32"/>
          <w:lang w:val="en-US" w:eastAsia="zh-CN"/>
        </w:rPr>
      </w:pPr>
      <w:r>
        <w:rPr>
          <w:rFonts w:hint="eastAsia"/>
          <w:color w:val="auto"/>
          <w:sz w:val="24"/>
          <w:szCs w:val="32"/>
          <w:lang w:val="en-US" w:eastAsia="zh-CN"/>
        </w:rPr>
        <w:t>废气排放情况如下：</w:t>
      </w:r>
    </w:p>
    <w:p w14:paraId="01E5B6F8">
      <w:pPr>
        <w:pStyle w:val="20"/>
        <w:spacing w:line="360" w:lineRule="auto"/>
        <w:jc w:val="center"/>
        <w:rPr>
          <w:rFonts w:ascii="Times New Roman" w:hAnsi="Times New Roman" w:cs="Times New Roman"/>
          <w:b/>
          <w:bCs/>
          <w:color w:val="auto"/>
          <w:sz w:val="24"/>
          <w:szCs w:val="32"/>
        </w:rPr>
      </w:pPr>
      <w:r>
        <w:rPr>
          <w:rFonts w:ascii="Times New Roman" w:hAnsi="Times New Roman" w:cs="Times New Roman"/>
          <w:b/>
          <w:bCs/>
          <w:color w:val="auto"/>
          <w:sz w:val="24"/>
          <w:szCs w:val="40"/>
        </w:rPr>
        <w:t>表</w:t>
      </w:r>
      <w:r>
        <w:rPr>
          <w:rFonts w:hint="eastAsia" w:ascii="Times New Roman" w:hAnsi="Times New Roman" w:cs="Times New Roman"/>
          <w:b/>
          <w:bCs/>
          <w:color w:val="auto"/>
          <w:sz w:val="24"/>
          <w:szCs w:val="40"/>
          <w:lang w:val="en-US" w:eastAsia="zh-CN"/>
        </w:rPr>
        <w:t>3-13</w:t>
      </w:r>
      <w:r>
        <w:rPr>
          <w:rFonts w:ascii="Times New Roman" w:hAnsi="Times New Roman" w:cs="Times New Roman"/>
          <w:b/>
          <w:bCs/>
          <w:color w:val="auto"/>
          <w:sz w:val="24"/>
          <w:szCs w:val="40"/>
        </w:rPr>
        <w:t xml:space="preserve"> </w:t>
      </w:r>
      <w:r>
        <w:rPr>
          <w:rFonts w:hint="eastAsia" w:ascii="Times New Roman" w:hAnsi="Times New Roman" w:cs="Times New Roman"/>
          <w:b/>
          <w:bCs/>
          <w:color w:val="auto"/>
          <w:sz w:val="24"/>
          <w:szCs w:val="40"/>
          <w:lang w:val="en-US" w:eastAsia="zh-CN"/>
        </w:rPr>
        <w:t>安徽瑞瑟科金属材料有限公司</w:t>
      </w:r>
      <w:r>
        <w:rPr>
          <w:rFonts w:ascii="Times New Roman" w:hAnsi="Times New Roman" w:cs="Times New Roman"/>
          <w:b/>
          <w:bCs/>
          <w:color w:val="auto"/>
          <w:sz w:val="24"/>
          <w:szCs w:val="40"/>
        </w:rPr>
        <w:t>有组织废气排放情况一览表</w:t>
      </w:r>
    </w:p>
    <w:tbl>
      <w:tblPr>
        <w:tblStyle w:val="123"/>
        <w:tblW w:w="4996"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0" w:type="dxa"/>
          <w:bottom w:w="0" w:type="dxa"/>
          <w:right w:w="0" w:type="dxa"/>
        </w:tblCellMar>
      </w:tblPr>
      <w:tblGrid>
        <w:gridCol w:w="1669"/>
        <w:gridCol w:w="2017"/>
        <w:gridCol w:w="2017"/>
        <w:gridCol w:w="2017"/>
        <w:gridCol w:w="2018"/>
      </w:tblGrid>
      <w:tr w14:paraId="08EC301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56" w:type="pct"/>
            <w:tcBorders>
              <w:tl2br w:val="nil"/>
              <w:tr2bl w:val="nil"/>
            </w:tcBorders>
            <w:vAlign w:val="center"/>
          </w:tcPr>
          <w:p w14:paraId="6D2D267F">
            <w:pPr>
              <w:jc w:val="center"/>
              <w:rPr>
                <w:b/>
                <w:bCs/>
                <w:color w:val="auto"/>
              </w:rPr>
            </w:pPr>
            <w:r>
              <w:rPr>
                <w:b/>
                <w:bCs/>
                <w:color w:val="auto"/>
              </w:rPr>
              <w:t>项目</w:t>
            </w:r>
          </w:p>
        </w:tc>
        <w:tc>
          <w:tcPr>
            <w:tcW w:w="1035" w:type="pct"/>
            <w:tcBorders>
              <w:tl2br w:val="nil"/>
              <w:tr2bl w:val="nil"/>
            </w:tcBorders>
            <w:vAlign w:val="center"/>
          </w:tcPr>
          <w:p w14:paraId="7CB50BA7">
            <w:pPr>
              <w:jc w:val="center"/>
              <w:rPr>
                <w:rFonts w:hint="eastAsia"/>
                <w:b/>
                <w:bCs/>
                <w:color w:val="auto"/>
              </w:rPr>
            </w:pPr>
            <w:r>
              <w:rPr>
                <w:b/>
                <w:bCs/>
                <w:color w:val="auto"/>
              </w:rPr>
              <w:t>环评批复</w:t>
            </w:r>
            <w:r>
              <w:rPr>
                <w:rFonts w:hint="eastAsia"/>
                <w:b/>
                <w:bCs/>
                <w:color w:val="auto"/>
              </w:rPr>
              <w:t>总量</w:t>
            </w:r>
          </w:p>
          <w:p w14:paraId="395E790B">
            <w:pPr>
              <w:jc w:val="center"/>
              <w:rPr>
                <w:b/>
                <w:bCs/>
                <w:color w:val="auto"/>
              </w:rPr>
            </w:pPr>
            <w:r>
              <w:rPr>
                <w:rFonts w:hint="eastAsia"/>
                <w:b/>
                <w:bCs/>
                <w:color w:val="auto"/>
                <w:lang w:eastAsia="zh-CN"/>
              </w:rPr>
              <w:t>（</w:t>
            </w:r>
            <w:r>
              <w:rPr>
                <w:rFonts w:hint="eastAsia"/>
                <w:b/>
                <w:bCs/>
                <w:color w:val="auto"/>
                <w:lang w:val="en-US" w:eastAsia="zh-CN"/>
              </w:rPr>
              <w:t>一期工程</w:t>
            </w:r>
            <w:r>
              <w:rPr>
                <w:rFonts w:hint="eastAsia"/>
                <w:b/>
                <w:bCs/>
                <w:color w:val="auto"/>
                <w:lang w:eastAsia="zh-CN"/>
              </w:rPr>
              <w:t>）</w:t>
            </w:r>
          </w:p>
        </w:tc>
        <w:tc>
          <w:tcPr>
            <w:tcW w:w="1035" w:type="pct"/>
            <w:tcBorders>
              <w:tl2br w:val="nil"/>
              <w:tr2bl w:val="nil"/>
            </w:tcBorders>
            <w:vAlign w:val="center"/>
          </w:tcPr>
          <w:p w14:paraId="6FD3E3D3">
            <w:pPr>
              <w:jc w:val="center"/>
              <w:rPr>
                <w:rFonts w:hint="default"/>
                <w:b/>
                <w:bCs/>
                <w:color w:val="auto"/>
                <w:lang w:val="en-US"/>
              </w:rPr>
            </w:pPr>
            <w:r>
              <w:rPr>
                <w:rFonts w:hint="eastAsia"/>
                <w:b/>
                <w:bCs/>
                <w:color w:val="auto"/>
                <w:lang w:val="en-US" w:eastAsia="zh-CN"/>
              </w:rPr>
              <w:t>许可排放量核算报告批复总量</w:t>
            </w:r>
          </w:p>
        </w:tc>
        <w:tc>
          <w:tcPr>
            <w:tcW w:w="1035" w:type="pct"/>
            <w:tcBorders>
              <w:tl2br w:val="nil"/>
              <w:tr2bl w:val="nil"/>
            </w:tcBorders>
            <w:vAlign w:val="center"/>
          </w:tcPr>
          <w:p w14:paraId="1584BDD9">
            <w:pPr>
              <w:jc w:val="center"/>
              <w:rPr>
                <w:rFonts w:hint="default"/>
                <w:b/>
                <w:bCs/>
                <w:color w:val="auto"/>
                <w:lang w:val="en-US" w:eastAsia="zh-CN"/>
              </w:rPr>
            </w:pPr>
            <w:r>
              <w:rPr>
                <w:rFonts w:hint="eastAsia"/>
                <w:b/>
                <w:bCs/>
                <w:color w:val="auto"/>
                <w:lang w:val="en-US" w:eastAsia="zh-CN"/>
              </w:rPr>
              <w:t>一期工程许可排放量</w:t>
            </w:r>
          </w:p>
        </w:tc>
        <w:tc>
          <w:tcPr>
            <w:tcW w:w="1035" w:type="pct"/>
            <w:tcBorders>
              <w:tl2br w:val="nil"/>
              <w:tr2bl w:val="nil"/>
            </w:tcBorders>
            <w:vAlign w:val="center"/>
          </w:tcPr>
          <w:p w14:paraId="26386CAB">
            <w:pPr>
              <w:jc w:val="center"/>
              <w:rPr>
                <w:b/>
                <w:bCs/>
                <w:color w:val="auto"/>
              </w:rPr>
            </w:pPr>
            <w:r>
              <w:rPr>
                <w:rFonts w:hint="eastAsia"/>
                <w:b/>
                <w:bCs/>
                <w:color w:val="auto"/>
              </w:rPr>
              <w:t>一期项目实际排放量</w:t>
            </w:r>
          </w:p>
        </w:tc>
      </w:tr>
      <w:tr w14:paraId="546347E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56" w:type="pct"/>
            <w:tcBorders>
              <w:tl2br w:val="nil"/>
              <w:tr2bl w:val="nil"/>
            </w:tcBorders>
            <w:vAlign w:val="center"/>
          </w:tcPr>
          <w:p w14:paraId="27E0A3C1">
            <w:pPr>
              <w:jc w:val="center"/>
              <w:rPr>
                <w:color w:val="auto"/>
              </w:rPr>
            </w:pPr>
            <w:r>
              <w:rPr>
                <w:color w:val="auto"/>
              </w:rPr>
              <w:t>颗粒物</w:t>
            </w:r>
          </w:p>
        </w:tc>
        <w:tc>
          <w:tcPr>
            <w:tcW w:w="1035" w:type="pct"/>
            <w:tcBorders>
              <w:tl2br w:val="nil"/>
              <w:tr2bl w:val="nil"/>
            </w:tcBorders>
            <w:vAlign w:val="center"/>
          </w:tcPr>
          <w:p w14:paraId="29BD382F">
            <w:pPr>
              <w:jc w:val="center"/>
              <w:rPr>
                <w:rFonts w:hint="default" w:eastAsia="宋体"/>
                <w:color w:val="auto"/>
                <w:szCs w:val="21"/>
                <w:lang w:val="en-US" w:eastAsia="zh-CN"/>
              </w:rPr>
            </w:pPr>
            <w:r>
              <w:rPr>
                <w:rFonts w:hint="eastAsia"/>
                <w:color w:val="auto"/>
                <w:szCs w:val="21"/>
                <w:lang w:val="en-US" w:eastAsia="zh-CN"/>
              </w:rPr>
              <w:t>7.63</w:t>
            </w:r>
          </w:p>
        </w:tc>
        <w:tc>
          <w:tcPr>
            <w:tcW w:w="1035" w:type="pct"/>
            <w:tcBorders>
              <w:tl2br w:val="nil"/>
              <w:tr2bl w:val="nil"/>
            </w:tcBorders>
            <w:vAlign w:val="center"/>
          </w:tcPr>
          <w:p w14:paraId="065BA380">
            <w:pPr>
              <w:jc w:val="center"/>
              <w:rPr>
                <w:rFonts w:hint="eastAsia" w:eastAsia="宋体"/>
                <w:color w:val="auto"/>
                <w:lang w:eastAsia="zh-CN"/>
              </w:rPr>
            </w:pPr>
            <w:r>
              <w:rPr>
                <w:rFonts w:hint="eastAsia"/>
                <w:color w:val="auto"/>
                <w:lang w:val="en-US" w:eastAsia="zh-CN"/>
              </w:rPr>
              <w:t>/</w:t>
            </w:r>
          </w:p>
        </w:tc>
        <w:tc>
          <w:tcPr>
            <w:tcW w:w="1035" w:type="pct"/>
            <w:tcBorders>
              <w:tl2br w:val="nil"/>
              <w:tr2bl w:val="nil"/>
            </w:tcBorders>
            <w:vAlign w:val="center"/>
          </w:tcPr>
          <w:p w14:paraId="4F258E14">
            <w:pPr>
              <w:jc w:val="center"/>
              <w:rPr>
                <w:rFonts w:hint="default" w:eastAsia="宋体"/>
                <w:color w:val="auto"/>
                <w:lang w:val="en-US" w:eastAsia="zh-CN"/>
              </w:rPr>
            </w:pPr>
            <w:r>
              <w:rPr>
                <w:rFonts w:hint="eastAsia"/>
                <w:color w:val="auto"/>
                <w:lang w:val="en-US" w:eastAsia="zh-CN"/>
              </w:rPr>
              <w:t>7.63</w:t>
            </w:r>
          </w:p>
        </w:tc>
        <w:tc>
          <w:tcPr>
            <w:tcW w:w="1035" w:type="pct"/>
            <w:tcBorders>
              <w:tl2br w:val="nil"/>
              <w:tr2bl w:val="nil"/>
            </w:tcBorders>
            <w:vAlign w:val="center"/>
          </w:tcPr>
          <w:p w14:paraId="0E0FED4F">
            <w:pPr>
              <w:jc w:val="center"/>
              <w:rPr>
                <w:color w:val="auto"/>
              </w:rPr>
            </w:pPr>
            <w:r>
              <w:rPr>
                <w:rFonts w:hint="eastAsia"/>
                <w:color w:val="auto"/>
                <w:lang w:val="en-US" w:eastAsia="zh-CN"/>
              </w:rPr>
              <w:t>2.44</w:t>
            </w:r>
            <w:r>
              <w:rPr>
                <w:rFonts w:hint="eastAsia"/>
                <w:color w:val="auto"/>
              </w:rPr>
              <w:t>t/a</w:t>
            </w:r>
          </w:p>
        </w:tc>
      </w:tr>
      <w:tr w14:paraId="6FC7CC5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56" w:type="pct"/>
            <w:tcBorders>
              <w:tl2br w:val="nil"/>
              <w:tr2bl w:val="nil"/>
            </w:tcBorders>
            <w:vAlign w:val="center"/>
          </w:tcPr>
          <w:p w14:paraId="05E95C17">
            <w:pPr>
              <w:jc w:val="center"/>
              <w:rPr>
                <w:rFonts w:hint="eastAsia" w:eastAsia="宋体"/>
                <w:color w:val="auto"/>
                <w:lang w:val="en-US" w:eastAsia="zh-CN"/>
              </w:rPr>
            </w:pPr>
            <w:r>
              <w:rPr>
                <w:rFonts w:hint="eastAsia"/>
                <w:color w:val="auto"/>
                <w:lang w:val="en-US" w:eastAsia="zh-CN"/>
              </w:rPr>
              <w:t>二氧化硫</w:t>
            </w:r>
          </w:p>
        </w:tc>
        <w:tc>
          <w:tcPr>
            <w:tcW w:w="1035" w:type="pct"/>
            <w:tcBorders>
              <w:tl2br w:val="nil"/>
              <w:tr2bl w:val="nil"/>
            </w:tcBorders>
            <w:vAlign w:val="center"/>
          </w:tcPr>
          <w:p w14:paraId="791DCC95">
            <w:pPr>
              <w:jc w:val="center"/>
              <w:rPr>
                <w:rFonts w:hint="default" w:eastAsia="宋体"/>
                <w:color w:val="auto"/>
                <w:szCs w:val="21"/>
                <w:lang w:val="en-US" w:eastAsia="zh-CN"/>
              </w:rPr>
            </w:pPr>
            <w:r>
              <w:rPr>
                <w:rFonts w:hint="eastAsia"/>
                <w:color w:val="auto"/>
                <w:szCs w:val="21"/>
                <w:lang w:val="en-US" w:eastAsia="zh-CN"/>
              </w:rPr>
              <w:t>0.18</w:t>
            </w:r>
          </w:p>
        </w:tc>
        <w:tc>
          <w:tcPr>
            <w:tcW w:w="1035" w:type="pct"/>
            <w:tcBorders>
              <w:tl2br w:val="nil"/>
              <w:tr2bl w:val="nil"/>
            </w:tcBorders>
            <w:vAlign w:val="center"/>
          </w:tcPr>
          <w:p w14:paraId="0677E872">
            <w:pPr>
              <w:jc w:val="center"/>
              <w:rPr>
                <w:rFonts w:hint="default" w:eastAsia="宋体"/>
                <w:color w:val="auto"/>
                <w:lang w:val="en-US" w:eastAsia="zh-CN"/>
              </w:rPr>
            </w:pPr>
            <w:r>
              <w:rPr>
                <w:rFonts w:hint="eastAsia"/>
                <w:color w:val="auto"/>
                <w:lang w:val="en-US" w:eastAsia="zh-CN"/>
              </w:rPr>
              <w:t>12.635</w:t>
            </w:r>
          </w:p>
        </w:tc>
        <w:tc>
          <w:tcPr>
            <w:tcW w:w="1035" w:type="pct"/>
            <w:tcBorders>
              <w:tl2br w:val="nil"/>
              <w:tr2bl w:val="nil"/>
            </w:tcBorders>
            <w:vAlign w:val="center"/>
          </w:tcPr>
          <w:p w14:paraId="54286912">
            <w:pPr>
              <w:jc w:val="center"/>
              <w:rPr>
                <w:rFonts w:hint="default" w:eastAsia="宋体"/>
                <w:color w:val="auto"/>
                <w:lang w:val="en-US" w:eastAsia="zh-CN"/>
              </w:rPr>
            </w:pPr>
            <w:r>
              <w:rPr>
                <w:rFonts w:hint="eastAsia"/>
                <w:color w:val="auto"/>
                <w:lang w:val="en-US" w:eastAsia="zh-CN"/>
              </w:rPr>
              <w:t>12.635</w:t>
            </w:r>
          </w:p>
        </w:tc>
        <w:tc>
          <w:tcPr>
            <w:tcW w:w="1035" w:type="pct"/>
            <w:tcBorders>
              <w:tl2br w:val="nil"/>
              <w:tr2bl w:val="nil"/>
            </w:tcBorders>
            <w:vAlign w:val="center"/>
          </w:tcPr>
          <w:p w14:paraId="5E906842">
            <w:pPr>
              <w:jc w:val="center"/>
              <w:rPr>
                <w:color w:val="auto"/>
              </w:rPr>
            </w:pPr>
            <w:r>
              <w:rPr>
                <w:rFonts w:hint="eastAsia"/>
                <w:color w:val="auto"/>
                <w:lang w:val="en-US" w:eastAsia="zh-CN"/>
              </w:rPr>
              <w:t>3.99</w:t>
            </w:r>
            <w:r>
              <w:rPr>
                <w:rFonts w:hint="eastAsia"/>
                <w:color w:val="auto"/>
              </w:rPr>
              <w:t>t/a</w:t>
            </w:r>
          </w:p>
        </w:tc>
      </w:tr>
      <w:tr w14:paraId="7B3A826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856" w:type="pct"/>
            <w:tcBorders>
              <w:tl2br w:val="nil"/>
              <w:tr2bl w:val="nil"/>
            </w:tcBorders>
            <w:vAlign w:val="center"/>
          </w:tcPr>
          <w:p w14:paraId="6C7238CB">
            <w:pPr>
              <w:jc w:val="center"/>
              <w:rPr>
                <w:rFonts w:hint="default"/>
                <w:color w:val="auto"/>
                <w:lang w:val="en-US" w:eastAsia="zh-CN"/>
              </w:rPr>
            </w:pPr>
            <w:r>
              <w:rPr>
                <w:rFonts w:hint="eastAsia"/>
                <w:color w:val="auto"/>
                <w:lang w:val="en-US" w:eastAsia="zh-CN"/>
              </w:rPr>
              <w:t>氮氧化物</w:t>
            </w:r>
          </w:p>
        </w:tc>
        <w:tc>
          <w:tcPr>
            <w:tcW w:w="1035" w:type="pct"/>
            <w:tcBorders>
              <w:tl2br w:val="nil"/>
              <w:tr2bl w:val="nil"/>
            </w:tcBorders>
            <w:vAlign w:val="center"/>
          </w:tcPr>
          <w:p w14:paraId="183E4CF5">
            <w:pPr>
              <w:jc w:val="center"/>
              <w:rPr>
                <w:rFonts w:hint="default" w:eastAsia="宋体"/>
                <w:color w:val="auto"/>
                <w:szCs w:val="21"/>
                <w:lang w:val="en-US" w:eastAsia="zh-CN"/>
              </w:rPr>
            </w:pPr>
            <w:r>
              <w:rPr>
                <w:rFonts w:hint="eastAsia"/>
                <w:color w:val="auto"/>
                <w:szCs w:val="21"/>
                <w:lang w:val="en-US" w:eastAsia="zh-CN"/>
              </w:rPr>
              <w:t>6.8</w:t>
            </w:r>
          </w:p>
        </w:tc>
        <w:tc>
          <w:tcPr>
            <w:tcW w:w="1035" w:type="pct"/>
            <w:tcBorders>
              <w:tl2br w:val="nil"/>
              <w:tr2bl w:val="nil"/>
            </w:tcBorders>
            <w:vAlign w:val="center"/>
          </w:tcPr>
          <w:p w14:paraId="4442C388">
            <w:pPr>
              <w:jc w:val="center"/>
              <w:rPr>
                <w:rFonts w:hint="default" w:eastAsia="宋体"/>
                <w:color w:val="auto"/>
                <w:lang w:val="en-US" w:eastAsia="zh-CN"/>
              </w:rPr>
            </w:pPr>
            <w:r>
              <w:rPr>
                <w:rFonts w:hint="eastAsia"/>
                <w:color w:val="auto"/>
                <w:lang w:val="en-US" w:eastAsia="zh-CN"/>
              </w:rPr>
              <w:t>19.454</w:t>
            </w:r>
          </w:p>
        </w:tc>
        <w:tc>
          <w:tcPr>
            <w:tcW w:w="1035" w:type="pct"/>
            <w:tcBorders>
              <w:tl2br w:val="nil"/>
              <w:tr2bl w:val="nil"/>
            </w:tcBorders>
            <w:vAlign w:val="center"/>
          </w:tcPr>
          <w:p w14:paraId="044DAC04">
            <w:pPr>
              <w:jc w:val="center"/>
              <w:rPr>
                <w:rFonts w:hint="default" w:eastAsia="宋体"/>
                <w:color w:val="auto"/>
                <w:lang w:val="en-US" w:eastAsia="zh-CN"/>
              </w:rPr>
            </w:pPr>
            <w:r>
              <w:rPr>
                <w:rFonts w:hint="eastAsia"/>
                <w:color w:val="auto"/>
                <w:lang w:val="en-US" w:eastAsia="zh-CN"/>
              </w:rPr>
              <w:t>19.454</w:t>
            </w:r>
          </w:p>
        </w:tc>
        <w:tc>
          <w:tcPr>
            <w:tcW w:w="1035" w:type="pct"/>
            <w:tcBorders>
              <w:tl2br w:val="nil"/>
              <w:tr2bl w:val="nil"/>
            </w:tcBorders>
            <w:vAlign w:val="center"/>
          </w:tcPr>
          <w:p w14:paraId="578C0361">
            <w:pPr>
              <w:jc w:val="center"/>
              <w:rPr>
                <w:rFonts w:hint="default" w:eastAsia="宋体"/>
                <w:color w:val="auto"/>
                <w:lang w:val="en-US" w:eastAsia="zh-CN"/>
              </w:rPr>
            </w:pPr>
            <w:r>
              <w:rPr>
                <w:rFonts w:hint="eastAsia"/>
                <w:color w:val="auto"/>
                <w:lang w:val="en-US" w:eastAsia="zh-CN"/>
              </w:rPr>
              <w:t>8.55</w:t>
            </w:r>
            <w:r>
              <w:rPr>
                <w:rFonts w:hint="eastAsia"/>
                <w:color w:val="auto"/>
              </w:rPr>
              <w:t>t/a</w:t>
            </w:r>
          </w:p>
        </w:tc>
      </w:tr>
    </w:tbl>
    <w:p w14:paraId="49BF06E9">
      <w:pPr>
        <w:pStyle w:val="20"/>
        <w:spacing w:line="360" w:lineRule="auto"/>
        <w:ind w:firstLine="480" w:firstLineChars="200"/>
        <w:rPr>
          <w:rFonts w:hint="eastAsia" w:ascii="Times New Roman" w:hAnsi="Times New Roman" w:cs="Times New Roman"/>
          <w:color w:val="auto"/>
          <w:sz w:val="24"/>
          <w:szCs w:val="32"/>
          <w:lang w:val="en-US" w:eastAsia="zh-CN"/>
        </w:rPr>
      </w:pPr>
    </w:p>
    <w:p w14:paraId="77D312A1">
      <w:pPr>
        <w:pStyle w:val="20"/>
        <w:spacing w:line="360" w:lineRule="auto"/>
        <w:ind w:firstLine="480" w:firstLineChars="200"/>
        <w:rPr>
          <w:rFonts w:hint="default" w:ascii="Times New Roman" w:hAnsi="Times New Roman" w:cs="Times New Roman" w:eastAsiaTheme="minorEastAsia"/>
          <w:color w:val="auto"/>
          <w:sz w:val="24"/>
          <w:szCs w:val="32"/>
          <w:lang w:val="en-US" w:eastAsia="zh-CN"/>
        </w:rPr>
      </w:pPr>
      <w:r>
        <w:rPr>
          <w:color w:val="auto"/>
          <w:sz w:val="24"/>
          <w:szCs w:val="32"/>
        </w:rPr>
        <w:t>综上可知</w:t>
      </w:r>
      <w:r>
        <w:rPr>
          <w:rFonts w:hint="eastAsia"/>
          <w:color w:val="auto"/>
          <w:sz w:val="24"/>
          <w:szCs w:val="32"/>
          <w:lang w:eastAsia="zh-CN"/>
        </w:rPr>
        <w:t>，</w:t>
      </w:r>
      <w:r>
        <w:rPr>
          <w:rFonts w:hint="eastAsia"/>
          <w:color w:val="auto"/>
          <w:sz w:val="24"/>
          <w:szCs w:val="32"/>
          <w:lang w:val="en-US" w:eastAsia="zh-CN"/>
        </w:rPr>
        <w:t>安徽瑞瑟科金属材料有限公司</w:t>
      </w:r>
      <w:r>
        <w:rPr>
          <w:rFonts w:hint="eastAsia"/>
          <w:color w:val="auto"/>
          <w:sz w:val="24"/>
          <w:szCs w:val="32"/>
        </w:rPr>
        <w:t>实际排污量能够满足</w:t>
      </w:r>
      <w:r>
        <w:rPr>
          <w:rFonts w:hint="eastAsia"/>
          <w:color w:val="auto"/>
          <w:sz w:val="24"/>
          <w:szCs w:val="32"/>
          <w:lang w:val="en-US" w:eastAsia="zh-CN"/>
        </w:rPr>
        <w:t>现行</w:t>
      </w:r>
      <w:r>
        <w:rPr>
          <w:rFonts w:hint="eastAsia"/>
          <w:color w:val="auto"/>
          <w:sz w:val="24"/>
          <w:szCs w:val="32"/>
        </w:rPr>
        <w:t>总量控制</w:t>
      </w:r>
      <w:r>
        <w:rPr>
          <w:rFonts w:hint="eastAsia"/>
          <w:color w:val="auto"/>
          <w:sz w:val="24"/>
          <w:szCs w:val="32"/>
          <w:lang w:val="en-US" w:eastAsia="zh-CN"/>
        </w:rPr>
        <w:t>指标的</w:t>
      </w:r>
      <w:r>
        <w:rPr>
          <w:rFonts w:hint="eastAsia"/>
          <w:color w:val="auto"/>
          <w:sz w:val="24"/>
          <w:szCs w:val="32"/>
        </w:rPr>
        <w:t>要求</w:t>
      </w:r>
      <w:r>
        <w:rPr>
          <w:rFonts w:hint="eastAsia" w:ascii="Times New Roman" w:hAnsi="Times New Roman" w:cs="Times New Roman"/>
          <w:color w:val="auto"/>
          <w:sz w:val="24"/>
          <w:szCs w:val="32"/>
          <w:lang w:val="en-US" w:eastAsia="zh-CN"/>
        </w:rPr>
        <w:t>。</w:t>
      </w:r>
    </w:p>
    <w:p w14:paraId="47BAA086">
      <w:pPr>
        <w:spacing w:line="360" w:lineRule="auto"/>
        <w:outlineLvl w:val="1"/>
        <w:rPr>
          <w:rFonts w:hint="default"/>
          <w:b/>
          <w:bCs/>
          <w:color w:val="auto"/>
          <w:sz w:val="28"/>
          <w:szCs w:val="28"/>
          <w:highlight w:val="none"/>
          <w:lang w:val="en-US" w:eastAsia="zh-CN"/>
        </w:rPr>
      </w:pPr>
      <w:bookmarkStart w:id="291" w:name="_Toc17377"/>
      <w:r>
        <w:rPr>
          <w:rFonts w:hint="default"/>
          <w:b/>
          <w:bCs/>
          <w:color w:val="auto"/>
          <w:sz w:val="28"/>
          <w:szCs w:val="28"/>
          <w:highlight w:val="none"/>
          <w:lang w:val="en-US" w:eastAsia="zh-CN"/>
        </w:rPr>
        <w:t>3.</w:t>
      </w:r>
      <w:r>
        <w:rPr>
          <w:rFonts w:hint="eastAsia"/>
          <w:b/>
          <w:bCs/>
          <w:color w:val="auto"/>
          <w:sz w:val="28"/>
          <w:szCs w:val="28"/>
          <w:highlight w:val="none"/>
          <w:lang w:val="en-US" w:eastAsia="zh-CN"/>
        </w:rPr>
        <w:t>5</w:t>
      </w:r>
      <w:r>
        <w:rPr>
          <w:rFonts w:hint="default"/>
          <w:b/>
          <w:bCs/>
          <w:color w:val="auto"/>
          <w:sz w:val="28"/>
          <w:szCs w:val="28"/>
          <w:highlight w:val="none"/>
          <w:lang w:val="en-US" w:eastAsia="zh-CN"/>
        </w:rPr>
        <w:t>现有工程主要存在的问题及后续整改措施</w:t>
      </w:r>
      <w:bookmarkEnd w:id="291"/>
    </w:p>
    <w:p w14:paraId="1D305C7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bCs/>
          <w:color w:val="auto"/>
          <w:sz w:val="28"/>
          <w:szCs w:val="28"/>
          <w:highlight w:val="none"/>
          <w:lang w:val="en-US" w:eastAsia="zh-CN"/>
        </w:rPr>
      </w:pPr>
      <w:r>
        <w:rPr>
          <w:rFonts w:hint="default"/>
          <w:b w:val="0"/>
          <w:bCs w:val="0"/>
          <w:color w:val="auto"/>
          <w:sz w:val="24"/>
          <w:szCs w:val="24"/>
          <w:highlight w:val="none"/>
          <w:lang w:val="en-US" w:eastAsia="zh-CN"/>
        </w:rPr>
        <w:t>目前现有厂区存在的环保问题主要体现在以下几方面：</w:t>
      </w:r>
    </w:p>
    <w:p w14:paraId="38B5A3B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outlineLvl w:val="9"/>
        <w:rPr>
          <w:rFonts w:hint="eastAsia" w:cs="Times New Roman"/>
          <w:b w:val="0"/>
          <w:bCs/>
          <w:color w:val="auto"/>
          <w:sz w:val="24"/>
          <w:highlight w:val="none"/>
          <w:lang w:val="en-US" w:eastAsia="zh-CN"/>
        </w:rPr>
      </w:pPr>
      <w:r>
        <w:rPr>
          <w:rFonts w:hint="eastAsia" w:ascii="Times New Roman" w:hAnsi="Times New Roman" w:eastAsia="宋体" w:cs="Times New Roman"/>
          <w:b w:val="0"/>
          <w:bCs/>
          <w:color w:val="auto"/>
          <w:kern w:val="2"/>
          <w:sz w:val="24"/>
          <w:szCs w:val="24"/>
          <w:lang w:val="en-US" w:eastAsia="zh-CN" w:bidi="ar-SA"/>
        </w:rPr>
        <w:t>（1）</w:t>
      </w:r>
      <w:r>
        <w:rPr>
          <w:rFonts w:hint="eastAsia" w:cs="Times New Roman"/>
          <w:b w:val="0"/>
          <w:bCs/>
          <w:color w:val="auto"/>
          <w:sz w:val="24"/>
          <w:highlight w:val="none"/>
          <w:lang w:eastAsia="zh-CN"/>
        </w:rPr>
        <w:t>企业生产车间地面硬化局部破</w:t>
      </w:r>
      <w:r>
        <w:rPr>
          <w:rFonts w:hint="eastAsia" w:cs="Times New Roman"/>
          <w:b w:val="0"/>
          <w:bCs/>
          <w:color w:val="auto"/>
          <w:sz w:val="24"/>
          <w:highlight w:val="none"/>
          <w:lang w:val="en-US" w:eastAsia="zh-CN"/>
        </w:rPr>
        <w:t>损及车间墙面破损；</w:t>
      </w:r>
    </w:p>
    <w:p w14:paraId="2782981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outlineLvl w:val="9"/>
        <w:rPr>
          <w:rFonts w:hint="eastAsia" w:cs="Times New Roman"/>
          <w:b w:val="0"/>
          <w:bCs/>
          <w:color w:val="auto"/>
          <w:sz w:val="24"/>
          <w:highlight w:val="none"/>
          <w:lang w:val="en-US" w:eastAsia="zh-CN"/>
        </w:rPr>
      </w:pPr>
      <w:r>
        <w:rPr>
          <w:rFonts w:hint="eastAsia" w:ascii="Times New Roman" w:hAnsi="Times New Roman" w:eastAsia="宋体" w:cs="Times New Roman"/>
          <w:b w:val="0"/>
          <w:bCs/>
          <w:color w:val="auto"/>
          <w:kern w:val="2"/>
          <w:sz w:val="24"/>
          <w:szCs w:val="24"/>
          <w:lang w:val="en-US" w:eastAsia="zh-CN" w:bidi="ar-SA"/>
        </w:rPr>
        <w:t>（2）</w:t>
      </w:r>
      <w:r>
        <w:rPr>
          <w:rFonts w:hint="eastAsia" w:cs="Times New Roman"/>
          <w:b w:val="0"/>
          <w:bCs/>
          <w:color w:val="auto"/>
          <w:sz w:val="24"/>
          <w:highlight w:val="none"/>
          <w:lang w:val="en-US" w:eastAsia="zh-CN"/>
        </w:rPr>
        <w:t>废气在线监测设备及日常管理需加强完善；</w:t>
      </w:r>
    </w:p>
    <w:p w14:paraId="194F11D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outlineLvl w:val="9"/>
        <w:rPr>
          <w:rFonts w:hint="eastAsia" w:cs="Times New Roman"/>
          <w:b w:val="0"/>
          <w:bCs/>
          <w:color w:val="auto"/>
          <w:sz w:val="24"/>
          <w:highlight w:val="none"/>
          <w:lang w:val="en-US" w:eastAsia="zh-CN"/>
        </w:rPr>
      </w:pPr>
      <w:r>
        <w:rPr>
          <w:rFonts w:hint="eastAsia" w:cs="Times New Roman"/>
          <w:b w:val="0"/>
          <w:bCs/>
          <w:color w:val="auto"/>
          <w:sz w:val="24"/>
          <w:highlight w:val="none"/>
          <w:lang w:val="en-US" w:eastAsia="zh-CN"/>
        </w:rPr>
        <w:t>（3）厂区未建立土壤及地下水环境例行监测制度，未按要求开展土壤及地下水环境质量监测，未设置地下水监测井，无法及时掌握土壤及地下水环境质量状况；</w:t>
      </w:r>
    </w:p>
    <w:p w14:paraId="737D70E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outlineLvl w:val="9"/>
        <w:rPr>
          <w:rFonts w:hint="eastAsia" w:cs="Times New Roman"/>
          <w:b w:val="0"/>
          <w:bCs/>
          <w:color w:val="auto"/>
          <w:sz w:val="24"/>
          <w:highlight w:val="none"/>
          <w:lang w:val="en-US" w:eastAsia="zh-CN"/>
        </w:rPr>
      </w:pPr>
      <w:r>
        <w:rPr>
          <w:rFonts w:hint="eastAsia" w:cs="Times New Roman"/>
          <w:b w:val="0"/>
          <w:bCs/>
          <w:color w:val="auto"/>
          <w:sz w:val="24"/>
          <w:highlight w:val="none"/>
          <w:lang w:val="en-US" w:eastAsia="zh-CN"/>
        </w:rPr>
        <w:t>（4）厂区未按《企业事业单位突发环境事件应急预案备案管理办法》《突发环境事件应急管理办法》等相关规定编制企业突发环境事件应急预案。</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81"/>
        <w:gridCol w:w="4981"/>
      </w:tblGrid>
      <w:tr w14:paraId="67E4B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81" w:type="dxa"/>
            <w:tcBorders>
              <w:top w:val="dotted" w:color="auto" w:sz="4" w:space="0"/>
              <w:left w:val="dotted" w:color="auto" w:sz="4" w:space="0"/>
              <w:bottom w:val="dotted" w:color="auto" w:sz="4" w:space="0"/>
              <w:right w:val="dotted" w:color="auto" w:sz="4" w:space="0"/>
            </w:tcBorders>
          </w:tcPr>
          <w:p w14:paraId="300B2594">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outlineLvl w:val="9"/>
              <w:rPr>
                <w:rFonts w:hint="eastAsia" w:ascii="Times New Roman" w:hAnsi="Times New Roman" w:eastAsia="宋体" w:cs="Times New Roman"/>
                <w:b/>
                <w:color w:val="auto"/>
                <w:sz w:val="24"/>
                <w:highlight w:val="none"/>
                <w:vertAlign w:val="baseline"/>
                <w:lang w:eastAsia="zh-CN"/>
              </w:rPr>
            </w:pPr>
            <w:r>
              <w:rPr>
                <w:rFonts w:hint="eastAsia" w:ascii="Times New Roman" w:hAnsi="Times New Roman" w:eastAsia="宋体" w:cs="Times New Roman"/>
                <w:b/>
                <w:color w:val="auto"/>
                <w:sz w:val="24"/>
                <w:highlight w:val="none"/>
                <w:vertAlign w:val="baseline"/>
                <w:lang w:eastAsia="zh-CN"/>
              </w:rPr>
              <w:drawing>
                <wp:inline distT="0" distB="0" distL="114300" distR="114300">
                  <wp:extent cx="3021965" cy="2334895"/>
                  <wp:effectExtent l="0" t="0" r="6985" b="8255"/>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pic:cNvPicPr>
                        </pic:nvPicPr>
                        <pic:blipFill>
                          <a:blip r:embed="rId26"/>
                          <a:stretch>
                            <a:fillRect/>
                          </a:stretch>
                        </pic:blipFill>
                        <pic:spPr>
                          <a:xfrm>
                            <a:off x="0" y="0"/>
                            <a:ext cx="3021965" cy="2334895"/>
                          </a:xfrm>
                          <a:prstGeom prst="rect">
                            <a:avLst/>
                          </a:prstGeom>
                        </pic:spPr>
                      </pic:pic>
                    </a:graphicData>
                  </a:graphic>
                </wp:inline>
              </w:drawing>
            </w:r>
          </w:p>
        </w:tc>
        <w:tc>
          <w:tcPr>
            <w:tcW w:w="4981" w:type="dxa"/>
            <w:tcBorders>
              <w:top w:val="dotted" w:color="auto" w:sz="4" w:space="0"/>
              <w:left w:val="dotted" w:color="auto" w:sz="4" w:space="0"/>
              <w:bottom w:val="dotted" w:color="auto" w:sz="4" w:space="0"/>
              <w:right w:val="dotted" w:color="auto" w:sz="4" w:space="0"/>
            </w:tcBorders>
          </w:tcPr>
          <w:p w14:paraId="12E2B68F">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outlineLvl w:val="9"/>
              <w:rPr>
                <w:rFonts w:hint="eastAsia" w:ascii="Times New Roman" w:hAnsi="Times New Roman" w:eastAsia="宋体" w:cs="Times New Roman"/>
                <w:b/>
                <w:color w:val="auto"/>
                <w:sz w:val="24"/>
                <w:highlight w:val="none"/>
                <w:vertAlign w:val="baseline"/>
                <w:lang w:eastAsia="zh-CN"/>
              </w:rPr>
            </w:pPr>
            <w:r>
              <w:rPr>
                <w:rFonts w:hint="eastAsia" w:ascii="Times New Roman" w:hAnsi="Times New Roman" w:eastAsia="宋体" w:cs="Times New Roman"/>
                <w:b/>
                <w:color w:val="auto"/>
                <w:sz w:val="24"/>
                <w:highlight w:val="none"/>
                <w:vertAlign w:val="baseline"/>
                <w:lang w:eastAsia="zh-CN"/>
              </w:rPr>
              <w:drawing>
                <wp:inline distT="0" distB="0" distL="114300" distR="114300">
                  <wp:extent cx="3016885" cy="2294255"/>
                  <wp:effectExtent l="0" t="0" r="12065" b="10795"/>
                  <wp:docPr id="3" name="图片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
                          <pic:cNvPicPr>
                            <a:picLocks noChangeAspect="1"/>
                          </pic:cNvPicPr>
                        </pic:nvPicPr>
                        <pic:blipFill>
                          <a:blip r:embed="rId27"/>
                          <a:stretch>
                            <a:fillRect/>
                          </a:stretch>
                        </pic:blipFill>
                        <pic:spPr>
                          <a:xfrm>
                            <a:off x="0" y="0"/>
                            <a:ext cx="3016885" cy="2294255"/>
                          </a:xfrm>
                          <a:prstGeom prst="rect">
                            <a:avLst/>
                          </a:prstGeom>
                        </pic:spPr>
                      </pic:pic>
                    </a:graphicData>
                  </a:graphic>
                </wp:inline>
              </w:drawing>
            </w:r>
          </w:p>
        </w:tc>
      </w:tr>
      <w:tr w14:paraId="4EF3D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81" w:type="dxa"/>
            <w:tcBorders>
              <w:top w:val="dotted" w:color="auto" w:sz="4" w:space="0"/>
              <w:left w:val="dotted" w:color="auto" w:sz="4" w:space="0"/>
              <w:bottom w:val="dotted" w:color="auto" w:sz="4" w:space="0"/>
              <w:right w:val="dotted" w:color="auto" w:sz="4" w:space="0"/>
            </w:tcBorders>
          </w:tcPr>
          <w:p w14:paraId="6F2BB37B">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outlineLvl w:val="9"/>
              <w:rPr>
                <w:rFonts w:hint="eastAsia" w:ascii="Times New Roman" w:hAnsi="Times New Roman" w:eastAsia="宋体" w:cs="Times New Roman"/>
                <w:b/>
                <w:color w:val="auto"/>
                <w:sz w:val="24"/>
                <w:highlight w:val="none"/>
                <w:vertAlign w:val="baseline"/>
                <w:lang w:eastAsia="zh-CN"/>
              </w:rPr>
            </w:pPr>
            <w:r>
              <w:rPr>
                <w:rFonts w:hint="eastAsia" w:ascii="Times New Roman" w:hAnsi="Times New Roman" w:eastAsia="宋体" w:cs="Times New Roman"/>
                <w:b/>
                <w:color w:val="auto"/>
                <w:sz w:val="24"/>
                <w:highlight w:val="none"/>
                <w:vertAlign w:val="baseline"/>
                <w:lang w:eastAsia="zh-CN"/>
              </w:rPr>
              <w:drawing>
                <wp:inline distT="0" distB="0" distL="114300" distR="114300">
                  <wp:extent cx="3020060" cy="2309495"/>
                  <wp:effectExtent l="0" t="0" r="8890" b="14605"/>
                  <wp:docPr id="4" name="图片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
                          <pic:cNvPicPr>
                            <a:picLocks noChangeAspect="1"/>
                          </pic:cNvPicPr>
                        </pic:nvPicPr>
                        <pic:blipFill>
                          <a:blip r:embed="rId28"/>
                          <a:stretch>
                            <a:fillRect/>
                          </a:stretch>
                        </pic:blipFill>
                        <pic:spPr>
                          <a:xfrm>
                            <a:off x="0" y="0"/>
                            <a:ext cx="3020060" cy="2309495"/>
                          </a:xfrm>
                          <a:prstGeom prst="rect">
                            <a:avLst/>
                          </a:prstGeom>
                        </pic:spPr>
                      </pic:pic>
                    </a:graphicData>
                  </a:graphic>
                </wp:inline>
              </w:drawing>
            </w:r>
          </w:p>
        </w:tc>
        <w:tc>
          <w:tcPr>
            <w:tcW w:w="4981" w:type="dxa"/>
            <w:tcBorders>
              <w:top w:val="dotted" w:color="auto" w:sz="4" w:space="0"/>
              <w:left w:val="dotted" w:color="auto" w:sz="4" w:space="0"/>
              <w:bottom w:val="dotted" w:color="auto" w:sz="4" w:space="0"/>
              <w:right w:val="dotted" w:color="auto" w:sz="4" w:space="0"/>
            </w:tcBorders>
          </w:tcPr>
          <w:p w14:paraId="11B2DD30">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outlineLvl w:val="9"/>
              <w:rPr>
                <w:rFonts w:hint="eastAsia" w:ascii="Times New Roman" w:hAnsi="Times New Roman" w:eastAsia="宋体" w:cs="Times New Roman"/>
                <w:b/>
                <w:color w:val="auto"/>
                <w:sz w:val="24"/>
                <w:highlight w:val="none"/>
                <w:vertAlign w:val="baseline"/>
                <w:lang w:eastAsia="zh-CN"/>
              </w:rPr>
            </w:pPr>
            <w:r>
              <w:rPr>
                <w:rFonts w:hint="eastAsia" w:ascii="Times New Roman" w:hAnsi="Times New Roman" w:eastAsia="宋体" w:cs="Times New Roman"/>
                <w:b/>
                <w:color w:val="auto"/>
                <w:sz w:val="24"/>
                <w:highlight w:val="none"/>
                <w:vertAlign w:val="baseline"/>
                <w:lang w:eastAsia="zh-CN"/>
              </w:rPr>
              <w:drawing>
                <wp:inline distT="0" distB="0" distL="114300" distR="114300">
                  <wp:extent cx="3017520" cy="2326640"/>
                  <wp:effectExtent l="0" t="0" r="11430" b="16510"/>
                  <wp:docPr id="5" name="图片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
                          <pic:cNvPicPr>
                            <a:picLocks noChangeAspect="1"/>
                          </pic:cNvPicPr>
                        </pic:nvPicPr>
                        <pic:blipFill>
                          <a:blip r:embed="rId29"/>
                          <a:stretch>
                            <a:fillRect/>
                          </a:stretch>
                        </pic:blipFill>
                        <pic:spPr>
                          <a:xfrm>
                            <a:off x="0" y="0"/>
                            <a:ext cx="3017520" cy="2326640"/>
                          </a:xfrm>
                          <a:prstGeom prst="rect">
                            <a:avLst/>
                          </a:prstGeom>
                        </pic:spPr>
                      </pic:pic>
                    </a:graphicData>
                  </a:graphic>
                </wp:inline>
              </w:drawing>
            </w:r>
          </w:p>
        </w:tc>
      </w:tr>
      <w:tr w14:paraId="5BC54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gridSpan w:val="2"/>
            <w:tcBorders>
              <w:top w:val="dotted" w:color="auto" w:sz="4" w:space="0"/>
              <w:left w:val="nil"/>
              <w:bottom w:val="nil"/>
              <w:right w:val="nil"/>
            </w:tcBorders>
          </w:tcPr>
          <w:p w14:paraId="1C2329AA">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outlineLvl w:val="9"/>
              <w:rPr>
                <w:rFonts w:hint="default" w:ascii="Times New Roman" w:hAnsi="Times New Roman" w:eastAsia="宋体" w:cs="Times New Roman"/>
                <w:b/>
                <w:color w:val="auto"/>
                <w:sz w:val="24"/>
                <w:highlight w:val="none"/>
                <w:vertAlign w:val="baseline"/>
                <w:lang w:val="en-US" w:eastAsia="zh-CN"/>
              </w:rPr>
            </w:pPr>
            <w:r>
              <w:rPr>
                <w:rFonts w:hint="eastAsia" w:cs="Times New Roman"/>
                <w:b/>
                <w:color w:val="auto"/>
                <w:sz w:val="24"/>
                <w:highlight w:val="none"/>
                <w:vertAlign w:val="baseline"/>
                <w:lang w:val="en-US" w:eastAsia="zh-CN"/>
              </w:rPr>
              <w:t>图3-4 厂区地面硬化破损及墙面破损情况示意图</w:t>
            </w:r>
          </w:p>
        </w:tc>
      </w:tr>
    </w:tbl>
    <w:p w14:paraId="25D3523F">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outlineLvl w:val="9"/>
        <w:rPr>
          <w:rFonts w:ascii="Times New Roman" w:hAnsi="Times New Roman" w:cs="Times New Roman"/>
          <w:b/>
          <w:color w:val="auto"/>
          <w:sz w:val="24"/>
          <w:highlight w:val="none"/>
        </w:rPr>
      </w:pPr>
      <w:r>
        <w:rPr>
          <w:rFonts w:ascii="Times New Roman" w:hAnsi="Times New Roman" w:cs="Times New Roman"/>
          <w:b/>
          <w:color w:val="auto"/>
          <w:sz w:val="24"/>
          <w:highlight w:val="none"/>
        </w:rPr>
        <w:t>表3</w:t>
      </w:r>
      <w:r>
        <w:rPr>
          <w:rFonts w:hint="eastAsia" w:ascii="Times New Roman" w:hAnsi="Times New Roman" w:cs="Times New Roman"/>
          <w:b/>
          <w:color w:val="auto"/>
          <w:sz w:val="24"/>
          <w:highlight w:val="none"/>
          <w:lang w:val="en-US" w:eastAsia="zh-CN"/>
        </w:rPr>
        <w:t>-1</w:t>
      </w:r>
      <w:r>
        <w:rPr>
          <w:rFonts w:hint="eastAsia" w:cs="Times New Roman"/>
          <w:b/>
          <w:color w:val="auto"/>
          <w:sz w:val="24"/>
          <w:highlight w:val="none"/>
          <w:lang w:val="en-US" w:eastAsia="zh-CN"/>
        </w:rPr>
        <w:t>4</w:t>
      </w:r>
      <w:r>
        <w:rPr>
          <w:rFonts w:hint="eastAsia" w:ascii="Times New Roman" w:hAnsi="Times New Roman" w:cs="Times New Roman"/>
          <w:b/>
          <w:color w:val="auto"/>
          <w:sz w:val="24"/>
          <w:highlight w:val="none"/>
          <w:lang w:val="en-US" w:eastAsia="zh-CN"/>
        </w:rPr>
        <w:t xml:space="preserve"> </w:t>
      </w:r>
      <w:r>
        <w:rPr>
          <w:rFonts w:ascii="Times New Roman" w:hAnsi="Times New Roman" w:cs="Times New Roman"/>
          <w:b/>
          <w:color w:val="auto"/>
          <w:sz w:val="24"/>
          <w:highlight w:val="none"/>
        </w:rPr>
        <w:t>现有工程存在问题和整改措施表</w:t>
      </w:r>
    </w:p>
    <w:tbl>
      <w:tblPr>
        <w:tblStyle w:val="3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76"/>
        <w:gridCol w:w="3904"/>
        <w:gridCol w:w="5182"/>
      </w:tblGrid>
      <w:tr w14:paraId="2CD054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2D16586A">
            <w:pPr>
              <w:pStyle w:val="6"/>
              <w:spacing w:line="320" w:lineRule="exact"/>
              <w:ind w:firstLine="0"/>
              <w:jc w:val="center"/>
              <w:rPr>
                <w:rFonts w:ascii="Times New Roman" w:hAnsi="Times New Roman" w:cs="Times New Roman"/>
                <w:b/>
                <w:bCs/>
                <w:color w:val="auto"/>
                <w:szCs w:val="21"/>
              </w:rPr>
            </w:pPr>
            <w:r>
              <w:rPr>
                <w:rFonts w:ascii="Times New Roman" w:hAnsi="Times New Roman" w:cs="Times New Roman"/>
                <w:b/>
                <w:bCs/>
                <w:color w:val="auto"/>
                <w:szCs w:val="21"/>
              </w:rPr>
              <w:t>序号</w:t>
            </w:r>
          </w:p>
        </w:tc>
        <w:tc>
          <w:tcPr>
            <w:tcW w:w="3904" w:type="dxa"/>
            <w:tcBorders>
              <w:tl2br w:val="nil"/>
              <w:tr2bl w:val="nil"/>
            </w:tcBorders>
            <w:vAlign w:val="center"/>
          </w:tcPr>
          <w:p w14:paraId="00A97780">
            <w:pPr>
              <w:pStyle w:val="6"/>
              <w:spacing w:line="320" w:lineRule="exact"/>
              <w:ind w:firstLine="480"/>
              <w:jc w:val="center"/>
              <w:rPr>
                <w:rFonts w:ascii="Times New Roman" w:hAnsi="Times New Roman" w:cs="Times New Roman"/>
                <w:b/>
                <w:bCs/>
                <w:color w:val="auto"/>
                <w:szCs w:val="21"/>
              </w:rPr>
            </w:pPr>
            <w:r>
              <w:rPr>
                <w:rFonts w:ascii="Times New Roman" w:hAnsi="Times New Roman" w:cs="Times New Roman"/>
                <w:b/>
                <w:bCs/>
                <w:color w:val="auto"/>
                <w:szCs w:val="21"/>
              </w:rPr>
              <w:t>现有工程存在问题</w:t>
            </w:r>
          </w:p>
        </w:tc>
        <w:tc>
          <w:tcPr>
            <w:tcW w:w="5182" w:type="dxa"/>
            <w:tcBorders>
              <w:tl2br w:val="nil"/>
              <w:tr2bl w:val="nil"/>
            </w:tcBorders>
            <w:vAlign w:val="center"/>
          </w:tcPr>
          <w:p w14:paraId="735FDE2D">
            <w:pPr>
              <w:pStyle w:val="6"/>
              <w:spacing w:line="320" w:lineRule="exact"/>
              <w:ind w:firstLine="0"/>
              <w:jc w:val="center"/>
              <w:rPr>
                <w:rFonts w:ascii="Times New Roman" w:hAnsi="Times New Roman" w:cs="Times New Roman"/>
                <w:b/>
                <w:bCs/>
                <w:color w:val="auto"/>
                <w:szCs w:val="21"/>
              </w:rPr>
            </w:pPr>
            <w:r>
              <w:rPr>
                <w:rFonts w:ascii="Times New Roman" w:hAnsi="Times New Roman" w:cs="Times New Roman"/>
                <w:b/>
                <w:bCs/>
                <w:color w:val="auto"/>
                <w:szCs w:val="21"/>
              </w:rPr>
              <w:t>整改措施</w:t>
            </w:r>
          </w:p>
        </w:tc>
      </w:tr>
      <w:tr w14:paraId="0E0466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1CC8EA81">
            <w:pPr>
              <w:pStyle w:val="6"/>
              <w:spacing w:line="320" w:lineRule="exact"/>
              <w:ind w:firstLine="0"/>
              <w:jc w:val="center"/>
              <w:rPr>
                <w:rFonts w:ascii="Times New Roman" w:hAnsi="Times New Roman" w:cs="Times New Roman"/>
                <w:color w:val="auto"/>
                <w:szCs w:val="21"/>
              </w:rPr>
            </w:pPr>
            <w:r>
              <w:rPr>
                <w:rFonts w:ascii="Times New Roman" w:hAnsi="Times New Roman" w:cs="Times New Roman"/>
                <w:color w:val="auto"/>
                <w:szCs w:val="21"/>
              </w:rPr>
              <w:t>1</w:t>
            </w:r>
          </w:p>
        </w:tc>
        <w:tc>
          <w:tcPr>
            <w:tcW w:w="3904" w:type="dxa"/>
            <w:tcBorders>
              <w:tl2br w:val="nil"/>
              <w:tr2bl w:val="nil"/>
            </w:tcBorders>
            <w:vAlign w:val="center"/>
          </w:tcPr>
          <w:p w14:paraId="5CAD8B47">
            <w:pPr>
              <w:spacing w:line="320" w:lineRule="exact"/>
              <w:ind w:left="105" w:hanging="105" w:hangingChars="50"/>
              <w:jc w:val="center"/>
              <w:rPr>
                <w:rFonts w:hint="eastAsia" w:eastAsiaTheme="minorEastAsia"/>
                <w:color w:val="auto"/>
                <w:szCs w:val="21"/>
                <w:lang w:eastAsia="zh-CN"/>
              </w:rPr>
            </w:pPr>
            <w:r>
              <w:rPr>
                <w:rFonts w:eastAsiaTheme="minorEastAsia"/>
                <w:color w:val="auto"/>
                <w:szCs w:val="21"/>
              </w:rPr>
              <w:t>企业生产车间地面硬化局部破</w:t>
            </w:r>
            <w:r>
              <w:rPr>
                <w:rFonts w:hint="eastAsia" w:eastAsiaTheme="minorEastAsia"/>
                <w:color w:val="auto"/>
                <w:szCs w:val="21"/>
                <w:lang w:val="en-US" w:eastAsia="zh-CN"/>
              </w:rPr>
              <w:t>损</w:t>
            </w:r>
          </w:p>
        </w:tc>
        <w:tc>
          <w:tcPr>
            <w:tcW w:w="5182" w:type="dxa"/>
            <w:tcBorders>
              <w:tl2br w:val="nil"/>
              <w:tr2bl w:val="nil"/>
            </w:tcBorders>
            <w:vAlign w:val="center"/>
          </w:tcPr>
          <w:p w14:paraId="105265F3">
            <w:pPr>
              <w:pStyle w:val="6"/>
              <w:spacing w:line="320" w:lineRule="exact"/>
              <w:ind w:firstLine="0"/>
              <w:jc w:val="center"/>
              <w:rPr>
                <w:rFonts w:ascii="Times New Roman" w:hAnsi="Times New Roman" w:cs="Times New Roman"/>
                <w:color w:val="auto"/>
                <w:szCs w:val="21"/>
              </w:rPr>
            </w:pPr>
            <w:r>
              <w:rPr>
                <w:rFonts w:ascii="Times New Roman" w:hAnsi="Times New Roman" w:cs="Times New Roman"/>
                <w:color w:val="auto"/>
                <w:szCs w:val="21"/>
              </w:rPr>
              <w:t>对生产车间局部破裂地面重新硬化，建议表层铺设环氧地坪漆。</w:t>
            </w:r>
          </w:p>
        </w:tc>
      </w:tr>
      <w:tr w14:paraId="61E3E4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691BF964">
            <w:pPr>
              <w:pStyle w:val="6"/>
              <w:spacing w:line="320" w:lineRule="exact"/>
              <w:ind w:firstLine="0"/>
              <w:jc w:val="center"/>
              <w:rPr>
                <w:rFonts w:ascii="Times New Roman" w:hAnsi="Times New Roman" w:cs="Times New Roman"/>
                <w:color w:val="auto"/>
                <w:szCs w:val="21"/>
              </w:rPr>
            </w:pPr>
            <w:r>
              <w:rPr>
                <w:rFonts w:ascii="Times New Roman" w:hAnsi="Times New Roman" w:cs="Times New Roman"/>
                <w:color w:val="auto"/>
                <w:szCs w:val="21"/>
              </w:rPr>
              <w:t>2</w:t>
            </w:r>
          </w:p>
        </w:tc>
        <w:tc>
          <w:tcPr>
            <w:tcW w:w="3904" w:type="dxa"/>
            <w:tcBorders>
              <w:tl2br w:val="nil"/>
              <w:tr2bl w:val="nil"/>
            </w:tcBorders>
            <w:vAlign w:val="center"/>
          </w:tcPr>
          <w:p w14:paraId="701805D8">
            <w:pPr>
              <w:spacing w:line="320" w:lineRule="exact"/>
              <w:ind w:firstLine="0"/>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废气在线监测设备及日常管理需加强完善</w:t>
            </w:r>
          </w:p>
        </w:tc>
        <w:tc>
          <w:tcPr>
            <w:tcW w:w="5182" w:type="dxa"/>
            <w:tcBorders>
              <w:tl2br w:val="nil"/>
              <w:tr2bl w:val="nil"/>
            </w:tcBorders>
            <w:vAlign w:val="center"/>
          </w:tcPr>
          <w:p w14:paraId="39556ACE">
            <w:pPr>
              <w:pStyle w:val="6"/>
              <w:spacing w:line="320" w:lineRule="exact"/>
              <w:ind w:firstLine="0"/>
              <w:jc w:val="center"/>
              <w:rPr>
                <w:rFonts w:hint="default" w:ascii="Times New Roman" w:hAnsi="Times New Roman" w:cs="Times New Roman" w:eastAsiaTheme="minorEastAsia"/>
                <w:color w:val="auto"/>
                <w:szCs w:val="21"/>
                <w:lang w:val="en-US" w:eastAsia="zh-CN"/>
              </w:rPr>
            </w:pPr>
            <w:r>
              <w:rPr>
                <w:rFonts w:hint="eastAsia" w:cs="Times New Roman"/>
                <w:b w:val="0"/>
                <w:bCs w:val="0"/>
                <w:color w:val="auto"/>
                <w:sz w:val="21"/>
                <w:szCs w:val="21"/>
                <w:vertAlign w:val="baseline"/>
                <w:lang w:val="en-US" w:eastAsia="zh-CN"/>
              </w:rPr>
              <w:t>建立健全有组织废气在线监测设备的日常监控、管理</w:t>
            </w:r>
          </w:p>
        </w:tc>
      </w:tr>
      <w:tr w14:paraId="4B08C5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6929DFB4">
            <w:pPr>
              <w:pStyle w:val="6"/>
              <w:spacing w:line="320" w:lineRule="exact"/>
              <w:ind w:firstLine="0"/>
              <w:jc w:val="center"/>
              <w:rPr>
                <w:rFonts w:hint="eastAsia" w:ascii="Times New Roman" w:hAnsi="Times New Roman" w:cs="Times New Roman" w:eastAsiaTheme="minorEastAsia"/>
                <w:color w:val="0000FF"/>
                <w:szCs w:val="21"/>
                <w:lang w:val="en-US" w:eastAsia="zh-CN"/>
              </w:rPr>
            </w:pPr>
            <w:r>
              <w:rPr>
                <w:rFonts w:hint="eastAsia" w:ascii="Times New Roman" w:hAnsi="Times New Roman" w:cs="Times New Roman"/>
                <w:color w:val="0000FF"/>
                <w:szCs w:val="21"/>
                <w:lang w:val="en-US" w:eastAsia="zh-CN"/>
              </w:rPr>
              <w:t>3</w:t>
            </w:r>
          </w:p>
        </w:tc>
        <w:tc>
          <w:tcPr>
            <w:tcW w:w="3904" w:type="dxa"/>
            <w:tcBorders>
              <w:tl2br w:val="nil"/>
              <w:tr2bl w:val="nil"/>
            </w:tcBorders>
            <w:vAlign w:val="center"/>
          </w:tcPr>
          <w:p w14:paraId="6A4D8D50">
            <w:pPr>
              <w:spacing w:line="320" w:lineRule="exact"/>
              <w:ind w:firstLine="0"/>
              <w:jc w:val="center"/>
              <w:rPr>
                <w:rFonts w:hint="default" w:ascii="Times New Roman" w:hAnsi="Times New Roman" w:eastAsia="宋体" w:cs="Times New Roman"/>
                <w:color w:val="0000FF"/>
                <w:szCs w:val="21"/>
                <w:lang w:val="en-US" w:eastAsia="zh-CN"/>
              </w:rPr>
            </w:pPr>
            <w:r>
              <w:rPr>
                <w:rFonts w:hint="default" w:ascii="Times New Roman" w:hAnsi="Times New Roman" w:eastAsia="宋体" w:cs="Times New Roman"/>
                <w:color w:val="0000FF"/>
                <w:szCs w:val="21"/>
                <w:lang w:val="en-US" w:eastAsia="zh-CN"/>
              </w:rPr>
              <w:t>厂区未建立土壤及地下水环境例行监测制度，未按要求开展土壤及地下水环境质量监测，未设置地下水监测井，无法及时掌握土壤及地下水环境质量状况</w:t>
            </w:r>
          </w:p>
        </w:tc>
        <w:tc>
          <w:tcPr>
            <w:tcW w:w="5182" w:type="dxa"/>
            <w:tcBorders>
              <w:tl2br w:val="nil"/>
              <w:tr2bl w:val="nil"/>
            </w:tcBorders>
            <w:vAlign w:val="center"/>
          </w:tcPr>
          <w:p w14:paraId="0A34111C">
            <w:pPr>
              <w:pStyle w:val="6"/>
              <w:spacing w:line="320" w:lineRule="exact"/>
              <w:ind w:firstLine="0"/>
              <w:jc w:val="center"/>
              <w:rPr>
                <w:rFonts w:hint="default" w:cs="Times New Roman"/>
                <w:b w:val="0"/>
                <w:bCs w:val="0"/>
                <w:color w:val="0000FF"/>
                <w:sz w:val="21"/>
                <w:szCs w:val="21"/>
                <w:vertAlign w:val="baseline"/>
                <w:lang w:val="en-US" w:eastAsia="zh-CN"/>
              </w:rPr>
            </w:pPr>
            <w:r>
              <w:rPr>
                <w:rFonts w:hint="default" w:ascii="Times New Roman" w:hAnsi="Times New Roman" w:cs="Times New Roman"/>
                <w:b w:val="0"/>
                <w:bCs w:val="0"/>
                <w:color w:val="0000FF"/>
                <w:sz w:val="21"/>
                <w:szCs w:val="21"/>
                <w:vertAlign w:val="baseline"/>
                <w:lang w:val="en-US" w:eastAsia="zh-CN"/>
              </w:rPr>
              <w:t>结合厂区水文地质条件，设置地下水监测井</w:t>
            </w:r>
            <w:r>
              <w:rPr>
                <w:rFonts w:hint="eastAsia" w:ascii="Times New Roman" w:hAnsi="Times New Roman" w:cs="Times New Roman"/>
                <w:b w:val="0"/>
                <w:bCs w:val="0"/>
                <w:color w:val="0000FF"/>
                <w:sz w:val="21"/>
                <w:szCs w:val="21"/>
                <w:vertAlign w:val="baseline"/>
                <w:lang w:val="en-US" w:eastAsia="zh-CN"/>
              </w:rPr>
              <w:t>，并</w:t>
            </w:r>
            <w:r>
              <w:rPr>
                <w:rFonts w:hint="default" w:ascii="Times New Roman" w:hAnsi="Times New Roman" w:cs="Times New Roman"/>
                <w:b w:val="0"/>
                <w:bCs w:val="0"/>
                <w:color w:val="0000FF"/>
                <w:sz w:val="21"/>
                <w:szCs w:val="21"/>
                <w:vertAlign w:val="baseline"/>
                <w:lang w:val="en-US" w:eastAsia="zh-CN"/>
              </w:rPr>
              <w:t>按照《排污单位自行监测技术指南有色金属工业一再生金属》（HJ1208-2021）</w:t>
            </w:r>
            <w:r>
              <w:rPr>
                <w:rFonts w:hint="eastAsia" w:ascii="Times New Roman" w:hAnsi="Times New Roman" w:cs="Times New Roman"/>
                <w:b w:val="0"/>
                <w:bCs w:val="0"/>
                <w:color w:val="0000FF"/>
                <w:sz w:val="21"/>
                <w:szCs w:val="21"/>
                <w:vertAlign w:val="baseline"/>
                <w:lang w:val="en-US" w:eastAsia="zh-CN"/>
              </w:rPr>
              <w:t>相关要求定期开展</w:t>
            </w:r>
            <w:r>
              <w:rPr>
                <w:rFonts w:hint="default" w:ascii="Times New Roman" w:hAnsi="Times New Roman" w:eastAsia="宋体" w:cs="Times New Roman"/>
                <w:color w:val="0000FF"/>
                <w:szCs w:val="21"/>
                <w:lang w:val="en-US" w:eastAsia="zh-CN"/>
              </w:rPr>
              <w:t>土壤及地下水环境例行监测</w:t>
            </w:r>
          </w:p>
        </w:tc>
      </w:tr>
      <w:tr w14:paraId="56743C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1D23AB78">
            <w:pPr>
              <w:pStyle w:val="6"/>
              <w:spacing w:line="320" w:lineRule="exact"/>
              <w:ind w:firstLine="0"/>
              <w:jc w:val="center"/>
              <w:rPr>
                <w:rFonts w:hint="default" w:ascii="Times New Roman" w:hAnsi="Times New Roman" w:cs="Times New Roman"/>
                <w:color w:val="0000FF"/>
                <w:szCs w:val="21"/>
                <w:lang w:val="en-US" w:eastAsia="zh-CN"/>
              </w:rPr>
            </w:pPr>
            <w:r>
              <w:rPr>
                <w:rFonts w:hint="eastAsia" w:ascii="Times New Roman" w:hAnsi="Times New Roman" w:cs="Times New Roman"/>
                <w:color w:val="0000FF"/>
                <w:szCs w:val="21"/>
                <w:lang w:val="en-US" w:eastAsia="zh-CN"/>
              </w:rPr>
              <w:t>4</w:t>
            </w:r>
          </w:p>
        </w:tc>
        <w:tc>
          <w:tcPr>
            <w:tcW w:w="3904" w:type="dxa"/>
            <w:tcBorders>
              <w:tl2br w:val="nil"/>
              <w:tr2bl w:val="nil"/>
            </w:tcBorders>
            <w:vAlign w:val="center"/>
          </w:tcPr>
          <w:p w14:paraId="64841C06">
            <w:pPr>
              <w:spacing w:line="320" w:lineRule="exact"/>
              <w:ind w:firstLine="0"/>
              <w:jc w:val="center"/>
              <w:rPr>
                <w:rFonts w:hint="default" w:ascii="Times New Roman" w:hAnsi="Times New Roman" w:eastAsia="宋体" w:cs="Times New Roman"/>
                <w:color w:val="0000FF"/>
                <w:szCs w:val="21"/>
                <w:lang w:val="en-US" w:eastAsia="zh-CN"/>
              </w:rPr>
            </w:pPr>
            <w:r>
              <w:rPr>
                <w:rFonts w:hint="default" w:ascii="Times New Roman" w:hAnsi="Times New Roman" w:eastAsia="宋体" w:cs="Times New Roman"/>
                <w:color w:val="0000FF"/>
                <w:szCs w:val="21"/>
                <w:lang w:val="en-US" w:eastAsia="zh-CN"/>
              </w:rPr>
              <w:t>厂区未按《企业事业单位突发环境事件应急预案备案管理办法》《突发环境事件应急管理办法》等相关规定编制企业突发环境事件应急预案</w:t>
            </w:r>
          </w:p>
        </w:tc>
        <w:tc>
          <w:tcPr>
            <w:tcW w:w="5182" w:type="dxa"/>
            <w:tcBorders>
              <w:tl2br w:val="nil"/>
              <w:tr2bl w:val="nil"/>
            </w:tcBorders>
            <w:vAlign w:val="center"/>
          </w:tcPr>
          <w:p w14:paraId="6007BD6F">
            <w:pPr>
              <w:pStyle w:val="6"/>
              <w:spacing w:line="320" w:lineRule="exact"/>
              <w:ind w:firstLine="0"/>
              <w:jc w:val="center"/>
              <w:rPr>
                <w:rFonts w:hint="default" w:ascii="Times New Roman" w:hAnsi="Times New Roman" w:cs="Times New Roman"/>
                <w:b w:val="0"/>
                <w:bCs w:val="0"/>
                <w:color w:val="0000FF"/>
                <w:sz w:val="21"/>
                <w:szCs w:val="21"/>
                <w:vertAlign w:val="baseline"/>
                <w:lang w:val="en-US" w:eastAsia="zh-CN"/>
              </w:rPr>
            </w:pPr>
            <w:r>
              <w:rPr>
                <w:rFonts w:hint="default" w:ascii="Times New Roman" w:hAnsi="Times New Roman" w:cs="Times New Roman"/>
                <w:b w:val="0"/>
                <w:bCs w:val="0"/>
                <w:color w:val="0000FF"/>
                <w:sz w:val="21"/>
                <w:szCs w:val="21"/>
                <w:vertAlign w:val="baseline"/>
                <w:lang w:val="en-US" w:eastAsia="zh-CN"/>
              </w:rPr>
              <w:t>限期开展突发环境事件风险评估，编制符合厂区实际的突发环境事件应急预案并完成备案；定期组织应急培训与演练，配备必要应急物资与器材，完善环境应急防控体系</w:t>
            </w:r>
          </w:p>
        </w:tc>
      </w:tr>
    </w:tbl>
    <w:p w14:paraId="2D4F0D6F">
      <w:pPr>
        <w:keepNext w:val="0"/>
        <w:keepLines w:val="0"/>
        <w:pageBreakBefore w:val="0"/>
        <w:widowControl w:val="0"/>
        <w:kinsoku/>
        <w:wordWrap/>
        <w:overflowPunct/>
        <w:topLinePunct w:val="0"/>
        <w:autoSpaceDE/>
        <w:autoSpaceDN/>
        <w:bidi w:val="0"/>
        <w:adjustRightInd/>
        <w:snapToGrid/>
        <w:textAlignment w:val="auto"/>
        <w:outlineLvl w:val="9"/>
        <w:rPr>
          <w:rFonts w:hint="eastAsia"/>
          <w:color w:val="auto"/>
          <w:lang w:val="en-US" w:eastAsia="zh-CN"/>
        </w:rPr>
      </w:pPr>
    </w:p>
    <w:p w14:paraId="0CD78BAA">
      <w:pPr>
        <w:keepNext w:val="0"/>
        <w:keepLines w:val="0"/>
        <w:pageBreakBefore w:val="0"/>
        <w:widowControl w:val="0"/>
        <w:kinsoku/>
        <w:wordWrap/>
        <w:overflowPunct/>
        <w:topLinePunct w:val="0"/>
        <w:autoSpaceDE/>
        <w:autoSpaceDN/>
        <w:bidi w:val="0"/>
        <w:adjustRightInd/>
        <w:snapToGrid/>
        <w:textAlignment w:val="auto"/>
        <w:outlineLvl w:val="9"/>
        <w:rPr>
          <w:rFonts w:hint="eastAsia"/>
          <w:b/>
          <w:bCs/>
          <w:color w:val="auto"/>
          <w:sz w:val="28"/>
          <w:szCs w:val="36"/>
          <w:lang w:val="en-US" w:eastAsia="zh-CN"/>
        </w:rPr>
      </w:pPr>
      <w:r>
        <w:rPr>
          <w:rFonts w:hint="eastAsia"/>
          <w:b/>
          <w:bCs/>
          <w:color w:val="auto"/>
          <w:sz w:val="28"/>
          <w:szCs w:val="36"/>
          <w:lang w:val="en-US" w:eastAsia="zh-CN"/>
        </w:rPr>
        <w:t>3.6 生产设备变化对项目产能的影响分析</w:t>
      </w:r>
    </w:p>
    <w:p w14:paraId="15F10791">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eastAsia"/>
          <w:b/>
          <w:bCs/>
          <w:color w:val="auto"/>
          <w:sz w:val="24"/>
          <w:szCs w:val="32"/>
          <w:lang w:val="en-US" w:eastAsia="zh-CN"/>
        </w:rPr>
      </w:pPr>
      <w:r>
        <w:rPr>
          <w:rFonts w:hint="eastAsia"/>
          <w:b/>
          <w:bCs/>
          <w:color w:val="auto"/>
          <w:sz w:val="24"/>
          <w:szCs w:val="32"/>
          <w:lang w:val="en-US" w:eastAsia="zh-CN"/>
        </w:rPr>
        <w:t>3.6.1 设备调整前后产能对比</w:t>
      </w:r>
    </w:p>
    <w:p w14:paraId="3B02E0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auto"/>
          <w:sz w:val="24"/>
          <w:szCs w:val="32"/>
          <w:lang w:val="en-US" w:eastAsia="zh-CN"/>
        </w:rPr>
      </w:pPr>
      <w:r>
        <w:rPr>
          <w:rFonts w:hint="default"/>
          <w:b w:val="0"/>
          <w:bCs w:val="0"/>
          <w:color w:val="auto"/>
          <w:sz w:val="24"/>
          <w:szCs w:val="32"/>
          <w:lang w:val="en-US" w:eastAsia="zh-CN"/>
        </w:rPr>
        <w:t>本次设备调整属于企业内部生产设备的优化整合与升级替换，未新增任何生产单元、未扩大生产场地、未增加生产人员配置，产能始终严格维持在年产5.05万吨再生铝的原有水平，未突破任何产能上限。设备调整的核心目的是淘汰小型、低效、运维成本较高的设备，整合生产功能，提升设备运行效率和稳定性，具体设备变化明细及相关说明如下</w:t>
      </w:r>
      <w:r>
        <w:rPr>
          <w:rFonts w:hint="eastAsia"/>
          <w:b w:val="0"/>
          <w:bCs w:val="0"/>
          <w:color w:val="auto"/>
          <w:sz w:val="24"/>
          <w:szCs w:val="32"/>
          <w:lang w:val="en-US" w:eastAsia="zh-CN"/>
        </w:rPr>
        <w:t>：</w:t>
      </w:r>
    </w:p>
    <w:p w14:paraId="250D7162">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b/>
          <w:bCs/>
          <w:color w:val="auto"/>
          <w:sz w:val="24"/>
          <w:szCs w:val="32"/>
          <w:lang w:val="en-US" w:eastAsia="zh-CN"/>
        </w:rPr>
      </w:pPr>
      <w:r>
        <w:rPr>
          <w:rFonts w:hint="eastAsia"/>
          <w:b/>
          <w:bCs/>
          <w:color w:val="auto"/>
          <w:sz w:val="24"/>
          <w:szCs w:val="32"/>
          <w:lang w:val="en-US" w:eastAsia="zh-CN"/>
        </w:rPr>
        <w:t>3.6.1.1 调整前主要生产设备产能</w:t>
      </w:r>
    </w:p>
    <w:p w14:paraId="6C2EA0A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lang w:val="en-US" w:eastAsia="zh-CN"/>
        </w:rPr>
      </w:pPr>
      <w:r>
        <w:rPr>
          <w:rFonts w:hint="eastAsia"/>
          <w:b w:val="0"/>
          <w:bCs w:val="0"/>
          <w:color w:val="auto"/>
          <w:sz w:val="24"/>
          <w:szCs w:val="32"/>
          <w:lang w:val="en-US" w:eastAsia="zh-CN"/>
        </w:rPr>
        <w:t>（1）熔炼设备：1台40t熔炼炉（主要承担大批量废铝熔炼任务，日处理废铝量约80~90吨）、1台30t熔炼炉（辅助熔炼，日处理废铝量约50-60吨）、1台10t熔炼精炼两用炉（主要用于小批量废铝熔炼及应急精炼，日处理废铝量约15~20吨），三台熔炼设备合计日最大处理废铝量约170吨，可满足年产5.05万吨的产能需求；</w:t>
      </w:r>
    </w:p>
    <w:p w14:paraId="3907A3E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lang w:val="en-US" w:eastAsia="zh-CN"/>
        </w:rPr>
      </w:pPr>
      <w:r>
        <w:rPr>
          <w:rFonts w:hint="eastAsia"/>
          <w:b w:val="0"/>
          <w:bCs w:val="0"/>
          <w:color w:val="auto"/>
          <w:sz w:val="24"/>
          <w:szCs w:val="32"/>
          <w:lang w:val="en-US" w:eastAsia="zh-CN"/>
        </w:rPr>
        <w:t>（2）精炼设备：1台30t精炼炉（主要承担大批量铝液精炼任务，日精炼铝液量约80-90吨）、1台20t精炼炉（辅助精炼，日精炼铝液量约70-80吨），两台精炼设备合计日最大精炼铝液量约170吨，与熔炼设备处理能力相匹配；</w:t>
      </w:r>
    </w:p>
    <w:p w14:paraId="0CF813B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lang w:val="en-US" w:eastAsia="zh-CN"/>
        </w:rPr>
      </w:pPr>
      <w:r>
        <w:rPr>
          <w:rFonts w:hint="eastAsia"/>
          <w:b w:val="0"/>
          <w:bCs w:val="0"/>
          <w:color w:val="auto"/>
          <w:sz w:val="24"/>
          <w:szCs w:val="32"/>
          <w:lang w:val="en-US" w:eastAsia="zh-CN"/>
        </w:rPr>
        <w:t>（3）铸锭设备：2条260模铸锭叠锭生产线，可实现铝液快速铸锭，保障生产连续性；</w:t>
      </w:r>
    </w:p>
    <w:p w14:paraId="0000A6CF">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b/>
          <w:bCs/>
          <w:color w:val="auto"/>
          <w:sz w:val="24"/>
          <w:szCs w:val="32"/>
          <w:lang w:val="en-US" w:eastAsia="zh-CN"/>
        </w:rPr>
      </w:pPr>
      <w:r>
        <w:rPr>
          <w:rFonts w:hint="eastAsia"/>
          <w:b/>
          <w:bCs/>
          <w:color w:val="auto"/>
          <w:sz w:val="24"/>
          <w:szCs w:val="32"/>
          <w:lang w:val="en-US" w:eastAsia="zh-CN"/>
        </w:rPr>
        <w:t>3.6.1.2 调整后主要生产设备产能</w:t>
      </w:r>
    </w:p>
    <w:p w14:paraId="7BFE883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lang w:val="en-US" w:eastAsia="zh-CN"/>
        </w:rPr>
      </w:pPr>
      <w:r>
        <w:rPr>
          <w:rFonts w:hint="eastAsia"/>
          <w:b w:val="0"/>
          <w:bCs w:val="0"/>
          <w:color w:val="auto"/>
          <w:sz w:val="24"/>
          <w:szCs w:val="32"/>
          <w:lang w:val="en-US" w:eastAsia="zh-CN"/>
        </w:rPr>
        <w:t>（1）熔炼设备：</w:t>
      </w:r>
      <w:r>
        <w:rPr>
          <w:rFonts w:hint="eastAsia"/>
          <w:color w:val="auto"/>
          <w:kern w:val="24"/>
          <w:sz w:val="24"/>
          <w:lang w:val="en-US" w:eastAsia="zh-CN"/>
        </w:rPr>
        <w:t>安徽瑞瑟科金属材料有限公司已对现有</w:t>
      </w:r>
      <w:r>
        <w:rPr>
          <w:rFonts w:hint="default" w:ascii="Times New Roman" w:hAnsi="Times New Roman" w:eastAsia="宋体" w:cs="Times New Roman"/>
          <w:color w:val="auto"/>
          <w:sz w:val="24"/>
          <w:szCs w:val="24"/>
        </w:rPr>
        <w:t>1台40吨熔炼炉</w:t>
      </w:r>
      <w:r>
        <w:rPr>
          <w:rFonts w:hint="eastAsia" w:cs="Times New Roman"/>
          <w:color w:val="auto"/>
          <w:sz w:val="24"/>
          <w:szCs w:val="24"/>
          <w:lang w:eastAsia="zh-CN"/>
        </w:rPr>
        <w:t>、</w:t>
      </w:r>
      <w:r>
        <w:rPr>
          <w:rFonts w:hint="default" w:ascii="Times New Roman" w:hAnsi="Times New Roman" w:eastAsia="宋体" w:cs="Times New Roman"/>
          <w:color w:val="auto"/>
          <w:sz w:val="24"/>
          <w:szCs w:val="24"/>
        </w:rPr>
        <w:t>1台30吨熔炼炉</w:t>
      </w:r>
      <w:r>
        <w:rPr>
          <w:rFonts w:hint="eastAsia" w:cs="Times New Roman"/>
          <w:color w:val="auto"/>
          <w:sz w:val="24"/>
          <w:szCs w:val="24"/>
          <w:lang w:eastAsia="zh-CN"/>
        </w:rPr>
        <w:t>、</w:t>
      </w:r>
      <w:r>
        <w:rPr>
          <w:rFonts w:hint="eastAsia" w:cs="Times New Roman"/>
          <w:color w:val="auto"/>
          <w:sz w:val="24"/>
          <w:szCs w:val="24"/>
          <w:lang w:val="en-US" w:eastAsia="zh-CN"/>
        </w:rPr>
        <w:t>完成升级更新，升级更新后的熔炼炉生产效率为6~7h/炉（</w:t>
      </w:r>
      <w:r>
        <w:rPr>
          <w:rFonts w:hint="default" w:ascii="Times New Roman" w:hAnsi="Times New Roman" w:eastAsia="宋体" w:cs="Times New Roman"/>
          <w:color w:val="auto"/>
          <w:sz w:val="24"/>
          <w:szCs w:val="24"/>
        </w:rPr>
        <w:t>40吨熔炼炉</w:t>
      </w:r>
      <w:r>
        <w:rPr>
          <w:rFonts w:hint="eastAsia" w:cs="Times New Roman"/>
          <w:color w:val="auto"/>
          <w:sz w:val="24"/>
          <w:szCs w:val="24"/>
          <w:lang w:val="en-US" w:eastAsia="zh-CN"/>
        </w:rPr>
        <w:t>熔炼量为32</w:t>
      </w:r>
      <w:r>
        <w:rPr>
          <w:rFonts w:hint="default" w:ascii="Times New Roman" w:hAnsi="Times New Roman" w:eastAsia="宋体" w:cs="Times New Roman"/>
          <w:color w:val="auto"/>
          <w:sz w:val="24"/>
          <w:szCs w:val="24"/>
        </w:rPr>
        <w:t>吨</w:t>
      </w:r>
      <w:r>
        <w:rPr>
          <w:rFonts w:hint="eastAsia" w:cs="Times New Roman"/>
          <w:color w:val="auto"/>
          <w:sz w:val="24"/>
          <w:szCs w:val="24"/>
          <w:lang w:val="en-US" w:eastAsia="zh-CN"/>
        </w:rPr>
        <w:t>/炉（装填量为80%），</w:t>
      </w:r>
      <w:r>
        <w:rPr>
          <w:rFonts w:hint="default" w:ascii="Times New Roman" w:hAnsi="Times New Roman" w:eastAsia="宋体" w:cs="Times New Roman"/>
          <w:color w:val="auto"/>
          <w:sz w:val="24"/>
          <w:szCs w:val="24"/>
        </w:rPr>
        <w:t>30吨熔炼炉</w:t>
      </w:r>
      <w:r>
        <w:rPr>
          <w:rFonts w:hint="eastAsia" w:cs="Times New Roman"/>
          <w:color w:val="auto"/>
          <w:sz w:val="24"/>
          <w:szCs w:val="24"/>
          <w:lang w:val="en-US" w:eastAsia="zh-CN"/>
        </w:rPr>
        <w:t>熔炼量为24</w:t>
      </w:r>
      <w:r>
        <w:rPr>
          <w:rFonts w:hint="default" w:ascii="Times New Roman" w:hAnsi="Times New Roman" w:eastAsia="宋体" w:cs="Times New Roman"/>
          <w:color w:val="auto"/>
          <w:sz w:val="24"/>
          <w:szCs w:val="24"/>
        </w:rPr>
        <w:t>吨</w:t>
      </w:r>
      <w:r>
        <w:rPr>
          <w:rFonts w:hint="eastAsia" w:cs="Times New Roman"/>
          <w:color w:val="auto"/>
          <w:sz w:val="24"/>
          <w:szCs w:val="24"/>
          <w:lang w:val="en-US" w:eastAsia="zh-CN"/>
        </w:rPr>
        <w:t>/炉（装填量为80%）），每天运行3炉，</w:t>
      </w:r>
      <w:r>
        <w:rPr>
          <w:rFonts w:hint="eastAsia"/>
          <w:b w:val="0"/>
          <w:bCs w:val="0"/>
          <w:color w:val="auto"/>
          <w:sz w:val="24"/>
          <w:szCs w:val="32"/>
          <w:lang w:val="en-US" w:eastAsia="zh-CN"/>
        </w:rPr>
        <w:t>日最大熔炼铝液量约168吨，可满足年产5.05万吨的产能需求。</w:t>
      </w:r>
    </w:p>
    <w:p w14:paraId="4DA8831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auto"/>
          <w:sz w:val="24"/>
          <w:szCs w:val="32"/>
          <w:lang w:val="en-US" w:eastAsia="zh-CN"/>
        </w:rPr>
      </w:pPr>
      <w:r>
        <w:rPr>
          <w:rFonts w:hint="eastAsia"/>
          <w:b w:val="0"/>
          <w:bCs w:val="0"/>
          <w:color w:val="auto"/>
          <w:sz w:val="24"/>
          <w:szCs w:val="32"/>
          <w:lang w:val="en-US" w:eastAsia="zh-CN"/>
        </w:rPr>
        <w:t>（2）精炼设备：</w:t>
      </w:r>
      <w:r>
        <w:rPr>
          <w:rFonts w:hint="eastAsia" w:cs="Times New Roman"/>
          <w:color w:val="auto"/>
          <w:sz w:val="24"/>
          <w:szCs w:val="24"/>
          <w:lang w:val="en-US" w:eastAsia="zh-CN"/>
        </w:rPr>
        <w:t>升级更新后1台30吨精炼炉生产效率为4h/炉（30吨精炼炉精炼量为30吨/炉），每天运行6炉，</w:t>
      </w:r>
      <w:r>
        <w:rPr>
          <w:rFonts w:hint="eastAsia"/>
          <w:b w:val="0"/>
          <w:bCs w:val="0"/>
          <w:color w:val="auto"/>
          <w:sz w:val="24"/>
          <w:szCs w:val="32"/>
          <w:lang w:val="en-US" w:eastAsia="zh-CN"/>
        </w:rPr>
        <w:t>日最大精炼铝液量约180吨，可满足年产5.05万吨的产能需求</w:t>
      </w:r>
    </w:p>
    <w:p w14:paraId="0D60809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lang w:val="en-US" w:eastAsia="zh-CN"/>
        </w:rPr>
      </w:pPr>
      <w:r>
        <w:rPr>
          <w:rFonts w:hint="eastAsia"/>
          <w:b w:val="0"/>
          <w:bCs w:val="0"/>
          <w:color w:val="auto"/>
          <w:sz w:val="24"/>
          <w:szCs w:val="32"/>
          <w:lang w:val="en-US" w:eastAsia="zh-CN"/>
        </w:rPr>
        <w:t>（3）铸锭设备：为</w:t>
      </w:r>
      <w:r>
        <w:rPr>
          <w:rFonts w:ascii="宋体" w:hAnsi="宋体" w:eastAsia="宋体" w:cs="宋体"/>
          <w:color w:val="auto"/>
          <w:sz w:val="24"/>
          <w:szCs w:val="24"/>
        </w:rPr>
        <w:t>满足</w:t>
      </w:r>
      <w:r>
        <w:rPr>
          <w:rFonts w:hint="eastAsia" w:ascii="宋体" w:hAnsi="宋体" w:cs="宋体"/>
          <w:color w:val="auto"/>
          <w:sz w:val="24"/>
          <w:szCs w:val="24"/>
          <w:lang w:val="en-US" w:eastAsia="zh-CN"/>
        </w:rPr>
        <w:t>市场</w:t>
      </w:r>
      <w:r>
        <w:rPr>
          <w:rFonts w:ascii="宋体" w:hAnsi="宋体" w:eastAsia="宋体" w:cs="宋体"/>
          <w:color w:val="auto"/>
          <w:sz w:val="24"/>
          <w:szCs w:val="24"/>
        </w:rPr>
        <w:t>高端化、</w:t>
      </w:r>
      <w:r>
        <w:rPr>
          <w:rFonts w:hint="eastAsia" w:ascii="宋体" w:hAnsi="宋体" w:cs="宋体"/>
          <w:color w:val="auto"/>
          <w:sz w:val="24"/>
          <w:szCs w:val="24"/>
          <w:lang w:eastAsia="zh-CN"/>
        </w:rPr>
        <w:t>高效</w:t>
      </w:r>
      <w:r>
        <w:rPr>
          <w:rFonts w:ascii="宋体" w:hAnsi="宋体" w:eastAsia="宋体" w:cs="宋体"/>
          <w:color w:val="auto"/>
          <w:sz w:val="24"/>
          <w:szCs w:val="24"/>
        </w:rPr>
        <w:t>铸锭</w:t>
      </w:r>
      <w:r>
        <w:rPr>
          <w:rFonts w:hint="eastAsia" w:ascii="宋体" w:hAnsi="宋体" w:eastAsia="宋体" w:cs="宋体"/>
          <w:color w:val="auto"/>
          <w:sz w:val="24"/>
          <w:szCs w:val="24"/>
          <w:lang w:val="en-US" w:eastAsia="zh-CN"/>
        </w:rPr>
        <w:t>的生产</w:t>
      </w:r>
      <w:r>
        <w:rPr>
          <w:rFonts w:ascii="宋体" w:hAnsi="宋体" w:eastAsia="宋体" w:cs="宋体"/>
          <w:color w:val="auto"/>
          <w:sz w:val="24"/>
          <w:szCs w:val="24"/>
        </w:rPr>
        <w:t>需求</w:t>
      </w:r>
      <w:r>
        <w:rPr>
          <w:rFonts w:hint="eastAsia" w:ascii="宋体" w:hAnsi="宋体" w:cs="宋体"/>
          <w:color w:val="auto"/>
          <w:sz w:val="24"/>
          <w:szCs w:val="24"/>
          <w:lang w:eastAsia="zh-CN"/>
        </w:rPr>
        <w:t>，</w:t>
      </w:r>
      <w:r>
        <w:rPr>
          <w:rFonts w:hint="eastAsia"/>
          <w:b w:val="0"/>
          <w:bCs w:val="0"/>
          <w:color w:val="auto"/>
          <w:sz w:val="24"/>
          <w:szCs w:val="32"/>
          <w:lang w:val="en-US" w:eastAsia="zh-CN"/>
        </w:rPr>
        <w:t>将原有2条260模铸锭叠锭生产线，替换为2条500模铸锭叠锭生产线，根据前端熔炼炉日最大熔炼量为168吨，项目产能可严格控制在年产5.05万吨的产能上限内。</w:t>
      </w:r>
    </w:p>
    <w:p w14:paraId="53355A9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9"/>
        <w:rPr>
          <w:rFonts w:hint="default"/>
          <w:b w:val="0"/>
          <w:bCs w:val="0"/>
          <w:color w:val="0000FF"/>
          <w:sz w:val="24"/>
          <w:szCs w:val="32"/>
          <w:lang w:val="en-US" w:eastAsia="zh-CN"/>
        </w:rPr>
      </w:pPr>
      <w:r>
        <w:rPr>
          <w:rFonts w:hint="eastAsia"/>
          <w:b/>
          <w:bCs/>
          <w:color w:val="0000FF"/>
          <w:sz w:val="24"/>
          <w:szCs w:val="32"/>
          <w:lang w:val="en-US" w:eastAsia="zh-CN"/>
        </w:rPr>
        <w:t>表3-15 设备调整前后项目产能一览表</w:t>
      </w:r>
    </w:p>
    <w:tbl>
      <w:tblPr>
        <w:tblStyle w:val="32"/>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91"/>
        <w:gridCol w:w="2369"/>
        <w:gridCol w:w="2369"/>
        <w:gridCol w:w="2370"/>
        <w:gridCol w:w="1363"/>
      </w:tblGrid>
      <w:tr w14:paraId="729C8B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91" w:type="dxa"/>
            <w:tcBorders>
              <w:tl2br w:val="nil"/>
              <w:tr2bl w:val="nil"/>
            </w:tcBorders>
            <w:vAlign w:val="center"/>
          </w:tcPr>
          <w:p w14:paraId="4076BDFF">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b/>
                <w:bCs/>
                <w:color w:val="0000FF"/>
                <w:sz w:val="21"/>
                <w:szCs w:val="24"/>
                <w:vertAlign w:val="baseline"/>
                <w:lang w:val="en-US" w:eastAsia="zh-CN"/>
              </w:rPr>
            </w:pPr>
            <w:r>
              <w:rPr>
                <w:rFonts w:hint="eastAsia"/>
                <w:b/>
                <w:bCs/>
                <w:color w:val="0000FF"/>
                <w:sz w:val="21"/>
                <w:szCs w:val="24"/>
                <w:vertAlign w:val="baseline"/>
                <w:lang w:val="en-US" w:eastAsia="zh-CN"/>
              </w:rPr>
              <w:t>产品名称</w:t>
            </w:r>
          </w:p>
        </w:tc>
        <w:tc>
          <w:tcPr>
            <w:tcW w:w="2369" w:type="dxa"/>
            <w:tcBorders>
              <w:tl2br w:val="nil"/>
              <w:tr2bl w:val="nil"/>
            </w:tcBorders>
            <w:vAlign w:val="center"/>
          </w:tcPr>
          <w:p w14:paraId="0C8E114D">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b/>
                <w:bCs/>
                <w:color w:val="0000FF"/>
                <w:sz w:val="21"/>
                <w:szCs w:val="24"/>
                <w:vertAlign w:val="baseline"/>
                <w:lang w:val="en-US" w:eastAsia="zh-CN"/>
              </w:rPr>
            </w:pPr>
            <w:r>
              <w:rPr>
                <w:rFonts w:hint="eastAsia"/>
                <w:b/>
                <w:bCs/>
                <w:color w:val="0000FF"/>
                <w:sz w:val="21"/>
                <w:szCs w:val="24"/>
                <w:vertAlign w:val="baseline"/>
                <w:lang w:val="en-US" w:eastAsia="zh-CN"/>
              </w:rPr>
              <w:t>生产设备调整前产能（t/a）</w:t>
            </w:r>
          </w:p>
        </w:tc>
        <w:tc>
          <w:tcPr>
            <w:tcW w:w="2369" w:type="dxa"/>
            <w:tcBorders>
              <w:tl2br w:val="nil"/>
              <w:tr2bl w:val="nil"/>
            </w:tcBorders>
            <w:vAlign w:val="center"/>
          </w:tcPr>
          <w:p w14:paraId="73267D3D">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b/>
                <w:bCs/>
                <w:color w:val="0000FF"/>
                <w:sz w:val="21"/>
                <w:szCs w:val="24"/>
                <w:vertAlign w:val="baseline"/>
                <w:lang w:val="en-US" w:eastAsia="zh-CN"/>
              </w:rPr>
            </w:pPr>
            <w:r>
              <w:rPr>
                <w:rFonts w:hint="eastAsia"/>
                <w:b/>
                <w:bCs/>
                <w:color w:val="0000FF"/>
                <w:sz w:val="21"/>
                <w:szCs w:val="24"/>
                <w:vertAlign w:val="baseline"/>
                <w:lang w:val="en-US" w:eastAsia="zh-CN"/>
              </w:rPr>
              <w:t>生产设备调整后产能（t/a）</w:t>
            </w:r>
          </w:p>
        </w:tc>
        <w:tc>
          <w:tcPr>
            <w:tcW w:w="2370" w:type="dxa"/>
            <w:tcBorders>
              <w:tl2br w:val="nil"/>
              <w:tr2bl w:val="nil"/>
            </w:tcBorders>
            <w:vAlign w:val="center"/>
          </w:tcPr>
          <w:p w14:paraId="1D6F37FF">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b/>
                <w:bCs/>
                <w:color w:val="0000FF"/>
                <w:sz w:val="21"/>
                <w:szCs w:val="24"/>
                <w:vertAlign w:val="baseline"/>
                <w:lang w:val="en-US" w:eastAsia="zh-CN"/>
              </w:rPr>
            </w:pPr>
            <w:r>
              <w:rPr>
                <w:rFonts w:hint="eastAsia"/>
                <w:b/>
                <w:bCs/>
                <w:color w:val="0000FF"/>
                <w:sz w:val="21"/>
                <w:szCs w:val="24"/>
                <w:vertAlign w:val="baseline"/>
                <w:lang w:val="en-US" w:eastAsia="zh-CN"/>
              </w:rPr>
              <w:t>原环评批复</w:t>
            </w:r>
          </w:p>
          <w:p w14:paraId="004D005B">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b/>
                <w:bCs/>
                <w:color w:val="0000FF"/>
                <w:sz w:val="21"/>
                <w:szCs w:val="24"/>
                <w:vertAlign w:val="baseline"/>
                <w:lang w:val="en-US" w:eastAsia="zh-CN"/>
              </w:rPr>
            </w:pPr>
            <w:r>
              <w:rPr>
                <w:rFonts w:hint="eastAsia"/>
                <w:b/>
                <w:bCs/>
                <w:color w:val="0000FF"/>
                <w:sz w:val="21"/>
                <w:szCs w:val="24"/>
                <w:vertAlign w:val="baseline"/>
                <w:lang w:val="en-US" w:eastAsia="zh-CN"/>
              </w:rPr>
              <w:t>（一期工程）产能（t/a）</w:t>
            </w:r>
          </w:p>
        </w:tc>
        <w:tc>
          <w:tcPr>
            <w:tcW w:w="1363" w:type="dxa"/>
            <w:tcBorders>
              <w:tl2br w:val="nil"/>
              <w:tr2bl w:val="nil"/>
            </w:tcBorders>
            <w:vAlign w:val="center"/>
          </w:tcPr>
          <w:p w14:paraId="370A27DC">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b/>
                <w:bCs/>
                <w:color w:val="0000FF"/>
                <w:sz w:val="21"/>
                <w:szCs w:val="24"/>
                <w:vertAlign w:val="baseline"/>
                <w:lang w:val="en-US" w:eastAsia="zh-CN"/>
              </w:rPr>
            </w:pPr>
            <w:r>
              <w:rPr>
                <w:rFonts w:hint="eastAsia"/>
                <w:b/>
                <w:bCs/>
                <w:color w:val="0000FF"/>
                <w:sz w:val="21"/>
                <w:szCs w:val="24"/>
                <w:vertAlign w:val="baseline"/>
                <w:lang w:val="en-US" w:eastAsia="zh-CN"/>
              </w:rPr>
              <w:t>变化情况</w:t>
            </w:r>
          </w:p>
        </w:tc>
      </w:tr>
      <w:tr w14:paraId="61B9ED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91" w:type="dxa"/>
            <w:tcBorders>
              <w:tl2br w:val="nil"/>
              <w:tr2bl w:val="nil"/>
            </w:tcBorders>
            <w:vAlign w:val="center"/>
          </w:tcPr>
          <w:p w14:paraId="2E973666">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b w:val="0"/>
                <w:bCs w:val="0"/>
                <w:color w:val="0000FF"/>
                <w:sz w:val="21"/>
                <w:szCs w:val="24"/>
                <w:vertAlign w:val="baseline"/>
                <w:lang w:val="en-US" w:eastAsia="zh-CN"/>
              </w:rPr>
            </w:pPr>
            <w:r>
              <w:rPr>
                <w:rFonts w:hint="eastAsia"/>
                <w:color w:val="0000FF"/>
                <w:szCs w:val="21"/>
              </w:rPr>
              <w:t>铝硅系铸造铝合金锭</w:t>
            </w:r>
          </w:p>
        </w:tc>
        <w:tc>
          <w:tcPr>
            <w:tcW w:w="2369" w:type="dxa"/>
            <w:tcBorders>
              <w:tl2br w:val="nil"/>
              <w:tr2bl w:val="nil"/>
            </w:tcBorders>
            <w:vAlign w:val="center"/>
          </w:tcPr>
          <w:p w14:paraId="4DCFCE53">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b w:val="0"/>
                <w:bCs w:val="0"/>
                <w:color w:val="0000FF"/>
                <w:sz w:val="21"/>
                <w:szCs w:val="24"/>
                <w:vertAlign w:val="baseline"/>
                <w:lang w:val="en-US" w:eastAsia="zh-CN"/>
              </w:rPr>
            </w:pPr>
            <w:r>
              <w:rPr>
                <w:rFonts w:hint="eastAsia"/>
                <w:b w:val="0"/>
                <w:bCs w:val="0"/>
                <w:color w:val="0000FF"/>
                <w:sz w:val="21"/>
                <w:szCs w:val="24"/>
                <w:vertAlign w:val="baseline"/>
                <w:lang w:val="en-US" w:eastAsia="zh-CN"/>
              </w:rPr>
              <w:t>50500</w:t>
            </w:r>
          </w:p>
        </w:tc>
        <w:tc>
          <w:tcPr>
            <w:tcW w:w="2369" w:type="dxa"/>
            <w:tcBorders>
              <w:tl2br w:val="nil"/>
              <w:tr2bl w:val="nil"/>
            </w:tcBorders>
            <w:vAlign w:val="center"/>
          </w:tcPr>
          <w:p w14:paraId="45807ED7">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b w:val="0"/>
                <w:bCs w:val="0"/>
                <w:color w:val="0000FF"/>
                <w:sz w:val="21"/>
                <w:szCs w:val="24"/>
                <w:vertAlign w:val="baseline"/>
                <w:lang w:val="en-US" w:eastAsia="zh-CN"/>
              </w:rPr>
            </w:pPr>
            <w:r>
              <w:rPr>
                <w:rFonts w:hint="eastAsia"/>
                <w:b w:val="0"/>
                <w:bCs w:val="0"/>
                <w:color w:val="0000FF"/>
                <w:sz w:val="21"/>
                <w:szCs w:val="24"/>
                <w:vertAlign w:val="baseline"/>
                <w:lang w:val="en-US" w:eastAsia="zh-CN"/>
              </w:rPr>
              <w:t>50500</w:t>
            </w:r>
          </w:p>
        </w:tc>
        <w:tc>
          <w:tcPr>
            <w:tcW w:w="2370" w:type="dxa"/>
            <w:tcBorders>
              <w:tl2br w:val="nil"/>
              <w:tr2bl w:val="nil"/>
            </w:tcBorders>
            <w:vAlign w:val="center"/>
          </w:tcPr>
          <w:p w14:paraId="0FD9D5EF">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b w:val="0"/>
                <w:bCs w:val="0"/>
                <w:color w:val="0000FF"/>
                <w:sz w:val="21"/>
                <w:szCs w:val="24"/>
                <w:vertAlign w:val="baseline"/>
                <w:lang w:val="en-US" w:eastAsia="zh-CN"/>
              </w:rPr>
            </w:pPr>
            <w:r>
              <w:rPr>
                <w:rFonts w:hint="eastAsia"/>
                <w:b w:val="0"/>
                <w:bCs w:val="0"/>
                <w:color w:val="0000FF"/>
                <w:sz w:val="21"/>
                <w:szCs w:val="24"/>
                <w:vertAlign w:val="baseline"/>
                <w:lang w:val="en-US" w:eastAsia="zh-CN"/>
              </w:rPr>
              <w:t>50500</w:t>
            </w:r>
          </w:p>
        </w:tc>
        <w:tc>
          <w:tcPr>
            <w:tcW w:w="1363" w:type="dxa"/>
            <w:tcBorders>
              <w:tl2br w:val="nil"/>
              <w:tr2bl w:val="nil"/>
            </w:tcBorders>
            <w:vAlign w:val="center"/>
          </w:tcPr>
          <w:p w14:paraId="62A78D37">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b w:val="0"/>
                <w:bCs w:val="0"/>
                <w:color w:val="0000FF"/>
                <w:sz w:val="21"/>
                <w:szCs w:val="24"/>
                <w:vertAlign w:val="baseline"/>
                <w:lang w:val="en-US" w:eastAsia="zh-CN"/>
              </w:rPr>
            </w:pPr>
            <w:r>
              <w:rPr>
                <w:rFonts w:hint="eastAsia"/>
                <w:b w:val="0"/>
                <w:bCs w:val="0"/>
                <w:color w:val="0000FF"/>
                <w:sz w:val="21"/>
                <w:szCs w:val="24"/>
                <w:vertAlign w:val="baseline"/>
                <w:lang w:val="en-US" w:eastAsia="zh-CN"/>
              </w:rPr>
              <w:t>未变化</w:t>
            </w:r>
          </w:p>
        </w:tc>
      </w:tr>
    </w:tbl>
    <w:p w14:paraId="64F37D30">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eastAsia"/>
          <w:b/>
          <w:bCs/>
          <w:color w:val="auto"/>
          <w:sz w:val="24"/>
          <w:szCs w:val="32"/>
          <w:highlight w:val="none"/>
          <w:lang w:val="en-US" w:eastAsia="zh-CN"/>
        </w:rPr>
      </w:pPr>
    </w:p>
    <w:p w14:paraId="532071C5">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eastAsia"/>
          <w:b/>
          <w:bCs/>
          <w:color w:val="auto"/>
          <w:sz w:val="24"/>
          <w:szCs w:val="32"/>
          <w:highlight w:val="none"/>
          <w:lang w:val="en-US" w:eastAsia="zh-CN"/>
        </w:rPr>
      </w:pPr>
      <w:r>
        <w:rPr>
          <w:rFonts w:hint="eastAsia"/>
          <w:b/>
          <w:bCs/>
          <w:color w:val="auto"/>
          <w:sz w:val="24"/>
          <w:szCs w:val="32"/>
          <w:highlight w:val="none"/>
          <w:lang w:val="en-US" w:eastAsia="zh-CN"/>
        </w:rPr>
        <w:t>3.6.1.3 设备调整核心特点</w:t>
      </w:r>
    </w:p>
    <w:p w14:paraId="6D0210E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highlight w:val="none"/>
          <w:lang w:val="en-US" w:eastAsia="zh-CN"/>
        </w:rPr>
      </w:pPr>
      <w:r>
        <w:rPr>
          <w:rFonts w:hint="eastAsia"/>
          <w:b w:val="0"/>
          <w:bCs w:val="0"/>
          <w:color w:val="auto"/>
          <w:sz w:val="24"/>
          <w:szCs w:val="32"/>
          <w:highlight w:val="none"/>
          <w:lang w:val="en-US" w:eastAsia="zh-CN"/>
        </w:rPr>
        <w:t>（1）熔炼、精炼设备</w:t>
      </w:r>
    </w:p>
    <w:p w14:paraId="4CD8BE3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highlight w:val="yellow"/>
          <w:lang w:val="en-US" w:eastAsia="zh-CN"/>
        </w:rPr>
      </w:pPr>
      <w:r>
        <w:rPr>
          <w:rFonts w:hint="eastAsia"/>
          <w:b w:val="0"/>
          <w:bCs w:val="0"/>
          <w:color w:val="auto"/>
          <w:sz w:val="24"/>
          <w:szCs w:val="32"/>
          <w:highlight w:val="none"/>
          <w:lang w:val="en-US" w:eastAsia="zh-CN"/>
        </w:rPr>
        <w:t>熔炼、精炼设备总量由调整前的5台减少至调整后的3台（2台熔炼+1台精炼），核心变化是移除了小型、低效、功能重叠的设备，并对40t、30t熔炼炉及30t精炼炉原有核心生产设备进行升级更新，未进行任何扩容、改造，单台设备处理能力与原有水平一致，多台设备合计处理能力与调整前设备总和持平，未新增任何熔炼、精炼单元，也未改变熔炼、精炼的核心工艺参数。</w:t>
      </w:r>
    </w:p>
    <w:p w14:paraId="5C78E11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highlight w:val="none"/>
          <w:lang w:val="en-US" w:eastAsia="zh-CN"/>
        </w:rPr>
      </w:pPr>
      <w:r>
        <w:rPr>
          <w:rFonts w:hint="eastAsia"/>
          <w:b w:val="0"/>
          <w:bCs w:val="0"/>
          <w:color w:val="auto"/>
          <w:sz w:val="24"/>
          <w:szCs w:val="32"/>
          <w:highlight w:val="none"/>
          <w:lang w:val="en-US" w:eastAsia="zh-CN"/>
        </w:rPr>
        <w:t>铸锭设备：仅对模铸规格进行优化替换，生产线数量始终保持2条，未新增任何铸锭设备或铸锭工序。替换后的500模铸锭生产线，主要优化了铸锭模具尺寸，提升了单次铸锭生产效率，可减少生产班次，降低设备能耗，但铸锭的核心工艺（铝液浇筑、冷却、叠锭）未发生任何变化，且严格控制铸锭总量，未超出原有5.05万吨/年的产能上限，不会因效率提升而增加污染物产生。</w:t>
      </w:r>
    </w:p>
    <w:p w14:paraId="31AEED0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color w:val="auto"/>
          <w:kern w:val="24"/>
          <w:sz w:val="24"/>
          <w:highlight w:val="none"/>
          <w:lang w:val="en-US" w:eastAsia="zh-CN"/>
        </w:rPr>
      </w:pPr>
      <w:r>
        <w:rPr>
          <w:rFonts w:hint="eastAsia"/>
          <w:b w:val="0"/>
          <w:bCs w:val="0"/>
          <w:color w:val="auto"/>
          <w:sz w:val="24"/>
          <w:szCs w:val="32"/>
          <w:highlight w:val="none"/>
          <w:lang w:val="en-US" w:eastAsia="zh-CN"/>
        </w:rPr>
        <w:t>整体设备：本次调整未新增任何类型的生产设备，也未新增废铝预处理、铝液深加工等任何生产工序，仅对原有设备进行功能整合、低效设备淘汰和铸锭设备规格替换，生产流程从废铝进料、熔炼、精炼、铸锭到成品入库，未发生任何本质变化，生产环节的衔接与调整前保持一致，</w:t>
      </w:r>
      <w:r>
        <w:rPr>
          <w:rFonts w:hint="eastAsia" w:cs="Times New Roman"/>
          <w:color w:val="auto"/>
          <w:sz w:val="24"/>
          <w:szCs w:val="24"/>
          <w:highlight w:val="none"/>
          <w:lang w:val="en-US" w:eastAsia="zh-CN"/>
        </w:rPr>
        <w:t>项目产能不突破</w:t>
      </w:r>
      <w:r>
        <w:rPr>
          <w:rFonts w:hint="eastAsia"/>
          <w:color w:val="auto"/>
          <w:kern w:val="24"/>
          <w:sz w:val="24"/>
          <w:highlight w:val="none"/>
          <w:lang w:val="en-US" w:eastAsia="zh-CN"/>
        </w:rPr>
        <w:t>“安徽华中天力铝业有限公司年产11万吨再生铝建设项目的一期工程”产能（即5.05万吨/年）。</w:t>
      </w:r>
    </w:p>
    <w:p w14:paraId="2254A6E7">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eastAsia"/>
          <w:color w:val="auto"/>
          <w:kern w:val="24"/>
          <w:sz w:val="24"/>
          <w:highlight w:val="none"/>
          <w:lang w:val="en-US" w:eastAsia="zh-CN"/>
        </w:rPr>
      </w:pPr>
      <w:r>
        <w:rPr>
          <w:rFonts w:hint="eastAsia"/>
          <w:b/>
          <w:bCs/>
          <w:color w:val="auto"/>
          <w:sz w:val="28"/>
          <w:szCs w:val="36"/>
          <w:lang w:val="en-US" w:eastAsia="zh-CN"/>
        </w:rPr>
        <w:t>3.7 生产设备变化对废气污染物产生及排放的影响分析</w:t>
      </w:r>
    </w:p>
    <w:p w14:paraId="043431D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auto"/>
          <w:sz w:val="24"/>
          <w:szCs w:val="32"/>
          <w:highlight w:val="none"/>
          <w:lang w:val="en-US" w:eastAsia="zh-CN"/>
        </w:rPr>
      </w:pPr>
      <w:r>
        <w:rPr>
          <w:rFonts w:hint="eastAsia"/>
          <w:b w:val="0"/>
          <w:bCs w:val="0"/>
          <w:color w:val="auto"/>
          <w:sz w:val="24"/>
          <w:szCs w:val="32"/>
          <w:highlight w:val="none"/>
          <w:lang w:val="en-US" w:eastAsia="zh-CN"/>
        </w:rPr>
        <w:t>本次设备调整仅涉及设备的整合与替换，未改变上述污染源的产生机理、产生环节，也未增加污染物的产生量，具体详细分析如下：</w:t>
      </w:r>
    </w:p>
    <w:p w14:paraId="1BC0979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b w:val="0"/>
          <w:bCs w:val="0"/>
          <w:color w:val="auto"/>
          <w:sz w:val="24"/>
          <w:szCs w:val="32"/>
          <w:highlight w:val="none"/>
          <w:lang w:val="en-US" w:eastAsia="zh-CN"/>
        </w:rPr>
      </w:pPr>
      <w:r>
        <w:rPr>
          <w:rFonts w:hint="eastAsia"/>
          <w:b/>
          <w:bCs/>
          <w:color w:val="auto"/>
          <w:sz w:val="24"/>
          <w:szCs w:val="32"/>
          <w:highlight w:val="none"/>
          <w:lang w:val="en-US" w:eastAsia="zh-CN"/>
        </w:rPr>
        <w:t>产生环节未新增</w:t>
      </w:r>
      <w:r>
        <w:rPr>
          <w:rFonts w:hint="eastAsia"/>
          <w:b w:val="0"/>
          <w:bCs w:val="0"/>
          <w:color w:val="auto"/>
          <w:sz w:val="24"/>
          <w:szCs w:val="32"/>
          <w:highlight w:val="none"/>
          <w:lang w:val="en-US" w:eastAsia="zh-CN"/>
        </w:rPr>
        <w:t>：废气的核心产生环节是熔炼炉高温熔炼（温度约1000℃）和精炼炉高温精炼（温度约660～710℃）过程，主要是废铝在高温下氧化、燃料燃烧及铝液中杂质挥发产生。调整后拆除的10t熔炼精炼两用炉、20t精炼炉，其原有废气产生环节已完全整合至保留的40t、30t熔炼炉及30t精炼炉中，即原10t熔炼精炼两用炉承担的小批量熔炼、应急精炼任务，全部转移至40t、30t熔炼炉，原20t精炼炉承担的辅助精炼任务，全部转移至30t精炼炉，未新增任何废气产生设备、任何废气产生工序，废气产生环节与调整前完全一致。</w:t>
      </w:r>
    </w:p>
    <w:p w14:paraId="74D153B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b w:val="0"/>
          <w:bCs w:val="0"/>
          <w:color w:val="auto"/>
          <w:sz w:val="24"/>
          <w:szCs w:val="32"/>
          <w:highlight w:val="none"/>
          <w:lang w:val="en-US" w:eastAsia="zh-CN"/>
        </w:rPr>
      </w:pPr>
      <w:r>
        <w:rPr>
          <w:rFonts w:hint="eastAsia"/>
          <w:b/>
          <w:bCs/>
          <w:color w:val="auto"/>
          <w:sz w:val="24"/>
          <w:szCs w:val="32"/>
          <w:highlight w:val="none"/>
          <w:lang w:val="en-US" w:eastAsia="zh-CN"/>
        </w:rPr>
        <w:t>产生量未增加：</w:t>
      </w:r>
      <w:r>
        <w:rPr>
          <w:rFonts w:hint="eastAsia"/>
          <w:b w:val="0"/>
          <w:bCs w:val="0"/>
          <w:color w:val="auto"/>
          <w:sz w:val="24"/>
          <w:szCs w:val="32"/>
          <w:highlight w:val="none"/>
          <w:lang w:val="en-US" w:eastAsia="zh-CN"/>
        </w:rPr>
        <w:t>再生铝生产中，废气产生量与熔炼、精炼的铝料处理量呈正相关关系，即铝料处理总量越多，废气产生量越大，而铝料处理总量由产能决定。调整前后产能均严格控制在5.05万吨/年，铝料处理总量未发生任何增加。调整后，保留的40t、30t熔炼炉单台处理能力增加，可通过优化生产排班，实现原有产能目标，无需增加铝料处理量，因此废气产生量与调整前保持一致，未发生任何增加。同时，移除的小型设备本身处理效率低，其废气产生量相对较少，整合后由大型设备集中处理，不会导致废气总量增加。</w:t>
      </w:r>
    </w:p>
    <w:p w14:paraId="07296C9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outlineLvl w:val="9"/>
        <w:rPr>
          <w:rFonts w:hint="eastAsia"/>
          <w:b w:val="0"/>
          <w:bCs w:val="0"/>
          <w:color w:val="auto"/>
          <w:sz w:val="24"/>
          <w:szCs w:val="32"/>
          <w:highlight w:val="none"/>
          <w:lang w:val="en-US" w:eastAsia="zh-CN"/>
        </w:rPr>
      </w:pPr>
      <w:r>
        <w:rPr>
          <w:rFonts w:hint="eastAsia"/>
          <w:b/>
          <w:bCs/>
          <w:color w:val="auto"/>
          <w:sz w:val="24"/>
          <w:szCs w:val="32"/>
          <w:highlight w:val="none"/>
          <w:lang w:val="en-US" w:eastAsia="zh-CN"/>
        </w:rPr>
        <w:t>排放量未增加：</w:t>
      </w:r>
      <w:r>
        <w:rPr>
          <w:rFonts w:hint="eastAsia"/>
          <w:b w:val="0"/>
          <w:bCs w:val="0"/>
          <w:color w:val="auto"/>
          <w:sz w:val="24"/>
          <w:szCs w:val="32"/>
          <w:highlight w:val="none"/>
          <w:lang w:val="en-US" w:eastAsia="zh-CN"/>
        </w:rPr>
        <w:t>调整后保留的40t、30t熔炼炉及30t精炼炉，均为原有核心设备，企业在保持产能不变，升级更新设备的同时，还升级更新原项目的污染防治措施，污染防治措施升级后的工艺为“SNCR+烟气急冷+重力沉降除尘器+布袋除尘器+活性炭喷粉+碱喷淋”，组合工艺。</w:t>
      </w:r>
      <w:r>
        <w:rPr>
          <w:rFonts w:hint="eastAsia" w:cs="Times New Roman"/>
          <w:color w:val="auto"/>
          <w:kern w:val="0"/>
          <w:sz w:val="24"/>
          <w:lang w:val="en-US" w:eastAsia="zh-CN"/>
        </w:rPr>
        <w:t>对照</w:t>
      </w:r>
      <w:r>
        <w:rPr>
          <w:rFonts w:hint="default" w:ascii="Times New Roman" w:hAnsi="Times New Roman" w:eastAsia="宋体" w:cs="Times New Roman"/>
          <w:color w:val="auto"/>
          <w:kern w:val="0"/>
          <w:sz w:val="24"/>
        </w:rPr>
        <w:t>《排污许可申请与核发技术规范</w:t>
      </w:r>
      <w:r>
        <w:rPr>
          <w:rFonts w:hint="eastAsia" w:cs="Times New Roman"/>
          <w:color w:val="auto"/>
          <w:kern w:val="0"/>
          <w:sz w:val="24"/>
          <w:lang w:val="en-US" w:eastAsia="zh-CN"/>
        </w:rPr>
        <w:t xml:space="preserve"> 有色金属工业—</w:t>
      </w:r>
      <w:r>
        <w:rPr>
          <w:rFonts w:hint="default" w:ascii="Times New Roman" w:hAnsi="Times New Roman" w:eastAsia="宋体" w:cs="Times New Roman"/>
          <w:color w:val="auto"/>
          <w:kern w:val="0"/>
          <w:sz w:val="24"/>
        </w:rPr>
        <w:t>再生金属》（HJ863.4-2018）</w:t>
      </w:r>
      <w:r>
        <w:rPr>
          <w:rFonts w:hint="eastAsia" w:cs="Times New Roman"/>
          <w:color w:val="auto"/>
          <w:kern w:val="0"/>
          <w:sz w:val="24"/>
          <w:lang w:eastAsia="zh-CN"/>
        </w:rPr>
        <w:t>，</w:t>
      </w:r>
      <w:r>
        <w:rPr>
          <w:rFonts w:hint="eastAsia" w:cs="Times New Roman"/>
          <w:color w:val="auto"/>
          <w:kern w:val="0"/>
          <w:sz w:val="24"/>
          <w:lang w:val="en-US" w:eastAsia="zh-CN"/>
        </w:rPr>
        <w:t>本次升级更新后的废气</w:t>
      </w:r>
      <w:r>
        <w:rPr>
          <w:rFonts w:hint="default" w:ascii="Times New Roman" w:hAnsi="Times New Roman" w:eastAsia="宋体" w:cs="Times New Roman"/>
          <w:color w:val="auto"/>
          <w:kern w:val="0"/>
          <w:sz w:val="24"/>
        </w:rPr>
        <w:t>污染</w:t>
      </w:r>
      <w:r>
        <w:rPr>
          <w:rFonts w:hint="eastAsia" w:cs="Times New Roman"/>
          <w:color w:val="auto"/>
          <w:kern w:val="0"/>
          <w:sz w:val="24"/>
          <w:lang w:val="en-US" w:eastAsia="zh-CN"/>
        </w:rPr>
        <w:t>防治技术均为</w:t>
      </w:r>
      <w:r>
        <w:rPr>
          <w:rFonts w:hint="default" w:ascii="Times New Roman" w:hAnsi="Times New Roman" w:eastAsia="宋体" w:cs="Times New Roman"/>
          <w:color w:val="auto"/>
          <w:kern w:val="0"/>
          <w:sz w:val="24"/>
        </w:rPr>
        <w:t>可行推荐技术</w:t>
      </w:r>
      <w:r>
        <w:rPr>
          <w:rFonts w:hint="eastAsia" w:cs="Times New Roman"/>
          <w:color w:val="auto"/>
          <w:kern w:val="0"/>
          <w:sz w:val="24"/>
          <w:lang w:eastAsia="zh-CN"/>
        </w:rPr>
        <w:t>，</w:t>
      </w:r>
      <w:r>
        <w:rPr>
          <w:rFonts w:hint="eastAsia" w:cs="Times New Roman"/>
          <w:color w:val="auto"/>
          <w:kern w:val="0"/>
          <w:sz w:val="24"/>
          <w:lang w:val="en-US" w:eastAsia="zh-CN"/>
        </w:rPr>
        <w:t>项目废气可得到有效处理，不会增加废气排放量</w:t>
      </w:r>
      <w:r>
        <w:rPr>
          <w:rFonts w:hint="eastAsia"/>
          <w:b w:val="0"/>
          <w:bCs w:val="0"/>
          <w:color w:val="auto"/>
          <w:sz w:val="24"/>
          <w:szCs w:val="32"/>
          <w:highlight w:val="none"/>
          <w:lang w:val="en-US" w:eastAsia="zh-CN"/>
        </w:rPr>
        <w:t>。此外，替换后的500模铸锭生产线，仅涉及铝液浇筑、冷却，无高温燃烧、氧化过程，不产生任何废气，不会额外增加废气排放。</w:t>
      </w:r>
    </w:p>
    <w:p w14:paraId="56332E8B">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b w:val="0"/>
          <w:bCs w:val="0"/>
          <w:color w:val="auto"/>
          <w:sz w:val="28"/>
          <w:szCs w:val="36"/>
          <w:highlight w:val="none"/>
          <w:lang w:val="en-US" w:eastAsia="zh-CN"/>
        </w:rPr>
      </w:pPr>
      <w:r>
        <w:rPr>
          <w:rFonts w:hint="eastAsia"/>
          <w:b/>
          <w:bCs/>
          <w:color w:val="0000FF"/>
          <w:sz w:val="28"/>
          <w:szCs w:val="36"/>
          <w:highlight w:val="none"/>
          <w:lang w:val="en-US" w:eastAsia="zh-CN"/>
        </w:rPr>
        <w:t>3.8 生产设施与废气处理设施匹配性分析</w:t>
      </w:r>
    </w:p>
    <w:p w14:paraId="00339162">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b/>
          <w:bCs/>
          <w:color w:val="0000FF"/>
          <w:sz w:val="24"/>
          <w:szCs w:val="32"/>
          <w:highlight w:val="none"/>
          <w:lang w:val="en-US" w:eastAsia="zh-CN"/>
        </w:rPr>
      </w:pPr>
      <w:r>
        <w:rPr>
          <w:rFonts w:hint="eastAsia"/>
          <w:b/>
          <w:bCs/>
          <w:color w:val="0000FF"/>
          <w:sz w:val="24"/>
          <w:szCs w:val="32"/>
          <w:highlight w:val="none"/>
          <w:lang w:val="en-US" w:eastAsia="zh-CN"/>
        </w:rPr>
        <w:t>3.8.1 生产设施及产排污情况</w:t>
      </w:r>
    </w:p>
    <w:p w14:paraId="0BB6081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本项目熔炼及辅助生产设施包括：</w:t>
      </w:r>
    </w:p>
    <w:p w14:paraId="7B50E9F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1台40吨熔炼炉、1台30吨熔炼炉、1台30吨精炼炉、1台回转炉和1台冷灰桶。</w:t>
      </w:r>
    </w:p>
    <w:p w14:paraId="34B1BA9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上述设施均为再生铝生产典型产污设备，废气主要产生于：</w:t>
      </w:r>
    </w:p>
    <w:p w14:paraId="6A71710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outlineLvl w:val="9"/>
        <w:rPr>
          <w:rFonts w:hint="default"/>
          <w:b w:val="0"/>
          <w:bCs w:val="0"/>
          <w:color w:val="0000FF"/>
          <w:sz w:val="24"/>
          <w:szCs w:val="32"/>
          <w:highlight w:val="none"/>
          <w:lang w:val="en-US" w:eastAsia="zh-CN"/>
        </w:rPr>
      </w:pPr>
      <w:r>
        <w:rPr>
          <w:rFonts w:hint="eastAsia" w:ascii="Times New Roman" w:hAnsi="Times New Roman" w:eastAsia="宋体" w:cs="Times New Roman"/>
          <w:b w:val="0"/>
          <w:bCs w:val="0"/>
          <w:color w:val="0000FF"/>
          <w:kern w:val="2"/>
          <w:sz w:val="24"/>
          <w:szCs w:val="32"/>
          <w:lang w:val="en-US" w:eastAsia="zh-CN" w:bidi="ar-SA"/>
        </w:rPr>
        <w:t>①</w:t>
      </w:r>
      <w:r>
        <w:rPr>
          <w:rFonts w:hint="eastAsia"/>
          <w:b w:val="0"/>
          <w:bCs w:val="0"/>
          <w:color w:val="0000FF"/>
          <w:sz w:val="24"/>
          <w:szCs w:val="32"/>
          <w:highlight w:val="none"/>
          <w:lang w:val="en-US" w:eastAsia="zh-CN"/>
        </w:rPr>
        <w:t>熔铝炉熔化、扒渣、搅拌工序；</w:t>
      </w:r>
    </w:p>
    <w:p w14:paraId="2D1DC33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outlineLvl w:val="9"/>
        <w:rPr>
          <w:rFonts w:hint="default"/>
          <w:b w:val="0"/>
          <w:bCs w:val="0"/>
          <w:color w:val="0000FF"/>
          <w:sz w:val="24"/>
          <w:szCs w:val="32"/>
          <w:highlight w:val="none"/>
          <w:lang w:val="en-US" w:eastAsia="zh-CN"/>
        </w:rPr>
      </w:pPr>
      <w:r>
        <w:rPr>
          <w:rFonts w:hint="eastAsia" w:ascii="Times New Roman" w:hAnsi="Times New Roman" w:eastAsia="宋体" w:cs="Times New Roman"/>
          <w:b w:val="0"/>
          <w:bCs w:val="0"/>
          <w:color w:val="0000FF"/>
          <w:kern w:val="2"/>
          <w:sz w:val="24"/>
          <w:szCs w:val="32"/>
          <w:lang w:val="en-US" w:eastAsia="zh-CN" w:bidi="ar-SA"/>
        </w:rPr>
        <w:t>②</w:t>
      </w:r>
      <w:r>
        <w:rPr>
          <w:rFonts w:hint="eastAsia"/>
          <w:b w:val="0"/>
          <w:bCs w:val="0"/>
          <w:color w:val="0000FF"/>
          <w:sz w:val="24"/>
          <w:szCs w:val="32"/>
          <w:highlight w:val="none"/>
          <w:lang w:val="en-US" w:eastAsia="zh-CN"/>
        </w:rPr>
        <w:t>精炼炉精炼、除气、除杂工序；</w:t>
      </w:r>
    </w:p>
    <w:p w14:paraId="4D464D6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outlineLvl w:val="9"/>
        <w:rPr>
          <w:rFonts w:hint="default"/>
          <w:b w:val="0"/>
          <w:bCs w:val="0"/>
          <w:color w:val="0000FF"/>
          <w:sz w:val="24"/>
          <w:szCs w:val="32"/>
          <w:highlight w:val="none"/>
          <w:lang w:val="en-US" w:eastAsia="zh-CN"/>
        </w:rPr>
      </w:pPr>
      <w:r>
        <w:rPr>
          <w:rFonts w:hint="eastAsia" w:ascii="Times New Roman" w:hAnsi="Times New Roman" w:eastAsia="宋体" w:cs="Times New Roman"/>
          <w:b w:val="0"/>
          <w:bCs w:val="0"/>
          <w:color w:val="0000FF"/>
          <w:kern w:val="2"/>
          <w:sz w:val="24"/>
          <w:szCs w:val="32"/>
          <w:lang w:val="en-US" w:eastAsia="zh-CN" w:bidi="ar-SA"/>
        </w:rPr>
        <w:t>③</w:t>
      </w:r>
      <w:r>
        <w:rPr>
          <w:rFonts w:hint="eastAsia"/>
          <w:b w:val="0"/>
          <w:bCs w:val="0"/>
          <w:color w:val="0000FF"/>
          <w:sz w:val="24"/>
          <w:szCs w:val="32"/>
          <w:highlight w:val="none"/>
          <w:lang w:val="en-US" w:eastAsia="zh-CN"/>
        </w:rPr>
        <w:t>回转炉铝灰炒灰、盐渣热处理工序；</w:t>
      </w:r>
    </w:p>
    <w:p w14:paraId="28FB339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outlineLvl w:val="9"/>
        <w:rPr>
          <w:rFonts w:hint="default"/>
          <w:b w:val="0"/>
          <w:bCs w:val="0"/>
          <w:color w:val="0000FF"/>
          <w:sz w:val="24"/>
          <w:szCs w:val="32"/>
          <w:highlight w:val="none"/>
          <w:lang w:val="en-US" w:eastAsia="zh-CN"/>
        </w:rPr>
      </w:pPr>
      <w:r>
        <w:rPr>
          <w:rFonts w:hint="eastAsia" w:ascii="Times New Roman" w:hAnsi="Times New Roman" w:eastAsia="宋体" w:cs="Times New Roman"/>
          <w:b w:val="0"/>
          <w:bCs w:val="0"/>
          <w:color w:val="0000FF"/>
          <w:kern w:val="2"/>
          <w:sz w:val="24"/>
          <w:szCs w:val="32"/>
          <w:lang w:val="en-US" w:eastAsia="zh-CN" w:bidi="ar-SA"/>
        </w:rPr>
        <w:t>④</w:t>
      </w:r>
      <w:r>
        <w:rPr>
          <w:rFonts w:hint="eastAsia"/>
          <w:b w:val="0"/>
          <w:bCs w:val="0"/>
          <w:color w:val="0000FF"/>
          <w:sz w:val="24"/>
          <w:szCs w:val="32"/>
          <w:highlight w:val="none"/>
          <w:lang w:val="en-US" w:eastAsia="zh-CN"/>
        </w:rPr>
        <w:t>冷灰桶冷却、翻灰过程逸散烟气。</w:t>
      </w:r>
    </w:p>
    <w:p w14:paraId="62D7D94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主要污染物为：颗粒物、二氧化硫、氮氧化物、氯化氢、氟化物、二噁英类和重金属。</w:t>
      </w:r>
    </w:p>
    <w:p w14:paraId="200552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项目三台熔炼/精炼炉+回转炉+冷灰桶采用共用一套废气收集+处理系统，设计处理风量200000m</w:t>
      </w:r>
      <w:r>
        <w:rPr>
          <w:rFonts w:hint="eastAsia"/>
          <w:b w:val="0"/>
          <w:bCs w:val="0"/>
          <w:color w:val="0000FF"/>
          <w:sz w:val="24"/>
          <w:szCs w:val="32"/>
          <w:highlight w:val="none"/>
          <w:vertAlign w:val="superscript"/>
          <w:lang w:val="en-US" w:eastAsia="zh-CN"/>
        </w:rPr>
        <w:t>3</w:t>
      </w:r>
      <w:r>
        <w:rPr>
          <w:rFonts w:hint="eastAsia"/>
          <w:b w:val="0"/>
          <w:bCs w:val="0"/>
          <w:color w:val="0000FF"/>
          <w:sz w:val="24"/>
          <w:szCs w:val="32"/>
          <w:highlight w:val="none"/>
          <w:lang w:val="en-US" w:eastAsia="zh-CN"/>
        </w:rPr>
        <w:t>/h，处理工艺为：“SNCR脱硝+烟气急冷+活性炭喷粉+重力沉降除尘+布袋除尘+碱喷淋”，处理后通过一根排气筒排放。</w:t>
      </w:r>
    </w:p>
    <w:p w14:paraId="543881EF">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b/>
          <w:bCs/>
          <w:color w:val="0000FF"/>
          <w:sz w:val="24"/>
          <w:szCs w:val="32"/>
          <w:highlight w:val="none"/>
          <w:lang w:val="en-US" w:eastAsia="zh-CN"/>
        </w:rPr>
      </w:pPr>
      <w:r>
        <w:rPr>
          <w:rFonts w:hint="eastAsia"/>
          <w:b/>
          <w:bCs/>
          <w:color w:val="0000FF"/>
          <w:sz w:val="24"/>
          <w:szCs w:val="32"/>
          <w:highlight w:val="none"/>
          <w:lang w:val="en-US" w:eastAsia="zh-CN"/>
        </w:rPr>
        <w:t>3.8.2 风量匹配性分析</w:t>
      </w:r>
    </w:p>
    <w:p w14:paraId="4980873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（1）设备烟气量</w:t>
      </w:r>
    </w:p>
    <w:p w14:paraId="473A210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40吨熔炼炉：约50000m</w:t>
      </w:r>
      <w:r>
        <w:rPr>
          <w:rFonts w:hint="eastAsia"/>
          <w:b w:val="0"/>
          <w:bCs w:val="0"/>
          <w:color w:val="0000FF"/>
          <w:sz w:val="24"/>
          <w:szCs w:val="32"/>
          <w:highlight w:val="none"/>
          <w:vertAlign w:val="superscript"/>
          <w:lang w:val="en-US" w:eastAsia="zh-CN"/>
        </w:rPr>
        <w:t>3</w:t>
      </w:r>
      <w:r>
        <w:rPr>
          <w:rFonts w:hint="eastAsia"/>
          <w:b w:val="0"/>
          <w:bCs w:val="0"/>
          <w:color w:val="0000FF"/>
          <w:sz w:val="24"/>
          <w:szCs w:val="32"/>
          <w:highlight w:val="none"/>
          <w:lang w:val="en-US" w:eastAsia="zh-CN"/>
        </w:rPr>
        <w:t>/h；</w:t>
      </w:r>
    </w:p>
    <w:p w14:paraId="671A8B2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30吨熔炼炉：约45000m</w:t>
      </w:r>
      <w:r>
        <w:rPr>
          <w:rFonts w:hint="eastAsia"/>
          <w:b w:val="0"/>
          <w:bCs w:val="0"/>
          <w:color w:val="0000FF"/>
          <w:sz w:val="24"/>
          <w:szCs w:val="32"/>
          <w:highlight w:val="none"/>
          <w:vertAlign w:val="superscript"/>
          <w:lang w:val="en-US" w:eastAsia="zh-CN"/>
        </w:rPr>
        <w:t>3</w:t>
      </w:r>
      <w:r>
        <w:rPr>
          <w:rFonts w:hint="eastAsia"/>
          <w:b w:val="0"/>
          <w:bCs w:val="0"/>
          <w:color w:val="0000FF"/>
          <w:sz w:val="24"/>
          <w:szCs w:val="32"/>
          <w:highlight w:val="none"/>
          <w:lang w:val="en-US" w:eastAsia="zh-CN"/>
        </w:rPr>
        <w:t>/h；</w:t>
      </w:r>
    </w:p>
    <w:p w14:paraId="04C5A94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30吨精炼炉：约35000m</w:t>
      </w:r>
      <w:r>
        <w:rPr>
          <w:rFonts w:hint="eastAsia"/>
          <w:b w:val="0"/>
          <w:bCs w:val="0"/>
          <w:color w:val="0000FF"/>
          <w:sz w:val="24"/>
          <w:szCs w:val="32"/>
          <w:highlight w:val="none"/>
          <w:vertAlign w:val="superscript"/>
          <w:lang w:val="en-US" w:eastAsia="zh-CN"/>
        </w:rPr>
        <w:t>3</w:t>
      </w:r>
      <w:r>
        <w:rPr>
          <w:rFonts w:hint="eastAsia"/>
          <w:b w:val="0"/>
          <w:bCs w:val="0"/>
          <w:color w:val="0000FF"/>
          <w:sz w:val="24"/>
          <w:szCs w:val="32"/>
          <w:highlight w:val="none"/>
          <w:lang w:val="en-US" w:eastAsia="zh-CN"/>
        </w:rPr>
        <w:t>/h；</w:t>
      </w:r>
    </w:p>
    <w:p w14:paraId="1066B58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回转炉：约35000m</w:t>
      </w:r>
      <w:r>
        <w:rPr>
          <w:rFonts w:hint="eastAsia"/>
          <w:b w:val="0"/>
          <w:bCs w:val="0"/>
          <w:color w:val="0000FF"/>
          <w:sz w:val="24"/>
          <w:szCs w:val="32"/>
          <w:highlight w:val="none"/>
          <w:vertAlign w:val="superscript"/>
          <w:lang w:val="en-US" w:eastAsia="zh-CN"/>
        </w:rPr>
        <w:t>3</w:t>
      </w:r>
      <w:r>
        <w:rPr>
          <w:rFonts w:hint="eastAsia"/>
          <w:b w:val="0"/>
          <w:bCs w:val="0"/>
          <w:color w:val="0000FF"/>
          <w:sz w:val="24"/>
          <w:szCs w:val="32"/>
          <w:highlight w:val="none"/>
          <w:lang w:val="en-US" w:eastAsia="zh-CN"/>
        </w:rPr>
        <w:t>/h；</w:t>
      </w:r>
    </w:p>
    <w:p w14:paraId="51F192E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冷灰桶：约25000m</w:t>
      </w:r>
      <w:r>
        <w:rPr>
          <w:rFonts w:hint="eastAsia"/>
          <w:b w:val="0"/>
          <w:bCs w:val="0"/>
          <w:color w:val="0000FF"/>
          <w:sz w:val="24"/>
          <w:szCs w:val="32"/>
          <w:highlight w:val="none"/>
          <w:vertAlign w:val="superscript"/>
          <w:lang w:val="en-US" w:eastAsia="zh-CN"/>
        </w:rPr>
        <w:t>3</w:t>
      </w:r>
      <w:r>
        <w:rPr>
          <w:rFonts w:hint="eastAsia"/>
          <w:b w:val="0"/>
          <w:bCs w:val="0"/>
          <w:color w:val="0000FF"/>
          <w:sz w:val="24"/>
          <w:szCs w:val="32"/>
          <w:highlight w:val="none"/>
          <w:lang w:val="en-US" w:eastAsia="zh-CN"/>
        </w:rPr>
        <w:t>/h。</w:t>
      </w:r>
    </w:p>
    <w:p w14:paraId="65B970C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项目正常生产组织为熔炼、精炼、铝灰处理错峰/交替运行，一般不会出现所有设备同时满负荷排烟。</w:t>
      </w:r>
    </w:p>
    <w:p w14:paraId="410337C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（2）处理系统风量匹配性</w:t>
      </w:r>
    </w:p>
    <w:p w14:paraId="658641B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废气处理系统设计风量200000m</w:t>
      </w:r>
      <w:r>
        <w:rPr>
          <w:rFonts w:hint="eastAsia"/>
          <w:b w:val="0"/>
          <w:bCs w:val="0"/>
          <w:color w:val="0000FF"/>
          <w:sz w:val="24"/>
          <w:szCs w:val="32"/>
          <w:highlight w:val="none"/>
          <w:vertAlign w:val="superscript"/>
          <w:lang w:val="en-US" w:eastAsia="zh-CN"/>
        </w:rPr>
        <w:t>3</w:t>
      </w:r>
      <w:r>
        <w:rPr>
          <w:rFonts w:hint="eastAsia"/>
          <w:b w:val="0"/>
          <w:bCs w:val="0"/>
          <w:color w:val="0000FF"/>
          <w:sz w:val="24"/>
          <w:szCs w:val="32"/>
          <w:highlight w:val="none"/>
          <w:lang w:val="en-US" w:eastAsia="zh-CN"/>
        </w:rPr>
        <w:t>/h，可覆盖正常生产工况，满足最大排放烟气量需求，并预留一定波动、漏风及系统阻力余量。</w:t>
      </w:r>
    </w:p>
    <w:p w14:paraId="6B5F4E7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风机选型、管网布置与多炉共用收集系统匹配，可保证各产污节点负压稳定、无明显无组织逸散。</w:t>
      </w:r>
    </w:p>
    <w:p w14:paraId="74B0954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由上述内容可知，废气处理系统风量与生产设施废气产生量匹配合理。</w:t>
      </w:r>
    </w:p>
    <w:p w14:paraId="04033188">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b/>
          <w:bCs/>
          <w:color w:val="0000FF"/>
          <w:sz w:val="24"/>
          <w:szCs w:val="32"/>
          <w:highlight w:val="none"/>
          <w:lang w:val="en-US" w:eastAsia="zh-CN"/>
        </w:rPr>
      </w:pPr>
      <w:r>
        <w:rPr>
          <w:rFonts w:hint="eastAsia"/>
          <w:b/>
          <w:bCs/>
          <w:color w:val="0000FF"/>
          <w:sz w:val="24"/>
          <w:szCs w:val="32"/>
          <w:highlight w:val="none"/>
          <w:lang w:val="en-US" w:eastAsia="zh-CN"/>
        </w:rPr>
        <w:t>3.8.2 污染物与废气处理设施匹配性分析</w:t>
      </w:r>
    </w:p>
    <w:p w14:paraId="2B0E4A5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（1）氮氧化物</w:t>
      </w:r>
    </w:p>
    <w:p w14:paraId="7CCF12D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氮氧化物来源：主要为熔铝炉高温熔炼过程产生的燃料型氮氧化物和热力型氮氧化物。</w:t>
      </w:r>
    </w:p>
    <w:p w14:paraId="162C8D2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SNCR工艺适用性：SNCR反应温度窗口为850~1100℃，与熔铝炉出口烟气温度高度契合。还原剂在高温烟道喷射，无需催化剂，适合再生铝高温、波动大的烟气工况，脱硝效率可达40%~60%，可满足氮氧化物排放限值要求。</w:t>
      </w:r>
    </w:p>
    <w:p w14:paraId="1CEB9DA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outlineLvl w:val="9"/>
        <w:rPr>
          <w:rFonts w:hint="default"/>
          <w:b w:val="0"/>
          <w:bCs w:val="0"/>
          <w:color w:val="0000FF"/>
          <w:sz w:val="24"/>
          <w:szCs w:val="32"/>
          <w:highlight w:val="none"/>
          <w:lang w:val="en-US" w:eastAsia="zh-CN"/>
        </w:rPr>
      </w:pPr>
    </w:p>
    <w:p w14:paraId="6FD172F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（2）高温烟气</w:t>
      </w:r>
    </w:p>
    <w:p w14:paraId="023602C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eastAsia="宋体"/>
          <w:b w:val="0"/>
          <w:bCs w:val="0"/>
          <w:color w:val="0000FF"/>
          <w:sz w:val="24"/>
          <w:szCs w:val="32"/>
          <w:highlight w:val="none"/>
          <w:lang w:val="en-US" w:eastAsia="zh-CN"/>
        </w:rPr>
      </w:pPr>
      <w:r>
        <w:rPr>
          <w:rFonts w:hint="eastAsia" w:ascii="Times New Roman" w:hAnsi="Times New Roman" w:eastAsia="宋体" w:cs="Times New Roman"/>
          <w:b w:val="0"/>
          <w:bCs w:val="0"/>
          <w:color w:val="0000FF"/>
          <w:kern w:val="2"/>
          <w:sz w:val="24"/>
          <w:szCs w:val="32"/>
          <w:lang w:val="en-US" w:eastAsia="zh-CN" w:bidi="ar-SA"/>
        </w:rPr>
        <w:t>熔</w:t>
      </w:r>
      <w:r>
        <w:rPr>
          <w:rFonts w:hint="default" w:ascii="Times New Roman" w:hAnsi="Times New Roman" w:eastAsia="宋体" w:cs="Times New Roman"/>
          <w:b w:val="0"/>
          <w:bCs w:val="0"/>
          <w:color w:val="0000FF"/>
          <w:kern w:val="2"/>
          <w:sz w:val="24"/>
          <w:szCs w:val="32"/>
          <w:lang w:val="en-US" w:eastAsia="zh-CN" w:bidi="ar-SA"/>
        </w:rPr>
        <w:t>炼及回转炉烟气温度可达800~1100</w:t>
      </w:r>
      <w:r>
        <w:rPr>
          <w:rFonts w:hint="default" w:ascii="Times New Roman" w:hAnsi="Times New Roman" w:cs="Times New Roman"/>
          <w:b w:val="0"/>
          <w:bCs w:val="0"/>
          <w:color w:val="0000FF"/>
          <w:sz w:val="24"/>
          <w:szCs w:val="32"/>
          <w:highlight w:val="none"/>
          <w:lang w:val="en-US" w:eastAsia="zh-CN"/>
        </w:rPr>
        <w:t>℃</w:t>
      </w:r>
      <w:r>
        <w:rPr>
          <w:rFonts w:hint="default" w:ascii="Times New Roman" w:hAnsi="Times New Roman" w:eastAsia="宋体" w:cs="Times New Roman"/>
          <w:b w:val="0"/>
          <w:bCs w:val="0"/>
          <w:color w:val="0000FF"/>
          <w:kern w:val="2"/>
          <w:sz w:val="24"/>
          <w:szCs w:val="32"/>
          <w:lang w:val="en-US" w:eastAsia="zh-CN" w:bidi="ar-SA"/>
        </w:rPr>
        <w:t>，直接进入后段会造成</w:t>
      </w:r>
      <w:r>
        <w:rPr>
          <w:rFonts w:hint="default" w:ascii="Times New Roman" w:hAnsi="Times New Roman" w:cs="Times New Roman"/>
          <w:b w:val="0"/>
          <w:bCs w:val="0"/>
          <w:color w:val="0000FF"/>
          <w:kern w:val="2"/>
          <w:sz w:val="24"/>
          <w:szCs w:val="32"/>
          <w:lang w:val="en-US" w:eastAsia="zh-CN" w:bidi="ar-SA"/>
        </w:rPr>
        <w:t>：</w:t>
      </w:r>
      <w:r>
        <w:rPr>
          <w:rFonts w:hint="default" w:ascii="Times New Roman" w:hAnsi="Times New Roman" w:eastAsia="宋体" w:cs="Times New Roman"/>
          <w:color w:val="0000FF"/>
          <w:sz w:val="24"/>
          <w:szCs w:val="24"/>
        </w:rPr>
        <w:t>布袋烧损</w:t>
      </w:r>
      <w:r>
        <w:rPr>
          <w:rFonts w:hint="default" w:ascii="Times New Roman" w:hAnsi="Times New Roman" w:eastAsia="宋体" w:cs="Times New Roman"/>
          <w:color w:val="0000FF"/>
          <w:sz w:val="24"/>
          <w:szCs w:val="24"/>
          <w:lang w:val="en-US" w:eastAsia="zh-CN"/>
        </w:rPr>
        <w:t>和</w:t>
      </w:r>
      <w:r>
        <w:rPr>
          <w:rFonts w:hint="default" w:ascii="Times New Roman" w:hAnsi="Times New Roman" w:eastAsia="宋体" w:cs="Times New Roman"/>
          <w:color w:val="0000FF"/>
          <w:sz w:val="24"/>
          <w:szCs w:val="24"/>
          <w:lang w:eastAsia="zh-CN"/>
        </w:rPr>
        <w:t>二噁英重新合成</w:t>
      </w:r>
      <w:r>
        <w:rPr>
          <w:rFonts w:hint="eastAsia" w:ascii="Times New Roman" w:hAnsi="Times New Roman" w:eastAsia="宋体" w:cs="Times New Roman"/>
          <w:color w:val="0000FF"/>
          <w:sz w:val="24"/>
          <w:szCs w:val="24"/>
          <w:lang w:eastAsia="zh-CN"/>
        </w:rPr>
        <w:t>。</w:t>
      </w:r>
    </w:p>
    <w:p w14:paraId="21E2B7C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烟气急冷工艺适用性：烟气急冷装置可在1s内将烟气温度快速降至200</w:t>
      </w:r>
      <w:r>
        <w:rPr>
          <w:rFonts w:hint="default" w:ascii="Times New Roman" w:hAnsi="Times New Roman" w:cs="Times New Roman"/>
          <w:b w:val="0"/>
          <w:bCs w:val="0"/>
          <w:color w:val="0000FF"/>
          <w:sz w:val="24"/>
          <w:szCs w:val="32"/>
          <w:highlight w:val="none"/>
          <w:lang w:val="en-US" w:eastAsia="zh-CN"/>
        </w:rPr>
        <w:t>℃</w:t>
      </w:r>
      <w:r>
        <w:rPr>
          <w:rFonts w:hint="eastAsia"/>
          <w:b w:val="0"/>
          <w:bCs w:val="0"/>
          <w:color w:val="0000FF"/>
          <w:sz w:val="24"/>
          <w:szCs w:val="32"/>
          <w:highlight w:val="none"/>
          <w:lang w:val="en-US" w:eastAsia="zh-CN"/>
        </w:rPr>
        <w:t>以下，快速穿越二噁英再生成温度区间，控制二噁英的生成。同时降低烟气体积负荷，保护后续除尘、喷淋设备。</w:t>
      </w:r>
    </w:p>
    <w:p w14:paraId="2F618F8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（3）二噁英、重金属</w:t>
      </w:r>
    </w:p>
    <w:p w14:paraId="4D927B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二噁英、重金属产生来源：熔铝炉熔炼过程中在高温下会产生微量二噁英、</w:t>
      </w:r>
      <w:r>
        <w:rPr>
          <w:rFonts w:hint="default" w:ascii="Times New Roman" w:hAnsi="Times New Roman" w:eastAsia="宋体" w:cs="Times New Roman"/>
          <w:color w:val="0000FF"/>
          <w:kern w:val="0"/>
          <w:sz w:val="24"/>
          <w:szCs w:val="20"/>
        </w:rPr>
        <w:t>砷及其化合物、铅及其化合物、锡及其化合物、镉及其化合物、铬及其化合物</w:t>
      </w:r>
      <w:r>
        <w:rPr>
          <w:rFonts w:hint="eastAsia"/>
          <w:b w:val="0"/>
          <w:bCs w:val="0"/>
          <w:color w:val="0000FF"/>
          <w:sz w:val="24"/>
          <w:szCs w:val="32"/>
          <w:highlight w:val="none"/>
          <w:lang w:val="en-US" w:eastAsia="zh-CN"/>
        </w:rPr>
        <w:t>等重金属。</w:t>
      </w:r>
    </w:p>
    <w:p w14:paraId="52AAE59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活性炭喷粉适用性：急冷后烟气温度适宜活性炭吸附，活性炭喷粉可高效吸附二噁英、重金属及微量有机物，与布袋除尘配合实现“吸附+捕集”协同去除。</w:t>
      </w:r>
    </w:p>
    <w:p w14:paraId="55931C2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（4）重力沉降+布袋除尘与颗粒物匹配性</w:t>
      </w:r>
    </w:p>
    <w:p w14:paraId="183D1FB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重力沉降：预先脱除大颗粒、高密度粉尘，降低布袋负荷，减少糊袋、磨损；</w:t>
      </w:r>
    </w:p>
    <w:p w14:paraId="55237C0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布袋除尘：作为终端高效除尘，总除尘效率≥99.5%，可稳定实现颗粒物达标。</w:t>
      </w:r>
    </w:p>
    <w:p w14:paraId="2437180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（5）酸性气体匹配性分析</w:t>
      </w:r>
    </w:p>
    <w:p w14:paraId="262D975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b w:val="0"/>
          <w:bCs w:val="0"/>
          <w:color w:val="0000FF"/>
          <w:sz w:val="24"/>
          <w:szCs w:val="32"/>
          <w:highlight w:val="none"/>
          <w:lang w:val="en-US" w:eastAsia="zh-CN"/>
        </w:rPr>
      </w:pPr>
      <w:r>
        <w:rPr>
          <w:rFonts w:hint="eastAsia"/>
          <w:b w:val="0"/>
          <w:bCs w:val="0"/>
          <w:color w:val="0000FF"/>
          <w:sz w:val="24"/>
          <w:szCs w:val="32"/>
          <w:highlight w:val="none"/>
          <w:lang w:val="en-US" w:eastAsia="zh-CN"/>
        </w:rPr>
        <w:t>酸性气体来源：主要为熔铝炉熔炼过程和铝灰处理过程产生，主要污染物为二氧化硫、氯化氢、氟化物。</w:t>
      </w:r>
    </w:p>
    <w:p w14:paraId="0B05598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碱喷淋工艺适用性：碱液（NaOH溶液）可高效中和HCI、HF、SO</w:t>
      </w:r>
      <w:r>
        <w:rPr>
          <w:rFonts w:hint="eastAsia"/>
          <w:b w:val="0"/>
          <w:bCs w:val="0"/>
          <w:color w:val="0000FF"/>
          <w:sz w:val="24"/>
          <w:szCs w:val="32"/>
          <w:highlight w:val="none"/>
          <w:vertAlign w:val="subscript"/>
          <w:lang w:val="en-US" w:eastAsia="zh-CN"/>
        </w:rPr>
        <w:t>2</w:t>
      </w:r>
      <w:r>
        <w:rPr>
          <w:rFonts w:hint="eastAsia"/>
          <w:b w:val="0"/>
          <w:bCs w:val="0"/>
          <w:color w:val="0000FF"/>
          <w:sz w:val="24"/>
          <w:szCs w:val="32"/>
          <w:highlight w:val="none"/>
          <w:lang w:val="en-US" w:eastAsia="zh-CN"/>
        </w:rPr>
        <w:t>，同时进一步去除残余粉尘、氟化物与异味。烟气经降温、除尘后进入喷淋系统，气液接触条件好，不易堵塞、结垢，脱酸效率稳定。</w:t>
      </w:r>
    </w:p>
    <w:p w14:paraId="65369373">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b/>
          <w:bCs/>
          <w:color w:val="0000FF"/>
          <w:sz w:val="24"/>
          <w:szCs w:val="32"/>
          <w:highlight w:val="none"/>
          <w:lang w:val="en-US" w:eastAsia="zh-CN"/>
        </w:rPr>
      </w:pPr>
      <w:r>
        <w:rPr>
          <w:rFonts w:hint="eastAsia"/>
          <w:b/>
          <w:bCs/>
          <w:color w:val="0000FF"/>
          <w:sz w:val="24"/>
          <w:szCs w:val="32"/>
          <w:highlight w:val="none"/>
          <w:lang w:val="en-US" w:eastAsia="zh-CN"/>
        </w:rPr>
        <w:t>3.8.3 总体匹配性结论</w:t>
      </w:r>
    </w:p>
    <w:p w14:paraId="3C7280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b w:val="0"/>
          <w:bCs w:val="0"/>
          <w:color w:val="0000FF"/>
          <w:sz w:val="24"/>
          <w:szCs w:val="32"/>
          <w:highlight w:val="none"/>
          <w:lang w:val="en-US" w:eastAsia="zh-CN"/>
        </w:rPr>
      </w:pPr>
      <w:r>
        <w:rPr>
          <w:rFonts w:hint="eastAsia"/>
          <w:b w:val="0"/>
          <w:bCs w:val="0"/>
          <w:color w:val="0000FF"/>
          <w:sz w:val="24"/>
          <w:szCs w:val="32"/>
          <w:highlight w:val="none"/>
          <w:lang w:val="en-US" w:eastAsia="zh-CN"/>
        </w:rPr>
        <w:t>本项目2台熔铝炉、1 台精炼炉、1 台回转炉及 1 台冷灰桶产生的废气污染物，与采用SNCR+烟气急冷急冷+活性炭喷粉+重力沉降除尘+布袋除尘+碱喷淋组合处理工艺及200000 m</w:t>
      </w:r>
      <w:r>
        <w:rPr>
          <w:rFonts w:hint="eastAsia"/>
          <w:b w:val="0"/>
          <w:bCs w:val="0"/>
          <w:color w:val="0000FF"/>
          <w:sz w:val="24"/>
          <w:szCs w:val="32"/>
          <w:highlight w:val="none"/>
          <w:vertAlign w:val="superscript"/>
          <w:lang w:val="en-US" w:eastAsia="zh-CN"/>
        </w:rPr>
        <w:t>3</w:t>
      </w:r>
      <w:r>
        <w:rPr>
          <w:rFonts w:hint="eastAsia"/>
          <w:b w:val="0"/>
          <w:bCs w:val="0"/>
          <w:color w:val="0000FF"/>
          <w:sz w:val="24"/>
          <w:szCs w:val="32"/>
          <w:highlight w:val="none"/>
          <w:lang w:val="en-US" w:eastAsia="zh-CN"/>
        </w:rPr>
        <w:t>/h废气处理系统在风量负荷、温度特性、污染物组分、工况波动、设备运行安全等方面整体匹配合理。</w:t>
      </w:r>
    </w:p>
    <w:p w14:paraId="063DB94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outlineLvl w:val="9"/>
        <w:rPr>
          <w:color w:val="auto"/>
        </w:rPr>
      </w:pPr>
      <w:r>
        <w:rPr>
          <w:color w:val="auto"/>
        </w:rPr>
        <w:br w:type="page"/>
      </w:r>
    </w:p>
    <w:p w14:paraId="08F876BD">
      <w:pPr>
        <w:spacing w:line="360" w:lineRule="auto"/>
        <w:jc w:val="center"/>
        <w:outlineLvl w:val="0"/>
        <w:rPr>
          <w:b/>
          <w:bCs/>
          <w:color w:val="auto"/>
          <w:sz w:val="32"/>
          <w:szCs w:val="40"/>
        </w:rPr>
      </w:pPr>
      <w:bookmarkStart w:id="292" w:name="_Toc17944"/>
      <w:r>
        <w:rPr>
          <w:b/>
          <w:bCs/>
          <w:color w:val="auto"/>
          <w:sz w:val="32"/>
          <w:szCs w:val="40"/>
        </w:rPr>
        <w:t>4 区域环境变化评价</w:t>
      </w:r>
      <w:bookmarkEnd w:id="292"/>
    </w:p>
    <w:p w14:paraId="3EEFE3C3">
      <w:pPr>
        <w:spacing w:line="360" w:lineRule="auto"/>
        <w:rPr>
          <w:color w:val="auto"/>
          <w:sz w:val="24"/>
          <w:szCs w:val="32"/>
        </w:rPr>
      </w:pPr>
    </w:p>
    <w:p w14:paraId="14018509">
      <w:pPr>
        <w:spacing w:line="360" w:lineRule="auto"/>
        <w:outlineLvl w:val="1"/>
        <w:rPr>
          <w:b/>
          <w:bCs/>
          <w:color w:val="auto"/>
          <w:sz w:val="28"/>
          <w:szCs w:val="36"/>
        </w:rPr>
      </w:pPr>
      <w:bookmarkStart w:id="293" w:name="_Toc13278"/>
      <w:r>
        <w:rPr>
          <w:b/>
          <w:bCs/>
          <w:color w:val="auto"/>
          <w:sz w:val="28"/>
          <w:szCs w:val="36"/>
        </w:rPr>
        <w:t>4.1周边区域环境敏感目标变化情况</w:t>
      </w:r>
      <w:bookmarkEnd w:id="293"/>
    </w:p>
    <w:p w14:paraId="195971E7">
      <w:pPr>
        <w:spacing w:line="360" w:lineRule="auto"/>
        <w:ind w:firstLine="480" w:firstLineChars="200"/>
        <w:rPr>
          <w:color w:val="auto"/>
          <w:sz w:val="24"/>
          <w:szCs w:val="32"/>
        </w:rPr>
      </w:pPr>
      <w:r>
        <w:rPr>
          <w:color w:val="auto"/>
          <w:sz w:val="24"/>
          <w:szCs w:val="32"/>
        </w:rPr>
        <w:t>项目位于安徽</w:t>
      </w:r>
      <w:r>
        <w:rPr>
          <w:rFonts w:hint="eastAsia"/>
          <w:color w:val="auto"/>
          <w:sz w:val="24"/>
          <w:szCs w:val="32"/>
          <w:lang w:val="en-US" w:eastAsia="zh-CN"/>
        </w:rPr>
        <w:t>濉溪经济开发区内</w:t>
      </w:r>
      <w:r>
        <w:rPr>
          <w:color w:val="auto"/>
          <w:sz w:val="24"/>
          <w:szCs w:val="32"/>
        </w:rPr>
        <w:t>，项目位于安徽</w:t>
      </w:r>
      <w:r>
        <w:rPr>
          <w:rFonts w:hint="eastAsia"/>
          <w:color w:val="auto"/>
          <w:sz w:val="24"/>
          <w:szCs w:val="32"/>
          <w:lang w:val="en-US" w:eastAsia="zh-CN"/>
        </w:rPr>
        <w:t>濉溪经济开发区内</w:t>
      </w:r>
      <w:r>
        <w:rPr>
          <w:color w:val="auto"/>
          <w:sz w:val="24"/>
          <w:szCs w:val="32"/>
        </w:rPr>
        <w:t>，</w:t>
      </w:r>
      <w:r>
        <w:rPr>
          <w:rFonts w:hint="eastAsia"/>
          <w:color w:val="auto"/>
          <w:sz w:val="24"/>
          <w:szCs w:val="32"/>
        </w:rPr>
        <w:t>根据现场调查</w:t>
      </w:r>
      <w:r>
        <w:rPr>
          <w:color w:val="auto"/>
          <w:sz w:val="24"/>
          <w:szCs w:val="32"/>
        </w:rPr>
        <w:t>，本评价区域内无历史文物古迹和风景名胜区等特殊敏感目标</w:t>
      </w:r>
      <w:r>
        <w:rPr>
          <w:rFonts w:hint="eastAsia"/>
          <w:color w:val="auto"/>
          <w:sz w:val="24"/>
          <w:szCs w:val="32"/>
        </w:rPr>
        <w:t>，后评价阶段环评报告目标与</w:t>
      </w:r>
      <w:r>
        <w:rPr>
          <w:rFonts w:hint="eastAsia"/>
          <w:color w:val="auto"/>
          <w:sz w:val="24"/>
          <w:szCs w:val="32"/>
          <w:lang w:val="en-US" w:eastAsia="zh-CN"/>
        </w:rPr>
        <w:t>原</w:t>
      </w:r>
      <w:r>
        <w:rPr>
          <w:rFonts w:hint="eastAsia"/>
          <w:color w:val="auto"/>
          <w:sz w:val="24"/>
          <w:szCs w:val="32"/>
        </w:rPr>
        <w:t>环评阶段</w:t>
      </w:r>
      <w:r>
        <w:rPr>
          <w:rFonts w:hint="eastAsia"/>
          <w:color w:val="auto"/>
          <w:sz w:val="24"/>
          <w:szCs w:val="32"/>
          <w:lang w:val="en-US" w:eastAsia="zh-CN"/>
        </w:rPr>
        <w:t>环境</w:t>
      </w:r>
      <w:r>
        <w:rPr>
          <w:rFonts w:hint="eastAsia"/>
          <w:color w:val="auto"/>
          <w:sz w:val="24"/>
          <w:szCs w:val="32"/>
        </w:rPr>
        <w:t>保护目标</w:t>
      </w:r>
      <w:r>
        <w:rPr>
          <w:rFonts w:hint="eastAsia"/>
          <w:color w:val="auto"/>
          <w:sz w:val="24"/>
          <w:szCs w:val="32"/>
          <w:lang w:val="en-US" w:eastAsia="zh-CN"/>
        </w:rPr>
        <w:t>发生变化，大气评价范围内的梁庄、王埝村、戚牌坊现已拆迁</w:t>
      </w:r>
      <w:r>
        <w:rPr>
          <w:rFonts w:hint="eastAsia"/>
          <w:color w:val="auto"/>
          <w:sz w:val="24"/>
          <w:szCs w:val="32"/>
        </w:rPr>
        <w:t>。</w:t>
      </w:r>
      <w:r>
        <w:rPr>
          <w:color w:val="auto"/>
          <w:sz w:val="24"/>
          <w:szCs w:val="32"/>
        </w:rPr>
        <w:t>具体见表1-</w:t>
      </w:r>
      <w:r>
        <w:rPr>
          <w:rFonts w:hint="eastAsia"/>
          <w:color w:val="auto"/>
          <w:sz w:val="24"/>
          <w:szCs w:val="32"/>
          <w:lang w:val="en-US" w:eastAsia="zh-CN"/>
        </w:rPr>
        <w:t>18</w:t>
      </w:r>
      <w:r>
        <w:rPr>
          <w:color w:val="auto"/>
          <w:sz w:val="24"/>
          <w:szCs w:val="32"/>
        </w:rPr>
        <w:t>和图1-4。</w:t>
      </w:r>
    </w:p>
    <w:p w14:paraId="17737746">
      <w:pPr>
        <w:spacing w:line="360" w:lineRule="auto"/>
        <w:outlineLvl w:val="1"/>
        <w:rPr>
          <w:b/>
          <w:bCs/>
          <w:color w:val="auto"/>
          <w:sz w:val="28"/>
          <w:szCs w:val="36"/>
        </w:rPr>
      </w:pPr>
      <w:bookmarkStart w:id="294" w:name="_Toc32616"/>
      <w:r>
        <w:rPr>
          <w:b/>
          <w:bCs/>
          <w:color w:val="auto"/>
          <w:sz w:val="28"/>
          <w:szCs w:val="36"/>
        </w:rPr>
        <w:t>4.2污染源或其他影响源变化</w:t>
      </w:r>
      <w:bookmarkEnd w:id="294"/>
    </w:p>
    <w:p w14:paraId="43B36F6D">
      <w:pPr>
        <w:spacing w:line="360" w:lineRule="auto"/>
        <w:ind w:firstLine="480" w:firstLineChars="200"/>
        <w:rPr>
          <w:color w:val="auto"/>
          <w:sz w:val="24"/>
          <w:szCs w:val="32"/>
        </w:rPr>
      </w:pPr>
      <w:r>
        <w:rPr>
          <w:color w:val="auto"/>
          <w:sz w:val="24"/>
          <w:szCs w:val="32"/>
        </w:rPr>
        <w:t>根据调查，项目生产过</w:t>
      </w:r>
      <w:r>
        <w:rPr>
          <w:rFonts w:hint="eastAsia"/>
          <w:color w:val="auto"/>
          <w:sz w:val="24"/>
          <w:szCs w:val="32"/>
          <w:lang w:eastAsia="zh-CN"/>
        </w:rPr>
        <w:t>程中</w:t>
      </w:r>
      <w:r>
        <w:rPr>
          <w:color w:val="auto"/>
          <w:sz w:val="24"/>
          <w:szCs w:val="32"/>
        </w:rPr>
        <w:t>，安徽</w:t>
      </w:r>
      <w:r>
        <w:rPr>
          <w:rFonts w:hint="eastAsia"/>
          <w:color w:val="auto"/>
          <w:sz w:val="24"/>
          <w:szCs w:val="32"/>
          <w:lang w:val="en-US" w:eastAsia="zh-CN"/>
        </w:rPr>
        <w:t>濉溪经济开发区</w:t>
      </w:r>
      <w:r>
        <w:rPr>
          <w:color w:val="auto"/>
          <w:sz w:val="24"/>
          <w:szCs w:val="32"/>
        </w:rPr>
        <w:t>入驻企业发生变化，主要包括：</w:t>
      </w:r>
    </w:p>
    <w:p w14:paraId="55C68EE0">
      <w:pPr>
        <w:spacing w:line="360" w:lineRule="auto"/>
        <w:ind w:firstLine="480" w:firstLineChars="200"/>
        <w:rPr>
          <w:color w:val="auto"/>
          <w:sz w:val="24"/>
          <w:szCs w:val="32"/>
        </w:rPr>
      </w:pPr>
      <w:r>
        <w:rPr>
          <w:color w:val="auto"/>
          <w:sz w:val="24"/>
          <w:szCs w:val="32"/>
        </w:rPr>
        <w:t>（1）</w:t>
      </w:r>
      <w:r>
        <w:rPr>
          <w:rFonts w:hint="eastAsia"/>
          <w:color w:val="auto"/>
          <w:sz w:val="24"/>
          <w:szCs w:val="32"/>
        </w:rPr>
        <w:t>安徽省久江新能源科技有限公司产1万吨亚磷酸二甲酯、4000吨间羟基-N,N二乙基苯胺、2万吨氯乙烷、4.5万吨酰氯类改扩建项目（一、二期）</w:t>
      </w:r>
      <w:r>
        <w:rPr>
          <w:color w:val="auto"/>
          <w:sz w:val="24"/>
          <w:szCs w:val="32"/>
        </w:rPr>
        <w:t>；</w:t>
      </w:r>
    </w:p>
    <w:p w14:paraId="3D63FEE4">
      <w:pPr>
        <w:spacing w:line="360" w:lineRule="auto"/>
        <w:ind w:firstLine="480" w:firstLineChars="200"/>
        <w:rPr>
          <w:color w:val="auto"/>
          <w:sz w:val="24"/>
          <w:szCs w:val="32"/>
        </w:rPr>
      </w:pPr>
      <w:r>
        <w:rPr>
          <w:color w:val="auto"/>
          <w:sz w:val="24"/>
          <w:szCs w:val="32"/>
        </w:rPr>
        <w:t>（2）</w:t>
      </w:r>
      <w:r>
        <w:rPr>
          <w:rFonts w:hint="eastAsia"/>
          <w:color w:val="auto"/>
          <w:sz w:val="24"/>
          <w:szCs w:val="32"/>
        </w:rPr>
        <w:t>淮北晓欣环保科技有限公司年产30万吨液体肥料及盐碱改良剂和冲施肥项目</w:t>
      </w:r>
      <w:r>
        <w:rPr>
          <w:color w:val="auto"/>
          <w:sz w:val="24"/>
          <w:szCs w:val="32"/>
        </w:rPr>
        <w:t>；</w:t>
      </w:r>
    </w:p>
    <w:p w14:paraId="403650A9">
      <w:pPr>
        <w:spacing w:line="360" w:lineRule="auto"/>
        <w:ind w:firstLine="480" w:firstLineChars="200"/>
        <w:rPr>
          <w:color w:val="auto"/>
          <w:sz w:val="24"/>
          <w:szCs w:val="32"/>
        </w:rPr>
      </w:pPr>
      <w:r>
        <w:rPr>
          <w:color w:val="auto"/>
          <w:sz w:val="24"/>
          <w:szCs w:val="32"/>
        </w:rPr>
        <w:t>（3）</w:t>
      </w:r>
      <w:r>
        <w:rPr>
          <w:rFonts w:hint="eastAsia"/>
          <w:color w:val="auto"/>
          <w:sz w:val="24"/>
          <w:szCs w:val="32"/>
        </w:rPr>
        <w:t>安徽汇联智新材料科技有限公司年产10万吨铝合金材料项目</w:t>
      </w:r>
      <w:r>
        <w:rPr>
          <w:color w:val="auto"/>
          <w:sz w:val="24"/>
          <w:szCs w:val="32"/>
        </w:rPr>
        <w:t>；</w:t>
      </w:r>
    </w:p>
    <w:p w14:paraId="7EC14971">
      <w:pPr>
        <w:spacing w:line="360" w:lineRule="auto"/>
        <w:ind w:firstLine="480" w:firstLineChars="200"/>
        <w:rPr>
          <w:color w:val="auto"/>
          <w:sz w:val="24"/>
          <w:szCs w:val="32"/>
        </w:rPr>
      </w:pPr>
      <w:r>
        <w:rPr>
          <w:color w:val="auto"/>
          <w:sz w:val="24"/>
          <w:szCs w:val="32"/>
        </w:rPr>
        <w:t>（4）</w:t>
      </w:r>
      <w:r>
        <w:rPr>
          <w:rFonts w:hint="eastAsia"/>
          <w:color w:val="auto"/>
          <w:sz w:val="24"/>
          <w:szCs w:val="32"/>
        </w:rPr>
        <w:t>安徽华昱铝业有限公司年产5万吨再生铝综合利用及1万吨铜制品项目</w:t>
      </w:r>
      <w:r>
        <w:rPr>
          <w:color w:val="auto"/>
          <w:sz w:val="24"/>
          <w:szCs w:val="32"/>
        </w:rPr>
        <w:t>；</w:t>
      </w:r>
    </w:p>
    <w:p w14:paraId="582B8363">
      <w:pPr>
        <w:spacing w:line="360" w:lineRule="auto"/>
        <w:ind w:firstLine="480" w:firstLineChars="200"/>
        <w:rPr>
          <w:color w:val="auto"/>
          <w:sz w:val="24"/>
          <w:szCs w:val="32"/>
        </w:rPr>
      </w:pPr>
      <w:r>
        <w:rPr>
          <w:color w:val="auto"/>
          <w:sz w:val="24"/>
          <w:szCs w:val="32"/>
        </w:rPr>
        <w:t>（5）</w:t>
      </w:r>
      <w:r>
        <w:rPr>
          <w:rFonts w:hint="eastAsia"/>
          <w:color w:val="auto"/>
          <w:sz w:val="24"/>
          <w:szCs w:val="32"/>
        </w:rPr>
        <w:t>安徽汇联智新材料科技有限公司年产4万吨保级利用超宽幅铝合金板项目（重新报批）</w:t>
      </w:r>
      <w:r>
        <w:rPr>
          <w:color w:val="auto"/>
          <w:sz w:val="24"/>
          <w:szCs w:val="32"/>
        </w:rPr>
        <w:t>；</w:t>
      </w:r>
    </w:p>
    <w:p w14:paraId="185C593D">
      <w:pPr>
        <w:spacing w:line="360" w:lineRule="auto"/>
        <w:ind w:firstLine="480" w:firstLineChars="200"/>
        <w:rPr>
          <w:color w:val="auto"/>
          <w:sz w:val="24"/>
          <w:szCs w:val="32"/>
        </w:rPr>
      </w:pPr>
      <w:r>
        <w:rPr>
          <w:color w:val="auto"/>
          <w:sz w:val="24"/>
          <w:szCs w:val="32"/>
        </w:rPr>
        <w:t>（6）</w:t>
      </w:r>
      <w:r>
        <w:rPr>
          <w:rFonts w:hint="eastAsia"/>
          <w:color w:val="auto"/>
          <w:sz w:val="24"/>
          <w:szCs w:val="32"/>
        </w:rPr>
        <w:t>安徽雄创铝合金新型材料有限责任公司年产15万吨的新型铝合金项目（重新报批）</w:t>
      </w:r>
      <w:r>
        <w:rPr>
          <w:color w:val="auto"/>
          <w:sz w:val="24"/>
          <w:szCs w:val="32"/>
        </w:rPr>
        <w:t>；</w:t>
      </w:r>
    </w:p>
    <w:p w14:paraId="29D83EB2">
      <w:pPr>
        <w:spacing w:line="360" w:lineRule="auto"/>
        <w:ind w:firstLine="480" w:firstLineChars="200"/>
        <w:rPr>
          <w:color w:val="auto"/>
          <w:sz w:val="24"/>
          <w:szCs w:val="32"/>
        </w:rPr>
      </w:pPr>
      <w:r>
        <w:rPr>
          <w:color w:val="auto"/>
          <w:sz w:val="24"/>
          <w:szCs w:val="32"/>
        </w:rPr>
        <w:t>（7）</w:t>
      </w:r>
      <w:r>
        <w:rPr>
          <w:rFonts w:hint="eastAsia"/>
          <w:color w:val="auto"/>
          <w:sz w:val="24"/>
          <w:szCs w:val="32"/>
        </w:rPr>
        <w:t>淮北润农腾辉生物科技有限公司年产15000吨新型生物制剂复配项目</w:t>
      </w:r>
      <w:r>
        <w:rPr>
          <w:color w:val="auto"/>
          <w:sz w:val="24"/>
          <w:szCs w:val="32"/>
        </w:rPr>
        <w:t>；</w:t>
      </w:r>
    </w:p>
    <w:p w14:paraId="67E9FBB8">
      <w:pPr>
        <w:spacing w:line="360" w:lineRule="auto"/>
        <w:ind w:firstLine="480" w:firstLineChars="200"/>
        <w:rPr>
          <w:color w:val="auto"/>
          <w:sz w:val="24"/>
          <w:szCs w:val="32"/>
        </w:rPr>
      </w:pPr>
      <w:r>
        <w:rPr>
          <w:color w:val="auto"/>
          <w:sz w:val="24"/>
          <w:szCs w:val="32"/>
        </w:rPr>
        <w:t>（8）</w:t>
      </w:r>
      <w:r>
        <w:rPr>
          <w:rFonts w:hint="eastAsia"/>
          <w:color w:val="auto"/>
          <w:sz w:val="24"/>
          <w:szCs w:val="32"/>
        </w:rPr>
        <w:t>安徽丹青新材料科技有限公司年产3万吨水性油墨、油性油墨生产线建设项目</w:t>
      </w:r>
      <w:r>
        <w:rPr>
          <w:color w:val="auto"/>
          <w:sz w:val="24"/>
          <w:szCs w:val="32"/>
        </w:rPr>
        <w:t>；</w:t>
      </w:r>
    </w:p>
    <w:p w14:paraId="166A9F82">
      <w:pPr>
        <w:spacing w:line="360" w:lineRule="auto"/>
        <w:ind w:firstLine="480" w:firstLineChars="200"/>
        <w:rPr>
          <w:color w:val="auto"/>
          <w:sz w:val="24"/>
          <w:szCs w:val="32"/>
        </w:rPr>
      </w:pPr>
      <w:r>
        <w:rPr>
          <w:color w:val="auto"/>
          <w:sz w:val="24"/>
          <w:szCs w:val="32"/>
        </w:rPr>
        <w:t>（9）</w:t>
      </w:r>
      <w:r>
        <w:rPr>
          <w:rFonts w:hint="eastAsia"/>
          <w:color w:val="auto"/>
          <w:sz w:val="24"/>
          <w:szCs w:val="32"/>
        </w:rPr>
        <w:t>安徽力幕新材料科技有限公司资源循环利用及环保除尘改造项目</w:t>
      </w:r>
      <w:r>
        <w:rPr>
          <w:color w:val="auto"/>
          <w:sz w:val="24"/>
          <w:szCs w:val="32"/>
        </w:rPr>
        <w:t>；</w:t>
      </w:r>
    </w:p>
    <w:p w14:paraId="1375F3A7">
      <w:pPr>
        <w:spacing w:line="360" w:lineRule="auto"/>
        <w:ind w:firstLine="480" w:firstLineChars="200"/>
        <w:rPr>
          <w:rFonts w:hint="eastAsia" w:eastAsia="宋体"/>
          <w:color w:val="auto"/>
          <w:sz w:val="24"/>
          <w:szCs w:val="32"/>
          <w:lang w:eastAsia="zh-CN"/>
        </w:rPr>
      </w:pPr>
      <w:r>
        <w:rPr>
          <w:color w:val="auto"/>
          <w:sz w:val="24"/>
          <w:szCs w:val="32"/>
        </w:rPr>
        <w:t>（10）</w:t>
      </w:r>
      <w:r>
        <w:rPr>
          <w:rFonts w:hint="eastAsia"/>
          <w:color w:val="auto"/>
          <w:sz w:val="24"/>
          <w:szCs w:val="32"/>
        </w:rPr>
        <w:t>安徽省绿康金属材料有限公司年回收加工利用4万吨铝灰渣无害化处理建设项目（重新报批）</w:t>
      </w:r>
      <w:r>
        <w:rPr>
          <w:rFonts w:hint="eastAsia"/>
          <w:color w:val="auto"/>
          <w:sz w:val="24"/>
          <w:szCs w:val="32"/>
          <w:lang w:eastAsia="zh-CN"/>
        </w:rPr>
        <w:t>；</w:t>
      </w:r>
    </w:p>
    <w:p w14:paraId="2F1114B4">
      <w:pPr>
        <w:spacing w:line="360" w:lineRule="auto"/>
        <w:ind w:firstLine="480" w:firstLineChars="200"/>
        <w:rPr>
          <w:color w:val="auto"/>
          <w:sz w:val="24"/>
          <w:szCs w:val="32"/>
        </w:rPr>
      </w:pPr>
      <w:bookmarkStart w:id="295" w:name="_Toc11794"/>
      <w:bookmarkStart w:id="296" w:name="_Toc23643"/>
      <w:r>
        <w:rPr>
          <w:color w:val="auto"/>
          <w:sz w:val="24"/>
          <w:szCs w:val="32"/>
        </w:rPr>
        <w:t>（11）</w:t>
      </w:r>
      <w:r>
        <w:rPr>
          <w:rFonts w:hint="eastAsia"/>
          <w:color w:val="auto"/>
          <w:sz w:val="24"/>
          <w:szCs w:val="32"/>
        </w:rPr>
        <w:t>安徽巨成精细化工有限公司年产15万吨聚丙烯酰胺生产线改扩建项目</w:t>
      </w:r>
      <w:r>
        <w:rPr>
          <w:color w:val="auto"/>
          <w:sz w:val="24"/>
          <w:szCs w:val="32"/>
        </w:rPr>
        <w:t>；</w:t>
      </w:r>
      <w:bookmarkEnd w:id="295"/>
      <w:bookmarkEnd w:id="296"/>
    </w:p>
    <w:p w14:paraId="3D53F85C">
      <w:pPr>
        <w:spacing w:line="360" w:lineRule="auto"/>
        <w:ind w:firstLine="480" w:firstLineChars="200"/>
        <w:rPr>
          <w:color w:val="auto"/>
          <w:sz w:val="24"/>
          <w:szCs w:val="32"/>
        </w:rPr>
      </w:pPr>
      <w:r>
        <w:rPr>
          <w:color w:val="auto"/>
          <w:sz w:val="24"/>
          <w:szCs w:val="32"/>
        </w:rPr>
        <w:t>（12）</w:t>
      </w:r>
      <w:r>
        <w:rPr>
          <w:rFonts w:hint="eastAsia"/>
          <w:color w:val="auto"/>
          <w:sz w:val="24"/>
          <w:szCs w:val="32"/>
        </w:rPr>
        <w:t>安徽锐畅科技有限公司高档铝幕墙装饰材料及金属表面处理材料生产项目</w:t>
      </w:r>
      <w:r>
        <w:rPr>
          <w:color w:val="auto"/>
          <w:sz w:val="24"/>
          <w:szCs w:val="32"/>
        </w:rPr>
        <w:t>；</w:t>
      </w:r>
    </w:p>
    <w:p w14:paraId="596BB963">
      <w:pPr>
        <w:spacing w:line="360" w:lineRule="auto"/>
        <w:ind w:firstLine="480" w:firstLineChars="200"/>
        <w:rPr>
          <w:color w:val="auto"/>
          <w:sz w:val="24"/>
          <w:szCs w:val="32"/>
        </w:rPr>
      </w:pPr>
      <w:r>
        <w:rPr>
          <w:color w:val="auto"/>
          <w:sz w:val="24"/>
          <w:szCs w:val="32"/>
        </w:rPr>
        <w:t>（13）</w:t>
      </w:r>
      <w:r>
        <w:rPr>
          <w:rFonts w:hint="eastAsia"/>
          <w:color w:val="auto"/>
          <w:sz w:val="24"/>
          <w:szCs w:val="32"/>
        </w:rPr>
        <w:t>安徽东博盛业新材料科技有限公司年产6万吨铝合金添加剂、3万吨铝中间合金和3万吨铝钛硼丝生产项目</w:t>
      </w:r>
      <w:r>
        <w:rPr>
          <w:color w:val="auto"/>
          <w:sz w:val="24"/>
          <w:szCs w:val="32"/>
        </w:rPr>
        <w:t>；</w:t>
      </w:r>
    </w:p>
    <w:p w14:paraId="14B3EE3F">
      <w:pPr>
        <w:spacing w:line="360" w:lineRule="auto"/>
        <w:ind w:firstLine="480" w:firstLineChars="200"/>
        <w:rPr>
          <w:color w:val="auto"/>
          <w:sz w:val="24"/>
          <w:szCs w:val="32"/>
        </w:rPr>
      </w:pPr>
      <w:r>
        <w:rPr>
          <w:color w:val="auto"/>
          <w:sz w:val="24"/>
          <w:szCs w:val="32"/>
        </w:rPr>
        <w:t>（14）</w:t>
      </w:r>
      <w:r>
        <w:rPr>
          <w:rFonts w:hint="eastAsia"/>
          <w:color w:val="auto"/>
          <w:sz w:val="24"/>
          <w:szCs w:val="32"/>
        </w:rPr>
        <w:t>安徽理银环境科技有限公司公司危险废弃物综合利用项目</w:t>
      </w:r>
      <w:r>
        <w:rPr>
          <w:color w:val="auto"/>
          <w:sz w:val="24"/>
          <w:szCs w:val="32"/>
        </w:rPr>
        <w:t>；</w:t>
      </w:r>
    </w:p>
    <w:p w14:paraId="55C7B436">
      <w:pPr>
        <w:spacing w:line="360" w:lineRule="auto"/>
        <w:ind w:firstLine="480" w:firstLineChars="200"/>
        <w:rPr>
          <w:color w:val="auto"/>
          <w:sz w:val="24"/>
          <w:szCs w:val="32"/>
        </w:rPr>
      </w:pPr>
      <w:r>
        <w:rPr>
          <w:color w:val="auto"/>
          <w:sz w:val="24"/>
          <w:szCs w:val="32"/>
        </w:rPr>
        <w:t>（15）</w:t>
      </w:r>
      <w:r>
        <w:rPr>
          <w:rFonts w:hint="eastAsia"/>
          <w:color w:val="auto"/>
          <w:sz w:val="24"/>
          <w:szCs w:val="32"/>
        </w:rPr>
        <w:t>淮北优美特新材料技术有限公司高性能玻纤轻质复合材料项目</w:t>
      </w:r>
      <w:r>
        <w:rPr>
          <w:color w:val="auto"/>
          <w:sz w:val="24"/>
          <w:szCs w:val="32"/>
        </w:rPr>
        <w:t>；</w:t>
      </w:r>
    </w:p>
    <w:p w14:paraId="695966D6">
      <w:pPr>
        <w:spacing w:line="360" w:lineRule="auto"/>
        <w:ind w:firstLine="480" w:firstLineChars="200"/>
        <w:rPr>
          <w:color w:val="auto"/>
          <w:sz w:val="24"/>
          <w:szCs w:val="32"/>
        </w:rPr>
      </w:pPr>
      <w:r>
        <w:rPr>
          <w:color w:val="auto"/>
          <w:sz w:val="24"/>
          <w:szCs w:val="32"/>
        </w:rPr>
        <w:t>（16）</w:t>
      </w:r>
      <w:r>
        <w:rPr>
          <w:rFonts w:hint="eastAsia"/>
          <w:color w:val="auto"/>
          <w:sz w:val="24"/>
          <w:szCs w:val="32"/>
        </w:rPr>
        <w:t>安徽元丰新材料科技有限公司年产180万支截齿20万个异形焊接产品项目</w:t>
      </w:r>
      <w:r>
        <w:rPr>
          <w:color w:val="auto"/>
          <w:sz w:val="24"/>
          <w:szCs w:val="32"/>
        </w:rPr>
        <w:t>；</w:t>
      </w:r>
    </w:p>
    <w:p w14:paraId="1846FDEE">
      <w:pPr>
        <w:spacing w:line="360" w:lineRule="auto"/>
        <w:ind w:firstLine="480" w:firstLineChars="200"/>
        <w:rPr>
          <w:color w:val="auto"/>
          <w:sz w:val="24"/>
          <w:szCs w:val="32"/>
        </w:rPr>
      </w:pPr>
      <w:r>
        <w:rPr>
          <w:color w:val="auto"/>
          <w:sz w:val="24"/>
          <w:szCs w:val="32"/>
        </w:rPr>
        <w:t>（1</w:t>
      </w:r>
      <w:r>
        <w:rPr>
          <w:rFonts w:hint="eastAsia"/>
          <w:color w:val="auto"/>
          <w:sz w:val="24"/>
          <w:szCs w:val="32"/>
          <w:lang w:val="en-US" w:eastAsia="zh-CN"/>
        </w:rPr>
        <w:t>7</w:t>
      </w:r>
      <w:r>
        <w:rPr>
          <w:color w:val="auto"/>
          <w:sz w:val="24"/>
          <w:szCs w:val="32"/>
        </w:rPr>
        <w:t>）</w:t>
      </w:r>
      <w:r>
        <w:rPr>
          <w:rFonts w:hint="eastAsia"/>
          <w:color w:val="auto"/>
          <w:sz w:val="24"/>
          <w:szCs w:val="32"/>
        </w:rPr>
        <w:t>安徽赛宇新能源科技有限公司赛宇新能源轮毂生产线技术改造项目</w:t>
      </w:r>
      <w:r>
        <w:rPr>
          <w:color w:val="auto"/>
          <w:sz w:val="24"/>
          <w:szCs w:val="32"/>
        </w:rPr>
        <w:t>；</w:t>
      </w:r>
    </w:p>
    <w:p w14:paraId="398EA984">
      <w:pPr>
        <w:spacing w:line="360" w:lineRule="auto"/>
        <w:ind w:firstLine="480" w:firstLineChars="200"/>
        <w:rPr>
          <w:rFonts w:hint="eastAsia"/>
          <w:color w:val="auto"/>
          <w:sz w:val="24"/>
          <w:szCs w:val="32"/>
          <w:lang w:eastAsia="zh-CN"/>
        </w:rPr>
      </w:pPr>
      <w:r>
        <w:rPr>
          <w:color w:val="auto"/>
          <w:sz w:val="24"/>
          <w:szCs w:val="32"/>
        </w:rPr>
        <w:t>（</w:t>
      </w:r>
      <w:r>
        <w:rPr>
          <w:rFonts w:hint="eastAsia"/>
          <w:color w:val="auto"/>
          <w:sz w:val="24"/>
          <w:szCs w:val="32"/>
          <w:lang w:val="en-US" w:eastAsia="zh-CN"/>
        </w:rPr>
        <w:t>18</w:t>
      </w:r>
      <w:r>
        <w:rPr>
          <w:color w:val="auto"/>
          <w:sz w:val="24"/>
          <w:szCs w:val="32"/>
        </w:rPr>
        <w:t>）</w:t>
      </w:r>
      <w:r>
        <w:rPr>
          <w:rFonts w:hint="eastAsia"/>
          <w:color w:val="auto"/>
          <w:sz w:val="24"/>
          <w:szCs w:val="32"/>
        </w:rPr>
        <w:t>安徽华昱铝业有限公司年产5万吨再生铝综合利用及1万吨铜制品项目（二期）</w:t>
      </w:r>
      <w:r>
        <w:rPr>
          <w:rFonts w:hint="eastAsia"/>
          <w:color w:val="auto"/>
          <w:sz w:val="24"/>
          <w:szCs w:val="32"/>
          <w:lang w:eastAsia="zh-CN"/>
        </w:rPr>
        <w:t>；</w:t>
      </w:r>
    </w:p>
    <w:p w14:paraId="7FEE281C">
      <w:pPr>
        <w:spacing w:line="360" w:lineRule="auto"/>
        <w:ind w:firstLine="480" w:firstLineChars="200"/>
        <w:rPr>
          <w:rFonts w:hint="eastAsia"/>
          <w:color w:val="auto"/>
          <w:sz w:val="24"/>
          <w:szCs w:val="32"/>
          <w:lang w:eastAsia="zh-CN"/>
        </w:rPr>
      </w:pPr>
      <w:r>
        <w:rPr>
          <w:rFonts w:hint="eastAsia"/>
          <w:color w:val="auto"/>
          <w:sz w:val="24"/>
          <w:szCs w:val="32"/>
          <w:lang w:eastAsia="zh-CN"/>
        </w:rPr>
        <w:t>（</w:t>
      </w:r>
      <w:r>
        <w:rPr>
          <w:rFonts w:hint="eastAsia"/>
          <w:color w:val="auto"/>
          <w:sz w:val="24"/>
          <w:szCs w:val="32"/>
          <w:lang w:val="en-US" w:eastAsia="zh-CN"/>
        </w:rPr>
        <w:t>19</w:t>
      </w:r>
      <w:r>
        <w:rPr>
          <w:rFonts w:hint="eastAsia"/>
          <w:color w:val="auto"/>
          <w:sz w:val="24"/>
          <w:szCs w:val="32"/>
          <w:lang w:eastAsia="zh-CN"/>
        </w:rPr>
        <w:t>）安徽亚明铝业科技有限公司高速电子铝箔生产线建设项目；</w:t>
      </w:r>
    </w:p>
    <w:p w14:paraId="1641755B">
      <w:pPr>
        <w:spacing w:line="360" w:lineRule="auto"/>
        <w:ind w:firstLine="480" w:firstLineChars="200"/>
        <w:rPr>
          <w:rFonts w:hint="eastAsia"/>
          <w:color w:val="auto"/>
          <w:sz w:val="24"/>
          <w:szCs w:val="32"/>
          <w:lang w:eastAsia="zh-CN"/>
        </w:rPr>
      </w:pPr>
      <w:r>
        <w:rPr>
          <w:rFonts w:hint="eastAsia"/>
          <w:color w:val="auto"/>
          <w:sz w:val="24"/>
          <w:szCs w:val="32"/>
          <w:lang w:eastAsia="zh-CN"/>
        </w:rPr>
        <w:t>（</w:t>
      </w:r>
      <w:r>
        <w:rPr>
          <w:rFonts w:hint="eastAsia"/>
          <w:color w:val="auto"/>
          <w:sz w:val="24"/>
          <w:szCs w:val="32"/>
          <w:lang w:val="en-US" w:eastAsia="zh-CN"/>
        </w:rPr>
        <w:t>20</w:t>
      </w:r>
      <w:r>
        <w:rPr>
          <w:rFonts w:hint="eastAsia"/>
          <w:color w:val="auto"/>
          <w:sz w:val="24"/>
          <w:szCs w:val="32"/>
          <w:lang w:eastAsia="zh-CN"/>
        </w:rPr>
        <w:t>）安徽中基电池箔科技有限公司年产15000吨涂布铝箔项目；</w:t>
      </w:r>
    </w:p>
    <w:p w14:paraId="0403A77B">
      <w:pPr>
        <w:spacing w:line="360" w:lineRule="auto"/>
        <w:ind w:firstLine="480" w:firstLineChars="200"/>
        <w:rPr>
          <w:rFonts w:hint="eastAsia"/>
          <w:color w:val="auto"/>
          <w:sz w:val="24"/>
          <w:szCs w:val="32"/>
          <w:lang w:eastAsia="zh-CN"/>
        </w:rPr>
      </w:pPr>
      <w:r>
        <w:rPr>
          <w:rFonts w:hint="eastAsia"/>
          <w:color w:val="auto"/>
          <w:sz w:val="24"/>
          <w:szCs w:val="32"/>
          <w:lang w:eastAsia="zh-CN"/>
        </w:rPr>
        <w:t>（</w:t>
      </w:r>
      <w:r>
        <w:rPr>
          <w:rFonts w:hint="eastAsia"/>
          <w:color w:val="auto"/>
          <w:sz w:val="24"/>
          <w:szCs w:val="32"/>
          <w:lang w:val="en-US" w:eastAsia="zh-CN"/>
        </w:rPr>
        <w:t>21</w:t>
      </w:r>
      <w:r>
        <w:rPr>
          <w:rFonts w:hint="eastAsia"/>
          <w:color w:val="auto"/>
          <w:sz w:val="24"/>
          <w:szCs w:val="32"/>
          <w:lang w:eastAsia="zh-CN"/>
        </w:rPr>
        <w:t>）安徽天诺制动系统有限公司年产1000万套制动总成碟刹和碟刹盘迁建项目；</w:t>
      </w:r>
    </w:p>
    <w:p w14:paraId="18E2E539">
      <w:pPr>
        <w:spacing w:line="360" w:lineRule="auto"/>
        <w:ind w:firstLine="480" w:firstLineChars="200"/>
        <w:rPr>
          <w:rFonts w:hint="eastAsia"/>
          <w:color w:val="auto"/>
          <w:sz w:val="24"/>
          <w:szCs w:val="32"/>
          <w:lang w:eastAsia="zh-CN"/>
        </w:rPr>
      </w:pPr>
      <w:r>
        <w:rPr>
          <w:rFonts w:hint="eastAsia"/>
          <w:color w:val="auto"/>
          <w:sz w:val="24"/>
          <w:szCs w:val="32"/>
          <w:lang w:eastAsia="zh-CN"/>
        </w:rPr>
        <w:t>（</w:t>
      </w:r>
      <w:r>
        <w:rPr>
          <w:rFonts w:hint="eastAsia"/>
          <w:color w:val="auto"/>
          <w:sz w:val="24"/>
          <w:szCs w:val="32"/>
          <w:lang w:val="en-US" w:eastAsia="zh-CN"/>
        </w:rPr>
        <w:t>22</w:t>
      </w:r>
      <w:r>
        <w:rPr>
          <w:rFonts w:hint="eastAsia"/>
          <w:color w:val="auto"/>
          <w:sz w:val="24"/>
          <w:szCs w:val="32"/>
          <w:lang w:eastAsia="zh-CN"/>
        </w:rPr>
        <w:t>）安徽理士新能源系统部件开发有限公司年产9850吨（8300万件）电池组部件生产线项目</w:t>
      </w:r>
    </w:p>
    <w:p w14:paraId="768853D2">
      <w:pPr>
        <w:spacing w:line="360" w:lineRule="auto"/>
        <w:ind w:firstLine="480" w:firstLineChars="200"/>
        <w:rPr>
          <w:rFonts w:hint="default" w:eastAsia="宋体"/>
          <w:color w:val="auto"/>
          <w:sz w:val="24"/>
          <w:szCs w:val="32"/>
          <w:lang w:val="en-US" w:eastAsia="zh-CN"/>
        </w:rPr>
      </w:pPr>
      <w:r>
        <w:rPr>
          <w:rFonts w:hint="eastAsia"/>
          <w:color w:val="auto"/>
          <w:sz w:val="24"/>
          <w:szCs w:val="32"/>
          <w:lang w:eastAsia="zh-CN"/>
        </w:rPr>
        <w:t>（</w:t>
      </w:r>
      <w:r>
        <w:rPr>
          <w:rFonts w:hint="eastAsia"/>
          <w:color w:val="auto"/>
          <w:sz w:val="24"/>
          <w:szCs w:val="32"/>
          <w:lang w:val="en-US" w:eastAsia="zh-CN"/>
        </w:rPr>
        <w:t>23</w:t>
      </w:r>
      <w:r>
        <w:rPr>
          <w:rFonts w:hint="eastAsia"/>
          <w:color w:val="auto"/>
          <w:sz w:val="24"/>
          <w:szCs w:val="32"/>
          <w:lang w:eastAsia="zh-CN"/>
        </w:rPr>
        <w:t>）安徽鑫发铜业有限公司年产8万吨铜杆、铜排（覆锡）建设项目。</w:t>
      </w:r>
    </w:p>
    <w:p w14:paraId="379294A8">
      <w:pPr>
        <w:spacing w:line="360" w:lineRule="auto"/>
        <w:ind w:firstLine="480" w:firstLineChars="200"/>
        <w:rPr>
          <w:color w:val="auto"/>
          <w:sz w:val="24"/>
          <w:szCs w:val="32"/>
        </w:rPr>
      </w:pPr>
      <w:r>
        <w:rPr>
          <w:color w:val="auto"/>
          <w:sz w:val="24"/>
          <w:szCs w:val="32"/>
        </w:rPr>
        <w:t>这些项目中的主要污染物包括本项目主要废气污染物</w:t>
      </w:r>
      <w:r>
        <w:rPr>
          <w:rFonts w:hint="eastAsia"/>
          <w:color w:val="auto"/>
          <w:sz w:val="24"/>
          <w:szCs w:val="32"/>
          <w:lang w:val="en-US" w:eastAsia="zh-CN"/>
        </w:rPr>
        <w:t>颗粒物、二氧化硫、氮氧化物</w:t>
      </w:r>
      <w:r>
        <w:rPr>
          <w:color w:val="auto"/>
          <w:sz w:val="24"/>
          <w:szCs w:val="32"/>
        </w:rPr>
        <w:t>，使得区域内同类污染源排放点增加。</w:t>
      </w:r>
    </w:p>
    <w:p w14:paraId="0D5DC0E9">
      <w:pPr>
        <w:spacing w:line="360" w:lineRule="auto"/>
        <w:outlineLvl w:val="1"/>
        <w:rPr>
          <w:b/>
          <w:bCs/>
          <w:color w:val="auto"/>
          <w:sz w:val="28"/>
          <w:szCs w:val="36"/>
        </w:rPr>
      </w:pPr>
      <w:bookmarkStart w:id="297" w:name="_Toc957"/>
      <w:r>
        <w:rPr>
          <w:b/>
          <w:bCs/>
          <w:color w:val="auto"/>
          <w:sz w:val="28"/>
          <w:szCs w:val="36"/>
        </w:rPr>
        <w:t>4.3环境质量现状</w:t>
      </w:r>
      <w:bookmarkEnd w:id="297"/>
    </w:p>
    <w:p w14:paraId="60BE4FE2">
      <w:pPr>
        <w:spacing w:line="360" w:lineRule="auto"/>
        <w:outlineLvl w:val="2"/>
        <w:rPr>
          <w:b/>
          <w:bCs/>
          <w:color w:val="auto"/>
          <w:sz w:val="24"/>
        </w:rPr>
      </w:pPr>
      <w:r>
        <w:rPr>
          <w:b/>
          <w:bCs/>
          <w:color w:val="auto"/>
          <w:sz w:val="24"/>
        </w:rPr>
        <w:t>4.3.1大气环境质量现状</w:t>
      </w:r>
    </w:p>
    <w:p w14:paraId="000B7582">
      <w:pPr>
        <w:spacing w:line="360" w:lineRule="auto"/>
        <w:ind w:firstLine="480" w:firstLineChars="200"/>
        <w:rPr>
          <w:rFonts w:hint="default" w:eastAsia="宋体"/>
          <w:color w:val="auto"/>
          <w:sz w:val="24"/>
          <w:szCs w:val="32"/>
          <w:lang w:val="en-US" w:eastAsia="zh-CN"/>
        </w:rPr>
      </w:pPr>
      <w:bookmarkStart w:id="298" w:name="_Toc8555"/>
      <w:bookmarkStart w:id="299" w:name="_Toc30752"/>
      <w:r>
        <w:rPr>
          <w:color w:val="auto"/>
          <w:sz w:val="24"/>
          <w:szCs w:val="32"/>
        </w:rPr>
        <w:t>1、</w:t>
      </w:r>
      <w:bookmarkEnd w:id="298"/>
      <w:bookmarkEnd w:id="299"/>
      <w:r>
        <w:rPr>
          <w:rFonts w:hint="eastAsia"/>
          <w:color w:val="auto"/>
          <w:sz w:val="24"/>
          <w:szCs w:val="32"/>
          <w:lang w:val="en-US" w:eastAsia="zh-CN"/>
        </w:rPr>
        <w:t>基本污染物</w:t>
      </w:r>
    </w:p>
    <w:p w14:paraId="52A7BEFD">
      <w:pPr>
        <w:spacing w:line="360" w:lineRule="auto"/>
        <w:ind w:firstLine="480" w:firstLineChars="200"/>
        <w:rPr>
          <w:color w:val="auto"/>
          <w:sz w:val="24"/>
          <w:szCs w:val="32"/>
        </w:rPr>
      </w:pPr>
      <w:r>
        <w:rPr>
          <w:color w:val="auto"/>
          <w:sz w:val="24"/>
          <w:szCs w:val="32"/>
        </w:rPr>
        <w:t>根据《环境影响评价技术导则 大气环境》（HJ2.2-2018）要求，本项目所在区域环境空气达标情况评价指标为SO</w:t>
      </w:r>
      <w:r>
        <w:rPr>
          <w:color w:val="auto"/>
          <w:sz w:val="24"/>
          <w:szCs w:val="32"/>
          <w:vertAlign w:val="subscript"/>
        </w:rPr>
        <w:t>2</w:t>
      </w:r>
      <w:r>
        <w:rPr>
          <w:color w:val="auto"/>
          <w:sz w:val="24"/>
          <w:szCs w:val="32"/>
        </w:rPr>
        <w:t>、NO</w:t>
      </w:r>
      <w:r>
        <w:rPr>
          <w:color w:val="auto"/>
          <w:sz w:val="24"/>
          <w:szCs w:val="32"/>
          <w:vertAlign w:val="subscript"/>
        </w:rPr>
        <w:t>2</w:t>
      </w:r>
      <w:r>
        <w:rPr>
          <w:color w:val="auto"/>
          <w:sz w:val="24"/>
          <w:szCs w:val="32"/>
        </w:rPr>
        <w:t>、PM</w:t>
      </w:r>
      <w:r>
        <w:rPr>
          <w:color w:val="auto"/>
          <w:sz w:val="24"/>
          <w:szCs w:val="32"/>
          <w:vertAlign w:val="subscript"/>
        </w:rPr>
        <w:t>10</w:t>
      </w:r>
      <w:r>
        <w:rPr>
          <w:color w:val="auto"/>
          <w:sz w:val="24"/>
          <w:szCs w:val="32"/>
        </w:rPr>
        <w:t>、PM</w:t>
      </w:r>
      <w:r>
        <w:rPr>
          <w:color w:val="auto"/>
          <w:sz w:val="24"/>
          <w:szCs w:val="32"/>
          <w:vertAlign w:val="subscript"/>
        </w:rPr>
        <w:t>2.5</w:t>
      </w:r>
      <w:r>
        <w:rPr>
          <w:color w:val="auto"/>
          <w:sz w:val="24"/>
          <w:szCs w:val="32"/>
        </w:rPr>
        <w:t>、CO和O</w:t>
      </w:r>
      <w:r>
        <w:rPr>
          <w:color w:val="auto"/>
          <w:sz w:val="24"/>
          <w:szCs w:val="32"/>
          <w:vertAlign w:val="subscript"/>
        </w:rPr>
        <w:t>3</w:t>
      </w:r>
      <w:r>
        <w:rPr>
          <w:color w:val="auto"/>
          <w:sz w:val="24"/>
          <w:szCs w:val="32"/>
        </w:rPr>
        <w:t>，六项基本污染物全部达标即为城市环境空气质量达标。基本污染物环境质量现状数据优先采用国家或地方生态环境主管部门发布的评价基准年环境质量公告或环境质量报告中的数据或结论。</w:t>
      </w:r>
    </w:p>
    <w:p w14:paraId="0856C3AF">
      <w:pPr>
        <w:spacing w:line="360" w:lineRule="auto"/>
        <w:ind w:firstLine="480" w:firstLineChars="200"/>
        <w:rPr>
          <w:color w:val="auto"/>
          <w:sz w:val="24"/>
          <w:szCs w:val="32"/>
        </w:rPr>
      </w:pPr>
      <w:r>
        <w:rPr>
          <w:color w:val="auto"/>
          <w:sz w:val="24"/>
          <w:szCs w:val="32"/>
        </w:rPr>
        <w:t>本次评价采用淮北市生态环境局发布的《2024年度淮北市生态环境状况公报》中的数据，对区域达标情况进行判定，具体结果见下表：</w:t>
      </w:r>
    </w:p>
    <w:p w14:paraId="039DD48A">
      <w:pPr>
        <w:spacing w:line="360" w:lineRule="auto"/>
        <w:jc w:val="center"/>
        <w:rPr>
          <w:b/>
          <w:bCs/>
          <w:color w:val="auto"/>
          <w:sz w:val="24"/>
          <w:szCs w:val="32"/>
        </w:rPr>
      </w:pPr>
      <w:r>
        <w:rPr>
          <w:b/>
          <w:bCs/>
          <w:color w:val="auto"/>
          <w:sz w:val="24"/>
          <w:szCs w:val="32"/>
        </w:rPr>
        <w:t>表4-1 区域空气质量现状评价表</w:t>
      </w:r>
    </w:p>
    <w:tbl>
      <w:tblPr>
        <w:tblStyle w:val="31"/>
        <w:tblW w:w="935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9"/>
        <w:gridCol w:w="3018"/>
        <w:gridCol w:w="1531"/>
        <w:gridCol w:w="1239"/>
        <w:gridCol w:w="1306"/>
        <w:gridCol w:w="1151"/>
      </w:tblGrid>
      <w:tr w14:paraId="7259EE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58EF5BF1">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污染物</w:t>
            </w:r>
          </w:p>
        </w:tc>
        <w:tc>
          <w:tcPr>
            <w:tcW w:w="3018" w:type="dxa"/>
            <w:tcBorders>
              <w:tl2br w:val="nil"/>
              <w:tr2bl w:val="nil"/>
            </w:tcBorders>
            <w:vAlign w:val="center"/>
          </w:tcPr>
          <w:p w14:paraId="71A71406">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评价指标</w:t>
            </w:r>
          </w:p>
        </w:tc>
        <w:tc>
          <w:tcPr>
            <w:tcW w:w="1531" w:type="dxa"/>
            <w:tcBorders>
              <w:tl2br w:val="nil"/>
              <w:tr2bl w:val="nil"/>
            </w:tcBorders>
            <w:vAlign w:val="center"/>
          </w:tcPr>
          <w:p w14:paraId="31B82477">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年均浓度</w:t>
            </w:r>
          </w:p>
        </w:tc>
        <w:tc>
          <w:tcPr>
            <w:tcW w:w="1239" w:type="dxa"/>
            <w:tcBorders>
              <w:tl2br w:val="nil"/>
              <w:tr2bl w:val="nil"/>
            </w:tcBorders>
            <w:vAlign w:val="center"/>
          </w:tcPr>
          <w:p w14:paraId="005BAD7F">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标准值</w:t>
            </w:r>
          </w:p>
        </w:tc>
        <w:tc>
          <w:tcPr>
            <w:tcW w:w="1306" w:type="dxa"/>
            <w:tcBorders>
              <w:tl2br w:val="nil"/>
              <w:tr2bl w:val="nil"/>
            </w:tcBorders>
            <w:vAlign w:val="center"/>
          </w:tcPr>
          <w:p w14:paraId="581B8075">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占标率/%</w:t>
            </w:r>
          </w:p>
        </w:tc>
        <w:tc>
          <w:tcPr>
            <w:tcW w:w="1151" w:type="dxa"/>
            <w:tcBorders>
              <w:tl2br w:val="nil"/>
              <w:tr2bl w:val="nil"/>
            </w:tcBorders>
            <w:vAlign w:val="center"/>
          </w:tcPr>
          <w:p w14:paraId="321BDF80">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达标情况</w:t>
            </w:r>
          </w:p>
        </w:tc>
      </w:tr>
      <w:tr w14:paraId="3FB7C7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7F306B4A">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10</w:t>
            </w:r>
          </w:p>
        </w:tc>
        <w:tc>
          <w:tcPr>
            <w:tcW w:w="3018" w:type="dxa"/>
            <w:tcBorders>
              <w:tl2br w:val="nil"/>
              <w:tr2bl w:val="nil"/>
            </w:tcBorders>
            <w:vAlign w:val="center"/>
          </w:tcPr>
          <w:p w14:paraId="7F90EAB1">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75888F65">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70μg/m³</w:t>
            </w:r>
          </w:p>
        </w:tc>
        <w:tc>
          <w:tcPr>
            <w:tcW w:w="1239" w:type="dxa"/>
            <w:tcBorders>
              <w:tl2br w:val="nil"/>
              <w:tr2bl w:val="nil"/>
            </w:tcBorders>
            <w:vAlign w:val="center"/>
          </w:tcPr>
          <w:p w14:paraId="12F202B7">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70μg/m³</w:t>
            </w:r>
          </w:p>
        </w:tc>
        <w:tc>
          <w:tcPr>
            <w:tcW w:w="1306" w:type="dxa"/>
            <w:tcBorders>
              <w:tl2br w:val="nil"/>
              <w:tr2bl w:val="nil"/>
            </w:tcBorders>
            <w:vAlign w:val="center"/>
          </w:tcPr>
          <w:p w14:paraId="695EE50B">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100</w:t>
            </w:r>
          </w:p>
        </w:tc>
        <w:tc>
          <w:tcPr>
            <w:tcW w:w="1151" w:type="dxa"/>
            <w:tcBorders>
              <w:tl2br w:val="nil"/>
              <w:tr2bl w:val="nil"/>
            </w:tcBorders>
            <w:vAlign w:val="center"/>
          </w:tcPr>
          <w:p w14:paraId="7885CA88">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0B462F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085C4379">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2.5</w:t>
            </w:r>
          </w:p>
        </w:tc>
        <w:tc>
          <w:tcPr>
            <w:tcW w:w="3018" w:type="dxa"/>
            <w:tcBorders>
              <w:tl2br w:val="nil"/>
              <w:tr2bl w:val="nil"/>
            </w:tcBorders>
            <w:vAlign w:val="center"/>
          </w:tcPr>
          <w:p w14:paraId="56953533">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3526C0DE">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43μg/m³</w:t>
            </w:r>
          </w:p>
        </w:tc>
        <w:tc>
          <w:tcPr>
            <w:tcW w:w="1239" w:type="dxa"/>
            <w:tcBorders>
              <w:tl2br w:val="nil"/>
              <w:tr2bl w:val="nil"/>
            </w:tcBorders>
            <w:vAlign w:val="center"/>
          </w:tcPr>
          <w:p w14:paraId="2AC1C83C">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35μg/m³</w:t>
            </w:r>
          </w:p>
        </w:tc>
        <w:tc>
          <w:tcPr>
            <w:tcW w:w="1306" w:type="dxa"/>
            <w:tcBorders>
              <w:tl2br w:val="nil"/>
              <w:tr2bl w:val="nil"/>
            </w:tcBorders>
            <w:vAlign w:val="center"/>
          </w:tcPr>
          <w:p w14:paraId="672B797D">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122.9</w:t>
            </w:r>
          </w:p>
        </w:tc>
        <w:tc>
          <w:tcPr>
            <w:tcW w:w="1151" w:type="dxa"/>
            <w:tcBorders>
              <w:tl2br w:val="nil"/>
              <w:tr2bl w:val="nil"/>
            </w:tcBorders>
            <w:vAlign w:val="center"/>
          </w:tcPr>
          <w:p w14:paraId="09E0AC7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r w14:paraId="66FDF0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1EA56129">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SO</w:t>
            </w:r>
            <w:r>
              <w:rPr>
                <w:rFonts w:ascii="Times New Roman" w:hAnsi="Times New Roman" w:cs="Times New Roman"/>
                <w:color w:val="auto"/>
                <w:sz w:val="21"/>
                <w:vertAlign w:val="subscript"/>
              </w:rPr>
              <w:t>2</w:t>
            </w:r>
          </w:p>
        </w:tc>
        <w:tc>
          <w:tcPr>
            <w:tcW w:w="3018" w:type="dxa"/>
            <w:tcBorders>
              <w:tl2br w:val="nil"/>
              <w:tr2bl w:val="nil"/>
            </w:tcBorders>
            <w:vAlign w:val="center"/>
          </w:tcPr>
          <w:p w14:paraId="498D1B8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4565649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6μg/m³</w:t>
            </w:r>
          </w:p>
        </w:tc>
        <w:tc>
          <w:tcPr>
            <w:tcW w:w="1239" w:type="dxa"/>
            <w:tcBorders>
              <w:tl2br w:val="nil"/>
              <w:tr2bl w:val="nil"/>
            </w:tcBorders>
            <w:vAlign w:val="center"/>
          </w:tcPr>
          <w:p w14:paraId="5DD0627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60μg/m³</w:t>
            </w:r>
          </w:p>
        </w:tc>
        <w:tc>
          <w:tcPr>
            <w:tcW w:w="1306" w:type="dxa"/>
            <w:tcBorders>
              <w:tl2br w:val="nil"/>
              <w:tr2bl w:val="nil"/>
            </w:tcBorders>
            <w:vAlign w:val="center"/>
          </w:tcPr>
          <w:p w14:paraId="1E5F8F16">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10</w:t>
            </w:r>
          </w:p>
        </w:tc>
        <w:tc>
          <w:tcPr>
            <w:tcW w:w="1151" w:type="dxa"/>
            <w:tcBorders>
              <w:tl2br w:val="nil"/>
              <w:tr2bl w:val="nil"/>
            </w:tcBorders>
            <w:vAlign w:val="center"/>
          </w:tcPr>
          <w:p w14:paraId="5300F683">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658BDA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36F7DB3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NO</w:t>
            </w:r>
            <w:r>
              <w:rPr>
                <w:rFonts w:ascii="Times New Roman" w:hAnsi="Times New Roman" w:cs="Times New Roman"/>
                <w:color w:val="auto"/>
                <w:sz w:val="21"/>
                <w:vertAlign w:val="subscript"/>
              </w:rPr>
              <w:t>2</w:t>
            </w:r>
          </w:p>
        </w:tc>
        <w:tc>
          <w:tcPr>
            <w:tcW w:w="3018" w:type="dxa"/>
            <w:tcBorders>
              <w:tl2br w:val="nil"/>
              <w:tr2bl w:val="nil"/>
            </w:tcBorders>
            <w:vAlign w:val="center"/>
          </w:tcPr>
          <w:p w14:paraId="5DA0A2E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7695F897">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19μg/m³</w:t>
            </w:r>
          </w:p>
        </w:tc>
        <w:tc>
          <w:tcPr>
            <w:tcW w:w="1239" w:type="dxa"/>
            <w:tcBorders>
              <w:tl2br w:val="nil"/>
              <w:tr2bl w:val="nil"/>
            </w:tcBorders>
            <w:vAlign w:val="center"/>
          </w:tcPr>
          <w:p w14:paraId="726EAB0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40μg/m³</w:t>
            </w:r>
          </w:p>
        </w:tc>
        <w:tc>
          <w:tcPr>
            <w:tcW w:w="1306" w:type="dxa"/>
            <w:tcBorders>
              <w:tl2br w:val="nil"/>
              <w:tr2bl w:val="nil"/>
            </w:tcBorders>
            <w:vAlign w:val="center"/>
          </w:tcPr>
          <w:p w14:paraId="1AA4BE4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47.5</w:t>
            </w:r>
          </w:p>
        </w:tc>
        <w:tc>
          <w:tcPr>
            <w:tcW w:w="1151" w:type="dxa"/>
            <w:tcBorders>
              <w:tl2br w:val="nil"/>
              <w:tr2bl w:val="nil"/>
            </w:tcBorders>
            <w:vAlign w:val="center"/>
          </w:tcPr>
          <w:p w14:paraId="3D25932C">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757950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15784D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CO</w:t>
            </w:r>
          </w:p>
        </w:tc>
        <w:tc>
          <w:tcPr>
            <w:tcW w:w="3018" w:type="dxa"/>
            <w:tcBorders>
              <w:tl2br w:val="nil"/>
              <w:tr2bl w:val="nil"/>
            </w:tcBorders>
            <w:vAlign w:val="center"/>
          </w:tcPr>
          <w:p w14:paraId="558FBC97">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日平均第95百分位质量浓度</w:t>
            </w:r>
          </w:p>
        </w:tc>
        <w:tc>
          <w:tcPr>
            <w:tcW w:w="1531" w:type="dxa"/>
            <w:tcBorders>
              <w:tl2br w:val="nil"/>
              <w:tr2bl w:val="nil"/>
            </w:tcBorders>
            <w:vAlign w:val="center"/>
          </w:tcPr>
          <w:p w14:paraId="0642C533">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1.0mg/m³</w:t>
            </w:r>
          </w:p>
        </w:tc>
        <w:tc>
          <w:tcPr>
            <w:tcW w:w="1239" w:type="dxa"/>
            <w:tcBorders>
              <w:tl2br w:val="nil"/>
              <w:tr2bl w:val="nil"/>
            </w:tcBorders>
            <w:vAlign w:val="center"/>
          </w:tcPr>
          <w:p w14:paraId="4A93EEEC">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4mg/m³</w:t>
            </w:r>
          </w:p>
        </w:tc>
        <w:tc>
          <w:tcPr>
            <w:tcW w:w="1306" w:type="dxa"/>
            <w:tcBorders>
              <w:tl2br w:val="nil"/>
              <w:tr2bl w:val="nil"/>
            </w:tcBorders>
            <w:vAlign w:val="center"/>
          </w:tcPr>
          <w:p w14:paraId="2841B2D2">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25</w:t>
            </w:r>
          </w:p>
        </w:tc>
        <w:tc>
          <w:tcPr>
            <w:tcW w:w="1151" w:type="dxa"/>
            <w:tcBorders>
              <w:tl2br w:val="nil"/>
              <w:tr2bl w:val="nil"/>
            </w:tcBorders>
            <w:vAlign w:val="center"/>
          </w:tcPr>
          <w:p w14:paraId="7B75E90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4BFDEA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A1765BD">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O</w:t>
            </w:r>
            <w:r>
              <w:rPr>
                <w:rFonts w:ascii="Times New Roman" w:hAnsi="Times New Roman" w:cs="Times New Roman"/>
                <w:color w:val="auto"/>
                <w:sz w:val="21"/>
                <w:vertAlign w:val="subscript"/>
              </w:rPr>
              <w:t>3</w:t>
            </w:r>
          </w:p>
        </w:tc>
        <w:tc>
          <w:tcPr>
            <w:tcW w:w="3018" w:type="dxa"/>
            <w:tcBorders>
              <w:tl2br w:val="nil"/>
              <w:tr2bl w:val="nil"/>
            </w:tcBorders>
            <w:vAlign w:val="center"/>
          </w:tcPr>
          <w:p w14:paraId="7EA6EC7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日8小时最大平均第90百分位质量浓度</w:t>
            </w:r>
          </w:p>
        </w:tc>
        <w:tc>
          <w:tcPr>
            <w:tcW w:w="1531" w:type="dxa"/>
            <w:tcBorders>
              <w:tl2br w:val="nil"/>
              <w:tr2bl w:val="nil"/>
            </w:tcBorders>
            <w:vAlign w:val="center"/>
          </w:tcPr>
          <w:p w14:paraId="64CB2F4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175μg/m³</w:t>
            </w:r>
          </w:p>
        </w:tc>
        <w:tc>
          <w:tcPr>
            <w:tcW w:w="1239" w:type="dxa"/>
            <w:tcBorders>
              <w:tl2br w:val="nil"/>
              <w:tr2bl w:val="nil"/>
            </w:tcBorders>
            <w:vAlign w:val="center"/>
          </w:tcPr>
          <w:p w14:paraId="61E2B0A8">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160μg/m³</w:t>
            </w:r>
          </w:p>
        </w:tc>
        <w:tc>
          <w:tcPr>
            <w:tcW w:w="1306" w:type="dxa"/>
            <w:tcBorders>
              <w:tl2br w:val="nil"/>
              <w:tr2bl w:val="nil"/>
            </w:tcBorders>
            <w:vAlign w:val="center"/>
          </w:tcPr>
          <w:p w14:paraId="509FF76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109.4</w:t>
            </w:r>
          </w:p>
        </w:tc>
        <w:tc>
          <w:tcPr>
            <w:tcW w:w="1151" w:type="dxa"/>
            <w:tcBorders>
              <w:tl2br w:val="nil"/>
              <w:tr2bl w:val="nil"/>
            </w:tcBorders>
            <w:vAlign w:val="center"/>
          </w:tcPr>
          <w:p w14:paraId="23E2B9C8">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bl>
    <w:p w14:paraId="43E6C9A8">
      <w:pPr>
        <w:spacing w:before="120" w:beforeLines="50" w:line="240" w:lineRule="auto"/>
        <w:rPr>
          <w:rFonts w:hint="eastAsia" w:eastAsia="宋体"/>
          <w:color w:val="auto"/>
          <w:sz w:val="21"/>
          <w:szCs w:val="24"/>
          <w:lang w:val="en-US" w:eastAsia="zh-CN"/>
        </w:rPr>
      </w:pPr>
      <w:r>
        <w:rPr>
          <w:rFonts w:hint="eastAsia"/>
          <w:color w:val="auto"/>
          <w:sz w:val="21"/>
          <w:szCs w:val="24"/>
          <w:lang w:val="en-US" w:eastAsia="zh-CN"/>
        </w:rPr>
        <w:t>注：由于《环境空气质量标准》（GB3095-2026）实施时间为2026年3月1日，本项目环境空气质量现状评价中六项基本污染物引用</w:t>
      </w:r>
      <w:r>
        <w:rPr>
          <w:color w:val="auto"/>
          <w:sz w:val="21"/>
          <w:szCs w:val="24"/>
        </w:rPr>
        <w:t>《2024年度淮北市生态环境状况公报》</w:t>
      </w:r>
      <w:r>
        <w:rPr>
          <w:rFonts w:hint="eastAsia"/>
          <w:color w:val="auto"/>
          <w:sz w:val="21"/>
          <w:szCs w:val="24"/>
          <w:lang w:val="en-US" w:eastAsia="zh-CN"/>
        </w:rPr>
        <w:t>数据，故环境空气质量现状评价各污染物质量浓度标准值为《环境空气质量标准》（GB3095-2012）中数值。</w:t>
      </w:r>
    </w:p>
    <w:p w14:paraId="670E775F">
      <w:pPr>
        <w:spacing w:before="120" w:beforeLines="50" w:line="360" w:lineRule="auto"/>
        <w:ind w:firstLine="480" w:firstLineChars="200"/>
        <w:rPr>
          <w:color w:val="auto"/>
          <w:sz w:val="24"/>
          <w:szCs w:val="32"/>
        </w:rPr>
      </w:pPr>
      <w:r>
        <w:rPr>
          <w:color w:val="auto"/>
          <w:sz w:val="24"/>
          <w:szCs w:val="32"/>
        </w:rPr>
        <w:t>根据上表可知，淮北市PM</w:t>
      </w:r>
      <w:r>
        <w:rPr>
          <w:color w:val="auto"/>
          <w:sz w:val="24"/>
          <w:szCs w:val="32"/>
          <w:vertAlign w:val="subscript"/>
        </w:rPr>
        <w:t>2.5</w:t>
      </w:r>
      <w:r>
        <w:rPr>
          <w:color w:val="auto"/>
          <w:sz w:val="24"/>
          <w:szCs w:val="32"/>
        </w:rPr>
        <w:t>、</w:t>
      </w:r>
      <w:r>
        <w:rPr>
          <w:color w:val="auto"/>
          <w:szCs w:val="21"/>
        </w:rPr>
        <w:t>O</w:t>
      </w:r>
      <w:r>
        <w:rPr>
          <w:color w:val="auto"/>
          <w:szCs w:val="21"/>
          <w:vertAlign w:val="subscript"/>
        </w:rPr>
        <w:t>3</w:t>
      </w:r>
      <w:r>
        <w:rPr>
          <w:color w:val="auto"/>
          <w:sz w:val="24"/>
          <w:szCs w:val="32"/>
        </w:rPr>
        <w:t>超标，因此，项目所在区域为不达标区。</w:t>
      </w:r>
    </w:p>
    <w:p w14:paraId="622423D0">
      <w:pPr>
        <w:numPr>
          <w:ilvl w:val="0"/>
          <w:numId w:val="0"/>
        </w:numPr>
        <w:spacing w:line="360" w:lineRule="auto"/>
        <w:ind w:left="0" w:leftChars="0" w:firstLine="480" w:firstLineChars="200"/>
        <w:rPr>
          <w:color w:val="auto"/>
          <w:sz w:val="24"/>
          <w:szCs w:val="32"/>
        </w:rPr>
      </w:pPr>
      <w:bookmarkStart w:id="300" w:name="_Toc8182"/>
      <w:bookmarkStart w:id="301" w:name="_Toc15853"/>
      <w:r>
        <w:rPr>
          <w:rFonts w:ascii="Times New Roman" w:hAnsi="Times New Roman" w:eastAsia="宋体" w:cs="Times New Roman"/>
          <w:color w:val="auto"/>
          <w:kern w:val="2"/>
          <w:sz w:val="24"/>
          <w:szCs w:val="32"/>
          <w:lang w:val="en-US" w:eastAsia="zh-CN" w:bidi="ar-SA"/>
        </w:rPr>
        <w:t>1、</w:t>
      </w:r>
      <w:r>
        <w:rPr>
          <w:color w:val="auto"/>
          <w:sz w:val="24"/>
          <w:szCs w:val="32"/>
        </w:rPr>
        <w:t>其他污染物</w:t>
      </w:r>
      <w:bookmarkEnd w:id="300"/>
      <w:bookmarkEnd w:id="301"/>
    </w:p>
    <w:p w14:paraId="4921DA2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color w:val="auto"/>
          <w:sz w:val="24"/>
          <w:szCs w:val="32"/>
          <w:lang w:val="en-US" w:eastAsia="zh-CN"/>
        </w:rPr>
      </w:pPr>
      <w:r>
        <w:rPr>
          <w:color w:val="auto"/>
          <w:sz w:val="24"/>
          <w:szCs w:val="32"/>
        </w:rPr>
        <w:t>项目其他污染物为TSP、</w:t>
      </w:r>
      <w:r>
        <w:rPr>
          <w:rFonts w:hint="eastAsia"/>
          <w:color w:val="auto"/>
          <w:sz w:val="24"/>
          <w:szCs w:val="32"/>
          <w:lang w:val="en-US" w:eastAsia="zh-CN"/>
        </w:rPr>
        <w:t>氯化氢、氟化物、氨、二噁英类、铅、砷、铬、镉、锡及其化合物等。其中</w:t>
      </w:r>
      <w:r>
        <w:rPr>
          <w:color w:val="auto"/>
          <w:sz w:val="24"/>
          <w:szCs w:val="32"/>
        </w:rPr>
        <w:t>TSP</w:t>
      </w:r>
      <w:r>
        <w:rPr>
          <w:rFonts w:hint="eastAsia"/>
          <w:color w:val="auto"/>
          <w:sz w:val="24"/>
          <w:szCs w:val="32"/>
          <w:lang w:eastAsia="zh-CN"/>
        </w:rPr>
        <w:t>、</w:t>
      </w:r>
      <w:r>
        <w:rPr>
          <w:rFonts w:hint="eastAsia"/>
          <w:color w:val="auto"/>
          <w:sz w:val="24"/>
          <w:szCs w:val="32"/>
          <w:lang w:val="en-US" w:eastAsia="zh-CN"/>
        </w:rPr>
        <w:t>氯化氢、氟化物、氨、二噁英类引用《安徽濉溪经济开发区总体发展规划（2023～2035）环境影响报告书》中的“黄大庄”监测点位，监测时间为2023年7月6日～7月12日；铅、砷、铬、镉、锡及其化合物等引用《安徽雄创铝合金新型材料有限责任公司年产15万吨的新型铝合金项目环境影响报告书》中“朱楼村”监测点位，监测时间为2024年6月23日~6月29日。</w:t>
      </w:r>
    </w:p>
    <w:p w14:paraId="458D285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eastAsia="宋体"/>
          <w:color w:val="auto"/>
          <w:sz w:val="24"/>
          <w:szCs w:val="32"/>
          <w:lang w:val="en-US" w:eastAsia="zh-CN"/>
        </w:rPr>
      </w:pPr>
      <w:r>
        <w:rPr>
          <w:rFonts w:hint="eastAsia"/>
          <w:color w:val="auto"/>
          <w:sz w:val="24"/>
          <w:szCs w:val="32"/>
          <w:lang w:val="en-US" w:eastAsia="zh-CN"/>
        </w:rPr>
        <w:t>具体点位设置见表4-2和图4-1。</w:t>
      </w:r>
    </w:p>
    <w:p w14:paraId="00315C23">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eastAsia="宋体"/>
          <w:b/>
          <w:bCs/>
          <w:color w:val="auto"/>
          <w:sz w:val="24"/>
          <w:szCs w:val="32"/>
          <w:lang w:val="en-US" w:eastAsia="zh-CN"/>
        </w:rPr>
      </w:pPr>
      <w:r>
        <w:rPr>
          <w:rFonts w:hint="eastAsia"/>
          <w:b/>
          <w:bCs/>
          <w:color w:val="auto"/>
          <w:sz w:val="24"/>
          <w:szCs w:val="32"/>
          <w:lang w:val="en-US" w:eastAsia="zh-CN"/>
        </w:rPr>
        <w:t>表4-2 特征污染物监测点位一览表</w:t>
      </w:r>
    </w:p>
    <w:tbl>
      <w:tblPr>
        <w:tblStyle w:val="31"/>
        <w:tblW w:w="4998"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1573"/>
        <w:gridCol w:w="2557"/>
        <w:gridCol w:w="1754"/>
        <w:gridCol w:w="1258"/>
        <w:gridCol w:w="1407"/>
        <w:gridCol w:w="1409"/>
      </w:tblGrid>
      <w:tr w14:paraId="67B932D9">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12" w:hRule="atLeast"/>
          <w:jc w:val="center"/>
        </w:trPr>
        <w:tc>
          <w:tcPr>
            <w:tcW w:w="789" w:type="pct"/>
            <w:vMerge w:val="restart"/>
            <w:tcBorders>
              <w:tl2br w:val="nil"/>
              <w:tr2bl w:val="nil"/>
            </w:tcBorders>
            <w:vAlign w:val="center"/>
          </w:tcPr>
          <w:p w14:paraId="219D7586">
            <w:pPr>
              <w:spacing w:line="32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监测点位</w:t>
            </w:r>
          </w:p>
        </w:tc>
        <w:tc>
          <w:tcPr>
            <w:tcW w:w="1283" w:type="pct"/>
            <w:vMerge w:val="restart"/>
            <w:tcBorders>
              <w:tl2br w:val="nil"/>
              <w:tr2bl w:val="nil"/>
            </w:tcBorders>
            <w:vAlign w:val="center"/>
          </w:tcPr>
          <w:p w14:paraId="01ACE20B">
            <w:pPr>
              <w:spacing w:line="32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监测时间</w:t>
            </w:r>
          </w:p>
        </w:tc>
        <w:tc>
          <w:tcPr>
            <w:tcW w:w="880" w:type="pct"/>
            <w:vMerge w:val="restart"/>
            <w:tcBorders>
              <w:tl2br w:val="nil"/>
              <w:tr2bl w:val="nil"/>
            </w:tcBorders>
            <w:vAlign w:val="center"/>
          </w:tcPr>
          <w:p w14:paraId="4D319820">
            <w:pPr>
              <w:spacing w:line="32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监测因子</w:t>
            </w:r>
          </w:p>
        </w:tc>
        <w:tc>
          <w:tcPr>
            <w:tcW w:w="631" w:type="pct"/>
            <w:vMerge w:val="restart"/>
            <w:tcBorders>
              <w:tl2br w:val="nil"/>
              <w:tr2bl w:val="nil"/>
            </w:tcBorders>
            <w:vAlign w:val="center"/>
          </w:tcPr>
          <w:p w14:paraId="0BC7006C">
            <w:pPr>
              <w:spacing w:line="32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相对厂址方位</w:t>
            </w:r>
          </w:p>
        </w:tc>
        <w:tc>
          <w:tcPr>
            <w:tcW w:w="706" w:type="pct"/>
            <w:vMerge w:val="restart"/>
            <w:tcBorders>
              <w:tl2br w:val="nil"/>
              <w:tr2bl w:val="nil"/>
            </w:tcBorders>
            <w:vAlign w:val="center"/>
          </w:tcPr>
          <w:p w14:paraId="32DC7010">
            <w:pPr>
              <w:spacing w:line="32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相对厂界距离/m</w:t>
            </w:r>
          </w:p>
        </w:tc>
        <w:tc>
          <w:tcPr>
            <w:tcW w:w="707" w:type="pct"/>
            <w:vMerge w:val="restart"/>
            <w:tcBorders>
              <w:tl2br w:val="nil"/>
              <w:tr2bl w:val="nil"/>
            </w:tcBorders>
            <w:vAlign w:val="center"/>
          </w:tcPr>
          <w:p w14:paraId="1992CC9E">
            <w:pPr>
              <w:spacing w:line="320" w:lineRule="exact"/>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监测频次</w:t>
            </w:r>
          </w:p>
        </w:tc>
      </w:tr>
      <w:tr w14:paraId="05B9BF17">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12" w:hRule="atLeast"/>
          <w:jc w:val="center"/>
        </w:trPr>
        <w:tc>
          <w:tcPr>
            <w:tcW w:w="789" w:type="pct"/>
            <w:vMerge w:val="continue"/>
            <w:tcBorders>
              <w:tl2br w:val="nil"/>
              <w:tr2bl w:val="nil"/>
            </w:tcBorders>
            <w:vAlign w:val="center"/>
          </w:tcPr>
          <w:p w14:paraId="466EEA8D">
            <w:pPr>
              <w:spacing w:line="320" w:lineRule="exact"/>
              <w:jc w:val="center"/>
              <w:rPr>
                <w:rFonts w:hint="default" w:ascii="Times New Roman" w:hAnsi="Times New Roman" w:eastAsia="宋体" w:cs="Times New Roman"/>
                <w:color w:val="auto"/>
                <w:sz w:val="21"/>
                <w:szCs w:val="21"/>
              </w:rPr>
            </w:pPr>
          </w:p>
        </w:tc>
        <w:tc>
          <w:tcPr>
            <w:tcW w:w="1283" w:type="pct"/>
            <w:vMerge w:val="continue"/>
            <w:tcBorders>
              <w:tl2br w:val="nil"/>
              <w:tr2bl w:val="nil"/>
            </w:tcBorders>
            <w:vAlign w:val="center"/>
          </w:tcPr>
          <w:p w14:paraId="0F132313">
            <w:pPr>
              <w:spacing w:line="320" w:lineRule="exact"/>
              <w:jc w:val="center"/>
              <w:rPr>
                <w:rFonts w:hint="default" w:ascii="Times New Roman" w:hAnsi="Times New Roman" w:eastAsia="宋体" w:cs="Times New Roman"/>
                <w:color w:val="auto"/>
                <w:sz w:val="21"/>
                <w:szCs w:val="21"/>
              </w:rPr>
            </w:pPr>
          </w:p>
        </w:tc>
        <w:tc>
          <w:tcPr>
            <w:tcW w:w="880" w:type="pct"/>
            <w:vMerge w:val="continue"/>
            <w:tcBorders>
              <w:tl2br w:val="nil"/>
              <w:tr2bl w:val="nil"/>
            </w:tcBorders>
            <w:vAlign w:val="center"/>
          </w:tcPr>
          <w:p w14:paraId="59F3C06C">
            <w:pPr>
              <w:spacing w:line="320" w:lineRule="exact"/>
              <w:jc w:val="center"/>
              <w:rPr>
                <w:rFonts w:hint="default" w:ascii="Times New Roman" w:hAnsi="Times New Roman" w:eastAsia="宋体" w:cs="Times New Roman"/>
                <w:color w:val="auto"/>
                <w:sz w:val="21"/>
                <w:szCs w:val="21"/>
              </w:rPr>
            </w:pPr>
          </w:p>
        </w:tc>
        <w:tc>
          <w:tcPr>
            <w:tcW w:w="631" w:type="pct"/>
            <w:vMerge w:val="continue"/>
            <w:tcBorders>
              <w:tl2br w:val="nil"/>
              <w:tr2bl w:val="nil"/>
            </w:tcBorders>
            <w:vAlign w:val="center"/>
          </w:tcPr>
          <w:p w14:paraId="72B5A832">
            <w:pPr>
              <w:spacing w:line="320" w:lineRule="exact"/>
              <w:jc w:val="center"/>
              <w:rPr>
                <w:rFonts w:hint="default" w:ascii="Times New Roman" w:hAnsi="Times New Roman" w:eastAsia="宋体" w:cs="Times New Roman"/>
                <w:color w:val="auto"/>
                <w:sz w:val="21"/>
                <w:szCs w:val="21"/>
              </w:rPr>
            </w:pPr>
          </w:p>
        </w:tc>
        <w:tc>
          <w:tcPr>
            <w:tcW w:w="706" w:type="pct"/>
            <w:vMerge w:val="continue"/>
            <w:tcBorders>
              <w:tl2br w:val="nil"/>
              <w:tr2bl w:val="nil"/>
            </w:tcBorders>
            <w:vAlign w:val="center"/>
          </w:tcPr>
          <w:p w14:paraId="2EE67A7D">
            <w:pPr>
              <w:spacing w:line="320" w:lineRule="exact"/>
              <w:jc w:val="center"/>
              <w:rPr>
                <w:rFonts w:hint="default" w:ascii="Times New Roman" w:hAnsi="Times New Roman" w:eastAsia="宋体" w:cs="Times New Roman"/>
                <w:color w:val="auto"/>
                <w:sz w:val="21"/>
                <w:szCs w:val="21"/>
              </w:rPr>
            </w:pPr>
          </w:p>
        </w:tc>
        <w:tc>
          <w:tcPr>
            <w:tcW w:w="707" w:type="pct"/>
            <w:vMerge w:val="continue"/>
            <w:tcBorders>
              <w:tl2br w:val="nil"/>
              <w:tr2bl w:val="nil"/>
            </w:tcBorders>
            <w:vAlign w:val="center"/>
          </w:tcPr>
          <w:p w14:paraId="0D4C4038">
            <w:pPr>
              <w:spacing w:line="320" w:lineRule="exact"/>
              <w:jc w:val="center"/>
              <w:rPr>
                <w:rFonts w:hint="default" w:ascii="Times New Roman" w:hAnsi="Times New Roman" w:eastAsia="宋体" w:cs="Times New Roman"/>
                <w:color w:val="auto"/>
                <w:sz w:val="21"/>
                <w:szCs w:val="21"/>
              </w:rPr>
            </w:pPr>
          </w:p>
        </w:tc>
      </w:tr>
      <w:tr w14:paraId="414E6A8C">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1179" w:hRule="atLeast"/>
          <w:jc w:val="center"/>
        </w:trPr>
        <w:tc>
          <w:tcPr>
            <w:tcW w:w="789" w:type="pct"/>
            <w:tcBorders>
              <w:tl2br w:val="nil"/>
              <w:tr2bl w:val="nil"/>
            </w:tcBorders>
            <w:vAlign w:val="center"/>
          </w:tcPr>
          <w:p w14:paraId="5314C116">
            <w:pPr>
              <w:spacing w:line="320" w:lineRule="exac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G</w:t>
            </w:r>
            <w:r>
              <w:rPr>
                <w:rFonts w:hint="default" w:ascii="Times New Roman" w:hAnsi="Times New Roman" w:eastAsia="宋体" w:cs="Times New Roman"/>
                <w:color w:val="auto"/>
                <w:sz w:val="21"/>
                <w:szCs w:val="21"/>
                <w:vertAlign w:val="subscript"/>
              </w:rPr>
              <w:t>1</w:t>
            </w:r>
            <w:r>
              <w:rPr>
                <w:rFonts w:hint="default" w:ascii="Times New Roman" w:hAnsi="Times New Roman" w:eastAsia="宋体" w:cs="Times New Roman"/>
                <w:color w:val="auto"/>
                <w:sz w:val="21"/>
                <w:szCs w:val="21"/>
              </w:rPr>
              <w:t>黄大庄</w:t>
            </w:r>
          </w:p>
        </w:tc>
        <w:tc>
          <w:tcPr>
            <w:tcW w:w="1283" w:type="pct"/>
            <w:tcBorders>
              <w:tl2br w:val="nil"/>
              <w:tr2bl w:val="nil"/>
            </w:tcBorders>
            <w:vAlign w:val="center"/>
          </w:tcPr>
          <w:p w14:paraId="3A24B4E6">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2023年7月6日~12日</w:t>
            </w:r>
          </w:p>
        </w:tc>
        <w:tc>
          <w:tcPr>
            <w:tcW w:w="880" w:type="pct"/>
            <w:tcBorders>
              <w:tl2br w:val="nil"/>
              <w:tr2bl w:val="nil"/>
            </w:tcBorders>
            <w:vAlign w:val="center"/>
          </w:tcPr>
          <w:p w14:paraId="7B3080BB">
            <w:pPr>
              <w:spacing w:line="320" w:lineRule="exact"/>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TSP、氯化氢、氟化物、氨、二噁英类</w:t>
            </w:r>
          </w:p>
        </w:tc>
        <w:tc>
          <w:tcPr>
            <w:tcW w:w="1258" w:type="dxa"/>
            <w:tcBorders>
              <w:tl2br w:val="nil"/>
              <w:tr2bl w:val="nil"/>
            </w:tcBorders>
            <w:vAlign w:val="center"/>
          </w:tcPr>
          <w:p w14:paraId="2E6D362A">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SW</w:t>
            </w:r>
          </w:p>
        </w:tc>
        <w:tc>
          <w:tcPr>
            <w:tcW w:w="1407" w:type="dxa"/>
            <w:tcBorders>
              <w:tl2br w:val="nil"/>
              <w:tr2bl w:val="nil"/>
            </w:tcBorders>
            <w:vAlign w:val="center"/>
          </w:tcPr>
          <w:p w14:paraId="6D389288">
            <w:pPr>
              <w:bidi w:val="0"/>
              <w:snapToGrid w:val="0"/>
              <w:spacing w:line="240" w:lineRule="auto"/>
              <w:ind w:left="0" w:leftChars="0" w:right="0" w:rightChars="0" w:firstLine="0" w:firstLineChars="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2209</w:t>
            </w:r>
          </w:p>
        </w:tc>
        <w:tc>
          <w:tcPr>
            <w:tcW w:w="707" w:type="pct"/>
            <w:vMerge w:val="restart"/>
            <w:tcBorders>
              <w:tl2br w:val="nil"/>
              <w:tr2bl w:val="nil"/>
            </w:tcBorders>
            <w:vAlign w:val="center"/>
          </w:tcPr>
          <w:p w14:paraId="63201399">
            <w:pPr>
              <w:spacing w:line="320" w:lineRule="exac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连续监测七天</w:t>
            </w:r>
          </w:p>
        </w:tc>
      </w:tr>
      <w:tr w14:paraId="14CA4A2E">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93" w:hRule="atLeast"/>
          <w:jc w:val="center"/>
        </w:trPr>
        <w:tc>
          <w:tcPr>
            <w:tcW w:w="789" w:type="pct"/>
            <w:tcBorders>
              <w:tl2br w:val="nil"/>
              <w:tr2bl w:val="nil"/>
            </w:tcBorders>
            <w:vAlign w:val="center"/>
          </w:tcPr>
          <w:p w14:paraId="19560D77">
            <w:pPr>
              <w:spacing w:line="320" w:lineRule="exact"/>
              <w:ind w:left="174"/>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G</w:t>
            </w:r>
            <w:r>
              <w:rPr>
                <w:rFonts w:hint="default" w:ascii="Times New Roman" w:hAnsi="Times New Roman" w:eastAsia="宋体" w:cs="Times New Roman"/>
                <w:color w:val="auto"/>
                <w:sz w:val="21"/>
                <w:szCs w:val="21"/>
                <w:vertAlign w:val="subscript"/>
              </w:rPr>
              <w:t>2</w:t>
            </w:r>
            <w:r>
              <w:rPr>
                <w:rFonts w:hint="eastAsia" w:cs="Times New Roman"/>
                <w:color w:val="auto"/>
                <w:sz w:val="21"/>
                <w:szCs w:val="21"/>
                <w:lang w:val="en-US" w:eastAsia="zh-CN"/>
              </w:rPr>
              <w:t>朱楼村</w:t>
            </w:r>
          </w:p>
        </w:tc>
        <w:tc>
          <w:tcPr>
            <w:tcW w:w="1283" w:type="pct"/>
            <w:tcBorders>
              <w:tl2br w:val="nil"/>
              <w:tr2bl w:val="nil"/>
            </w:tcBorders>
            <w:vAlign w:val="center"/>
          </w:tcPr>
          <w:p w14:paraId="07DC80C0">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4"/>
                <w:lang w:val="en-US" w:eastAsia="zh-CN"/>
              </w:rPr>
              <w:t>2024年6月23日~29日</w:t>
            </w:r>
          </w:p>
        </w:tc>
        <w:tc>
          <w:tcPr>
            <w:tcW w:w="880" w:type="pct"/>
            <w:tcBorders>
              <w:tl2br w:val="nil"/>
              <w:tr2bl w:val="nil"/>
            </w:tcBorders>
            <w:vAlign w:val="center"/>
          </w:tcPr>
          <w:p w14:paraId="0078D9CB">
            <w:pPr>
              <w:spacing w:line="320" w:lineRule="exac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铅、砷、铬、镉、锡及其化合物</w:t>
            </w:r>
          </w:p>
        </w:tc>
        <w:tc>
          <w:tcPr>
            <w:tcW w:w="631" w:type="pct"/>
            <w:tcBorders>
              <w:tl2br w:val="nil"/>
              <w:tr2bl w:val="nil"/>
            </w:tcBorders>
            <w:vAlign w:val="center"/>
          </w:tcPr>
          <w:p w14:paraId="1C1BBE57">
            <w:pPr>
              <w:spacing w:line="320" w:lineRule="exac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SW</w:t>
            </w:r>
          </w:p>
        </w:tc>
        <w:tc>
          <w:tcPr>
            <w:tcW w:w="706" w:type="pct"/>
            <w:tcBorders>
              <w:tl2br w:val="nil"/>
              <w:tr2bl w:val="nil"/>
            </w:tcBorders>
            <w:vAlign w:val="center"/>
          </w:tcPr>
          <w:p w14:paraId="06A4A82B">
            <w:pPr>
              <w:spacing w:line="320" w:lineRule="exact"/>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1</w:t>
            </w:r>
            <w:r>
              <w:rPr>
                <w:rFonts w:hint="eastAsia" w:cs="Times New Roman"/>
                <w:color w:val="auto"/>
                <w:sz w:val="21"/>
                <w:szCs w:val="21"/>
                <w:lang w:val="en-US" w:eastAsia="zh-CN"/>
              </w:rPr>
              <w:t>807</w:t>
            </w:r>
          </w:p>
        </w:tc>
        <w:tc>
          <w:tcPr>
            <w:tcW w:w="707" w:type="pct"/>
            <w:vMerge w:val="continue"/>
            <w:tcBorders>
              <w:tl2br w:val="nil"/>
              <w:tr2bl w:val="nil"/>
            </w:tcBorders>
            <w:vAlign w:val="center"/>
          </w:tcPr>
          <w:p w14:paraId="2017855E">
            <w:pPr>
              <w:spacing w:line="320" w:lineRule="exact"/>
              <w:jc w:val="center"/>
              <w:rPr>
                <w:rFonts w:hint="default" w:ascii="Times New Roman" w:hAnsi="Times New Roman" w:eastAsia="宋体" w:cs="Times New Roman"/>
                <w:color w:val="auto"/>
                <w:sz w:val="21"/>
                <w:szCs w:val="21"/>
              </w:rPr>
            </w:pPr>
          </w:p>
        </w:tc>
      </w:tr>
    </w:tbl>
    <w:p w14:paraId="2BA6C071">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color w:val="auto"/>
          <w:sz w:val="24"/>
          <w:szCs w:val="32"/>
        </w:rPr>
      </w:pPr>
    </w:p>
    <w:p w14:paraId="1C318C09">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color w:val="auto"/>
          <w:sz w:val="24"/>
          <w:szCs w:val="32"/>
        </w:rPr>
      </w:pPr>
      <w:r>
        <w:rPr>
          <w:color w:val="auto"/>
          <w:sz w:val="24"/>
        </w:rPr>
        <mc:AlternateContent>
          <mc:Choice Requires="wps">
            <w:drawing>
              <wp:anchor distT="0" distB="0" distL="114300" distR="114300" simplePos="0" relativeHeight="251794432" behindDoc="0" locked="0" layoutInCell="1" allowOverlap="1">
                <wp:simplePos x="0" y="0"/>
                <wp:positionH relativeFrom="column">
                  <wp:posOffset>548005</wp:posOffset>
                </wp:positionH>
                <wp:positionV relativeFrom="paragraph">
                  <wp:posOffset>3752850</wp:posOffset>
                </wp:positionV>
                <wp:extent cx="171450" cy="177800"/>
                <wp:effectExtent l="4445" t="4445" r="14605" b="8255"/>
                <wp:wrapNone/>
                <wp:docPr id="179" name="椭圆 179"/>
                <wp:cNvGraphicFramePr/>
                <a:graphic xmlns:a="http://schemas.openxmlformats.org/drawingml/2006/main">
                  <a:graphicData uri="http://schemas.microsoft.com/office/word/2010/wordprocessingShape">
                    <wps:wsp>
                      <wps:cNvSpPr/>
                      <wps:spPr>
                        <a:xfrm>
                          <a:off x="0" y="0"/>
                          <a:ext cx="171450" cy="1778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3.15pt;margin-top:295.5pt;height:14pt;width:13.5pt;z-index:251794432;v-text-anchor:middle;mso-width-relative:page;mso-height-relative:page;" fillcolor="#FFFF00" filled="t" stroked="t" coordsize="21600,21600" o:gfxdata="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Db7TZvXAAAACgEAAA8AAAAAAAAAAQAgAAAAIgAA&#10;AGRycy9kb3ducmV2LnhtbFBLAQIUABQAAAAIAIdO4kBO1ccDewIAAAQFAAAOAAAAAAAAAAEAIAAA&#10;ACYBAABkcnMvZTJvRG9jLnhtbFBLBQYAAAAABgAGAFkBAAATBgAAAAA=&#10;">
                <v:fill on="t" focussize="0,0"/>
                <v:stroke weight="0.25pt" color="#376092 [2404]" joinstyle="round"/>
                <v:imagedata o:title=""/>
                <o:lock v:ext="edit" aspectratio="f"/>
              </v:shape>
            </w:pict>
          </mc:Fallback>
        </mc:AlternateContent>
      </w:r>
      <w:r>
        <w:rPr>
          <w:color w:val="auto"/>
          <w:sz w:val="21"/>
        </w:rPr>
        <mc:AlternateContent>
          <mc:Choice Requires="wps">
            <w:drawing>
              <wp:anchor distT="0" distB="0" distL="114300" distR="114300" simplePos="0" relativeHeight="251793408" behindDoc="0" locked="0" layoutInCell="1" allowOverlap="1">
                <wp:simplePos x="0" y="0"/>
                <wp:positionH relativeFrom="column">
                  <wp:posOffset>516255</wp:posOffset>
                </wp:positionH>
                <wp:positionV relativeFrom="paragraph">
                  <wp:posOffset>3517900</wp:posOffset>
                </wp:positionV>
                <wp:extent cx="234950" cy="127000"/>
                <wp:effectExtent l="6350" t="6350" r="6350" b="19050"/>
                <wp:wrapNone/>
                <wp:docPr id="178" name="矩形 178"/>
                <wp:cNvGraphicFramePr/>
                <a:graphic xmlns:a="http://schemas.openxmlformats.org/drawingml/2006/main">
                  <a:graphicData uri="http://schemas.microsoft.com/office/word/2010/wordprocessingShape">
                    <wps:wsp>
                      <wps:cNvSpPr/>
                      <wps:spPr>
                        <a:xfrm>
                          <a:off x="1233805" y="8545195"/>
                          <a:ext cx="234950" cy="127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0.65pt;margin-top:277pt;height:10pt;width:18.5pt;z-index:251793408;v-text-anchor:middle;mso-width-relative:page;mso-height-relative:page;" filled="f" stroked="t" coordsize="21600,21600" o:gfxdata="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mMQ0vtUAAAAKAQAADwAAAAAAAAABACAAAAAiAAAAZHJzL2Rvd25yZXYueG1sUEsB&#10;AhQAFAAAAAgAh07iQJAVNSRqAgAAwwQAAA4AAAAAAAAAAQAgAAAAJAEAAGRycy9lMm9Eb2MueG1s&#10;UEsFBgAAAAAGAAYAWQEAAAAGAAAAAA==&#10;">
                <v:fill on="f" focussize="0,0"/>
                <v:stroke weight="1pt" color="#FF0000 [2404]" joinstyle="round"/>
                <v:imagedata o:title=""/>
                <o:lock v:ext="edit" aspectratio="f"/>
              </v:rect>
            </w:pict>
          </mc:Fallback>
        </mc:AlternateContent>
      </w:r>
      <w:r>
        <w:rPr>
          <w:color w:val="auto"/>
        </w:rPr>
        <w:drawing>
          <wp:anchor distT="0" distB="0" distL="114300" distR="114300" simplePos="0" relativeHeight="251791360" behindDoc="0" locked="0" layoutInCell="1" allowOverlap="1">
            <wp:simplePos x="0" y="0"/>
            <wp:positionH relativeFrom="column">
              <wp:posOffset>5110480</wp:posOffset>
            </wp:positionH>
            <wp:positionV relativeFrom="paragraph">
              <wp:posOffset>40005</wp:posOffset>
            </wp:positionV>
            <wp:extent cx="758190" cy="1022985"/>
            <wp:effectExtent l="0" t="0" r="3810" b="5715"/>
            <wp:wrapNone/>
            <wp:docPr id="176" name="图片 176" descr="风向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descr="风向标"/>
                    <pic:cNvPicPr>
                      <a:picLocks noChangeAspect="1"/>
                    </pic:cNvPicPr>
                  </pic:nvPicPr>
                  <pic:blipFill>
                    <a:blip r:embed="rId18"/>
                    <a:srcRect l="8090" t="1916" r="5231" b="6034"/>
                    <a:stretch>
                      <a:fillRect/>
                    </a:stretch>
                  </pic:blipFill>
                  <pic:spPr>
                    <a:xfrm>
                      <a:off x="0" y="0"/>
                      <a:ext cx="758190" cy="1022985"/>
                    </a:xfrm>
                    <a:prstGeom prst="rect">
                      <a:avLst/>
                    </a:prstGeom>
                  </pic:spPr>
                </pic:pic>
              </a:graphicData>
            </a:graphic>
          </wp:anchor>
        </w:drawing>
      </w:r>
      <w:r>
        <w:rPr>
          <w:color w:val="auto"/>
          <w:sz w:val="21"/>
        </w:rPr>
        <mc:AlternateContent>
          <mc:Choice Requires="wps">
            <w:drawing>
              <wp:anchor distT="0" distB="0" distL="114300" distR="114300" simplePos="0" relativeHeight="251792384" behindDoc="0" locked="0" layoutInCell="1" allowOverlap="1">
                <wp:simplePos x="0" y="0"/>
                <wp:positionH relativeFrom="column">
                  <wp:posOffset>478790</wp:posOffset>
                </wp:positionH>
                <wp:positionV relativeFrom="paragraph">
                  <wp:posOffset>3073400</wp:posOffset>
                </wp:positionV>
                <wp:extent cx="1263015" cy="935355"/>
                <wp:effectExtent l="0" t="0" r="0" b="0"/>
                <wp:wrapNone/>
                <wp:docPr id="177" name="文本框 177"/>
                <wp:cNvGraphicFramePr/>
                <a:graphic xmlns:a="http://schemas.openxmlformats.org/drawingml/2006/main">
                  <a:graphicData uri="http://schemas.microsoft.com/office/word/2010/wordprocessingShape">
                    <wps:wsp>
                      <wps:cNvSpPr txBox="1"/>
                      <wps:spPr>
                        <a:xfrm>
                          <a:off x="1049655" y="8214995"/>
                          <a:ext cx="1263015" cy="9353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0A559E">
                            <w:pPr>
                              <w:spacing w:line="360" w:lineRule="auto"/>
                              <w:jc w:val="center"/>
                              <w:rPr>
                                <w:rFonts w:hint="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图例</w:t>
                            </w:r>
                          </w:p>
                          <w:p w14:paraId="6DA55062">
                            <w:pPr>
                              <w:spacing w:line="360" w:lineRule="auto"/>
                              <w:jc w:val="center"/>
                              <w:rPr>
                                <w:rFonts w:hint="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项目厂址</w:t>
                            </w:r>
                          </w:p>
                          <w:p w14:paraId="55BBB7FD">
                            <w:pPr>
                              <w:spacing w:line="360" w:lineRule="auto"/>
                              <w:jc w:val="center"/>
                              <w:rPr>
                                <w:rFonts w:hint="default"/>
                                <w:lang w:val="en-US" w:eastAsia="zh-CN"/>
                              </w:rPr>
                            </w:pPr>
                            <w:r>
                              <w:rPr>
                                <w:rFonts w:hint="eastAsia"/>
                                <w:b/>
                                <w:bCs/>
                                <w:color w:val="FFFFFF" w:themeColor="background1"/>
                                <w:lang w:val="en-US" w:eastAsia="zh-CN"/>
                                <w14:textFill>
                                  <w14:solidFill>
                                    <w14:schemeClr w14:val="bg1"/>
                                  </w14:solidFill>
                                </w14:textFill>
                              </w:rPr>
                              <w:t>监测点位</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7pt;margin-top:242pt;height:73.65pt;width:99.45pt;z-index:251792384;mso-width-relative:page;mso-height-relative:page;" filled="f" stroked="f" coordsize="21600,21600" o:gfxdata="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86PTrtwAAAAKAQAADwAAAAAA&#10;AAABACAAAAAiAAAAZHJzL2Rvd25yZXYueG1sUEsBAhQAFAAAAAgAh07iQDsjqGtIAgAAdgQAAA4A&#10;AAAAAAAAAQAgAAAAKwEAAGRycy9lMm9Eb2MueG1sUEsFBgAAAAAGAAYAWQEAAOUFAAAAAA==&#10;">
                <v:fill on="f" focussize="0,0"/>
                <v:stroke on="f" weight="0.5pt"/>
                <v:imagedata o:title=""/>
                <o:lock v:ext="edit" aspectratio="f"/>
                <v:textbox>
                  <w:txbxContent>
                    <w:p w14:paraId="150A559E">
                      <w:pPr>
                        <w:spacing w:line="360" w:lineRule="auto"/>
                        <w:jc w:val="center"/>
                        <w:rPr>
                          <w:rFonts w:hint="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图例</w:t>
                      </w:r>
                    </w:p>
                    <w:p w14:paraId="6DA55062">
                      <w:pPr>
                        <w:spacing w:line="360" w:lineRule="auto"/>
                        <w:jc w:val="center"/>
                        <w:rPr>
                          <w:rFonts w:hint="eastAsia"/>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项目厂址</w:t>
                      </w:r>
                    </w:p>
                    <w:p w14:paraId="55BBB7FD">
                      <w:pPr>
                        <w:spacing w:line="360" w:lineRule="auto"/>
                        <w:jc w:val="center"/>
                        <w:rPr>
                          <w:rFonts w:hint="default"/>
                          <w:lang w:val="en-US" w:eastAsia="zh-CN"/>
                        </w:rPr>
                      </w:pPr>
                      <w:r>
                        <w:rPr>
                          <w:rFonts w:hint="eastAsia"/>
                          <w:b/>
                          <w:bCs/>
                          <w:color w:val="FFFFFF" w:themeColor="background1"/>
                          <w:lang w:val="en-US" w:eastAsia="zh-CN"/>
                          <w14:textFill>
                            <w14:solidFill>
                              <w14:schemeClr w14:val="bg1"/>
                            </w14:solidFill>
                          </w14:textFill>
                        </w:rPr>
                        <w:t>监测点位</w:t>
                      </w:r>
                    </w:p>
                  </w:txbxContent>
                </v:textbox>
              </v:shape>
            </w:pict>
          </mc:Fallback>
        </mc:AlternateContent>
      </w:r>
      <w:r>
        <w:rPr>
          <w:color w:val="auto"/>
          <w:sz w:val="24"/>
        </w:rPr>
        <mc:AlternateContent>
          <mc:Choice Requires="wps">
            <w:drawing>
              <wp:anchor distT="0" distB="0" distL="114300" distR="114300" simplePos="0" relativeHeight="251788288" behindDoc="0" locked="0" layoutInCell="1" allowOverlap="1">
                <wp:simplePos x="0" y="0"/>
                <wp:positionH relativeFrom="column">
                  <wp:posOffset>3411855</wp:posOffset>
                </wp:positionH>
                <wp:positionV relativeFrom="paragraph">
                  <wp:posOffset>3067050</wp:posOffset>
                </wp:positionV>
                <wp:extent cx="876300" cy="273050"/>
                <wp:effectExtent l="0" t="0" r="0" b="0"/>
                <wp:wrapNone/>
                <wp:docPr id="172" name="文本框 172"/>
                <wp:cNvGraphicFramePr/>
                <a:graphic xmlns:a="http://schemas.openxmlformats.org/drawingml/2006/main">
                  <a:graphicData uri="http://schemas.microsoft.com/office/word/2010/wordprocessingShape">
                    <wps:wsp>
                      <wps:cNvSpPr txBox="1"/>
                      <wps:spPr>
                        <a:xfrm>
                          <a:off x="0" y="0"/>
                          <a:ext cx="876300" cy="2730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101F50">
                            <w:pPr>
                              <w:rPr>
                                <w:rFonts w:hint="default" w:eastAsia="宋体"/>
                                <w:b/>
                                <w:bCs/>
                                <w:color w:val="FFFF00"/>
                                <w:lang w:val="en-US" w:eastAsia="zh-CN"/>
                              </w:rPr>
                            </w:pPr>
                            <w:r>
                              <w:rPr>
                                <w:rFonts w:hint="eastAsia"/>
                                <w:b/>
                                <w:bCs/>
                                <w:color w:val="FFFF00"/>
                                <w:lang w:val="en-US" w:eastAsia="zh-CN"/>
                              </w:rPr>
                              <w:t>G2朱楼村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8.65pt;margin-top:241.5pt;height:21.5pt;width:69pt;z-index:251788288;mso-width-relative:page;mso-height-relative:page;" filled="f" stroked="f" coordsize="21600,21600" o:gfxdata="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0WmJ/2wAAAAsBAAAPAAAAAAAAAAEAIAAAACIAAABk&#10;cnMvZG93bnJldi54bWxQSwECFAAUAAAACACHTuJAlnRz5zwCAABpBAAADgAAAAAAAAABACAAAAAq&#10;AQAAZHJzL2Uyb0RvYy54bWxQSwUGAAAAAAYABgBZAQAA2AUAAAAA&#10;">
                <v:fill on="f" focussize="0,0"/>
                <v:stroke on="f" weight="0.5pt"/>
                <v:imagedata o:title=""/>
                <o:lock v:ext="edit" aspectratio="f"/>
                <v:textbox>
                  <w:txbxContent>
                    <w:p w14:paraId="20101F50">
                      <w:pPr>
                        <w:rPr>
                          <w:rFonts w:hint="default" w:eastAsia="宋体"/>
                          <w:b/>
                          <w:bCs/>
                          <w:color w:val="FFFF00"/>
                          <w:lang w:val="en-US" w:eastAsia="zh-CN"/>
                        </w:rPr>
                      </w:pPr>
                      <w:r>
                        <w:rPr>
                          <w:rFonts w:hint="eastAsia"/>
                          <w:b/>
                          <w:bCs/>
                          <w:color w:val="FFFF00"/>
                          <w:lang w:val="en-US" w:eastAsia="zh-CN"/>
                        </w:rPr>
                        <w:t>G2朱楼村</w:t>
                      </w:r>
                    </w:p>
                  </w:txbxContent>
                </v:textbox>
              </v:shape>
            </w:pict>
          </mc:Fallback>
        </mc:AlternateContent>
      </w:r>
      <w:r>
        <w:rPr>
          <w:color w:val="auto"/>
          <w:sz w:val="24"/>
        </w:rPr>
        <mc:AlternateContent>
          <mc:Choice Requires="wps">
            <w:drawing>
              <wp:anchor distT="0" distB="0" distL="114300" distR="114300" simplePos="0" relativeHeight="251787264" behindDoc="0" locked="0" layoutInCell="1" allowOverlap="1">
                <wp:simplePos x="0" y="0"/>
                <wp:positionH relativeFrom="column">
                  <wp:posOffset>2364105</wp:posOffset>
                </wp:positionH>
                <wp:positionV relativeFrom="paragraph">
                  <wp:posOffset>3181350</wp:posOffset>
                </wp:positionV>
                <wp:extent cx="876300" cy="273050"/>
                <wp:effectExtent l="0" t="0" r="0" b="0"/>
                <wp:wrapNone/>
                <wp:docPr id="94" name="文本框 94"/>
                <wp:cNvGraphicFramePr/>
                <a:graphic xmlns:a="http://schemas.openxmlformats.org/drawingml/2006/main">
                  <a:graphicData uri="http://schemas.microsoft.com/office/word/2010/wordprocessingShape">
                    <wps:wsp>
                      <wps:cNvSpPr txBox="1"/>
                      <wps:spPr>
                        <a:xfrm>
                          <a:off x="2643505" y="6595745"/>
                          <a:ext cx="876300" cy="2730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912AEF">
                            <w:pPr>
                              <w:rPr>
                                <w:rFonts w:hint="default" w:eastAsia="宋体"/>
                                <w:b/>
                                <w:bCs/>
                                <w:color w:val="FFFF00"/>
                                <w:lang w:val="en-US" w:eastAsia="zh-CN"/>
                              </w:rPr>
                            </w:pPr>
                            <w:r>
                              <w:rPr>
                                <w:rFonts w:hint="eastAsia"/>
                                <w:b/>
                                <w:bCs/>
                                <w:color w:val="FFFF00"/>
                                <w:lang w:val="en-US" w:eastAsia="zh-CN"/>
                              </w:rPr>
                              <w:t>G1黄大庄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6.15pt;margin-top:250.5pt;height:21.5pt;width:69pt;z-index:251787264;mso-width-relative:page;mso-height-relative:page;" filled="f" stroked="f" coordsize="21600,21600" o:gfxdata="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GmkdO/bAAAACwEAAA8AAAAA&#10;AAAAAQAgAAAAIgAAAGRycy9kb3ducmV2LnhtbFBLAQIUABQAAAAIAIdO4kAA9ty5SgIAAHMEAAAO&#10;AAAAAAAAAAEAIAAAACoBAABkcnMvZTJvRG9jLnhtbFBLBQYAAAAABgAGAFkBAADmBQAAAAA=&#10;">
                <v:fill on="f" focussize="0,0"/>
                <v:stroke on="f" weight="0.5pt"/>
                <v:imagedata o:title=""/>
                <o:lock v:ext="edit" aspectratio="f"/>
                <v:textbox>
                  <w:txbxContent>
                    <w:p w14:paraId="33912AEF">
                      <w:pPr>
                        <w:rPr>
                          <w:rFonts w:hint="default" w:eastAsia="宋体"/>
                          <w:b/>
                          <w:bCs/>
                          <w:color w:val="FFFF00"/>
                          <w:lang w:val="en-US" w:eastAsia="zh-CN"/>
                        </w:rPr>
                      </w:pPr>
                      <w:r>
                        <w:rPr>
                          <w:rFonts w:hint="eastAsia"/>
                          <w:b/>
                          <w:bCs/>
                          <w:color w:val="FFFF00"/>
                          <w:lang w:val="en-US" w:eastAsia="zh-CN"/>
                        </w:rPr>
                        <w:t>G1黄大庄</w:t>
                      </w:r>
                    </w:p>
                  </w:txbxContent>
                </v:textbox>
              </v:shape>
            </w:pict>
          </mc:Fallback>
        </mc:AlternateContent>
      </w:r>
      <w:r>
        <w:rPr>
          <w:color w:val="auto"/>
          <w:sz w:val="24"/>
        </w:rPr>
        <mc:AlternateContent>
          <mc:Choice Requires="wps">
            <w:drawing>
              <wp:anchor distT="0" distB="0" distL="114300" distR="114300" simplePos="0" relativeHeight="251786240" behindDoc="0" locked="0" layoutInCell="1" allowOverlap="1">
                <wp:simplePos x="0" y="0"/>
                <wp:positionH relativeFrom="column">
                  <wp:posOffset>2338705</wp:posOffset>
                </wp:positionH>
                <wp:positionV relativeFrom="paragraph">
                  <wp:posOffset>3067050</wp:posOffset>
                </wp:positionV>
                <wp:extent cx="171450" cy="177800"/>
                <wp:effectExtent l="4445" t="4445" r="14605" b="8255"/>
                <wp:wrapNone/>
                <wp:docPr id="66" name="椭圆 66"/>
                <wp:cNvGraphicFramePr/>
                <a:graphic xmlns:a="http://schemas.openxmlformats.org/drawingml/2006/main">
                  <a:graphicData uri="http://schemas.microsoft.com/office/word/2010/wordprocessingShape">
                    <wps:wsp>
                      <wps:cNvSpPr/>
                      <wps:spPr>
                        <a:xfrm>
                          <a:off x="0" y="0"/>
                          <a:ext cx="171450" cy="1778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84.15pt;margin-top:241.5pt;height:14pt;width:13.5pt;z-index:251786240;v-text-anchor:middle;mso-width-relative:page;mso-height-relative:page;" fillcolor="#FFFF00" filled="t" stroked="t" coordsize="21600,21600" o:gfxdata="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N/Jl8LYAAAACwEAAA8AAAAAAAAAAQAgAAAAIgAA&#10;AGRycy9kb3ducmV2LnhtbFBLAQIUABQAAAAIAIdO4kAcwJ+3egIAAAIFAAAOAAAAAAAAAAEAIAAA&#10;ACcBAABkcnMvZTJvRG9jLnhtbFBLBQYAAAAABgAGAFkBAAATBgAAAAA=&#1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785216" behindDoc="0" locked="0" layoutInCell="1" allowOverlap="1">
                <wp:simplePos x="0" y="0"/>
                <wp:positionH relativeFrom="column">
                  <wp:posOffset>3367405</wp:posOffset>
                </wp:positionH>
                <wp:positionV relativeFrom="paragraph">
                  <wp:posOffset>2959100</wp:posOffset>
                </wp:positionV>
                <wp:extent cx="171450" cy="177800"/>
                <wp:effectExtent l="4445" t="4445" r="14605" b="8255"/>
                <wp:wrapNone/>
                <wp:docPr id="63" name="椭圆 63"/>
                <wp:cNvGraphicFramePr/>
                <a:graphic xmlns:a="http://schemas.openxmlformats.org/drawingml/2006/main">
                  <a:graphicData uri="http://schemas.microsoft.com/office/word/2010/wordprocessingShape">
                    <wps:wsp>
                      <wps:cNvSpPr/>
                      <wps:spPr>
                        <a:xfrm>
                          <a:off x="4053205" y="8113395"/>
                          <a:ext cx="171450" cy="177800"/>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65.15pt;margin-top:233pt;height:14pt;width:13.5pt;z-index:251785216;v-text-anchor:middle;mso-width-relative:page;mso-height-relative:page;" fillcolor="#FFFF00" filled="t" stroked="t" coordsize="21600,21600" o:gfxdata="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gqin4tgAAAALAQAADwAA&#10;AAAAAAABACAAAAAiAAAAZHJzL2Rvd25yZXYueG1sUEsBAhQAFAAAAAgAh07iQJBfCcmIAgAADgUA&#10;AA4AAAAAAAAAAQAgAAAAJwEAAGRycy9lMm9Eb2MueG1sUEsFBgAAAAAGAAYAWQEAACEGAAAAAA==&#10;">
                <v:fill on="t" focussize="0,0"/>
                <v:stroke weight="0.25pt" color="#376092 [2404]" joinstyle="round"/>
                <v:imagedata o:title=""/>
                <o:lock v:ext="edit" aspectratio="f"/>
              </v:shape>
            </w:pict>
          </mc:Fallback>
        </mc:AlternateContent>
      </w:r>
      <w:r>
        <w:rPr>
          <w:color w:val="auto"/>
          <w:sz w:val="24"/>
          <w:szCs w:val="32"/>
        </w:rPr>
        <w:drawing>
          <wp:inline distT="0" distB="0" distL="114300" distR="114300">
            <wp:extent cx="5586730" cy="4283710"/>
            <wp:effectExtent l="0" t="0" r="13970" b="2540"/>
            <wp:docPr id="62" name="图片 6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1"/>
                    <pic:cNvPicPr>
                      <a:picLocks noChangeAspect="1"/>
                    </pic:cNvPicPr>
                  </pic:nvPicPr>
                  <pic:blipFill>
                    <a:blip r:embed="rId30"/>
                    <a:srcRect t="10781"/>
                    <a:stretch>
                      <a:fillRect/>
                    </a:stretch>
                  </pic:blipFill>
                  <pic:spPr>
                    <a:xfrm>
                      <a:off x="0" y="0"/>
                      <a:ext cx="5586730" cy="4283710"/>
                    </a:xfrm>
                    <a:prstGeom prst="rect">
                      <a:avLst/>
                    </a:prstGeom>
                  </pic:spPr>
                </pic:pic>
              </a:graphicData>
            </a:graphic>
          </wp:inline>
        </w:drawing>
      </w:r>
    </w:p>
    <w:p w14:paraId="36AC68BA">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b/>
          <w:bCs/>
          <w:color w:val="auto"/>
          <w:sz w:val="24"/>
          <w:szCs w:val="32"/>
          <w:lang w:val="en-US" w:eastAsia="zh-CN"/>
        </w:rPr>
      </w:pPr>
      <w:r>
        <w:rPr>
          <w:rFonts w:hint="eastAsia"/>
          <w:b/>
          <w:bCs/>
          <w:color w:val="auto"/>
          <w:sz w:val="24"/>
          <w:szCs w:val="32"/>
          <w:lang w:val="en-US" w:eastAsia="zh-CN"/>
        </w:rPr>
        <w:t>图4-1 特征污染物监测布点示意图</w:t>
      </w:r>
    </w:p>
    <w:p w14:paraId="1A92DDFC">
      <w:pPr>
        <w:bidi w:val="0"/>
        <w:spacing w:line="360" w:lineRule="auto"/>
        <w:ind w:firstLine="480" w:firstLineChars="200"/>
        <w:outlineLvl w:val="2"/>
        <w:rPr>
          <w:rFonts w:hint="eastAsia" w:ascii="Times New Roman" w:hAnsi="Times New Roman" w:eastAsia="宋体" w:cs="Times New Roman"/>
          <w:b w:val="0"/>
          <w:bCs w:val="0"/>
          <w:color w:val="auto"/>
          <w:sz w:val="24"/>
          <w:szCs w:val="24"/>
          <w:highlight w:val="none"/>
          <w:lang w:val="en-US" w:eastAsia="zh-CN"/>
        </w:rPr>
      </w:pPr>
      <w:bookmarkStart w:id="302" w:name="_Toc16824"/>
      <w:r>
        <w:rPr>
          <w:rFonts w:hint="eastAsia" w:ascii="Times New Roman" w:hAnsi="Times New Roman" w:eastAsia="宋体" w:cs="Times New Roman"/>
          <w:b w:val="0"/>
          <w:bCs w:val="0"/>
          <w:color w:val="auto"/>
          <w:sz w:val="24"/>
          <w:szCs w:val="24"/>
          <w:highlight w:val="none"/>
          <w:lang w:val="en-US" w:eastAsia="zh-CN"/>
        </w:rPr>
        <w:t>（2）监测因子</w:t>
      </w:r>
      <w:bookmarkEnd w:id="302"/>
    </w:p>
    <w:p w14:paraId="0F0451E5">
      <w:pPr>
        <w:bidi w:val="0"/>
        <w:spacing w:line="360" w:lineRule="auto"/>
        <w:rPr>
          <w:rFonts w:hint="eastAsia" w:ascii="Times New Roman" w:hAnsi="Times New Roman" w:eastAsia="宋体" w:cs="Times New Roman"/>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 xml:space="preserve">    引用监测因子为</w:t>
      </w:r>
      <w:r>
        <w:rPr>
          <w:color w:val="auto"/>
          <w:sz w:val="24"/>
          <w:szCs w:val="32"/>
        </w:rPr>
        <w:t>TSP、</w:t>
      </w:r>
      <w:r>
        <w:rPr>
          <w:rFonts w:hint="eastAsia"/>
          <w:color w:val="auto"/>
          <w:sz w:val="24"/>
          <w:szCs w:val="32"/>
          <w:lang w:val="en-US" w:eastAsia="zh-CN"/>
        </w:rPr>
        <w:t>氯化氢、氟化物、氨、二噁英类、铅、砷、铬、镉、锡及其化合物等，</w:t>
      </w:r>
      <w:r>
        <w:rPr>
          <w:rFonts w:hint="eastAsia" w:ascii="Times New Roman" w:hAnsi="Times New Roman" w:eastAsia="宋体" w:cs="Times New Roman"/>
          <w:b w:val="0"/>
          <w:bCs w:val="0"/>
          <w:color w:val="auto"/>
          <w:sz w:val="24"/>
          <w:szCs w:val="24"/>
          <w:highlight w:val="none"/>
          <w:lang w:val="en-US" w:eastAsia="zh-CN"/>
        </w:rPr>
        <w:t>连续监测7天</w:t>
      </w:r>
      <w:r>
        <w:rPr>
          <w:rFonts w:hint="eastAsia" w:cs="Times New Roman"/>
          <w:b w:val="0"/>
          <w:bCs w:val="0"/>
          <w:color w:val="auto"/>
          <w:sz w:val="24"/>
          <w:szCs w:val="24"/>
          <w:highlight w:val="none"/>
          <w:lang w:val="en-US" w:eastAsia="zh-CN"/>
        </w:rPr>
        <w:t>。</w:t>
      </w:r>
    </w:p>
    <w:p w14:paraId="5DD63AF0">
      <w:pPr>
        <w:bidi w:val="0"/>
        <w:spacing w:line="360" w:lineRule="auto"/>
        <w:ind w:firstLine="480" w:firstLineChars="200"/>
        <w:outlineLvl w:val="2"/>
        <w:rPr>
          <w:rFonts w:hint="default" w:ascii="Times New Roman" w:hAnsi="Times New Roman" w:eastAsia="宋体" w:cs="Times New Roman"/>
          <w:b w:val="0"/>
          <w:bCs w:val="0"/>
          <w:color w:val="auto"/>
          <w:sz w:val="24"/>
          <w:szCs w:val="24"/>
          <w:highlight w:val="none"/>
          <w:lang w:val="en-US" w:eastAsia="zh-CN"/>
        </w:rPr>
      </w:pPr>
      <w:bookmarkStart w:id="303" w:name="_Toc18848"/>
      <w:r>
        <w:rPr>
          <w:rFonts w:hint="eastAsia" w:ascii="Times New Roman" w:hAnsi="Times New Roman" w:eastAsia="宋体" w:cs="Times New Roman"/>
          <w:b w:val="0"/>
          <w:bCs w:val="0"/>
          <w:color w:val="auto"/>
          <w:sz w:val="24"/>
          <w:szCs w:val="24"/>
          <w:highlight w:val="none"/>
          <w:lang w:val="en-US" w:eastAsia="zh-CN"/>
        </w:rPr>
        <w:t>（3）监测分析方法</w:t>
      </w:r>
      <w:bookmarkEnd w:id="303"/>
    </w:p>
    <w:p w14:paraId="0C0A11FB">
      <w:pPr>
        <w:bidi w:val="0"/>
        <w:spacing w:line="360" w:lineRule="auto"/>
        <w:ind w:firstLine="480" w:firstLineChars="200"/>
        <w:rPr>
          <w:rFonts w:hint="eastAsia" w:ascii="Times New Roman" w:hAnsi="Times New Roman" w:eastAsia="宋体" w:cs="Times New Roman"/>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监测及分析方法均按照国家环保局《环境监测技术规范》、《环境监测分析方法》和《环境空气质量标准》（GB3095-2012）要求的方法进行。</w:t>
      </w:r>
    </w:p>
    <w:p w14:paraId="20B734C2">
      <w:pPr>
        <w:bidi w:val="0"/>
        <w:spacing w:line="360" w:lineRule="auto"/>
        <w:ind w:firstLine="480" w:firstLineChars="200"/>
        <w:outlineLvl w:val="2"/>
        <w:rPr>
          <w:rFonts w:hint="default" w:ascii="Times New Roman" w:hAnsi="Times New Roman" w:eastAsia="宋体" w:cs="Times New Roman"/>
          <w:b w:val="0"/>
          <w:bCs w:val="0"/>
          <w:color w:val="auto"/>
          <w:sz w:val="24"/>
          <w:szCs w:val="24"/>
          <w:highlight w:val="none"/>
          <w:lang w:val="en-US" w:eastAsia="zh-CN"/>
        </w:rPr>
      </w:pPr>
      <w:bookmarkStart w:id="304" w:name="_Toc29042"/>
      <w:r>
        <w:rPr>
          <w:rFonts w:hint="eastAsia" w:ascii="Times New Roman" w:hAnsi="Times New Roman" w:eastAsia="宋体" w:cs="Times New Roman"/>
          <w:b w:val="0"/>
          <w:bCs w:val="0"/>
          <w:color w:val="auto"/>
          <w:sz w:val="24"/>
          <w:szCs w:val="24"/>
          <w:highlight w:val="none"/>
          <w:lang w:val="en-US" w:eastAsia="zh-CN"/>
        </w:rPr>
        <w:t>（4）评价方法</w:t>
      </w:r>
      <w:bookmarkEnd w:id="304"/>
    </w:p>
    <w:p w14:paraId="2A7927AB">
      <w:pPr>
        <w:widowControl/>
        <w:tabs>
          <w:tab w:val="left" w:pos="540"/>
        </w:tabs>
        <w:spacing w:line="360" w:lineRule="auto"/>
        <w:ind w:firstLine="480" w:firstLineChars="200"/>
        <w:rPr>
          <w:rFonts w:hint="default" w:ascii="Times New Roman" w:hAnsi="Times New Roman" w:eastAsia="宋体" w:cs="Times New Roman"/>
          <w:color w:val="auto"/>
          <w:spacing w:val="0"/>
          <w:sz w:val="24"/>
          <w:szCs w:val="24"/>
        </w:rPr>
      </w:pPr>
      <w:r>
        <w:rPr>
          <w:rFonts w:hint="default" w:ascii="Times New Roman" w:hAnsi="Times New Roman" w:eastAsia="宋体" w:cs="Times New Roman"/>
          <w:color w:val="auto"/>
          <w:spacing w:val="0"/>
          <w:sz w:val="24"/>
          <w:szCs w:val="24"/>
        </w:rPr>
        <w:t>本次大气环境质量现状评价采用单因子污染指数法，公式如下：</w:t>
      </w:r>
    </w:p>
    <w:p w14:paraId="5BA964D1">
      <w:pPr>
        <w:widowControl/>
        <w:tabs>
          <w:tab w:val="left" w:pos="540"/>
        </w:tabs>
        <w:spacing w:line="360" w:lineRule="auto"/>
        <w:ind w:firstLine="480" w:firstLineChars="200"/>
        <w:jc w:val="center"/>
        <w:rPr>
          <w:rFonts w:hint="default" w:ascii="Times New Roman" w:hAnsi="Times New Roman" w:eastAsia="宋体" w:cs="Times New Roman"/>
          <w:color w:val="auto"/>
          <w:spacing w:val="0"/>
          <w:sz w:val="24"/>
          <w:szCs w:val="24"/>
        </w:rPr>
      </w:pPr>
      <w:r>
        <w:rPr>
          <w:rFonts w:hint="default" w:ascii="Times New Roman" w:hAnsi="Times New Roman" w:eastAsia="宋体" w:cs="Times New Roman"/>
          <w:color w:val="auto"/>
          <w:spacing w:val="0"/>
          <w:position w:val="-30"/>
          <w:sz w:val="24"/>
          <w:szCs w:val="24"/>
        </w:rPr>
        <w:object>
          <v:shape id="_x0000_i1026" o:spt="75" type="#_x0000_t75" style="height:37.35pt;width:42.1pt;" o:ole="t" filled="f" o:preferrelative="t" stroked="f" coordsize="21600,21600">
            <v:path/>
            <v:fill on="f" focussize="0,0"/>
            <v:stroke on="f" joinstyle="miter"/>
            <v:imagedata r:id="rId32" o:title=""/>
            <o:lock v:ext="edit" aspectratio="t"/>
            <w10:wrap type="none"/>
            <w10:anchorlock/>
          </v:shape>
          <o:OLEObject Type="Embed" ProgID="Equation.3" ShapeID="_x0000_i1026" DrawAspect="Content" ObjectID="_1468075726" r:id="rId31">
            <o:LockedField>false</o:LockedField>
          </o:OLEObject>
        </w:object>
      </w:r>
    </w:p>
    <w:p w14:paraId="6189565C">
      <w:pPr>
        <w:widowControl/>
        <w:tabs>
          <w:tab w:val="left" w:pos="540"/>
        </w:tabs>
        <w:spacing w:line="360" w:lineRule="auto"/>
        <w:ind w:firstLine="480" w:firstLineChars="200"/>
        <w:rPr>
          <w:rFonts w:hint="default" w:ascii="Times New Roman" w:hAnsi="Times New Roman" w:eastAsia="宋体" w:cs="Times New Roman"/>
          <w:color w:val="auto"/>
          <w:spacing w:val="0"/>
          <w:sz w:val="24"/>
          <w:szCs w:val="24"/>
        </w:rPr>
      </w:pPr>
      <w:r>
        <w:rPr>
          <w:rFonts w:hint="default" w:ascii="Times New Roman" w:hAnsi="Times New Roman" w:eastAsia="宋体" w:cs="Times New Roman"/>
          <w:color w:val="auto"/>
          <w:spacing w:val="0"/>
          <w:sz w:val="24"/>
          <w:szCs w:val="24"/>
        </w:rPr>
        <w:t>式中：I</w:t>
      </w:r>
      <w:r>
        <w:rPr>
          <w:rFonts w:hint="default" w:ascii="Times New Roman" w:hAnsi="Times New Roman" w:eastAsia="宋体" w:cs="Times New Roman"/>
          <w:color w:val="auto"/>
          <w:spacing w:val="0"/>
          <w:sz w:val="24"/>
          <w:szCs w:val="24"/>
          <w:vertAlign w:val="subscript"/>
        </w:rPr>
        <w:t>i</w:t>
      </w:r>
      <w:r>
        <w:rPr>
          <w:rFonts w:hint="default" w:ascii="Times New Roman" w:hAnsi="Times New Roman" w:eastAsia="宋体" w:cs="Times New Roman"/>
          <w:color w:val="auto"/>
          <w:spacing w:val="0"/>
          <w:sz w:val="24"/>
          <w:szCs w:val="24"/>
        </w:rPr>
        <w:t xml:space="preserve"> — i污染物的单因子污染指数；</w:t>
      </w:r>
    </w:p>
    <w:p w14:paraId="75C90F85">
      <w:pPr>
        <w:widowControl/>
        <w:tabs>
          <w:tab w:val="left" w:pos="540"/>
        </w:tabs>
        <w:spacing w:line="360" w:lineRule="auto"/>
        <w:ind w:firstLine="480" w:firstLineChars="200"/>
        <w:rPr>
          <w:rFonts w:hint="default" w:ascii="Times New Roman" w:hAnsi="Times New Roman" w:eastAsia="宋体" w:cs="Times New Roman"/>
          <w:color w:val="auto"/>
          <w:spacing w:val="0"/>
          <w:sz w:val="24"/>
          <w:szCs w:val="24"/>
        </w:rPr>
      </w:pPr>
      <w:r>
        <w:rPr>
          <w:rFonts w:hint="default" w:ascii="Times New Roman" w:hAnsi="Times New Roman" w:eastAsia="宋体" w:cs="Times New Roman"/>
          <w:color w:val="auto"/>
          <w:spacing w:val="0"/>
          <w:sz w:val="24"/>
          <w:szCs w:val="24"/>
        </w:rPr>
        <w:t xml:space="preserve">      C</w:t>
      </w:r>
      <w:r>
        <w:rPr>
          <w:rFonts w:hint="default" w:ascii="Times New Roman" w:hAnsi="Times New Roman" w:eastAsia="宋体" w:cs="Times New Roman"/>
          <w:color w:val="auto"/>
          <w:spacing w:val="0"/>
          <w:sz w:val="24"/>
          <w:szCs w:val="24"/>
          <w:vertAlign w:val="subscript"/>
        </w:rPr>
        <w:t>i</w:t>
      </w:r>
      <w:r>
        <w:rPr>
          <w:rFonts w:hint="default" w:ascii="Times New Roman" w:hAnsi="Times New Roman" w:eastAsia="宋体" w:cs="Times New Roman"/>
          <w:color w:val="auto"/>
          <w:spacing w:val="0"/>
          <w:sz w:val="24"/>
          <w:szCs w:val="24"/>
        </w:rPr>
        <w:t xml:space="preserve"> — i污染物的实测浓度，mg/Nm</w:t>
      </w:r>
      <w:r>
        <w:rPr>
          <w:rFonts w:hint="default" w:ascii="Times New Roman" w:hAnsi="Times New Roman" w:eastAsia="宋体" w:cs="Times New Roman"/>
          <w:color w:val="auto"/>
          <w:spacing w:val="0"/>
          <w:sz w:val="24"/>
          <w:szCs w:val="24"/>
          <w:vertAlign w:val="superscript"/>
        </w:rPr>
        <w:t>3</w:t>
      </w:r>
      <w:r>
        <w:rPr>
          <w:rFonts w:hint="default" w:ascii="Times New Roman" w:hAnsi="Times New Roman" w:eastAsia="宋体" w:cs="Times New Roman"/>
          <w:color w:val="auto"/>
          <w:spacing w:val="0"/>
          <w:sz w:val="24"/>
          <w:szCs w:val="24"/>
        </w:rPr>
        <w:t>；</w:t>
      </w:r>
    </w:p>
    <w:p w14:paraId="3F473DC6">
      <w:pPr>
        <w:widowControl/>
        <w:tabs>
          <w:tab w:val="left" w:pos="540"/>
        </w:tabs>
        <w:spacing w:line="360" w:lineRule="auto"/>
        <w:ind w:firstLine="1200" w:firstLineChars="500"/>
        <w:rPr>
          <w:rFonts w:hint="default" w:ascii="Times New Roman" w:hAnsi="Times New Roman" w:eastAsia="宋体" w:cs="Times New Roman"/>
          <w:color w:val="auto"/>
          <w:spacing w:val="0"/>
          <w:sz w:val="24"/>
          <w:szCs w:val="24"/>
        </w:rPr>
      </w:pPr>
      <w:r>
        <w:rPr>
          <w:rFonts w:hint="default" w:ascii="Times New Roman" w:hAnsi="Times New Roman" w:eastAsia="宋体" w:cs="Times New Roman"/>
          <w:color w:val="auto"/>
          <w:spacing w:val="0"/>
          <w:sz w:val="24"/>
          <w:szCs w:val="24"/>
        </w:rPr>
        <w:t>C</w:t>
      </w:r>
      <w:r>
        <w:rPr>
          <w:rFonts w:hint="default" w:ascii="Times New Roman" w:hAnsi="Times New Roman" w:eastAsia="宋体" w:cs="Times New Roman"/>
          <w:color w:val="auto"/>
          <w:spacing w:val="0"/>
          <w:sz w:val="24"/>
          <w:szCs w:val="24"/>
          <w:vertAlign w:val="subscript"/>
        </w:rPr>
        <w:t>Oi</w:t>
      </w:r>
      <w:r>
        <w:rPr>
          <w:rFonts w:hint="default" w:ascii="Times New Roman" w:hAnsi="Times New Roman" w:eastAsia="宋体" w:cs="Times New Roman"/>
          <w:color w:val="auto"/>
          <w:spacing w:val="0"/>
          <w:sz w:val="24"/>
          <w:szCs w:val="24"/>
        </w:rPr>
        <w:t xml:space="preserve"> — i污染物的评价标准，mg/Nm</w:t>
      </w:r>
      <w:r>
        <w:rPr>
          <w:rFonts w:hint="default" w:ascii="Times New Roman" w:hAnsi="Times New Roman" w:eastAsia="宋体" w:cs="Times New Roman"/>
          <w:color w:val="auto"/>
          <w:spacing w:val="0"/>
          <w:sz w:val="24"/>
          <w:szCs w:val="24"/>
          <w:vertAlign w:val="superscript"/>
        </w:rPr>
        <w:t>3</w:t>
      </w:r>
      <w:r>
        <w:rPr>
          <w:rFonts w:hint="default" w:ascii="Times New Roman" w:hAnsi="Times New Roman" w:eastAsia="宋体" w:cs="Times New Roman"/>
          <w:color w:val="auto"/>
          <w:spacing w:val="0"/>
          <w:sz w:val="24"/>
          <w:szCs w:val="24"/>
        </w:rPr>
        <w:t>。</w:t>
      </w:r>
    </w:p>
    <w:p w14:paraId="3B1588C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color w:val="auto"/>
          <w:sz w:val="24"/>
          <w:szCs w:val="24"/>
        </w:rPr>
      </w:pPr>
      <w:r>
        <w:rPr>
          <w:rFonts w:hint="default" w:ascii="Times New Roman" w:hAnsi="Times New Roman" w:eastAsia="宋体" w:cs="Times New Roman"/>
          <w:color w:val="auto"/>
          <w:spacing w:val="0"/>
          <w:sz w:val="24"/>
          <w:szCs w:val="24"/>
        </w:rPr>
        <w:t>当Ii≥1时，即该因子超标。对照评价标准计算各监测点的各污染物小时平均浓度和日均浓度的污染指数范围、超标率等。</w:t>
      </w:r>
    </w:p>
    <w:p w14:paraId="3D7D0BF2">
      <w:pPr>
        <w:spacing w:line="360" w:lineRule="auto"/>
        <w:ind w:firstLine="480" w:firstLineChars="200"/>
        <w:rPr>
          <w:rFonts w:hint="eastAsia"/>
          <w:color w:val="auto"/>
          <w:sz w:val="24"/>
          <w:szCs w:val="32"/>
          <w:lang w:val="en-US" w:eastAsia="zh-CN"/>
        </w:rPr>
      </w:pPr>
      <w:bookmarkStart w:id="305" w:name="_Toc14089"/>
      <w:bookmarkStart w:id="306" w:name="_Toc8742"/>
      <w:bookmarkStart w:id="307" w:name="_Toc1280"/>
      <w:r>
        <w:rPr>
          <w:rFonts w:hint="eastAsia"/>
          <w:color w:val="auto"/>
          <w:sz w:val="24"/>
          <w:szCs w:val="32"/>
          <w:lang w:val="en-US" w:eastAsia="zh-CN"/>
        </w:rPr>
        <w:t>（5）评价结果</w:t>
      </w:r>
      <w:bookmarkEnd w:id="305"/>
    </w:p>
    <w:p w14:paraId="2D9506DD">
      <w:pPr>
        <w:spacing w:line="360" w:lineRule="auto"/>
        <w:ind w:firstLine="480" w:firstLineChars="200"/>
        <w:rPr>
          <w:color w:val="auto"/>
          <w:sz w:val="24"/>
          <w:szCs w:val="32"/>
        </w:rPr>
      </w:pPr>
      <w:r>
        <w:rPr>
          <w:rFonts w:hint="eastAsia"/>
          <w:color w:val="auto"/>
          <w:sz w:val="24"/>
          <w:szCs w:val="32"/>
          <w:lang w:val="en-US" w:eastAsia="zh-CN"/>
        </w:rPr>
        <w:t>按照上述评价方法，本次区域大气环境质量现状评价结果汇总见表4-3。</w:t>
      </w:r>
    </w:p>
    <w:p w14:paraId="1DC8FAB9">
      <w:pPr>
        <w:spacing w:line="360" w:lineRule="auto"/>
        <w:jc w:val="center"/>
        <w:rPr>
          <w:rFonts w:hint="eastAsia"/>
          <w:b/>
          <w:bCs/>
          <w:color w:val="auto"/>
          <w:sz w:val="24"/>
          <w:szCs w:val="32"/>
          <w:lang w:val="en-US" w:eastAsia="zh-CN"/>
        </w:rPr>
      </w:pPr>
      <w:r>
        <w:rPr>
          <w:rFonts w:hint="eastAsia"/>
          <w:b/>
          <w:bCs/>
          <w:color w:val="auto"/>
          <w:sz w:val="24"/>
          <w:szCs w:val="32"/>
          <w:lang w:val="en-US" w:eastAsia="zh-CN"/>
        </w:rPr>
        <w:t>表4-3 其他污染物大气环境质量现状评价结果一览表</w:t>
      </w:r>
    </w:p>
    <w:tbl>
      <w:tblPr>
        <w:tblStyle w:val="123"/>
        <w:tblW w:w="4990"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0" w:type="dxa"/>
          <w:bottom w:w="0" w:type="dxa"/>
          <w:right w:w="0" w:type="dxa"/>
        </w:tblCellMar>
      </w:tblPr>
      <w:tblGrid>
        <w:gridCol w:w="558"/>
        <w:gridCol w:w="1239"/>
        <w:gridCol w:w="1165"/>
        <w:gridCol w:w="1009"/>
        <w:gridCol w:w="1309"/>
        <w:gridCol w:w="1515"/>
        <w:gridCol w:w="974"/>
        <w:gridCol w:w="976"/>
        <w:gridCol w:w="982"/>
      </w:tblGrid>
      <w:tr w14:paraId="186109C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622" w:hRule="atLeast"/>
        </w:trPr>
        <w:tc>
          <w:tcPr>
            <w:tcW w:w="287" w:type="pct"/>
            <w:tcBorders>
              <w:tl2br w:val="nil"/>
              <w:tr2bl w:val="nil"/>
            </w:tcBorders>
            <w:vAlign w:val="center"/>
          </w:tcPr>
          <w:p w14:paraId="6F924C41">
            <w:pPr>
              <w:jc w:val="center"/>
              <w:rPr>
                <w:rFonts w:hint="default" w:ascii="Times New Roman" w:hAnsi="Times New Roman" w:cs="Times New Roman"/>
                <w:b/>
                <w:bCs/>
                <w:color w:val="auto"/>
                <w:sz w:val="21"/>
                <w:lang w:eastAsia="zh-CN"/>
              </w:rPr>
            </w:pPr>
            <w:r>
              <w:rPr>
                <w:rFonts w:hint="default" w:ascii="Times New Roman" w:hAnsi="Times New Roman" w:cs="Times New Roman"/>
                <w:b/>
                <w:bCs/>
                <w:color w:val="auto"/>
                <w:sz w:val="21"/>
                <w:lang w:eastAsia="zh-CN"/>
              </w:rPr>
              <w:t>序号</w:t>
            </w:r>
          </w:p>
        </w:tc>
        <w:tc>
          <w:tcPr>
            <w:tcW w:w="636" w:type="pct"/>
            <w:tcBorders>
              <w:tl2br w:val="nil"/>
              <w:tr2bl w:val="nil"/>
            </w:tcBorders>
            <w:vAlign w:val="center"/>
          </w:tcPr>
          <w:p w14:paraId="21C9CEBA">
            <w:pPr>
              <w:jc w:val="center"/>
              <w:rPr>
                <w:rFonts w:hint="default" w:ascii="Times New Roman" w:hAnsi="Times New Roman" w:cs="Times New Roman"/>
                <w:b/>
                <w:bCs/>
                <w:color w:val="auto"/>
                <w:sz w:val="21"/>
              </w:rPr>
            </w:pPr>
            <w:r>
              <w:rPr>
                <w:rFonts w:hint="default" w:ascii="Times New Roman" w:hAnsi="Times New Roman" w:cs="Times New Roman"/>
                <w:b/>
                <w:bCs/>
                <w:color w:val="auto"/>
                <w:sz w:val="21"/>
              </w:rPr>
              <w:t>监测点位</w:t>
            </w:r>
          </w:p>
        </w:tc>
        <w:tc>
          <w:tcPr>
            <w:tcW w:w="598" w:type="pct"/>
            <w:tcBorders>
              <w:tl2br w:val="nil"/>
              <w:tr2bl w:val="nil"/>
            </w:tcBorders>
            <w:vAlign w:val="center"/>
          </w:tcPr>
          <w:p w14:paraId="3132BD68">
            <w:pPr>
              <w:jc w:val="center"/>
              <w:rPr>
                <w:rFonts w:hint="default" w:ascii="Times New Roman" w:hAnsi="Times New Roman" w:cs="Times New Roman"/>
                <w:b/>
                <w:bCs/>
                <w:color w:val="auto"/>
                <w:sz w:val="21"/>
              </w:rPr>
            </w:pPr>
            <w:r>
              <w:rPr>
                <w:rFonts w:hint="default" w:ascii="Times New Roman" w:hAnsi="Times New Roman" w:cs="Times New Roman"/>
                <w:b/>
                <w:bCs/>
                <w:color w:val="auto"/>
                <w:sz w:val="21"/>
              </w:rPr>
              <w:t>污染物</w:t>
            </w:r>
          </w:p>
        </w:tc>
        <w:tc>
          <w:tcPr>
            <w:tcW w:w="518" w:type="pct"/>
            <w:tcBorders>
              <w:tl2br w:val="nil"/>
              <w:tr2bl w:val="nil"/>
            </w:tcBorders>
            <w:vAlign w:val="center"/>
          </w:tcPr>
          <w:p w14:paraId="51117A77">
            <w:pPr>
              <w:jc w:val="center"/>
              <w:rPr>
                <w:rFonts w:hint="eastAsia" w:ascii="Times New Roman" w:hAnsi="Times New Roman" w:eastAsia="宋体" w:cs="Times New Roman"/>
                <w:b/>
                <w:bCs/>
                <w:color w:val="auto"/>
                <w:sz w:val="21"/>
                <w:lang w:val="en-US" w:eastAsia="zh-CN"/>
              </w:rPr>
            </w:pPr>
            <w:r>
              <w:rPr>
                <w:rFonts w:hint="eastAsia" w:ascii="Times New Roman" w:hAnsi="Times New Roman" w:eastAsia="宋体" w:cs="Times New Roman"/>
                <w:b/>
                <w:bCs/>
                <w:color w:val="auto"/>
                <w:sz w:val="21"/>
                <w:lang w:val="en-US" w:eastAsia="zh-CN"/>
              </w:rPr>
              <w:t>小时/日</w:t>
            </w:r>
            <w:r>
              <w:rPr>
                <w:rFonts w:hint="default" w:ascii="Times New Roman" w:hAnsi="Times New Roman" w:cs="Times New Roman"/>
                <w:b/>
                <w:bCs/>
                <w:color w:val="auto"/>
                <w:sz w:val="21"/>
              </w:rPr>
              <w:t>平均</w:t>
            </w:r>
            <w:r>
              <w:rPr>
                <w:rFonts w:hint="eastAsia" w:ascii="Times New Roman" w:hAnsi="Times New Roman" w:eastAsia="宋体" w:cs="Times New Roman"/>
                <w:b/>
                <w:bCs/>
                <w:color w:val="auto"/>
                <w:sz w:val="21"/>
                <w:lang w:val="en-US" w:eastAsia="zh-CN"/>
              </w:rPr>
              <w:t>浓度</w:t>
            </w:r>
          </w:p>
        </w:tc>
        <w:tc>
          <w:tcPr>
            <w:tcW w:w="672" w:type="pct"/>
            <w:tcBorders>
              <w:tl2br w:val="nil"/>
              <w:tr2bl w:val="nil"/>
            </w:tcBorders>
            <w:vAlign w:val="center"/>
          </w:tcPr>
          <w:p w14:paraId="6DC349D1">
            <w:pPr>
              <w:jc w:val="center"/>
              <w:rPr>
                <w:rFonts w:hint="default" w:ascii="Times New Roman" w:hAnsi="Times New Roman" w:cs="Times New Roman"/>
                <w:b/>
                <w:bCs/>
                <w:color w:val="auto"/>
                <w:sz w:val="21"/>
              </w:rPr>
            </w:pPr>
            <w:r>
              <w:rPr>
                <w:rFonts w:hint="default" w:ascii="Times New Roman" w:hAnsi="Times New Roman" w:cs="Times New Roman"/>
                <w:b/>
                <w:bCs/>
                <w:color w:val="auto"/>
                <w:sz w:val="21"/>
              </w:rPr>
              <w:t>评价标准</w:t>
            </w:r>
          </w:p>
          <w:p w14:paraId="55FEEDCB">
            <w:pPr>
              <w:jc w:val="center"/>
              <w:rPr>
                <w:rFonts w:hint="default" w:ascii="Times New Roman" w:hAnsi="Times New Roman" w:cs="Times New Roman"/>
                <w:color w:val="auto"/>
                <w:sz w:val="21"/>
              </w:rPr>
            </w:pPr>
            <w:r>
              <w:rPr>
                <w:rFonts w:hint="default" w:ascii="Times New Roman" w:hAnsi="Times New Roman" w:cs="Times New Roman"/>
                <w:b/>
                <w:bCs/>
                <w:color w:val="auto"/>
                <w:sz w:val="21"/>
              </w:rPr>
              <w:t>μg/m</w:t>
            </w:r>
            <w:r>
              <w:rPr>
                <w:rFonts w:hint="default" w:ascii="Times New Roman" w:hAnsi="Times New Roman" w:cs="Times New Roman"/>
                <w:b/>
                <w:bCs/>
                <w:color w:val="auto"/>
                <w:sz w:val="21"/>
                <w:vertAlign w:val="superscript"/>
              </w:rPr>
              <w:t>3</w:t>
            </w:r>
          </w:p>
        </w:tc>
        <w:tc>
          <w:tcPr>
            <w:tcW w:w="778" w:type="pct"/>
            <w:tcBorders>
              <w:tl2br w:val="nil"/>
              <w:tr2bl w:val="nil"/>
            </w:tcBorders>
            <w:vAlign w:val="center"/>
          </w:tcPr>
          <w:p w14:paraId="44560887">
            <w:pPr>
              <w:jc w:val="center"/>
              <w:rPr>
                <w:rFonts w:hint="default" w:ascii="Times New Roman" w:hAnsi="Times New Roman" w:cs="Times New Roman"/>
                <w:b/>
                <w:bCs/>
                <w:color w:val="auto"/>
                <w:sz w:val="21"/>
              </w:rPr>
            </w:pPr>
            <w:r>
              <w:rPr>
                <w:rFonts w:hint="default" w:ascii="Times New Roman" w:hAnsi="Times New Roman" w:cs="Times New Roman"/>
                <w:b/>
                <w:bCs/>
                <w:color w:val="auto"/>
                <w:sz w:val="21"/>
                <w:lang w:val="en-US" w:eastAsia="zh-CN"/>
              </w:rPr>
              <w:t>最大</w:t>
            </w:r>
            <w:r>
              <w:rPr>
                <w:rFonts w:hint="default" w:ascii="Times New Roman" w:hAnsi="Times New Roman" w:cs="Times New Roman"/>
                <w:b/>
                <w:bCs/>
                <w:color w:val="auto"/>
                <w:sz w:val="21"/>
              </w:rPr>
              <w:t>监测浓度</w:t>
            </w:r>
          </w:p>
          <w:p w14:paraId="74F0AC7E">
            <w:pPr>
              <w:jc w:val="center"/>
              <w:rPr>
                <w:rFonts w:hint="default" w:ascii="Times New Roman" w:hAnsi="Times New Roman" w:cs="Times New Roman"/>
                <w:b/>
                <w:bCs/>
                <w:color w:val="auto"/>
                <w:sz w:val="21"/>
              </w:rPr>
            </w:pPr>
            <w:r>
              <w:rPr>
                <w:rFonts w:hint="default" w:ascii="Times New Roman" w:hAnsi="Times New Roman" w:cs="Times New Roman"/>
                <w:b/>
                <w:bCs/>
                <w:color w:val="auto"/>
                <w:sz w:val="21"/>
              </w:rPr>
              <w:t>μg/m</w:t>
            </w:r>
            <w:r>
              <w:rPr>
                <w:rFonts w:hint="default" w:ascii="Times New Roman" w:hAnsi="Times New Roman" w:cs="Times New Roman"/>
                <w:b/>
                <w:bCs/>
                <w:color w:val="auto"/>
                <w:sz w:val="21"/>
                <w:vertAlign w:val="superscript"/>
              </w:rPr>
              <w:t>3</w:t>
            </w:r>
          </w:p>
        </w:tc>
        <w:tc>
          <w:tcPr>
            <w:tcW w:w="500" w:type="pct"/>
            <w:tcBorders>
              <w:tl2br w:val="nil"/>
              <w:tr2bl w:val="nil"/>
            </w:tcBorders>
            <w:vAlign w:val="center"/>
          </w:tcPr>
          <w:p w14:paraId="5FFEB230">
            <w:pPr>
              <w:jc w:val="center"/>
              <w:rPr>
                <w:rFonts w:hint="default" w:ascii="Times New Roman" w:hAnsi="Times New Roman" w:cs="Times New Roman"/>
                <w:b/>
                <w:bCs/>
                <w:color w:val="auto"/>
                <w:sz w:val="21"/>
              </w:rPr>
            </w:pPr>
            <w:r>
              <w:rPr>
                <w:rFonts w:hint="default" w:ascii="Times New Roman" w:hAnsi="Times New Roman" w:cs="Times New Roman"/>
                <w:b/>
                <w:bCs/>
                <w:color w:val="auto"/>
                <w:sz w:val="21"/>
              </w:rPr>
              <w:t>最大浓度 占标率%</w:t>
            </w:r>
          </w:p>
        </w:tc>
        <w:tc>
          <w:tcPr>
            <w:tcW w:w="501" w:type="pct"/>
            <w:tcBorders>
              <w:tl2br w:val="nil"/>
              <w:tr2bl w:val="nil"/>
            </w:tcBorders>
            <w:vAlign w:val="center"/>
          </w:tcPr>
          <w:p w14:paraId="24F1F4D2">
            <w:pPr>
              <w:jc w:val="center"/>
              <w:rPr>
                <w:rFonts w:hint="default" w:ascii="Times New Roman" w:hAnsi="Times New Roman" w:cs="Times New Roman"/>
                <w:b/>
                <w:bCs/>
                <w:color w:val="auto"/>
                <w:sz w:val="21"/>
              </w:rPr>
            </w:pPr>
            <w:r>
              <w:rPr>
                <w:rFonts w:hint="default" w:ascii="Times New Roman" w:hAnsi="Times New Roman" w:cs="Times New Roman"/>
                <w:b/>
                <w:bCs/>
                <w:color w:val="auto"/>
                <w:sz w:val="21"/>
              </w:rPr>
              <w:t>超标率%</w:t>
            </w:r>
          </w:p>
        </w:tc>
        <w:tc>
          <w:tcPr>
            <w:tcW w:w="504" w:type="pct"/>
            <w:tcBorders>
              <w:tl2br w:val="nil"/>
              <w:tr2bl w:val="nil"/>
            </w:tcBorders>
            <w:vAlign w:val="center"/>
          </w:tcPr>
          <w:p w14:paraId="4717653A">
            <w:pPr>
              <w:jc w:val="center"/>
              <w:rPr>
                <w:rFonts w:hint="default" w:ascii="Times New Roman" w:hAnsi="Times New Roman" w:cs="Times New Roman"/>
                <w:b/>
                <w:bCs/>
                <w:color w:val="auto"/>
                <w:sz w:val="21"/>
              </w:rPr>
            </w:pPr>
            <w:r>
              <w:rPr>
                <w:rFonts w:hint="default" w:ascii="Times New Roman" w:hAnsi="Times New Roman" w:cs="Times New Roman"/>
                <w:b/>
                <w:bCs/>
                <w:color w:val="auto"/>
                <w:sz w:val="21"/>
              </w:rPr>
              <w:t>达标情况</w:t>
            </w:r>
          </w:p>
        </w:tc>
      </w:tr>
      <w:tr w14:paraId="6011431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80" w:hRule="atLeast"/>
        </w:trPr>
        <w:tc>
          <w:tcPr>
            <w:tcW w:w="287" w:type="pct"/>
            <w:vMerge w:val="restart"/>
            <w:tcBorders>
              <w:tl2br w:val="nil"/>
              <w:tr2bl w:val="nil"/>
            </w:tcBorders>
            <w:vAlign w:val="center"/>
          </w:tcPr>
          <w:p w14:paraId="6A54600B">
            <w:pPr>
              <w:jc w:val="center"/>
              <w:rPr>
                <w:rFonts w:hint="default" w:ascii="Times New Roman" w:hAnsi="Times New Roman" w:cs="Times New Roman"/>
                <w:color w:val="auto"/>
                <w:sz w:val="21"/>
                <w:lang w:val="en-US" w:eastAsia="zh-CN"/>
              </w:rPr>
            </w:pPr>
            <w:r>
              <w:rPr>
                <w:rFonts w:hint="default" w:ascii="Times New Roman" w:hAnsi="Times New Roman" w:cs="Times New Roman"/>
                <w:color w:val="auto"/>
                <w:sz w:val="21"/>
                <w:lang w:val="en-US" w:eastAsia="zh-CN"/>
              </w:rPr>
              <w:t>1</w:t>
            </w:r>
          </w:p>
        </w:tc>
        <w:tc>
          <w:tcPr>
            <w:tcW w:w="636" w:type="pct"/>
            <w:vMerge w:val="restart"/>
            <w:tcBorders>
              <w:tl2br w:val="nil"/>
              <w:tr2bl w:val="nil"/>
            </w:tcBorders>
            <w:vAlign w:val="center"/>
          </w:tcPr>
          <w:p w14:paraId="5B6A1FCD">
            <w:pPr>
              <w:autoSpaceDE w:val="0"/>
              <w:autoSpaceDN w:val="0"/>
              <w:spacing w:line="276" w:lineRule="auto"/>
              <w:jc w:val="center"/>
              <w:rPr>
                <w:rFonts w:hint="default" w:ascii="Times New Roman" w:hAnsi="Times New Roman" w:eastAsia="宋体" w:cs="Times New Roman"/>
                <w:color w:val="auto"/>
                <w:sz w:val="21"/>
                <w:lang w:val="en-US" w:eastAsia="zh-CN"/>
              </w:rPr>
            </w:pPr>
            <w:bookmarkStart w:id="308" w:name="OLE_LINK82"/>
            <w:r>
              <w:rPr>
                <w:rFonts w:hint="default" w:ascii="Times New Roman" w:hAnsi="Times New Roman" w:eastAsia="宋体" w:cs="Times New Roman"/>
                <w:color w:val="auto"/>
                <w:sz w:val="21"/>
                <w:szCs w:val="21"/>
                <w:lang w:val="en-US" w:eastAsia="zh-CN"/>
              </w:rPr>
              <w:t>G</w:t>
            </w:r>
            <w:r>
              <w:rPr>
                <w:rFonts w:hint="default" w:ascii="Times New Roman" w:hAnsi="Times New Roman" w:eastAsia="宋体" w:cs="Times New Roman"/>
                <w:color w:val="auto"/>
                <w:sz w:val="21"/>
                <w:szCs w:val="21"/>
                <w:vertAlign w:val="subscript"/>
                <w:lang w:val="en-US" w:eastAsia="zh-CN"/>
              </w:rPr>
              <w:t>1</w:t>
            </w:r>
            <w:r>
              <w:rPr>
                <w:rFonts w:hint="default" w:ascii="Times New Roman" w:hAnsi="Times New Roman" w:eastAsia="宋体" w:cs="Times New Roman"/>
                <w:color w:val="auto"/>
                <w:sz w:val="21"/>
                <w:szCs w:val="21"/>
                <w:lang w:val="en-US" w:eastAsia="zh-CN"/>
              </w:rPr>
              <w:t>黄大庄</w:t>
            </w:r>
            <w:bookmarkEnd w:id="308"/>
          </w:p>
        </w:tc>
        <w:tc>
          <w:tcPr>
            <w:tcW w:w="598" w:type="pct"/>
            <w:tcBorders>
              <w:tl2br w:val="nil"/>
              <w:tr2bl w:val="nil"/>
            </w:tcBorders>
            <w:vAlign w:val="center"/>
          </w:tcPr>
          <w:p w14:paraId="3244719B">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TSP</w:t>
            </w:r>
          </w:p>
        </w:tc>
        <w:tc>
          <w:tcPr>
            <w:tcW w:w="518" w:type="pct"/>
            <w:tcBorders>
              <w:tl2br w:val="nil"/>
              <w:tr2bl w:val="nil"/>
            </w:tcBorders>
            <w:vAlign w:val="center"/>
          </w:tcPr>
          <w:p w14:paraId="4C87664E">
            <w:pPr>
              <w:jc w:val="center"/>
              <w:rPr>
                <w:rFonts w:hint="default" w:ascii="Times New Roman" w:hAnsi="Times New Roman" w:eastAsia="宋体" w:cs="Times New Roman"/>
                <w:color w:val="auto"/>
                <w:spacing w:val="-2"/>
                <w:kern w:val="0"/>
                <w:sz w:val="21"/>
                <w:szCs w:val="20"/>
                <w:lang w:val="en-US" w:eastAsia="zh-CN" w:bidi="ar-SA"/>
              </w:rPr>
            </w:pPr>
            <w:bookmarkStart w:id="309" w:name="OLE_LINK83"/>
            <w:r>
              <w:rPr>
                <w:rFonts w:hint="eastAsia" w:ascii="Times New Roman" w:hAnsi="Times New Roman" w:eastAsia="宋体" w:cs="Times New Roman"/>
                <w:color w:val="auto"/>
                <w:spacing w:val="-2"/>
                <w:kern w:val="0"/>
                <w:sz w:val="21"/>
                <w:szCs w:val="20"/>
                <w:lang w:val="en-US" w:eastAsia="zh-CN" w:bidi="ar-SA"/>
              </w:rPr>
              <w:t>日均浓度</w:t>
            </w:r>
            <w:bookmarkEnd w:id="309"/>
          </w:p>
        </w:tc>
        <w:tc>
          <w:tcPr>
            <w:tcW w:w="672" w:type="pct"/>
            <w:tcBorders>
              <w:tl2br w:val="nil"/>
              <w:tr2bl w:val="nil"/>
            </w:tcBorders>
            <w:vAlign w:val="center"/>
          </w:tcPr>
          <w:p w14:paraId="6EEBC666">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300</w:t>
            </w:r>
          </w:p>
        </w:tc>
        <w:tc>
          <w:tcPr>
            <w:tcW w:w="778" w:type="pct"/>
            <w:tcBorders>
              <w:tl2br w:val="nil"/>
              <w:tr2bl w:val="nil"/>
            </w:tcBorders>
            <w:vAlign w:val="center"/>
          </w:tcPr>
          <w:p w14:paraId="20379F2E">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83</w:t>
            </w:r>
          </w:p>
        </w:tc>
        <w:tc>
          <w:tcPr>
            <w:tcW w:w="500" w:type="pct"/>
            <w:tcBorders>
              <w:tl2br w:val="nil"/>
              <w:tr2bl w:val="nil"/>
            </w:tcBorders>
            <w:vAlign w:val="center"/>
          </w:tcPr>
          <w:p w14:paraId="48C0260B">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27.67</w:t>
            </w:r>
          </w:p>
        </w:tc>
        <w:tc>
          <w:tcPr>
            <w:tcW w:w="501" w:type="pct"/>
            <w:tcBorders>
              <w:tl2br w:val="nil"/>
              <w:tr2bl w:val="nil"/>
            </w:tcBorders>
            <w:vAlign w:val="center"/>
          </w:tcPr>
          <w:p w14:paraId="684E22E6">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0</w:t>
            </w:r>
          </w:p>
        </w:tc>
        <w:tc>
          <w:tcPr>
            <w:tcW w:w="504" w:type="pct"/>
            <w:tcBorders>
              <w:tl2br w:val="nil"/>
              <w:tr2bl w:val="nil"/>
            </w:tcBorders>
            <w:vAlign w:val="center"/>
          </w:tcPr>
          <w:p w14:paraId="652703B0">
            <w:pPr>
              <w:jc w:val="center"/>
              <w:rPr>
                <w:rFonts w:hint="default" w:ascii="Times New Roman" w:hAnsi="Times New Roman" w:eastAsia="宋体" w:cs="Times New Roman"/>
                <w:color w:val="auto"/>
                <w:spacing w:val="-2"/>
                <w:kern w:val="0"/>
                <w:sz w:val="21"/>
                <w:szCs w:val="20"/>
                <w:highlight w:val="none"/>
                <w:lang w:val="en-US" w:eastAsia="zh-CN" w:bidi="ar-SA"/>
              </w:rPr>
            </w:pPr>
            <w:bookmarkStart w:id="310" w:name="OLE_LINK87"/>
            <w:r>
              <w:rPr>
                <w:rFonts w:hint="default" w:ascii="Times New Roman" w:hAnsi="Times New Roman" w:cs="Times New Roman"/>
                <w:color w:val="auto"/>
                <w:sz w:val="21"/>
                <w:highlight w:val="none"/>
                <w:lang w:eastAsia="zh-CN"/>
              </w:rPr>
              <w:t>达标</w:t>
            </w:r>
            <w:bookmarkEnd w:id="310"/>
          </w:p>
        </w:tc>
      </w:tr>
      <w:tr w14:paraId="7C6559E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80" w:hRule="atLeast"/>
        </w:trPr>
        <w:tc>
          <w:tcPr>
            <w:tcW w:w="287" w:type="pct"/>
            <w:vMerge w:val="continue"/>
            <w:tcBorders>
              <w:tl2br w:val="nil"/>
              <w:tr2bl w:val="nil"/>
            </w:tcBorders>
            <w:vAlign w:val="center"/>
          </w:tcPr>
          <w:p w14:paraId="6F5D98C3">
            <w:pPr>
              <w:jc w:val="center"/>
              <w:rPr>
                <w:rFonts w:hint="default" w:ascii="Times New Roman" w:hAnsi="Times New Roman" w:cs="Times New Roman"/>
                <w:color w:val="auto"/>
                <w:sz w:val="21"/>
                <w:lang w:val="en-US" w:eastAsia="zh-CN"/>
              </w:rPr>
            </w:pPr>
          </w:p>
        </w:tc>
        <w:tc>
          <w:tcPr>
            <w:tcW w:w="636" w:type="pct"/>
            <w:vMerge w:val="continue"/>
            <w:tcBorders>
              <w:tl2br w:val="nil"/>
              <w:tr2bl w:val="nil"/>
            </w:tcBorders>
            <w:vAlign w:val="center"/>
          </w:tcPr>
          <w:p w14:paraId="7B3D6754">
            <w:pPr>
              <w:autoSpaceDE w:val="0"/>
              <w:autoSpaceDN w:val="0"/>
              <w:spacing w:line="276" w:lineRule="auto"/>
              <w:jc w:val="center"/>
              <w:rPr>
                <w:rFonts w:hint="default" w:ascii="Times New Roman" w:hAnsi="Times New Roman" w:eastAsia="宋体" w:cs="Times New Roman"/>
                <w:color w:val="auto"/>
                <w:sz w:val="21"/>
                <w:szCs w:val="21"/>
                <w:lang w:val="en-US" w:eastAsia="zh-CN"/>
              </w:rPr>
            </w:pPr>
          </w:p>
        </w:tc>
        <w:tc>
          <w:tcPr>
            <w:tcW w:w="598" w:type="pct"/>
            <w:tcBorders>
              <w:tl2br w:val="nil"/>
              <w:tr2bl w:val="nil"/>
            </w:tcBorders>
            <w:vAlign w:val="center"/>
          </w:tcPr>
          <w:p w14:paraId="47CE0039">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氯化氢</w:t>
            </w:r>
          </w:p>
        </w:tc>
        <w:tc>
          <w:tcPr>
            <w:tcW w:w="518" w:type="pct"/>
            <w:tcBorders>
              <w:tl2br w:val="nil"/>
              <w:tr2bl w:val="nil"/>
            </w:tcBorders>
            <w:vAlign w:val="center"/>
          </w:tcPr>
          <w:p w14:paraId="138BADC9">
            <w:pPr>
              <w:jc w:val="center"/>
              <w:rPr>
                <w:rFonts w:hint="default" w:ascii="Times New Roman" w:hAnsi="Times New Roman" w:eastAsia="宋体" w:cs="Times New Roman"/>
                <w:color w:val="auto"/>
                <w:spacing w:val="-2"/>
                <w:kern w:val="0"/>
                <w:sz w:val="21"/>
                <w:szCs w:val="20"/>
                <w:lang w:val="en-US" w:eastAsia="zh-CN" w:bidi="ar-SA"/>
              </w:rPr>
            </w:pPr>
            <w:bookmarkStart w:id="311" w:name="OLE_LINK84"/>
            <w:r>
              <w:rPr>
                <w:rFonts w:hint="eastAsia" w:ascii="Times New Roman" w:hAnsi="Times New Roman" w:eastAsia="宋体" w:cs="Times New Roman"/>
                <w:color w:val="auto"/>
                <w:spacing w:val="-2"/>
                <w:kern w:val="0"/>
                <w:sz w:val="21"/>
                <w:szCs w:val="20"/>
                <w:lang w:val="en-US" w:eastAsia="zh-CN" w:bidi="ar-SA"/>
              </w:rPr>
              <w:t>日均浓度</w:t>
            </w:r>
            <w:bookmarkEnd w:id="311"/>
          </w:p>
        </w:tc>
        <w:tc>
          <w:tcPr>
            <w:tcW w:w="672" w:type="pct"/>
            <w:tcBorders>
              <w:tl2br w:val="nil"/>
              <w:tr2bl w:val="nil"/>
            </w:tcBorders>
            <w:vAlign w:val="center"/>
          </w:tcPr>
          <w:p w14:paraId="08917109">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15</w:t>
            </w:r>
          </w:p>
        </w:tc>
        <w:tc>
          <w:tcPr>
            <w:tcW w:w="778" w:type="pct"/>
            <w:tcBorders>
              <w:tl2br w:val="nil"/>
              <w:tr2bl w:val="nil"/>
            </w:tcBorders>
            <w:vAlign w:val="center"/>
          </w:tcPr>
          <w:p w14:paraId="05395007">
            <w:pPr>
              <w:jc w:val="center"/>
              <w:rPr>
                <w:rFonts w:hint="default" w:ascii="Times New Roman" w:hAnsi="Times New Roman" w:eastAsia="宋体" w:cs="Times New Roman"/>
                <w:color w:val="auto"/>
                <w:spacing w:val="-2"/>
                <w:kern w:val="0"/>
                <w:sz w:val="21"/>
                <w:szCs w:val="20"/>
                <w:highlight w:val="none"/>
                <w:lang w:val="en-US" w:eastAsia="zh-CN" w:bidi="ar-SA"/>
              </w:rPr>
            </w:pPr>
            <w:bookmarkStart w:id="312" w:name="OLE_LINK85"/>
            <w:r>
              <w:rPr>
                <w:rFonts w:hint="eastAsia" w:ascii="Times New Roman" w:hAnsi="Times New Roman" w:eastAsia="宋体" w:cs="Times New Roman"/>
                <w:color w:val="auto"/>
                <w:spacing w:val="-2"/>
                <w:kern w:val="0"/>
                <w:sz w:val="21"/>
                <w:szCs w:val="20"/>
                <w:lang w:val="en-US" w:eastAsia="zh-CN" w:bidi="ar-SA"/>
              </w:rPr>
              <w:t>ND</w:t>
            </w:r>
            <w:bookmarkEnd w:id="312"/>
          </w:p>
        </w:tc>
        <w:tc>
          <w:tcPr>
            <w:tcW w:w="500" w:type="pct"/>
            <w:tcBorders>
              <w:tl2br w:val="nil"/>
              <w:tr2bl w:val="nil"/>
            </w:tcBorders>
            <w:vAlign w:val="center"/>
          </w:tcPr>
          <w:p w14:paraId="3817E3CB">
            <w:pPr>
              <w:jc w:val="center"/>
              <w:rPr>
                <w:rFonts w:hint="default" w:ascii="Times New Roman" w:hAnsi="Times New Roman" w:eastAsia="宋体" w:cs="Times New Roman"/>
                <w:color w:val="auto"/>
                <w:spacing w:val="-2"/>
                <w:kern w:val="0"/>
                <w:sz w:val="21"/>
                <w:szCs w:val="20"/>
                <w:highlight w:val="none"/>
                <w:lang w:val="en-US" w:eastAsia="zh-CN" w:bidi="ar-SA"/>
              </w:rPr>
            </w:pPr>
            <w:bookmarkStart w:id="313" w:name="OLE_LINK86"/>
            <w:r>
              <w:rPr>
                <w:rFonts w:hint="eastAsia" w:ascii="Times New Roman" w:hAnsi="Times New Roman" w:eastAsia="宋体" w:cs="Times New Roman"/>
                <w:color w:val="auto"/>
                <w:spacing w:val="-2"/>
                <w:kern w:val="0"/>
                <w:sz w:val="21"/>
                <w:szCs w:val="20"/>
                <w:highlight w:val="none"/>
                <w:lang w:val="en-US" w:eastAsia="zh-CN" w:bidi="ar-SA"/>
              </w:rPr>
              <w:t>/</w:t>
            </w:r>
            <w:bookmarkEnd w:id="313"/>
          </w:p>
        </w:tc>
        <w:tc>
          <w:tcPr>
            <w:tcW w:w="501" w:type="pct"/>
            <w:tcBorders>
              <w:tl2br w:val="nil"/>
              <w:tr2bl w:val="nil"/>
            </w:tcBorders>
            <w:vAlign w:val="center"/>
          </w:tcPr>
          <w:p w14:paraId="2E5CE094">
            <w:pPr>
              <w:jc w:val="center"/>
              <w:rPr>
                <w:rFonts w:hint="default" w:ascii="Times New Roman" w:hAnsi="Times New Roman" w:eastAsia="宋体" w:cs="Times New Roman"/>
                <w:color w:val="auto"/>
                <w:spacing w:val="-2"/>
                <w:kern w:val="0"/>
                <w:sz w:val="21"/>
                <w:szCs w:val="20"/>
                <w:highlight w:val="none"/>
                <w:lang w:val="en-US" w:eastAsia="zh-CN" w:bidi="ar-SA"/>
              </w:rPr>
            </w:pPr>
            <w:bookmarkStart w:id="314" w:name="OLE_LINK88"/>
            <w:r>
              <w:rPr>
                <w:rFonts w:hint="eastAsia" w:ascii="Times New Roman" w:hAnsi="Times New Roman" w:eastAsia="宋体" w:cs="Times New Roman"/>
                <w:color w:val="auto"/>
                <w:spacing w:val="-2"/>
                <w:kern w:val="0"/>
                <w:sz w:val="21"/>
                <w:szCs w:val="20"/>
                <w:highlight w:val="none"/>
                <w:lang w:val="en-US" w:eastAsia="zh-CN" w:bidi="ar-SA"/>
              </w:rPr>
              <w:t>0</w:t>
            </w:r>
            <w:bookmarkEnd w:id="314"/>
          </w:p>
        </w:tc>
        <w:tc>
          <w:tcPr>
            <w:tcW w:w="504" w:type="pct"/>
            <w:tcBorders>
              <w:tl2br w:val="nil"/>
              <w:tr2bl w:val="nil"/>
            </w:tcBorders>
            <w:vAlign w:val="center"/>
          </w:tcPr>
          <w:p w14:paraId="4DD9AFD2">
            <w:pPr>
              <w:jc w:val="center"/>
              <w:rPr>
                <w:rFonts w:hint="default" w:ascii="Times New Roman" w:hAnsi="Times New Roman" w:cs="Times New Roman"/>
                <w:color w:val="auto"/>
                <w:sz w:val="21"/>
                <w:highlight w:val="none"/>
                <w:lang w:eastAsia="zh-CN"/>
              </w:rPr>
            </w:pPr>
            <w:bookmarkStart w:id="315" w:name="OLE_LINK89"/>
            <w:r>
              <w:rPr>
                <w:rFonts w:hint="default" w:ascii="Times New Roman" w:hAnsi="Times New Roman" w:cs="Times New Roman"/>
                <w:color w:val="auto"/>
                <w:sz w:val="21"/>
                <w:highlight w:val="none"/>
                <w:lang w:eastAsia="zh-CN"/>
              </w:rPr>
              <w:t>达标</w:t>
            </w:r>
            <w:bookmarkEnd w:id="315"/>
          </w:p>
        </w:tc>
      </w:tr>
      <w:tr w14:paraId="2867ACC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287" w:type="pct"/>
            <w:vMerge w:val="continue"/>
            <w:tcBorders>
              <w:tl2br w:val="nil"/>
              <w:tr2bl w:val="nil"/>
            </w:tcBorders>
            <w:vAlign w:val="center"/>
          </w:tcPr>
          <w:p w14:paraId="6774721A">
            <w:pPr>
              <w:jc w:val="center"/>
              <w:rPr>
                <w:rFonts w:hint="default" w:ascii="Times New Roman" w:hAnsi="Times New Roman" w:cs="Times New Roman"/>
                <w:color w:val="auto"/>
                <w:sz w:val="21"/>
                <w:lang w:val="en-US" w:eastAsia="zh-CN"/>
              </w:rPr>
            </w:pPr>
          </w:p>
        </w:tc>
        <w:tc>
          <w:tcPr>
            <w:tcW w:w="636" w:type="pct"/>
            <w:vMerge w:val="continue"/>
            <w:tcBorders>
              <w:tl2br w:val="nil"/>
              <w:tr2bl w:val="nil"/>
            </w:tcBorders>
            <w:vAlign w:val="center"/>
          </w:tcPr>
          <w:p w14:paraId="6CB56A3D">
            <w:pPr>
              <w:autoSpaceDE w:val="0"/>
              <w:autoSpaceDN w:val="0"/>
              <w:spacing w:line="276" w:lineRule="auto"/>
              <w:jc w:val="center"/>
              <w:rPr>
                <w:rFonts w:hint="default" w:ascii="Times New Roman" w:hAnsi="Times New Roman" w:eastAsia="宋体" w:cs="Times New Roman"/>
                <w:color w:val="auto"/>
                <w:sz w:val="21"/>
                <w:szCs w:val="21"/>
                <w:lang w:val="en-US" w:eastAsia="zh-CN"/>
              </w:rPr>
            </w:pPr>
          </w:p>
        </w:tc>
        <w:tc>
          <w:tcPr>
            <w:tcW w:w="598" w:type="pct"/>
            <w:tcBorders>
              <w:tl2br w:val="nil"/>
              <w:tr2bl w:val="nil"/>
            </w:tcBorders>
            <w:vAlign w:val="center"/>
          </w:tcPr>
          <w:p w14:paraId="245F0BFA">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氟化物</w:t>
            </w:r>
          </w:p>
        </w:tc>
        <w:tc>
          <w:tcPr>
            <w:tcW w:w="518" w:type="pct"/>
            <w:tcBorders>
              <w:tl2br w:val="nil"/>
              <w:tr2bl w:val="nil"/>
            </w:tcBorders>
            <w:vAlign w:val="center"/>
          </w:tcPr>
          <w:p w14:paraId="5DD53DEB">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日均浓度</w:t>
            </w:r>
          </w:p>
        </w:tc>
        <w:tc>
          <w:tcPr>
            <w:tcW w:w="672" w:type="pct"/>
            <w:tcBorders>
              <w:tl2br w:val="nil"/>
              <w:tr2bl w:val="nil"/>
            </w:tcBorders>
            <w:vAlign w:val="center"/>
          </w:tcPr>
          <w:p w14:paraId="52D27541">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7</w:t>
            </w:r>
          </w:p>
        </w:tc>
        <w:tc>
          <w:tcPr>
            <w:tcW w:w="778" w:type="pct"/>
            <w:tcBorders>
              <w:tl2br w:val="nil"/>
              <w:tr2bl w:val="nil"/>
            </w:tcBorders>
            <w:vAlign w:val="center"/>
          </w:tcPr>
          <w:p w14:paraId="55E3B740">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0.79</w:t>
            </w:r>
          </w:p>
        </w:tc>
        <w:tc>
          <w:tcPr>
            <w:tcW w:w="500" w:type="pct"/>
            <w:tcBorders>
              <w:tl2br w:val="nil"/>
              <w:tr2bl w:val="nil"/>
            </w:tcBorders>
            <w:vAlign w:val="center"/>
          </w:tcPr>
          <w:p w14:paraId="63ED08AE">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11.29</w:t>
            </w:r>
          </w:p>
        </w:tc>
        <w:tc>
          <w:tcPr>
            <w:tcW w:w="501" w:type="pct"/>
            <w:tcBorders>
              <w:tl2br w:val="nil"/>
              <w:tr2bl w:val="nil"/>
            </w:tcBorders>
            <w:vAlign w:val="center"/>
          </w:tcPr>
          <w:p w14:paraId="3C4478D2">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0</w:t>
            </w:r>
          </w:p>
        </w:tc>
        <w:tc>
          <w:tcPr>
            <w:tcW w:w="504" w:type="pct"/>
            <w:tcBorders>
              <w:tl2br w:val="nil"/>
              <w:tr2bl w:val="nil"/>
            </w:tcBorders>
            <w:vAlign w:val="center"/>
          </w:tcPr>
          <w:p w14:paraId="11E5448A">
            <w:pPr>
              <w:jc w:val="center"/>
              <w:rPr>
                <w:rFonts w:hint="default" w:ascii="Times New Roman" w:hAnsi="Times New Roman" w:cs="Times New Roman"/>
                <w:color w:val="auto"/>
                <w:sz w:val="21"/>
                <w:highlight w:val="none"/>
                <w:lang w:eastAsia="zh-CN"/>
              </w:rPr>
            </w:pPr>
            <w:r>
              <w:rPr>
                <w:rFonts w:hint="default" w:ascii="Times New Roman" w:hAnsi="Times New Roman" w:cs="Times New Roman"/>
                <w:color w:val="auto"/>
                <w:sz w:val="21"/>
                <w:highlight w:val="none"/>
                <w:lang w:eastAsia="zh-CN"/>
              </w:rPr>
              <w:t>达标</w:t>
            </w:r>
          </w:p>
        </w:tc>
      </w:tr>
      <w:tr w14:paraId="7A4E905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80" w:hRule="atLeast"/>
        </w:trPr>
        <w:tc>
          <w:tcPr>
            <w:tcW w:w="287" w:type="pct"/>
            <w:vMerge w:val="continue"/>
            <w:tcBorders>
              <w:tl2br w:val="nil"/>
              <w:tr2bl w:val="nil"/>
            </w:tcBorders>
            <w:vAlign w:val="center"/>
          </w:tcPr>
          <w:p w14:paraId="389B3640">
            <w:pPr>
              <w:jc w:val="center"/>
              <w:rPr>
                <w:rFonts w:hint="default" w:ascii="Times New Roman" w:hAnsi="Times New Roman" w:cs="Times New Roman"/>
                <w:color w:val="auto"/>
                <w:sz w:val="21"/>
                <w:lang w:val="en-US" w:eastAsia="zh-CN"/>
              </w:rPr>
            </w:pPr>
          </w:p>
        </w:tc>
        <w:tc>
          <w:tcPr>
            <w:tcW w:w="636" w:type="pct"/>
            <w:vMerge w:val="continue"/>
            <w:tcBorders>
              <w:tl2br w:val="nil"/>
              <w:tr2bl w:val="nil"/>
            </w:tcBorders>
            <w:vAlign w:val="center"/>
          </w:tcPr>
          <w:p w14:paraId="7A6C4468">
            <w:pPr>
              <w:autoSpaceDE w:val="0"/>
              <w:autoSpaceDN w:val="0"/>
              <w:spacing w:line="276" w:lineRule="auto"/>
              <w:jc w:val="center"/>
              <w:rPr>
                <w:rFonts w:hint="default" w:ascii="Times New Roman" w:hAnsi="Times New Roman" w:eastAsia="宋体" w:cs="Times New Roman"/>
                <w:color w:val="auto"/>
                <w:sz w:val="21"/>
                <w:szCs w:val="21"/>
                <w:lang w:val="en-US" w:eastAsia="zh-CN"/>
              </w:rPr>
            </w:pPr>
          </w:p>
        </w:tc>
        <w:tc>
          <w:tcPr>
            <w:tcW w:w="598" w:type="pct"/>
            <w:tcBorders>
              <w:tl2br w:val="nil"/>
              <w:tr2bl w:val="nil"/>
            </w:tcBorders>
            <w:vAlign w:val="center"/>
          </w:tcPr>
          <w:p w14:paraId="5CEE006E">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氨</w:t>
            </w:r>
          </w:p>
        </w:tc>
        <w:tc>
          <w:tcPr>
            <w:tcW w:w="518" w:type="pct"/>
            <w:tcBorders>
              <w:tl2br w:val="nil"/>
              <w:tr2bl w:val="nil"/>
            </w:tcBorders>
            <w:vAlign w:val="center"/>
          </w:tcPr>
          <w:p w14:paraId="28F9AD16">
            <w:pPr>
              <w:jc w:val="center"/>
              <w:rPr>
                <w:rFonts w:hint="eastAsia"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小时平均</w:t>
            </w:r>
          </w:p>
        </w:tc>
        <w:tc>
          <w:tcPr>
            <w:tcW w:w="672" w:type="pct"/>
            <w:tcBorders>
              <w:tl2br w:val="nil"/>
              <w:tr2bl w:val="nil"/>
            </w:tcBorders>
            <w:vAlign w:val="center"/>
          </w:tcPr>
          <w:p w14:paraId="0110CC6B">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200</w:t>
            </w:r>
          </w:p>
        </w:tc>
        <w:tc>
          <w:tcPr>
            <w:tcW w:w="778" w:type="pct"/>
            <w:tcBorders>
              <w:tl2br w:val="nil"/>
              <w:tr2bl w:val="nil"/>
            </w:tcBorders>
            <w:vAlign w:val="center"/>
          </w:tcPr>
          <w:p w14:paraId="10B12E58">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cs="Times New Roman"/>
                <w:color w:val="auto"/>
                <w:spacing w:val="-2"/>
                <w:kern w:val="0"/>
                <w:sz w:val="21"/>
                <w:szCs w:val="20"/>
                <w:highlight w:val="none"/>
                <w:lang w:val="en-US" w:eastAsia="zh-CN" w:bidi="ar-SA"/>
              </w:rPr>
              <w:t>20</w:t>
            </w:r>
          </w:p>
        </w:tc>
        <w:tc>
          <w:tcPr>
            <w:tcW w:w="500" w:type="pct"/>
            <w:tcBorders>
              <w:tl2br w:val="nil"/>
              <w:tr2bl w:val="nil"/>
            </w:tcBorders>
            <w:vAlign w:val="center"/>
          </w:tcPr>
          <w:p w14:paraId="79387569">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10</w:t>
            </w:r>
          </w:p>
        </w:tc>
        <w:tc>
          <w:tcPr>
            <w:tcW w:w="501" w:type="pct"/>
            <w:tcBorders>
              <w:tl2br w:val="nil"/>
              <w:tr2bl w:val="nil"/>
            </w:tcBorders>
            <w:vAlign w:val="center"/>
          </w:tcPr>
          <w:p w14:paraId="6EB680E9">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0</w:t>
            </w:r>
          </w:p>
        </w:tc>
        <w:tc>
          <w:tcPr>
            <w:tcW w:w="504" w:type="pct"/>
            <w:tcBorders>
              <w:tl2br w:val="nil"/>
              <w:tr2bl w:val="nil"/>
            </w:tcBorders>
            <w:vAlign w:val="center"/>
          </w:tcPr>
          <w:p w14:paraId="16AD00F2">
            <w:pPr>
              <w:jc w:val="center"/>
              <w:rPr>
                <w:rFonts w:hint="default" w:ascii="Times New Roman" w:hAnsi="Times New Roman" w:cs="Times New Roman"/>
                <w:color w:val="auto"/>
                <w:sz w:val="21"/>
                <w:highlight w:val="none"/>
                <w:lang w:eastAsia="zh-CN"/>
              </w:rPr>
            </w:pPr>
            <w:r>
              <w:rPr>
                <w:rFonts w:hint="default" w:ascii="Times New Roman" w:hAnsi="Times New Roman" w:cs="Times New Roman"/>
                <w:color w:val="auto"/>
                <w:sz w:val="21"/>
                <w:highlight w:val="none"/>
                <w:lang w:eastAsia="zh-CN"/>
              </w:rPr>
              <w:t>达标</w:t>
            </w:r>
          </w:p>
        </w:tc>
      </w:tr>
      <w:tr w14:paraId="69FFC99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80" w:hRule="atLeast"/>
        </w:trPr>
        <w:tc>
          <w:tcPr>
            <w:tcW w:w="287" w:type="pct"/>
            <w:vMerge w:val="continue"/>
            <w:tcBorders>
              <w:tl2br w:val="nil"/>
              <w:tr2bl w:val="nil"/>
            </w:tcBorders>
            <w:vAlign w:val="center"/>
          </w:tcPr>
          <w:p w14:paraId="4CE9D3B1">
            <w:pPr>
              <w:jc w:val="center"/>
              <w:rPr>
                <w:rFonts w:hint="default" w:ascii="Times New Roman" w:hAnsi="Times New Roman" w:cs="Times New Roman"/>
                <w:color w:val="auto"/>
                <w:sz w:val="21"/>
                <w:lang w:val="en-US" w:eastAsia="zh-CN"/>
              </w:rPr>
            </w:pPr>
          </w:p>
        </w:tc>
        <w:tc>
          <w:tcPr>
            <w:tcW w:w="636" w:type="pct"/>
            <w:vMerge w:val="continue"/>
            <w:tcBorders>
              <w:tl2br w:val="nil"/>
              <w:tr2bl w:val="nil"/>
            </w:tcBorders>
            <w:vAlign w:val="center"/>
          </w:tcPr>
          <w:p w14:paraId="068629D6">
            <w:pPr>
              <w:autoSpaceDE w:val="0"/>
              <w:autoSpaceDN w:val="0"/>
              <w:spacing w:line="276" w:lineRule="auto"/>
              <w:jc w:val="center"/>
              <w:rPr>
                <w:rFonts w:hint="default" w:ascii="Times New Roman" w:hAnsi="Times New Roman" w:eastAsia="宋体" w:cs="Times New Roman"/>
                <w:color w:val="auto"/>
                <w:sz w:val="21"/>
                <w:szCs w:val="21"/>
                <w:lang w:val="en-US" w:eastAsia="zh-CN"/>
              </w:rPr>
            </w:pPr>
          </w:p>
        </w:tc>
        <w:tc>
          <w:tcPr>
            <w:tcW w:w="598" w:type="pct"/>
            <w:tcBorders>
              <w:tl2br w:val="nil"/>
              <w:tr2bl w:val="nil"/>
            </w:tcBorders>
            <w:vAlign w:val="center"/>
          </w:tcPr>
          <w:p w14:paraId="6622AD8D">
            <w:pPr>
              <w:pStyle w:val="14"/>
              <w:spacing w:after="0" w:line="276" w:lineRule="auto"/>
              <w:ind w:left="0" w:leftChars="0"/>
              <w:jc w:val="center"/>
              <w:rPr>
                <w:rFonts w:hint="eastAsia"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二噁英类</w:t>
            </w:r>
          </w:p>
        </w:tc>
        <w:tc>
          <w:tcPr>
            <w:tcW w:w="518" w:type="pct"/>
            <w:tcBorders>
              <w:tl2br w:val="nil"/>
              <w:tr2bl w:val="nil"/>
            </w:tcBorders>
            <w:vAlign w:val="center"/>
          </w:tcPr>
          <w:p w14:paraId="7578DE5D">
            <w:pPr>
              <w:jc w:val="center"/>
              <w:rPr>
                <w:rFonts w:hint="eastAsia"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小时平均</w:t>
            </w:r>
          </w:p>
        </w:tc>
        <w:tc>
          <w:tcPr>
            <w:tcW w:w="672" w:type="pct"/>
            <w:tcBorders>
              <w:tl2br w:val="nil"/>
              <w:tr2bl w:val="nil"/>
            </w:tcBorders>
            <w:vAlign w:val="center"/>
          </w:tcPr>
          <w:p w14:paraId="7CEBE899">
            <w:pPr>
              <w:jc w:val="center"/>
              <w:rPr>
                <w:rFonts w:hint="eastAsia" w:ascii="Times New Roman" w:hAnsi="Times New Roman" w:eastAsia="宋体" w:cs="Times New Roman"/>
                <w:color w:val="auto"/>
                <w:spacing w:val="-2"/>
                <w:kern w:val="0"/>
                <w:sz w:val="21"/>
                <w:szCs w:val="20"/>
                <w:lang w:val="en-US" w:eastAsia="zh-CN" w:bidi="ar-SA"/>
              </w:rPr>
            </w:pPr>
            <w:r>
              <w:rPr>
                <w:rFonts w:hint="default" w:ascii="Times New Roman" w:hAnsi="Times New Roman" w:eastAsia="宋体" w:cs="Times New Roman"/>
                <w:color w:val="auto"/>
                <w:spacing w:val="-2"/>
                <w:kern w:val="0"/>
                <w:sz w:val="21"/>
                <w:szCs w:val="20"/>
                <w:lang w:val="en-US" w:eastAsia="zh-CN" w:bidi="ar-SA"/>
              </w:rPr>
              <w:t>3.6pgTEQ/Nm</w:t>
            </w:r>
            <w:r>
              <w:rPr>
                <w:rFonts w:hint="default" w:ascii="Times New Roman" w:hAnsi="Times New Roman" w:eastAsia="宋体" w:cs="Times New Roman"/>
                <w:color w:val="auto"/>
                <w:spacing w:val="-2"/>
                <w:kern w:val="0"/>
                <w:sz w:val="21"/>
                <w:szCs w:val="20"/>
                <w:vertAlign w:val="superscript"/>
                <w:lang w:val="en-US" w:eastAsia="zh-CN" w:bidi="ar-SA"/>
              </w:rPr>
              <w:t>3</w:t>
            </w:r>
          </w:p>
        </w:tc>
        <w:tc>
          <w:tcPr>
            <w:tcW w:w="778" w:type="pct"/>
            <w:tcBorders>
              <w:tl2br w:val="nil"/>
              <w:tr2bl w:val="nil"/>
            </w:tcBorders>
            <w:vAlign w:val="center"/>
          </w:tcPr>
          <w:p w14:paraId="7A26A577">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cs="Times New Roman"/>
                <w:color w:val="auto"/>
                <w:spacing w:val="-2"/>
                <w:kern w:val="0"/>
                <w:sz w:val="21"/>
                <w:szCs w:val="20"/>
                <w:highlight w:val="none"/>
                <w:lang w:val="en-US" w:eastAsia="zh-CN" w:bidi="ar-SA"/>
              </w:rPr>
              <w:t>0.015</w:t>
            </w:r>
          </w:p>
        </w:tc>
        <w:tc>
          <w:tcPr>
            <w:tcW w:w="500" w:type="pct"/>
            <w:tcBorders>
              <w:tl2br w:val="nil"/>
              <w:tr2bl w:val="nil"/>
            </w:tcBorders>
            <w:vAlign w:val="center"/>
          </w:tcPr>
          <w:p w14:paraId="5769AA45">
            <w:pPr>
              <w:jc w:val="center"/>
              <w:rPr>
                <w:rFonts w:hint="default" w:ascii="Times New Roman" w:hAnsi="Times New Roman" w:eastAsia="宋体" w:cs="Times New Roman"/>
                <w:color w:val="auto"/>
                <w:spacing w:val="-2"/>
                <w:kern w:val="0"/>
                <w:sz w:val="21"/>
                <w:szCs w:val="20"/>
                <w:highlight w:val="none"/>
                <w:lang w:val="en-US" w:eastAsia="zh-CN" w:bidi="ar-SA"/>
              </w:rPr>
            </w:pPr>
            <w:r>
              <w:rPr>
                <w:rFonts w:hint="eastAsia" w:cs="Times New Roman"/>
                <w:color w:val="auto"/>
                <w:spacing w:val="-2"/>
                <w:kern w:val="0"/>
                <w:sz w:val="21"/>
                <w:szCs w:val="20"/>
                <w:highlight w:val="none"/>
                <w:lang w:val="en-US" w:eastAsia="zh-CN" w:bidi="ar-SA"/>
              </w:rPr>
              <w:t>0.41</w:t>
            </w:r>
          </w:p>
        </w:tc>
        <w:tc>
          <w:tcPr>
            <w:tcW w:w="976" w:type="dxa"/>
            <w:tcBorders>
              <w:tl2br w:val="nil"/>
              <w:tr2bl w:val="nil"/>
            </w:tcBorders>
            <w:vAlign w:val="center"/>
          </w:tcPr>
          <w:p w14:paraId="0E2B13F9">
            <w:pPr>
              <w:jc w:val="center"/>
              <w:rPr>
                <w:rFonts w:hint="eastAsia" w:ascii="Times New Roman" w:hAnsi="Times New Roman" w:eastAsia="宋体" w:cs="Times New Roman"/>
                <w:color w:val="auto"/>
                <w:spacing w:val="-2"/>
                <w:kern w:val="0"/>
                <w:sz w:val="21"/>
                <w:szCs w:val="20"/>
                <w:highlight w:val="none"/>
                <w:lang w:val="en-US" w:eastAsia="zh-CN" w:bidi="ar-SA"/>
              </w:rPr>
            </w:pPr>
            <w:r>
              <w:rPr>
                <w:rFonts w:hint="eastAsia" w:ascii="Times New Roman" w:hAnsi="Times New Roman" w:eastAsia="宋体" w:cs="Times New Roman"/>
                <w:color w:val="auto"/>
                <w:spacing w:val="-2"/>
                <w:kern w:val="0"/>
                <w:sz w:val="21"/>
                <w:szCs w:val="20"/>
                <w:highlight w:val="none"/>
                <w:lang w:val="en-US" w:eastAsia="zh-CN" w:bidi="ar-SA"/>
              </w:rPr>
              <w:t>0</w:t>
            </w:r>
          </w:p>
        </w:tc>
        <w:tc>
          <w:tcPr>
            <w:tcW w:w="982" w:type="dxa"/>
            <w:tcBorders>
              <w:tl2br w:val="nil"/>
              <w:tr2bl w:val="nil"/>
            </w:tcBorders>
            <w:vAlign w:val="center"/>
          </w:tcPr>
          <w:p w14:paraId="42D7AC2B">
            <w:pPr>
              <w:jc w:val="center"/>
              <w:rPr>
                <w:rFonts w:hint="default" w:ascii="Times New Roman" w:hAnsi="Times New Roman" w:cs="Times New Roman"/>
                <w:color w:val="auto"/>
                <w:sz w:val="21"/>
                <w:highlight w:val="none"/>
                <w:lang w:eastAsia="zh-CN"/>
              </w:rPr>
            </w:pPr>
            <w:r>
              <w:rPr>
                <w:rFonts w:hint="default" w:ascii="Times New Roman" w:hAnsi="Times New Roman" w:cs="Times New Roman"/>
                <w:color w:val="auto"/>
                <w:sz w:val="21"/>
                <w:highlight w:val="none"/>
                <w:lang w:eastAsia="zh-CN"/>
              </w:rPr>
              <w:t>达标</w:t>
            </w:r>
          </w:p>
        </w:tc>
      </w:tr>
      <w:tr w14:paraId="6A1B073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47" w:hRule="atLeast"/>
        </w:trPr>
        <w:tc>
          <w:tcPr>
            <w:tcW w:w="287" w:type="pct"/>
            <w:vMerge w:val="restart"/>
            <w:tcBorders>
              <w:tl2br w:val="nil"/>
              <w:tr2bl w:val="nil"/>
            </w:tcBorders>
            <w:vAlign w:val="center"/>
          </w:tcPr>
          <w:p w14:paraId="4A3277B3">
            <w:pPr>
              <w:jc w:val="center"/>
              <w:rPr>
                <w:rFonts w:hint="default" w:ascii="Times New Roman" w:hAnsi="Times New Roman" w:eastAsia="宋体" w:cs="Times New Roman"/>
                <w:color w:val="auto"/>
                <w:sz w:val="21"/>
                <w:lang w:val="en-US" w:eastAsia="zh-CN"/>
              </w:rPr>
            </w:pPr>
            <w:r>
              <w:rPr>
                <w:rFonts w:hint="eastAsia" w:ascii="Times New Roman" w:hAnsi="Times New Roman" w:eastAsia="宋体" w:cs="Times New Roman"/>
                <w:color w:val="auto"/>
                <w:sz w:val="21"/>
                <w:lang w:val="en-US" w:eastAsia="zh-CN"/>
              </w:rPr>
              <w:t>2</w:t>
            </w:r>
          </w:p>
        </w:tc>
        <w:tc>
          <w:tcPr>
            <w:tcW w:w="636" w:type="pct"/>
            <w:vMerge w:val="restart"/>
            <w:tcBorders>
              <w:tl2br w:val="nil"/>
              <w:tr2bl w:val="nil"/>
            </w:tcBorders>
            <w:vAlign w:val="center"/>
          </w:tcPr>
          <w:p w14:paraId="44E38735">
            <w:pPr>
              <w:autoSpaceDE w:val="0"/>
              <w:autoSpaceDN w:val="0"/>
              <w:spacing w:line="276" w:lineRule="auto"/>
              <w:jc w:val="center"/>
              <w:rPr>
                <w:rFonts w:hint="default" w:ascii="Times New Roman" w:hAnsi="Times New Roman" w:cs="Times New Roman"/>
                <w:color w:val="auto"/>
                <w:sz w:val="21"/>
                <w:lang w:val="en-US"/>
              </w:rPr>
            </w:pPr>
            <w:r>
              <w:rPr>
                <w:rFonts w:hint="default" w:ascii="Times New Roman" w:hAnsi="Times New Roman" w:eastAsia="宋体" w:cs="Times New Roman"/>
                <w:color w:val="auto"/>
                <w:sz w:val="21"/>
                <w:szCs w:val="21"/>
                <w:lang w:val="en-US" w:eastAsia="zh-CN"/>
              </w:rPr>
              <w:t>G</w:t>
            </w:r>
            <w:r>
              <w:rPr>
                <w:rFonts w:hint="default" w:ascii="Times New Roman" w:hAnsi="Times New Roman" w:eastAsia="宋体" w:cs="Times New Roman"/>
                <w:color w:val="auto"/>
                <w:sz w:val="21"/>
                <w:szCs w:val="21"/>
                <w:vertAlign w:val="subscript"/>
                <w:lang w:val="en-US" w:eastAsia="zh-CN"/>
              </w:rPr>
              <w:t>2</w:t>
            </w:r>
            <w:r>
              <w:rPr>
                <w:rFonts w:hint="eastAsia" w:cs="Times New Roman"/>
                <w:color w:val="auto"/>
                <w:sz w:val="21"/>
                <w:szCs w:val="21"/>
                <w:lang w:val="en-US" w:eastAsia="zh-CN"/>
              </w:rPr>
              <w:t>朱楼村</w:t>
            </w:r>
          </w:p>
        </w:tc>
        <w:tc>
          <w:tcPr>
            <w:tcW w:w="598" w:type="pct"/>
            <w:tcBorders>
              <w:tl2br w:val="nil"/>
              <w:tr2bl w:val="nil"/>
            </w:tcBorders>
            <w:vAlign w:val="center"/>
          </w:tcPr>
          <w:p w14:paraId="66B2CFD0">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default" w:ascii="Times New Roman" w:hAnsi="Times New Roman" w:eastAsia="宋体" w:cs="Times New Roman"/>
                <w:color w:val="auto"/>
                <w:spacing w:val="-2"/>
                <w:kern w:val="0"/>
                <w:sz w:val="21"/>
                <w:szCs w:val="20"/>
                <w:lang w:val="en-US" w:eastAsia="zh-CN" w:bidi="ar-SA"/>
              </w:rPr>
              <w:t>铅</w:t>
            </w:r>
          </w:p>
        </w:tc>
        <w:tc>
          <w:tcPr>
            <w:tcW w:w="518" w:type="pct"/>
            <w:tcBorders>
              <w:tl2br w:val="nil"/>
              <w:tr2bl w:val="nil"/>
            </w:tcBorders>
            <w:vAlign w:val="center"/>
          </w:tcPr>
          <w:p w14:paraId="622C7DAE">
            <w:pPr>
              <w:jc w:val="center"/>
              <w:rPr>
                <w:rFonts w:hint="default" w:ascii="Times New Roman" w:hAnsi="Times New Roman" w:eastAsia="宋体" w:cs="Times New Roman"/>
                <w:color w:val="auto"/>
                <w:spacing w:val="-2"/>
                <w:kern w:val="0"/>
                <w:sz w:val="21"/>
                <w:szCs w:val="20"/>
                <w:lang w:val="en-US" w:eastAsia="zh-CN" w:bidi="ar-SA"/>
              </w:rPr>
            </w:pPr>
            <w:bookmarkStart w:id="316" w:name="OLE_LINK90"/>
            <w:r>
              <w:rPr>
                <w:rFonts w:hint="eastAsia" w:ascii="Times New Roman" w:hAnsi="Times New Roman" w:eastAsia="宋体" w:cs="Times New Roman"/>
                <w:color w:val="auto"/>
                <w:spacing w:val="-2"/>
                <w:kern w:val="0"/>
                <w:sz w:val="21"/>
                <w:szCs w:val="20"/>
                <w:lang w:val="en-US" w:eastAsia="zh-CN" w:bidi="ar-SA"/>
              </w:rPr>
              <w:t>小时平均</w:t>
            </w:r>
            <w:bookmarkEnd w:id="316"/>
          </w:p>
        </w:tc>
        <w:tc>
          <w:tcPr>
            <w:tcW w:w="672" w:type="pct"/>
            <w:tcBorders>
              <w:tl2br w:val="nil"/>
              <w:tr2bl w:val="nil"/>
            </w:tcBorders>
            <w:vAlign w:val="center"/>
          </w:tcPr>
          <w:p w14:paraId="3EC0DA2D">
            <w:pPr>
              <w:jc w:val="center"/>
              <w:rPr>
                <w:rFonts w:hint="default" w:ascii="Times New Roman" w:hAnsi="Times New Roman" w:eastAsia="宋体" w:cs="Times New Roman"/>
                <w:color w:val="auto"/>
                <w:spacing w:val="-2"/>
                <w:kern w:val="0"/>
                <w:sz w:val="21"/>
                <w:szCs w:val="20"/>
                <w:lang w:val="en-US" w:eastAsia="zh-CN" w:bidi="ar-SA"/>
              </w:rPr>
            </w:pPr>
            <w:r>
              <w:rPr>
                <w:rFonts w:hint="eastAsia" w:cs="Times New Roman"/>
                <w:color w:val="auto"/>
                <w:spacing w:val="-2"/>
                <w:kern w:val="0"/>
                <w:sz w:val="21"/>
                <w:szCs w:val="20"/>
                <w:lang w:val="en-US" w:eastAsia="zh-CN" w:bidi="ar-SA"/>
              </w:rPr>
              <w:t>3000</w:t>
            </w:r>
            <w:r>
              <w:rPr>
                <w:color w:val="auto"/>
                <w:kern w:val="0"/>
                <w:sz w:val="21"/>
                <w:szCs w:val="21"/>
              </w:rPr>
              <w:t>ng/m</w:t>
            </w:r>
            <w:r>
              <w:rPr>
                <w:color w:val="auto"/>
                <w:kern w:val="0"/>
                <w:sz w:val="21"/>
                <w:szCs w:val="21"/>
                <w:vertAlign w:val="superscript"/>
              </w:rPr>
              <w:t>3</w:t>
            </w:r>
          </w:p>
        </w:tc>
        <w:tc>
          <w:tcPr>
            <w:tcW w:w="778" w:type="pct"/>
            <w:tcBorders>
              <w:tl2br w:val="nil"/>
              <w:tr2bl w:val="nil"/>
            </w:tcBorders>
            <w:vAlign w:val="center"/>
          </w:tcPr>
          <w:p w14:paraId="3212029D">
            <w:pPr>
              <w:jc w:val="center"/>
              <w:rPr>
                <w:rFonts w:hint="default" w:ascii="Times New Roman" w:hAnsi="Times New Roman" w:eastAsia="宋体" w:cs="Times New Roman"/>
                <w:color w:val="auto"/>
                <w:spacing w:val="-2"/>
                <w:kern w:val="0"/>
                <w:sz w:val="21"/>
                <w:szCs w:val="20"/>
                <w:lang w:val="en-US" w:eastAsia="zh-CN" w:bidi="ar-SA"/>
              </w:rPr>
            </w:pPr>
            <w:r>
              <w:rPr>
                <w:color w:val="auto"/>
                <w:kern w:val="0"/>
                <w:sz w:val="21"/>
                <w:szCs w:val="21"/>
              </w:rPr>
              <w:t>&lt;0.6</w:t>
            </w:r>
          </w:p>
        </w:tc>
        <w:tc>
          <w:tcPr>
            <w:tcW w:w="500" w:type="pct"/>
            <w:tcBorders>
              <w:tl2br w:val="nil"/>
              <w:tr2bl w:val="nil"/>
            </w:tcBorders>
            <w:vAlign w:val="center"/>
          </w:tcPr>
          <w:p w14:paraId="4B64D1EA">
            <w:pPr>
              <w:jc w:val="center"/>
              <w:rPr>
                <w:rFonts w:hint="default" w:ascii="Times New Roman" w:hAnsi="Times New Roman" w:eastAsia="宋体" w:cs="Times New Roman"/>
                <w:color w:val="auto"/>
                <w:spacing w:val="-2"/>
                <w:kern w:val="0"/>
                <w:sz w:val="21"/>
                <w:szCs w:val="20"/>
                <w:lang w:val="en-US" w:eastAsia="zh-CN" w:bidi="ar-SA"/>
              </w:rPr>
            </w:pPr>
            <w:bookmarkStart w:id="317" w:name="OLE_LINK93"/>
            <w:r>
              <w:rPr>
                <w:rFonts w:hint="eastAsia" w:ascii="Times New Roman" w:hAnsi="Times New Roman" w:eastAsia="宋体" w:cs="Times New Roman"/>
                <w:color w:val="auto"/>
                <w:spacing w:val="-2"/>
                <w:kern w:val="0"/>
                <w:sz w:val="21"/>
                <w:szCs w:val="20"/>
                <w:lang w:val="en-US" w:eastAsia="zh-CN" w:bidi="ar-SA"/>
              </w:rPr>
              <w:t>/</w:t>
            </w:r>
            <w:bookmarkEnd w:id="317"/>
          </w:p>
        </w:tc>
        <w:tc>
          <w:tcPr>
            <w:tcW w:w="501" w:type="pct"/>
            <w:tcBorders>
              <w:tl2br w:val="nil"/>
              <w:tr2bl w:val="nil"/>
            </w:tcBorders>
            <w:vAlign w:val="center"/>
          </w:tcPr>
          <w:p w14:paraId="46B5B83C">
            <w:pPr>
              <w:jc w:val="center"/>
              <w:rPr>
                <w:rFonts w:hint="default" w:ascii="Times New Roman" w:hAnsi="Times New Roman" w:eastAsia="宋体" w:cs="Times New Roman"/>
                <w:color w:val="auto"/>
                <w:spacing w:val="-2"/>
                <w:kern w:val="0"/>
                <w:sz w:val="21"/>
                <w:szCs w:val="20"/>
                <w:lang w:val="en-US" w:eastAsia="zh-CN" w:bidi="ar-SA"/>
              </w:rPr>
            </w:pPr>
            <w:bookmarkStart w:id="318" w:name="OLE_LINK94"/>
            <w:r>
              <w:rPr>
                <w:rFonts w:hint="eastAsia" w:ascii="Times New Roman" w:hAnsi="Times New Roman" w:eastAsia="宋体" w:cs="Times New Roman"/>
                <w:color w:val="auto"/>
                <w:spacing w:val="-2"/>
                <w:kern w:val="0"/>
                <w:sz w:val="21"/>
                <w:szCs w:val="20"/>
                <w:lang w:val="en-US" w:eastAsia="zh-CN" w:bidi="ar-SA"/>
              </w:rPr>
              <w:t>0</w:t>
            </w:r>
            <w:bookmarkEnd w:id="318"/>
          </w:p>
        </w:tc>
        <w:tc>
          <w:tcPr>
            <w:tcW w:w="504" w:type="pct"/>
            <w:tcBorders>
              <w:tl2br w:val="nil"/>
              <w:tr2bl w:val="nil"/>
            </w:tcBorders>
            <w:vAlign w:val="center"/>
          </w:tcPr>
          <w:p w14:paraId="19612997">
            <w:pPr>
              <w:jc w:val="center"/>
              <w:rPr>
                <w:rFonts w:hint="default" w:ascii="Times New Roman" w:hAnsi="Times New Roman" w:eastAsia="宋体" w:cs="Times New Roman"/>
                <w:color w:val="auto"/>
                <w:spacing w:val="-2"/>
                <w:kern w:val="0"/>
                <w:sz w:val="21"/>
                <w:szCs w:val="20"/>
                <w:lang w:val="en-US" w:eastAsia="zh-CN" w:bidi="ar-SA"/>
              </w:rPr>
            </w:pPr>
            <w:bookmarkStart w:id="319" w:name="OLE_LINK95"/>
            <w:r>
              <w:rPr>
                <w:rFonts w:hint="default" w:ascii="Times New Roman" w:hAnsi="Times New Roman" w:cs="Times New Roman"/>
                <w:color w:val="auto"/>
                <w:sz w:val="21"/>
              </w:rPr>
              <w:t>达标</w:t>
            </w:r>
            <w:bookmarkEnd w:id="319"/>
          </w:p>
        </w:tc>
      </w:tr>
      <w:tr w14:paraId="1B0A617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47" w:hRule="atLeast"/>
        </w:trPr>
        <w:tc>
          <w:tcPr>
            <w:tcW w:w="287" w:type="pct"/>
            <w:vMerge w:val="continue"/>
            <w:tcBorders>
              <w:tl2br w:val="nil"/>
              <w:tr2bl w:val="nil"/>
            </w:tcBorders>
            <w:vAlign w:val="center"/>
          </w:tcPr>
          <w:p w14:paraId="321C1C41">
            <w:pPr>
              <w:jc w:val="center"/>
              <w:rPr>
                <w:rFonts w:hint="default" w:ascii="Times New Roman" w:hAnsi="Times New Roman" w:cs="Times New Roman"/>
                <w:color w:val="auto"/>
                <w:sz w:val="21"/>
                <w:lang w:val="en-US" w:eastAsia="zh-CN"/>
              </w:rPr>
            </w:pPr>
          </w:p>
        </w:tc>
        <w:tc>
          <w:tcPr>
            <w:tcW w:w="636" w:type="pct"/>
            <w:vMerge w:val="continue"/>
            <w:tcBorders>
              <w:tl2br w:val="nil"/>
              <w:tr2bl w:val="nil"/>
            </w:tcBorders>
            <w:vAlign w:val="center"/>
          </w:tcPr>
          <w:p w14:paraId="1157BB58">
            <w:pPr>
              <w:autoSpaceDE w:val="0"/>
              <w:autoSpaceDN w:val="0"/>
              <w:spacing w:line="276" w:lineRule="auto"/>
              <w:jc w:val="center"/>
              <w:rPr>
                <w:rFonts w:hint="default" w:ascii="Times New Roman" w:hAnsi="Times New Roman" w:eastAsia="宋体" w:cs="Times New Roman"/>
                <w:color w:val="auto"/>
                <w:sz w:val="21"/>
                <w:szCs w:val="21"/>
                <w:lang w:val="en-US" w:eastAsia="zh-CN"/>
              </w:rPr>
            </w:pPr>
          </w:p>
        </w:tc>
        <w:tc>
          <w:tcPr>
            <w:tcW w:w="598" w:type="pct"/>
            <w:tcBorders>
              <w:tl2br w:val="nil"/>
              <w:tr2bl w:val="nil"/>
            </w:tcBorders>
            <w:vAlign w:val="center"/>
          </w:tcPr>
          <w:p w14:paraId="68EFBE2C">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default" w:ascii="Times New Roman" w:hAnsi="Times New Roman" w:eastAsia="宋体" w:cs="Times New Roman"/>
                <w:color w:val="auto"/>
                <w:spacing w:val="-2"/>
                <w:kern w:val="0"/>
                <w:sz w:val="21"/>
                <w:szCs w:val="20"/>
                <w:lang w:val="en-US" w:eastAsia="zh-CN" w:bidi="ar-SA"/>
              </w:rPr>
              <w:t>砷</w:t>
            </w:r>
          </w:p>
        </w:tc>
        <w:tc>
          <w:tcPr>
            <w:tcW w:w="518" w:type="pct"/>
            <w:tcBorders>
              <w:tl2br w:val="nil"/>
              <w:tr2bl w:val="nil"/>
            </w:tcBorders>
            <w:vAlign w:val="center"/>
          </w:tcPr>
          <w:p w14:paraId="7953F45D">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小时平均</w:t>
            </w:r>
          </w:p>
        </w:tc>
        <w:tc>
          <w:tcPr>
            <w:tcW w:w="1309" w:type="dxa"/>
            <w:tcBorders>
              <w:tl2br w:val="nil"/>
              <w:tr2bl w:val="nil"/>
            </w:tcBorders>
            <w:vAlign w:val="center"/>
          </w:tcPr>
          <w:p w14:paraId="1F20E835">
            <w:pPr>
              <w:jc w:val="center"/>
              <w:rPr>
                <w:rFonts w:hint="default" w:ascii="Times New Roman" w:hAnsi="Times New Roman" w:eastAsia="宋体" w:cs="Times New Roman"/>
                <w:color w:val="auto"/>
                <w:spacing w:val="-2"/>
                <w:kern w:val="0"/>
                <w:sz w:val="21"/>
                <w:szCs w:val="20"/>
                <w:lang w:val="en-US" w:eastAsia="zh-CN" w:bidi="ar-SA"/>
              </w:rPr>
            </w:pPr>
            <w:r>
              <w:rPr>
                <w:rFonts w:hint="eastAsia" w:cs="Times New Roman"/>
                <w:color w:val="auto"/>
                <w:spacing w:val="-2"/>
                <w:kern w:val="0"/>
                <w:sz w:val="21"/>
                <w:szCs w:val="20"/>
                <w:lang w:val="en-US" w:eastAsia="zh-CN" w:bidi="ar-SA"/>
              </w:rPr>
              <w:t>36</w:t>
            </w:r>
            <w:r>
              <w:rPr>
                <w:color w:val="auto"/>
                <w:kern w:val="0"/>
                <w:sz w:val="21"/>
                <w:szCs w:val="21"/>
              </w:rPr>
              <w:t>ng/m</w:t>
            </w:r>
            <w:r>
              <w:rPr>
                <w:color w:val="auto"/>
                <w:kern w:val="0"/>
                <w:sz w:val="21"/>
                <w:szCs w:val="21"/>
                <w:vertAlign w:val="superscript"/>
              </w:rPr>
              <w:t>3</w:t>
            </w:r>
          </w:p>
        </w:tc>
        <w:tc>
          <w:tcPr>
            <w:tcW w:w="1515" w:type="dxa"/>
            <w:tcBorders>
              <w:tl2br w:val="nil"/>
              <w:tr2bl w:val="nil"/>
            </w:tcBorders>
            <w:vAlign w:val="center"/>
          </w:tcPr>
          <w:p w14:paraId="0C25F2CA">
            <w:pPr>
              <w:jc w:val="center"/>
              <w:rPr>
                <w:rFonts w:hint="eastAsia" w:ascii="Times New Roman" w:hAnsi="Times New Roman" w:eastAsia="宋体" w:cs="Times New Roman"/>
                <w:color w:val="auto"/>
                <w:spacing w:val="-2"/>
                <w:kern w:val="0"/>
                <w:sz w:val="21"/>
                <w:szCs w:val="20"/>
                <w:lang w:val="en-US" w:eastAsia="zh-CN" w:bidi="ar-SA"/>
              </w:rPr>
            </w:pPr>
            <w:r>
              <w:rPr>
                <w:color w:val="auto"/>
                <w:kern w:val="0"/>
                <w:sz w:val="21"/>
                <w:szCs w:val="21"/>
              </w:rPr>
              <w:t>&lt;0.</w:t>
            </w:r>
            <w:r>
              <w:rPr>
                <w:rFonts w:hint="eastAsia"/>
                <w:color w:val="auto"/>
                <w:kern w:val="0"/>
                <w:sz w:val="21"/>
                <w:szCs w:val="21"/>
                <w:lang w:val="en-US" w:eastAsia="zh-CN"/>
              </w:rPr>
              <w:t>7</w:t>
            </w:r>
          </w:p>
        </w:tc>
        <w:tc>
          <w:tcPr>
            <w:tcW w:w="974" w:type="dxa"/>
            <w:tcBorders>
              <w:tl2br w:val="nil"/>
              <w:tr2bl w:val="nil"/>
            </w:tcBorders>
            <w:vAlign w:val="center"/>
          </w:tcPr>
          <w:p w14:paraId="274E2243">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w:t>
            </w:r>
          </w:p>
        </w:tc>
        <w:tc>
          <w:tcPr>
            <w:tcW w:w="976" w:type="dxa"/>
            <w:tcBorders>
              <w:tl2br w:val="nil"/>
              <w:tr2bl w:val="nil"/>
            </w:tcBorders>
            <w:vAlign w:val="center"/>
          </w:tcPr>
          <w:p w14:paraId="2EB9DC3A">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0</w:t>
            </w:r>
          </w:p>
        </w:tc>
        <w:tc>
          <w:tcPr>
            <w:tcW w:w="982" w:type="dxa"/>
            <w:tcBorders>
              <w:tl2br w:val="nil"/>
              <w:tr2bl w:val="nil"/>
            </w:tcBorders>
            <w:vAlign w:val="center"/>
          </w:tcPr>
          <w:p w14:paraId="556D0F9F">
            <w:pPr>
              <w:jc w:val="center"/>
              <w:rPr>
                <w:rFonts w:hint="default" w:ascii="Times New Roman" w:hAnsi="Times New Roman" w:cs="Times New Roman"/>
                <w:color w:val="auto"/>
                <w:sz w:val="21"/>
              </w:rPr>
            </w:pPr>
            <w:r>
              <w:rPr>
                <w:rFonts w:hint="default" w:ascii="Times New Roman" w:hAnsi="Times New Roman" w:cs="Times New Roman"/>
                <w:color w:val="auto"/>
                <w:sz w:val="21"/>
              </w:rPr>
              <w:t>达标</w:t>
            </w:r>
          </w:p>
        </w:tc>
      </w:tr>
      <w:tr w14:paraId="52548F5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47" w:hRule="atLeast"/>
        </w:trPr>
        <w:tc>
          <w:tcPr>
            <w:tcW w:w="287" w:type="pct"/>
            <w:vMerge w:val="continue"/>
            <w:tcBorders>
              <w:tl2br w:val="nil"/>
              <w:tr2bl w:val="nil"/>
            </w:tcBorders>
            <w:vAlign w:val="center"/>
          </w:tcPr>
          <w:p w14:paraId="1686C93C">
            <w:pPr>
              <w:jc w:val="center"/>
              <w:rPr>
                <w:rFonts w:hint="default" w:ascii="Times New Roman" w:hAnsi="Times New Roman" w:cs="Times New Roman"/>
                <w:color w:val="auto"/>
                <w:sz w:val="21"/>
                <w:lang w:val="en-US" w:eastAsia="zh-CN"/>
              </w:rPr>
            </w:pPr>
          </w:p>
        </w:tc>
        <w:tc>
          <w:tcPr>
            <w:tcW w:w="636" w:type="pct"/>
            <w:vMerge w:val="continue"/>
            <w:tcBorders>
              <w:tl2br w:val="nil"/>
              <w:tr2bl w:val="nil"/>
            </w:tcBorders>
            <w:vAlign w:val="center"/>
          </w:tcPr>
          <w:p w14:paraId="386996DD">
            <w:pPr>
              <w:autoSpaceDE w:val="0"/>
              <w:autoSpaceDN w:val="0"/>
              <w:spacing w:line="276" w:lineRule="auto"/>
              <w:jc w:val="center"/>
              <w:rPr>
                <w:rFonts w:hint="default" w:ascii="Times New Roman" w:hAnsi="Times New Roman" w:eastAsia="宋体" w:cs="Times New Roman"/>
                <w:color w:val="auto"/>
                <w:sz w:val="21"/>
                <w:szCs w:val="21"/>
                <w:lang w:val="en-US" w:eastAsia="zh-CN"/>
              </w:rPr>
            </w:pPr>
          </w:p>
        </w:tc>
        <w:tc>
          <w:tcPr>
            <w:tcW w:w="598" w:type="pct"/>
            <w:tcBorders>
              <w:tl2br w:val="nil"/>
              <w:tr2bl w:val="nil"/>
            </w:tcBorders>
            <w:vAlign w:val="center"/>
          </w:tcPr>
          <w:p w14:paraId="3ED8EFA4">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default" w:ascii="Times New Roman" w:hAnsi="Times New Roman" w:eastAsia="宋体" w:cs="Times New Roman"/>
                <w:color w:val="auto"/>
                <w:spacing w:val="-2"/>
                <w:kern w:val="0"/>
                <w:sz w:val="21"/>
                <w:szCs w:val="20"/>
                <w:lang w:val="en-US" w:eastAsia="zh-CN" w:bidi="ar-SA"/>
              </w:rPr>
              <w:t>铬</w:t>
            </w:r>
          </w:p>
        </w:tc>
        <w:tc>
          <w:tcPr>
            <w:tcW w:w="518" w:type="pct"/>
            <w:tcBorders>
              <w:tl2br w:val="nil"/>
              <w:tr2bl w:val="nil"/>
            </w:tcBorders>
            <w:vAlign w:val="center"/>
          </w:tcPr>
          <w:p w14:paraId="06BB4F85">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小时平均</w:t>
            </w:r>
          </w:p>
        </w:tc>
        <w:tc>
          <w:tcPr>
            <w:tcW w:w="672" w:type="pct"/>
            <w:tcBorders>
              <w:tl2br w:val="nil"/>
              <w:tr2bl w:val="nil"/>
            </w:tcBorders>
            <w:vAlign w:val="center"/>
          </w:tcPr>
          <w:p w14:paraId="15F8E49E">
            <w:pPr>
              <w:jc w:val="center"/>
              <w:rPr>
                <w:rFonts w:hint="default" w:ascii="Times New Roman" w:hAnsi="Times New Roman" w:eastAsia="宋体" w:cs="Times New Roman"/>
                <w:color w:val="auto"/>
                <w:spacing w:val="-2"/>
                <w:kern w:val="0"/>
                <w:sz w:val="21"/>
                <w:szCs w:val="20"/>
                <w:lang w:val="en-US" w:eastAsia="zh-CN" w:bidi="ar-SA"/>
              </w:rPr>
            </w:pPr>
            <w:r>
              <w:rPr>
                <w:rFonts w:hint="eastAsia" w:cs="Times New Roman"/>
                <w:color w:val="auto"/>
                <w:spacing w:val="-2"/>
                <w:kern w:val="0"/>
                <w:sz w:val="21"/>
                <w:szCs w:val="20"/>
                <w:lang w:val="en-US" w:eastAsia="zh-CN" w:bidi="ar-SA"/>
              </w:rPr>
              <w:t>0.15</w:t>
            </w:r>
          </w:p>
        </w:tc>
        <w:tc>
          <w:tcPr>
            <w:tcW w:w="778" w:type="pct"/>
            <w:tcBorders>
              <w:tl2br w:val="nil"/>
              <w:tr2bl w:val="nil"/>
            </w:tcBorders>
            <w:vAlign w:val="center"/>
          </w:tcPr>
          <w:p w14:paraId="29AD16C3">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ND</w:t>
            </w:r>
          </w:p>
        </w:tc>
        <w:tc>
          <w:tcPr>
            <w:tcW w:w="500" w:type="pct"/>
            <w:tcBorders>
              <w:tl2br w:val="nil"/>
              <w:tr2bl w:val="nil"/>
            </w:tcBorders>
            <w:vAlign w:val="center"/>
          </w:tcPr>
          <w:p w14:paraId="17177A09">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w:t>
            </w:r>
          </w:p>
        </w:tc>
        <w:tc>
          <w:tcPr>
            <w:tcW w:w="501" w:type="pct"/>
            <w:tcBorders>
              <w:tl2br w:val="nil"/>
              <w:tr2bl w:val="nil"/>
            </w:tcBorders>
            <w:vAlign w:val="center"/>
          </w:tcPr>
          <w:p w14:paraId="0449BE03">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0</w:t>
            </w:r>
          </w:p>
        </w:tc>
        <w:tc>
          <w:tcPr>
            <w:tcW w:w="504" w:type="pct"/>
            <w:tcBorders>
              <w:tl2br w:val="nil"/>
              <w:tr2bl w:val="nil"/>
            </w:tcBorders>
            <w:vAlign w:val="center"/>
          </w:tcPr>
          <w:p w14:paraId="69FA786A">
            <w:pPr>
              <w:jc w:val="center"/>
              <w:rPr>
                <w:rFonts w:hint="default" w:ascii="Times New Roman" w:hAnsi="Times New Roman" w:cs="Times New Roman"/>
                <w:color w:val="auto"/>
                <w:sz w:val="21"/>
              </w:rPr>
            </w:pPr>
            <w:r>
              <w:rPr>
                <w:rFonts w:hint="default" w:ascii="Times New Roman" w:hAnsi="Times New Roman" w:cs="Times New Roman"/>
                <w:color w:val="auto"/>
                <w:sz w:val="21"/>
              </w:rPr>
              <w:t>达标</w:t>
            </w:r>
          </w:p>
        </w:tc>
      </w:tr>
      <w:tr w14:paraId="29A11A9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47" w:hRule="atLeast"/>
        </w:trPr>
        <w:tc>
          <w:tcPr>
            <w:tcW w:w="287" w:type="pct"/>
            <w:vMerge w:val="continue"/>
            <w:tcBorders>
              <w:tl2br w:val="nil"/>
              <w:tr2bl w:val="nil"/>
            </w:tcBorders>
            <w:vAlign w:val="center"/>
          </w:tcPr>
          <w:p w14:paraId="3FE9D829">
            <w:pPr>
              <w:jc w:val="center"/>
              <w:rPr>
                <w:rFonts w:hint="default" w:ascii="Times New Roman" w:hAnsi="Times New Roman" w:cs="Times New Roman"/>
                <w:color w:val="auto"/>
                <w:sz w:val="21"/>
                <w:lang w:val="en-US" w:eastAsia="zh-CN"/>
              </w:rPr>
            </w:pPr>
          </w:p>
        </w:tc>
        <w:tc>
          <w:tcPr>
            <w:tcW w:w="636" w:type="pct"/>
            <w:vMerge w:val="continue"/>
            <w:tcBorders>
              <w:tl2br w:val="nil"/>
              <w:tr2bl w:val="nil"/>
            </w:tcBorders>
            <w:vAlign w:val="center"/>
          </w:tcPr>
          <w:p w14:paraId="7A244477">
            <w:pPr>
              <w:autoSpaceDE w:val="0"/>
              <w:autoSpaceDN w:val="0"/>
              <w:spacing w:line="276" w:lineRule="auto"/>
              <w:jc w:val="center"/>
              <w:rPr>
                <w:rFonts w:hint="default" w:ascii="Times New Roman" w:hAnsi="Times New Roman" w:eastAsia="宋体" w:cs="Times New Roman"/>
                <w:color w:val="auto"/>
                <w:sz w:val="21"/>
                <w:szCs w:val="21"/>
                <w:lang w:val="en-US" w:eastAsia="zh-CN"/>
              </w:rPr>
            </w:pPr>
          </w:p>
        </w:tc>
        <w:tc>
          <w:tcPr>
            <w:tcW w:w="598" w:type="pct"/>
            <w:tcBorders>
              <w:tl2br w:val="nil"/>
              <w:tr2bl w:val="nil"/>
            </w:tcBorders>
            <w:vAlign w:val="center"/>
          </w:tcPr>
          <w:p w14:paraId="68EF295B">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default" w:ascii="Times New Roman" w:hAnsi="Times New Roman" w:eastAsia="宋体" w:cs="Times New Roman"/>
                <w:color w:val="auto"/>
                <w:spacing w:val="-2"/>
                <w:kern w:val="0"/>
                <w:sz w:val="21"/>
                <w:szCs w:val="20"/>
                <w:lang w:val="en-US" w:eastAsia="zh-CN" w:bidi="ar-SA"/>
              </w:rPr>
              <w:t>镉</w:t>
            </w:r>
          </w:p>
        </w:tc>
        <w:tc>
          <w:tcPr>
            <w:tcW w:w="518" w:type="pct"/>
            <w:tcBorders>
              <w:tl2br w:val="nil"/>
              <w:tr2bl w:val="nil"/>
            </w:tcBorders>
            <w:vAlign w:val="center"/>
          </w:tcPr>
          <w:p w14:paraId="03EE8B9B">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小时平均</w:t>
            </w:r>
          </w:p>
        </w:tc>
        <w:tc>
          <w:tcPr>
            <w:tcW w:w="1309" w:type="dxa"/>
            <w:tcBorders>
              <w:tl2br w:val="nil"/>
              <w:tr2bl w:val="nil"/>
            </w:tcBorders>
            <w:vAlign w:val="center"/>
          </w:tcPr>
          <w:p w14:paraId="0E1C86D0">
            <w:pPr>
              <w:jc w:val="center"/>
              <w:rPr>
                <w:rFonts w:hint="default" w:ascii="Times New Roman" w:hAnsi="Times New Roman" w:eastAsia="宋体" w:cs="Times New Roman"/>
                <w:color w:val="auto"/>
                <w:spacing w:val="-2"/>
                <w:kern w:val="0"/>
                <w:sz w:val="21"/>
                <w:szCs w:val="20"/>
                <w:lang w:val="en-US" w:eastAsia="zh-CN" w:bidi="ar-SA"/>
              </w:rPr>
            </w:pPr>
            <w:r>
              <w:rPr>
                <w:rFonts w:hint="eastAsia" w:cs="Times New Roman"/>
                <w:color w:val="auto"/>
                <w:spacing w:val="-2"/>
                <w:kern w:val="0"/>
                <w:sz w:val="21"/>
                <w:szCs w:val="20"/>
                <w:lang w:val="en-US" w:eastAsia="zh-CN" w:bidi="ar-SA"/>
              </w:rPr>
              <w:t>30</w:t>
            </w:r>
            <w:r>
              <w:rPr>
                <w:color w:val="auto"/>
                <w:kern w:val="0"/>
                <w:sz w:val="21"/>
                <w:szCs w:val="21"/>
              </w:rPr>
              <w:t>ng/m</w:t>
            </w:r>
            <w:r>
              <w:rPr>
                <w:color w:val="auto"/>
                <w:kern w:val="0"/>
                <w:sz w:val="21"/>
                <w:szCs w:val="21"/>
                <w:vertAlign w:val="superscript"/>
              </w:rPr>
              <w:t>3</w:t>
            </w:r>
          </w:p>
        </w:tc>
        <w:tc>
          <w:tcPr>
            <w:tcW w:w="1515" w:type="dxa"/>
            <w:tcBorders>
              <w:tl2br w:val="nil"/>
              <w:tr2bl w:val="nil"/>
            </w:tcBorders>
            <w:vAlign w:val="center"/>
          </w:tcPr>
          <w:p w14:paraId="02C9BED5">
            <w:pPr>
              <w:jc w:val="center"/>
              <w:rPr>
                <w:rFonts w:hint="default" w:ascii="Times New Roman" w:hAnsi="Times New Roman" w:eastAsia="宋体" w:cs="Times New Roman"/>
                <w:color w:val="auto"/>
                <w:spacing w:val="-2"/>
                <w:kern w:val="0"/>
                <w:sz w:val="21"/>
                <w:szCs w:val="20"/>
                <w:lang w:val="en-US" w:eastAsia="zh-CN" w:bidi="ar-SA"/>
              </w:rPr>
            </w:pPr>
            <w:r>
              <w:rPr>
                <w:color w:val="auto"/>
                <w:kern w:val="0"/>
                <w:sz w:val="21"/>
                <w:szCs w:val="21"/>
              </w:rPr>
              <w:t>&lt;0.</w:t>
            </w:r>
            <w:r>
              <w:rPr>
                <w:rFonts w:hint="eastAsia"/>
                <w:color w:val="auto"/>
                <w:kern w:val="0"/>
                <w:sz w:val="21"/>
                <w:szCs w:val="21"/>
                <w:lang w:val="en-US" w:eastAsia="zh-CN"/>
              </w:rPr>
              <w:t>03</w:t>
            </w:r>
          </w:p>
        </w:tc>
        <w:tc>
          <w:tcPr>
            <w:tcW w:w="974" w:type="dxa"/>
            <w:tcBorders>
              <w:tl2br w:val="nil"/>
              <w:tr2bl w:val="nil"/>
            </w:tcBorders>
            <w:vAlign w:val="center"/>
          </w:tcPr>
          <w:p w14:paraId="28770A27">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w:t>
            </w:r>
          </w:p>
        </w:tc>
        <w:tc>
          <w:tcPr>
            <w:tcW w:w="976" w:type="dxa"/>
            <w:tcBorders>
              <w:tl2br w:val="nil"/>
              <w:tr2bl w:val="nil"/>
            </w:tcBorders>
            <w:vAlign w:val="center"/>
          </w:tcPr>
          <w:p w14:paraId="734A889B">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0</w:t>
            </w:r>
          </w:p>
        </w:tc>
        <w:tc>
          <w:tcPr>
            <w:tcW w:w="982" w:type="dxa"/>
            <w:tcBorders>
              <w:tl2br w:val="nil"/>
              <w:tr2bl w:val="nil"/>
            </w:tcBorders>
            <w:vAlign w:val="center"/>
          </w:tcPr>
          <w:p w14:paraId="694FDDE5">
            <w:pPr>
              <w:jc w:val="center"/>
              <w:rPr>
                <w:rFonts w:hint="default" w:ascii="Times New Roman" w:hAnsi="Times New Roman" w:cs="Times New Roman"/>
                <w:color w:val="auto"/>
                <w:sz w:val="21"/>
              </w:rPr>
            </w:pPr>
            <w:r>
              <w:rPr>
                <w:rFonts w:hint="default" w:ascii="Times New Roman" w:hAnsi="Times New Roman" w:cs="Times New Roman"/>
                <w:color w:val="auto"/>
                <w:sz w:val="21"/>
              </w:rPr>
              <w:t>达标</w:t>
            </w:r>
          </w:p>
        </w:tc>
      </w:tr>
      <w:tr w14:paraId="2F73700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47" w:hRule="atLeast"/>
        </w:trPr>
        <w:tc>
          <w:tcPr>
            <w:tcW w:w="287" w:type="pct"/>
            <w:vMerge w:val="continue"/>
            <w:tcBorders>
              <w:tl2br w:val="nil"/>
              <w:tr2bl w:val="nil"/>
            </w:tcBorders>
            <w:vAlign w:val="center"/>
          </w:tcPr>
          <w:p w14:paraId="50B73039">
            <w:pPr>
              <w:jc w:val="center"/>
              <w:rPr>
                <w:rFonts w:hint="default" w:ascii="Times New Roman" w:hAnsi="Times New Roman" w:cs="Times New Roman"/>
                <w:color w:val="auto"/>
                <w:sz w:val="21"/>
                <w:lang w:val="en-US" w:eastAsia="zh-CN"/>
              </w:rPr>
            </w:pPr>
          </w:p>
        </w:tc>
        <w:tc>
          <w:tcPr>
            <w:tcW w:w="636" w:type="pct"/>
            <w:vMerge w:val="continue"/>
            <w:tcBorders>
              <w:tl2br w:val="nil"/>
              <w:tr2bl w:val="nil"/>
            </w:tcBorders>
            <w:vAlign w:val="center"/>
          </w:tcPr>
          <w:p w14:paraId="3FF1810E">
            <w:pPr>
              <w:autoSpaceDE w:val="0"/>
              <w:autoSpaceDN w:val="0"/>
              <w:spacing w:line="276" w:lineRule="auto"/>
              <w:jc w:val="center"/>
              <w:rPr>
                <w:rFonts w:hint="default" w:ascii="Times New Roman" w:hAnsi="Times New Roman" w:eastAsia="宋体" w:cs="Times New Roman"/>
                <w:color w:val="auto"/>
                <w:sz w:val="21"/>
                <w:szCs w:val="21"/>
                <w:lang w:val="en-US" w:eastAsia="zh-CN"/>
              </w:rPr>
            </w:pPr>
          </w:p>
        </w:tc>
        <w:tc>
          <w:tcPr>
            <w:tcW w:w="598" w:type="pct"/>
            <w:tcBorders>
              <w:tl2br w:val="nil"/>
              <w:tr2bl w:val="nil"/>
            </w:tcBorders>
            <w:vAlign w:val="center"/>
          </w:tcPr>
          <w:p w14:paraId="3984ADDC">
            <w:pPr>
              <w:pStyle w:val="14"/>
              <w:spacing w:after="0" w:line="276" w:lineRule="auto"/>
              <w:ind w:left="0" w:leftChars="0"/>
              <w:jc w:val="center"/>
              <w:rPr>
                <w:rFonts w:hint="default" w:ascii="Times New Roman" w:hAnsi="Times New Roman" w:eastAsia="宋体" w:cs="Times New Roman"/>
                <w:color w:val="auto"/>
                <w:spacing w:val="-2"/>
                <w:kern w:val="0"/>
                <w:sz w:val="21"/>
                <w:szCs w:val="20"/>
                <w:lang w:val="en-US" w:eastAsia="zh-CN" w:bidi="ar-SA"/>
              </w:rPr>
            </w:pPr>
            <w:r>
              <w:rPr>
                <w:rFonts w:hint="default" w:ascii="Times New Roman" w:hAnsi="Times New Roman" w:eastAsia="宋体" w:cs="Times New Roman"/>
                <w:color w:val="auto"/>
                <w:spacing w:val="-2"/>
                <w:kern w:val="0"/>
                <w:sz w:val="21"/>
                <w:szCs w:val="20"/>
                <w:lang w:val="en-US" w:eastAsia="zh-CN" w:bidi="ar-SA"/>
              </w:rPr>
              <w:t>锡</w:t>
            </w:r>
          </w:p>
        </w:tc>
        <w:tc>
          <w:tcPr>
            <w:tcW w:w="518" w:type="pct"/>
            <w:tcBorders>
              <w:tl2br w:val="nil"/>
              <w:tr2bl w:val="nil"/>
            </w:tcBorders>
            <w:vAlign w:val="center"/>
          </w:tcPr>
          <w:p w14:paraId="75670410">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小时平均</w:t>
            </w:r>
          </w:p>
        </w:tc>
        <w:tc>
          <w:tcPr>
            <w:tcW w:w="672" w:type="pct"/>
            <w:tcBorders>
              <w:tl2br w:val="nil"/>
              <w:tr2bl w:val="nil"/>
            </w:tcBorders>
            <w:vAlign w:val="center"/>
          </w:tcPr>
          <w:p w14:paraId="2CF09763">
            <w:pPr>
              <w:jc w:val="center"/>
              <w:rPr>
                <w:rFonts w:hint="default" w:ascii="Times New Roman" w:hAnsi="Times New Roman" w:eastAsia="宋体" w:cs="Times New Roman"/>
                <w:color w:val="auto"/>
                <w:spacing w:val="-2"/>
                <w:kern w:val="0"/>
                <w:sz w:val="21"/>
                <w:szCs w:val="20"/>
                <w:lang w:val="en-US" w:eastAsia="zh-CN" w:bidi="ar-SA"/>
              </w:rPr>
            </w:pPr>
            <w:r>
              <w:rPr>
                <w:rFonts w:hint="eastAsia" w:cs="Times New Roman"/>
                <w:color w:val="auto"/>
                <w:spacing w:val="-2"/>
                <w:kern w:val="0"/>
                <w:sz w:val="21"/>
                <w:szCs w:val="20"/>
                <w:lang w:val="en-US" w:eastAsia="zh-CN" w:bidi="ar-SA"/>
              </w:rPr>
              <w:t>60</w:t>
            </w:r>
          </w:p>
        </w:tc>
        <w:tc>
          <w:tcPr>
            <w:tcW w:w="778" w:type="pct"/>
            <w:tcBorders>
              <w:tl2br w:val="nil"/>
              <w:tr2bl w:val="nil"/>
            </w:tcBorders>
            <w:vAlign w:val="center"/>
          </w:tcPr>
          <w:p w14:paraId="439F6249">
            <w:pPr>
              <w:jc w:val="center"/>
              <w:rPr>
                <w:rFonts w:hint="eastAsia" w:ascii="Times New Roman" w:hAnsi="Times New Roman" w:eastAsia="宋体" w:cs="Times New Roman"/>
                <w:color w:val="auto"/>
                <w:spacing w:val="-2"/>
                <w:kern w:val="0"/>
                <w:sz w:val="21"/>
                <w:szCs w:val="20"/>
                <w:lang w:val="en-US" w:eastAsia="zh-CN" w:bidi="ar-SA"/>
              </w:rPr>
            </w:pPr>
            <w:r>
              <w:rPr>
                <w:color w:val="auto"/>
                <w:kern w:val="0"/>
                <w:sz w:val="21"/>
                <w:szCs w:val="21"/>
              </w:rPr>
              <w:t>&lt;</w:t>
            </w:r>
            <w:r>
              <w:rPr>
                <w:rFonts w:hint="eastAsia"/>
                <w:color w:val="auto"/>
                <w:kern w:val="0"/>
                <w:sz w:val="21"/>
                <w:szCs w:val="21"/>
                <w:lang w:val="en-US" w:eastAsia="zh-CN"/>
              </w:rPr>
              <w:t>1</w:t>
            </w:r>
          </w:p>
        </w:tc>
        <w:tc>
          <w:tcPr>
            <w:tcW w:w="500" w:type="pct"/>
            <w:tcBorders>
              <w:tl2br w:val="nil"/>
              <w:tr2bl w:val="nil"/>
            </w:tcBorders>
            <w:vAlign w:val="center"/>
          </w:tcPr>
          <w:p w14:paraId="1541C2FC">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w:t>
            </w:r>
          </w:p>
        </w:tc>
        <w:tc>
          <w:tcPr>
            <w:tcW w:w="501" w:type="pct"/>
            <w:tcBorders>
              <w:tl2br w:val="nil"/>
              <w:tr2bl w:val="nil"/>
            </w:tcBorders>
            <w:vAlign w:val="center"/>
          </w:tcPr>
          <w:p w14:paraId="7ACA922A">
            <w:pPr>
              <w:jc w:val="center"/>
              <w:rPr>
                <w:rFonts w:hint="default" w:ascii="Times New Roman" w:hAnsi="Times New Roman" w:eastAsia="宋体" w:cs="Times New Roman"/>
                <w:color w:val="auto"/>
                <w:spacing w:val="-2"/>
                <w:kern w:val="0"/>
                <w:sz w:val="21"/>
                <w:szCs w:val="20"/>
                <w:lang w:val="en-US" w:eastAsia="zh-CN" w:bidi="ar-SA"/>
              </w:rPr>
            </w:pPr>
            <w:r>
              <w:rPr>
                <w:rFonts w:hint="eastAsia" w:ascii="Times New Roman" w:hAnsi="Times New Roman" w:eastAsia="宋体" w:cs="Times New Roman"/>
                <w:color w:val="auto"/>
                <w:spacing w:val="-2"/>
                <w:kern w:val="0"/>
                <w:sz w:val="21"/>
                <w:szCs w:val="20"/>
                <w:lang w:val="en-US" w:eastAsia="zh-CN" w:bidi="ar-SA"/>
              </w:rPr>
              <w:t>0</w:t>
            </w:r>
          </w:p>
        </w:tc>
        <w:tc>
          <w:tcPr>
            <w:tcW w:w="504" w:type="pct"/>
            <w:tcBorders>
              <w:tl2br w:val="nil"/>
              <w:tr2bl w:val="nil"/>
            </w:tcBorders>
            <w:vAlign w:val="center"/>
          </w:tcPr>
          <w:p w14:paraId="6E68D516">
            <w:pPr>
              <w:jc w:val="center"/>
              <w:rPr>
                <w:rFonts w:hint="default" w:ascii="Times New Roman" w:hAnsi="Times New Roman" w:cs="Times New Roman"/>
                <w:color w:val="auto"/>
                <w:sz w:val="21"/>
              </w:rPr>
            </w:pPr>
            <w:r>
              <w:rPr>
                <w:rFonts w:hint="default" w:ascii="Times New Roman" w:hAnsi="Times New Roman" w:cs="Times New Roman"/>
                <w:color w:val="auto"/>
                <w:sz w:val="21"/>
              </w:rPr>
              <w:t>达标</w:t>
            </w:r>
          </w:p>
        </w:tc>
      </w:tr>
      <w:bookmarkEnd w:id="306"/>
      <w:bookmarkEnd w:id="307"/>
    </w:tbl>
    <w:p w14:paraId="5564A858">
      <w:pPr>
        <w:jc w:val="center"/>
        <w:rPr>
          <w:b/>
          <w:bCs/>
          <w:color w:val="auto"/>
          <w:sz w:val="24"/>
          <w:szCs w:val="32"/>
        </w:rPr>
      </w:pPr>
    </w:p>
    <w:p w14:paraId="3BB999DE">
      <w:pPr>
        <w:spacing w:line="360" w:lineRule="auto"/>
        <w:ind w:firstLine="480" w:firstLineChars="200"/>
        <w:rPr>
          <w:rFonts w:hint="eastAsia" w:eastAsia="宋体"/>
          <w:color w:val="auto"/>
          <w:sz w:val="32"/>
          <w:szCs w:val="40"/>
          <w:lang w:eastAsia="zh-CN"/>
        </w:rPr>
      </w:pPr>
      <w:bookmarkStart w:id="320" w:name="_Toc22497"/>
      <w:bookmarkStart w:id="321" w:name="_Toc2107"/>
      <w:r>
        <w:rPr>
          <w:color w:val="auto"/>
          <w:sz w:val="24"/>
          <w:szCs w:val="32"/>
        </w:rPr>
        <w:t>由上表可知，监测点监测因子</w:t>
      </w:r>
      <w:r>
        <w:rPr>
          <w:snapToGrid w:val="0"/>
          <w:color w:val="auto"/>
          <w:kern w:val="0"/>
          <w:sz w:val="24"/>
          <w:szCs w:val="32"/>
        </w:rPr>
        <w:t>TSP、</w:t>
      </w:r>
      <w:r>
        <w:rPr>
          <w:color w:val="auto"/>
          <w:sz w:val="24"/>
          <w:szCs w:val="32"/>
        </w:rPr>
        <w:t>氟化物</w:t>
      </w:r>
      <w:r>
        <w:rPr>
          <w:rFonts w:hint="eastAsia"/>
          <w:color w:val="auto"/>
          <w:sz w:val="24"/>
          <w:szCs w:val="32"/>
          <w:lang w:eastAsia="zh-CN"/>
        </w:rPr>
        <w:t>、</w:t>
      </w:r>
      <w:r>
        <w:rPr>
          <w:rFonts w:hint="eastAsia"/>
          <w:color w:val="auto"/>
          <w:sz w:val="24"/>
          <w:szCs w:val="32"/>
          <w:vertAlign w:val="baseline"/>
          <w:lang w:eastAsia="zh-CN"/>
        </w:rPr>
        <w:t>铅、砷、铬、镉</w:t>
      </w:r>
      <w:r>
        <w:rPr>
          <w:color w:val="auto"/>
          <w:sz w:val="24"/>
          <w:szCs w:val="32"/>
        </w:rPr>
        <w:t>满足《环境空气质量标准》（GB3095-2012）中二级标准要求，HCl</w:t>
      </w:r>
      <w:r>
        <w:rPr>
          <w:rFonts w:hint="eastAsia"/>
          <w:color w:val="auto"/>
          <w:sz w:val="24"/>
          <w:szCs w:val="32"/>
          <w:lang w:eastAsia="zh-CN"/>
        </w:rPr>
        <w:t>、</w:t>
      </w:r>
      <w:r>
        <w:rPr>
          <w:rFonts w:hint="eastAsia"/>
          <w:color w:val="auto"/>
          <w:sz w:val="24"/>
          <w:szCs w:val="32"/>
          <w:lang w:val="en-US" w:eastAsia="zh-CN"/>
        </w:rPr>
        <w:t>氨</w:t>
      </w:r>
      <w:r>
        <w:rPr>
          <w:color w:val="auto"/>
          <w:sz w:val="24"/>
          <w:szCs w:val="32"/>
        </w:rPr>
        <w:t>满足《环境影响评价技术导则 大气环境》（HJ2.2-2018）中的附录D标准，二噁英满足日本环境厅中央环境审议会制定环境标准一次浓度为3.6pgTEQ/m</w:t>
      </w:r>
      <w:r>
        <w:rPr>
          <w:color w:val="auto"/>
          <w:sz w:val="24"/>
          <w:szCs w:val="32"/>
          <w:vertAlign w:val="superscript"/>
        </w:rPr>
        <w:t>3</w:t>
      </w:r>
      <w:r>
        <w:rPr>
          <w:rFonts w:hint="eastAsia"/>
          <w:color w:val="auto"/>
          <w:sz w:val="24"/>
          <w:szCs w:val="32"/>
          <w:vertAlign w:val="baseline"/>
          <w:lang w:eastAsia="zh-CN"/>
        </w:rPr>
        <w:t>，锡及其化合物满足《大气污染物排放标准》（GB16297-1996）详解中的推荐标准值。</w:t>
      </w:r>
    </w:p>
    <w:bookmarkEnd w:id="320"/>
    <w:bookmarkEnd w:id="321"/>
    <w:p w14:paraId="46FBA40C">
      <w:pPr>
        <w:spacing w:line="360" w:lineRule="auto"/>
        <w:outlineLvl w:val="2"/>
        <w:rPr>
          <w:b/>
          <w:bCs/>
          <w:color w:val="auto"/>
          <w:sz w:val="24"/>
        </w:rPr>
      </w:pPr>
      <w:r>
        <w:rPr>
          <w:b/>
          <w:bCs/>
          <w:color w:val="auto"/>
          <w:sz w:val="24"/>
        </w:rPr>
        <w:t>4.3.2地表水环境现状监测与评价</w:t>
      </w:r>
    </w:p>
    <w:p w14:paraId="5F48074C">
      <w:pPr>
        <w:spacing w:line="360" w:lineRule="auto"/>
        <w:rPr>
          <w:rFonts w:hint="default" w:eastAsia="宋体"/>
          <w:b/>
          <w:bCs/>
          <w:color w:val="auto"/>
          <w:sz w:val="24"/>
          <w:szCs w:val="32"/>
          <w:lang w:val="en-US" w:eastAsia="zh-CN"/>
        </w:rPr>
      </w:pPr>
      <w:r>
        <w:rPr>
          <w:rFonts w:hint="eastAsia"/>
          <w:b/>
          <w:bCs/>
          <w:color w:val="auto"/>
          <w:sz w:val="24"/>
          <w:szCs w:val="32"/>
          <w:lang w:val="en-US" w:eastAsia="zh-CN"/>
        </w:rPr>
        <w:t>4.3.2.1 区域地表水达标情况</w:t>
      </w:r>
    </w:p>
    <w:p w14:paraId="5248991D">
      <w:pPr>
        <w:spacing w:line="360" w:lineRule="auto"/>
        <w:ind w:firstLine="480" w:firstLineChars="200"/>
        <w:rPr>
          <w:rFonts w:hint="eastAsia"/>
          <w:color w:val="auto"/>
          <w:sz w:val="24"/>
          <w:szCs w:val="32"/>
        </w:rPr>
      </w:pPr>
      <w:r>
        <w:rPr>
          <w:rFonts w:hint="eastAsia"/>
          <w:color w:val="auto"/>
          <w:sz w:val="24"/>
          <w:szCs w:val="32"/>
        </w:rPr>
        <w:t>根据《淮北市2024年度生态环境状况公报》，2024年淮北市地表水共监测27个断面，地表水环境质量总体为轻度污染，水质指数为4.8313。水质达到I类比例为29.6%(8个)，IV类水质断面占66.7%</w:t>
      </w:r>
      <w:r>
        <w:rPr>
          <w:rFonts w:hint="eastAsia"/>
          <w:color w:val="auto"/>
          <w:sz w:val="24"/>
          <w:szCs w:val="32"/>
          <w:lang w:eastAsia="zh-CN"/>
        </w:rPr>
        <w:t>（</w:t>
      </w:r>
      <w:r>
        <w:rPr>
          <w:rFonts w:hint="eastAsia"/>
          <w:color w:val="auto"/>
          <w:sz w:val="24"/>
          <w:szCs w:val="32"/>
        </w:rPr>
        <w:t>18个</w:t>
      </w:r>
      <w:r>
        <w:rPr>
          <w:rFonts w:hint="eastAsia"/>
          <w:color w:val="auto"/>
          <w:sz w:val="24"/>
          <w:szCs w:val="32"/>
          <w:lang w:eastAsia="zh-CN"/>
        </w:rPr>
        <w:t>）</w:t>
      </w:r>
      <w:r>
        <w:rPr>
          <w:rFonts w:hint="eastAsia"/>
          <w:color w:val="auto"/>
          <w:sz w:val="24"/>
          <w:szCs w:val="32"/>
        </w:rPr>
        <w:t>，V类水质断面占3.7%</w:t>
      </w:r>
      <w:r>
        <w:rPr>
          <w:rFonts w:hint="eastAsia"/>
          <w:color w:val="auto"/>
          <w:sz w:val="24"/>
          <w:szCs w:val="32"/>
          <w:lang w:eastAsia="zh-CN"/>
        </w:rPr>
        <w:t>（</w:t>
      </w:r>
      <w:r>
        <w:rPr>
          <w:rFonts w:hint="eastAsia"/>
          <w:color w:val="auto"/>
          <w:sz w:val="24"/>
          <w:szCs w:val="32"/>
        </w:rPr>
        <w:t>1个</w:t>
      </w:r>
      <w:r>
        <w:rPr>
          <w:rFonts w:hint="eastAsia"/>
          <w:color w:val="auto"/>
          <w:sz w:val="24"/>
          <w:szCs w:val="32"/>
          <w:lang w:eastAsia="zh-CN"/>
        </w:rPr>
        <w:t>）</w:t>
      </w:r>
      <w:r>
        <w:rPr>
          <w:rFonts w:hint="eastAsia"/>
          <w:color w:val="auto"/>
          <w:sz w:val="24"/>
          <w:szCs w:val="32"/>
        </w:rPr>
        <w:t>，无劣V类断面，主要污染指标为化学需氧量、氟化物和高锰酸盐指数。</w:t>
      </w:r>
    </w:p>
    <w:p w14:paraId="7641466E">
      <w:pPr>
        <w:spacing w:line="360" w:lineRule="auto"/>
        <w:ind w:firstLine="480" w:firstLineChars="200"/>
        <w:rPr>
          <w:color w:val="auto"/>
          <w:sz w:val="24"/>
          <w:szCs w:val="32"/>
        </w:rPr>
      </w:pPr>
      <w:r>
        <w:rPr>
          <w:rFonts w:hint="eastAsia"/>
          <w:color w:val="auto"/>
          <w:sz w:val="24"/>
          <w:szCs w:val="32"/>
        </w:rPr>
        <w:t>2024年水污染防治考核目标责任书确定的淮北市4个国控地表水考核断面中，扣除氟化物本底值影响后，水质达标率为50%。浍河东坪集断面水质(出境，II类)和邂河李大桥闸断面水质(出境，II类)达标，萧濉新河符离闸断面水质</w:t>
      </w:r>
      <w:r>
        <w:rPr>
          <w:rFonts w:hint="eastAsia"/>
          <w:color w:val="auto"/>
          <w:sz w:val="24"/>
          <w:szCs w:val="32"/>
          <w:lang w:eastAsia="zh-CN"/>
        </w:rPr>
        <w:t>（</w:t>
      </w:r>
      <w:r>
        <w:rPr>
          <w:rFonts w:hint="eastAsia"/>
          <w:color w:val="auto"/>
          <w:sz w:val="24"/>
          <w:szCs w:val="32"/>
        </w:rPr>
        <w:t>出境，IV类</w:t>
      </w:r>
      <w:r>
        <w:rPr>
          <w:rFonts w:hint="eastAsia"/>
          <w:color w:val="auto"/>
          <w:sz w:val="24"/>
          <w:szCs w:val="32"/>
          <w:lang w:eastAsia="zh-CN"/>
        </w:rPr>
        <w:t>）</w:t>
      </w:r>
      <w:r>
        <w:rPr>
          <w:rFonts w:hint="eastAsia"/>
          <w:color w:val="auto"/>
          <w:sz w:val="24"/>
          <w:szCs w:val="32"/>
        </w:rPr>
        <w:t>和沱河后常桥断面水质</w:t>
      </w:r>
      <w:r>
        <w:rPr>
          <w:rFonts w:hint="eastAsia"/>
          <w:color w:val="auto"/>
          <w:sz w:val="24"/>
          <w:szCs w:val="32"/>
          <w:lang w:eastAsia="zh-CN"/>
        </w:rPr>
        <w:t>（</w:t>
      </w:r>
      <w:r>
        <w:rPr>
          <w:rFonts w:hint="eastAsia"/>
          <w:color w:val="auto"/>
          <w:sz w:val="24"/>
          <w:szCs w:val="32"/>
        </w:rPr>
        <w:t>出境，IV类</w:t>
      </w:r>
      <w:r>
        <w:rPr>
          <w:rFonts w:hint="eastAsia"/>
          <w:color w:val="auto"/>
          <w:sz w:val="24"/>
          <w:szCs w:val="32"/>
          <w:lang w:eastAsia="zh-CN"/>
        </w:rPr>
        <w:t>）</w:t>
      </w:r>
      <w:r>
        <w:rPr>
          <w:rFonts w:hint="eastAsia"/>
          <w:color w:val="auto"/>
          <w:sz w:val="24"/>
          <w:szCs w:val="32"/>
        </w:rPr>
        <w:t>未达标。</w:t>
      </w:r>
    </w:p>
    <w:p w14:paraId="024FD8E0">
      <w:pPr>
        <w:spacing w:line="360" w:lineRule="auto"/>
        <w:rPr>
          <w:rFonts w:hint="default" w:eastAsia="宋体"/>
          <w:b/>
          <w:bCs/>
          <w:color w:val="0000FF"/>
          <w:sz w:val="24"/>
          <w:szCs w:val="32"/>
          <w:lang w:val="en-US" w:eastAsia="zh-CN"/>
        </w:rPr>
      </w:pPr>
      <w:r>
        <w:rPr>
          <w:rFonts w:hint="eastAsia"/>
          <w:b/>
          <w:bCs/>
          <w:color w:val="0000FF"/>
          <w:sz w:val="24"/>
          <w:szCs w:val="32"/>
          <w:lang w:val="en-US" w:eastAsia="zh-CN"/>
        </w:rPr>
        <w:t>4.3.2.2 地表水环境质量现状监测</w:t>
      </w:r>
    </w:p>
    <w:p w14:paraId="5332C708">
      <w:pPr>
        <w:spacing w:line="360" w:lineRule="auto"/>
        <w:ind w:firstLine="480" w:firstLineChars="200"/>
        <w:rPr>
          <w:rFonts w:hint="default" w:ascii="Times New Roman" w:hAnsi="Times New Roman" w:cs="Times New Roman"/>
          <w:b w:val="0"/>
          <w:bCs w:val="0"/>
          <w:color w:val="0000FF"/>
          <w:sz w:val="24"/>
          <w:szCs w:val="21"/>
          <w:highlight w:val="none"/>
          <w:lang w:val="en-US" w:eastAsia="zh-CN"/>
        </w:rPr>
      </w:pPr>
      <w:r>
        <w:rPr>
          <w:rFonts w:hint="eastAsia" w:cs="Times New Roman"/>
          <w:b w:val="0"/>
          <w:bCs w:val="0"/>
          <w:color w:val="0000FF"/>
          <w:sz w:val="24"/>
          <w:szCs w:val="21"/>
          <w:highlight w:val="none"/>
          <w:lang w:val="en-US" w:eastAsia="zh-CN"/>
        </w:rPr>
        <w:t>根据</w:t>
      </w:r>
      <w:r>
        <w:rPr>
          <w:rFonts w:hint="default" w:ascii="Times New Roman" w:hAnsi="Times New Roman" w:cs="Times New Roman"/>
          <w:b w:val="0"/>
          <w:bCs w:val="0"/>
          <w:color w:val="0000FF"/>
          <w:sz w:val="24"/>
          <w:szCs w:val="21"/>
          <w:highlight w:val="none"/>
          <w:lang w:val="en-US" w:eastAsia="zh-CN"/>
        </w:rPr>
        <w:t>《濉溪第二污水处理厂入河排污口论证报告》</w:t>
      </w:r>
      <w:r>
        <w:rPr>
          <w:rFonts w:hint="eastAsia" w:cs="Times New Roman"/>
          <w:b w:val="0"/>
          <w:bCs w:val="0"/>
          <w:color w:val="0000FF"/>
          <w:sz w:val="24"/>
          <w:szCs w:val="21"/>
          <w:highlight w:val="none"/>
          <w:lang w:val="en-US" w:eastAsia="zh-CN"/>
        </w:rPr>
        <w:t>可知，</w:t>
      </w:r>
      <w:r>
        <w:rPr>
          <w:rFonts w:hint="default" w:ascii="Times New Roman" w:hAnsi="Times New Roman" w:cs="Times New Roman"/>
          <w:b w:val="0"/>
          <w:bCs w:val="0"/>
          <w:color w:val="0000FF"/>
          <w:sz w:val="24"/>
          <w:szCs w:val="21"/>
          <w:highlight w:val="none"/>
          <w:lang w:val="en-US" w:eastAsia="zh-CN"/>
        </w:rPr>
        <w:t>濉溪第二污水处理厂</w:t>
      </w:r>
      <w:r>
        <w:rPr>
          <w:rFonts w:hint="eastAsia" w:cs="Times New Roman"/>
          <w:b w:val="0"/>
          <w:bCs w:val="0"/>
          <w:color w:val="0000FF"/>
          <w:sz w:val="24"/>
          <w:szCs w:val="21"/>
          <w:highlight w:val="none"/>
          <w:lang w:val="en-US" w:eastAsia="zh-CN"/>
        </w:rPr>
        <w:t>尾水排放路线为：入河排污口—濉临沟—戚家沟—杨柳大沟—浍河，该入河排污口于2025年底运行。项目入河排污口较原环评阶段易发生变动，为了解本项目的建设运行对同一地表水环境质量的影响，本次地表水环境质量现状监测数据引用</w:t>
      </w:r>
      <w:r>
        <w:rPr>
          <w:rFonts w:hint="default" w:ascii="Times New Roman" w:hAnsi="Times New Roman" w:cs="Times New Roman"/>
          <w:b w:val="0"/>
          <w:bCs w:val="0"/>
          <w:color w:val="0000FF"/>
          <w:sz w:val="24"/>
          <w:szCs w:val="21"/>
          <w:highlight w:val="none"/>
          <w:lang w:val="en-US" w:eastAsia="zh-CN"/>
        </w:rPr>
        <w:t>《安徽濉溪经济开发区总体发展规划（2023～2035）环境影响报告书》</w:t>
      </w:r>
      <w:r>
        <w:rPr>
          <w:rFonts w:hint="eastAsia" w:ascii="Times New Roman" w:hAnsi="Times New Roman" w:cs="Times New Roman"/>
          <w:b w:val="0"/>
          <w:bCs w:val="0"/>
          <w:color w:val="0000FF"/>
          <w:sz w:val="24"/>
          <w:szCs w:val="21"/>
          <w:highlight w:val="none"/>
          <w:lang w:val="en-US" w:eastAsia="zh-CN"/>
        </w:rPr>
        <w:t>环境监测报告数据，监测水体为</w:t>
      </w:r>
      <w:r>
        <w:rPr>
          <w:rFonts w:hint="default" w:ascii="Times New Roman" w:hAnsi="Times New Roman" w:cs="Times New Roman"/>
          <w:b w:val="0"/>
          <w:bCs w:val="0"/>
          <w:color w:val="0000FF"/>
          <w:sz w:val="24"/>
          <w:szCs w:val="21"/>
          <w:highlight w:val="none"/>
          <w:lang w:val="en-US" w:eastAsia="zh-CN"/>
        </w:rPr>
        <w:t>濉溪第二污水处理厂</w:t>
      </w:r>
      <w:r>
        <w:rPr>
          <w:rFonts w:hint="eastAsia" w:ascii="Times New Roman" w:hAnsi="Times New Roman" w:cs="Times New Roman"/>
          <w:b w:val="0"/>
          <w:bCs w:val="0"/>
          <w:color w:val="0000FF"/>
          <w:sz w:val="24"/>
          <w:szCs w:val="21"/>
          <w:highlight w:val="none"/>
          <w:lang w:val="en-US" w:eastAsia="zh-CN"/>
        </w:rPr>
        <w:t>排污口变动前的受纳水体，具体如下：</w:t>
      </w:r>
    </w:p>
    <w:p w14:paraId="69FBCB12">
      <w:pPr>
        <w:spacing w:line="360" w:lineRule="auto"/>
        <w:ind w:firstLine="480" w:firstLineChars="200"/>
        <w:rPr>
          <w:color w:val="auto"/>
          <w:sz w:val="24"/>
          <w:szCs w:val="32"/>
        </w:rPr>
      </w:pPr>
      <w:r>
        <w:rPr>
          <w:rFonts w:hint="default" w:ascii="Times New Roman" w:hAnsi="Times New Roman" w:cs="Times New Roman"/>
          <w:b w:val="0"/>
          <w:bCs w:val="0"/>
          <w:color w:val="auto"/>
          <w:sz w:val="24"/>
          <w:szCs w:val="21"/>
          <w:highlight w:val="none"/>
          <w:lang w:val="en-US" w:eastAsia="zh-CN"/>
        </w:rPr>
        <w:t>为进一步了解</w:t>
      </w:r>
      <w:r>
        <w:rPr>
          <w:rFonts w:hint="eastAsia" w:ascii="Times New Roman" w:hAnsi="Times New Roman" w:cs="Times New Roman"/>
          <w:b w:val="0"/>
          <w:bCs w:val="0"/>
          <w:color w:val="auto"/>
          <w:sz w:val="24"/>
          <w:szCs w:val="21"/>
          <w:highlight w:val="none"/>
          <w:lang w:val="en-US" w:eastAsia="zh-CN"/>
        </w:rPr>
        <w:t>区域地表水</w:t>
      </w:r>
      <w:r>
        <w:rPr>
          <w:rFonts w:hint="default" w:ascii="Times New Roman" w:hAnsi="Times New Roman" w:cs="Times New Roman"/>
          <w:b w:val="0"/>
          <w:bCs w:val="0"/>
          <w:color w:val="auto"/>
          <w:sz w:val="24"/>
          <w:szCs w:val="21"/>
          <w:highlight w:val="none"/>
          <w:lang w:val="en-US" w:eastAsia="zh-CN"/>
        </w:rPr>
        <w:t>环境质量现状，本次地表水现状监测数据引用《安徽濉溪经济开发区总体发展规划（2023～2035）环境影响报告书》</w:t>
      </w:r>
      <w:r>
        <w:rPr>
          <w:rFonts w:hint="eastAsia" w:ascii="Times New Roman" w:hAnsi="Times New Roman" w:cs="Times New Roman"/>
          <w:b w:val="0"/>
          <w:bCs w:val="0"/>
          <w:color w:val="auto"/>
          <w:sz w:val="24"/>
          <w:szCs w:val="21"/>
          <w:highlight w:val="none"/>
          <w:lang w:val="en-US" w:eastAsia="zh-CN"/>
        </w:rPr>
        <w:t>环境监测报告数据，引用的监测数据的监测时间为</w:t>
      </w:r>
      <w:bookmarkStart w:id="322" w:name="OLE_LINK99"/>
      <w:r>
        <w:rPr>
          <w:rFonts w:hint="eastAsia" w:ascii="Times New Roman" w:hAnsi="Times New Roman" w:eastAsia="宋体" w:cs="Times New Roman"/>
          <w:b w:val="0"/>
          <w:bCs w:val="0"/>
          <w:color w:val="auto"/>
          <w:sz w:val="24"/>
          <w:szCs w:val="32"/>
          <w:highlight w:val="none"/>
          <w:lang w:val="en-US" w:eastAsia="zh-CN"/>
        </w:rPr>
        <w:t>2023年7月10日~7月12日</w:t>
      </w:r>
      <w:bookmarkEnd w:id="322"/>
      <w:r>
        <w:rPr>
          <w:rFonts w:hint="eastAsia" w:ascii="Times New Roman" w:hAnsi="Times New Roman" w:cs="Times New Roman"/>
          <w:b w:val="0"/>
          <w:bCs w:val="0"/>
          <w:color w:val="auto"/>
          <w:sz w:val="24"/>
          <w:szCs w:val="21"/>
          <w:highlight w:val="none"/>
          <w:lang w:val="en-US" w:eastAsia="zh-CN"/>
        </w:rPr>
        <w:t>，满足《建设项目环境影响评价技术导则总纲》（HJ2.1-2016）和《环境影响评价技术导则地表水环境》（HJ2.3-2018）中要求的</w:t>
      </w:r>
      <w:r>
        <w:rPr>
          <w:rFonts w:hint="eastAsia" w:ascii="宋体" w:hAnsi="宋体" w:eastAsia="宋体" w:cs="宋体"/>
          <w:b w:val="0"/>
          <w:bCs w:val="0"/>
          <w:color w:val="auto"/>
          <w:sz w:val="24"/>
          <w:szCs w:val="21"/>
          <w:highlight w:val="none"/>
          <w:lang w:val="en-US" w:eastAsia="zh-CN"/>
        </w:rPr>
        <w:t>“</w:t>
      </w:r>
      <w:r>
        <w:rPr>
          <w:rFonts w:hint="eastAsia" w:ascii="Times New Roman" w:hAnsi="Times New Roman" w:cs="Times New Roman"/>
          <w:b w:val="0"/>
          <w:bCs w:val="0"/>
          <w:color w:val="auto"/>
          <w:sz w:val="24"/>
          <w:szCs w:val="21"/>
          <w:highlight w:val="none"/>
          <w:lang w:val="en-US" w:eastAsia="zh-CN"/>
        </w:rPr>
        <w:t>充分收集和利用评价范围内各例行监测点、断面或站位的近三年环境监测资料或背景值调查资料，当现有资料不能满足要求时，应进行现场调查和测试，现状监测和观测网点应根据各环境要素环境影响评价技术导则要求布设，兼顾均布性和代表性原则</w:t>
      </w:r>
      <w:r>
        <w:rPr>
          <w:rFonts w:hint="eastAsia" w:ascii="宋体" w:hAnsi="宋体" w:eastAsia="宋体" w:cs="宋体"/>
          <w:b w:val="0"/>
          <w:bCs w:val="0"/>
          <w:color w:val="auto"/>
          <w:sz w:val="24"/>
          <w:szCs w:val="21"/>
          <w:highlight w:val="none"/>
          <w:lang w:val="en-US" w:eastAsia="zh-CN"/>
        </w:rPr>
        <w:t>”</w:t>
      </w:r>
      <w:r>
        <w:rPr>
          <w:rFonts w:hint="eastAsia" w:ascii="Times New Roman" w:hAnsi="Times New Roman" w:cs="Times New Roman"/>
          <w:b w:val="0"/>
          <w:bCs w:val="0"/>
          <w:color w:val="auto"/>
          <w:sz w:val="24"/>
          <w:szCs w:val="21"/>
          <w:highlight w:val="none"/>
          <w:lang w:val="en-US" w:eastAsia="zh-CN"/>
        </w:rPr>
        <w:t>中的要求。</w:t>
      </w:r>
    </w:p>
    <w:p w14:paraId="7E10D38D">
      <w:pPr>
        <w:spacing w:line="360" w:lineRule="auto"/>
        <w:ind w:firstLine="480" w:firstLineChars="200"/>
        <w:rPr>
          <w:rFonts w:hint="eastAsia"/>
          <w:color w:val="auto"/>
          <w:sz w:val="24"/>
          <w:szCs w:val="21"/>
          <w:lang w:val="en-US" w:eastAsia="zh-CN"/>
        </w:rPr>
      </w:pPr>
      <w:r>
        <w:rPr>
          <w:rFonts w:hint="eastAsia"/>
          <w:color w:val="auto"/>
          <w:sz w:val="24"/>
          <w:szCs w:val="21"/>
          <w:lang w:val="en-US" w:eastAsia="zh-CN"/>
        </w:rPr>
        <w:t>引用的监测断面见表4-4，断面布点原则和监测因子的选择性符合均布性和代表性要求，且覆盖了本项目水环境评价调查范围；综上，本次引用的监测数据是符合要求的。</w:t>
      </w:r>
    </w:p>
    <w:p w14:paraId="427C59B3">
      <w:pPr>
        <w:spacing w:line="360" w:lineRule="auto"/>
        <w:ind w:firstLine="480" w:firstLineChars="200"/>
        <w:rPr>
          <w:rFonts w:hint="eastAsia"/>
          <w:color w:val="auto"/>
          <w:sz w:val="24"/>
          <w:szCs w:val="21"/>
          <w:lang w:val="en-US" w:eastAsia="zh-CN"/>
        </w:rPr>
      </w:pPr>
      <w:bookmarkStart w:id="323" w:name="_Toc22289"/>
      <w:r>
        <w:rPr>
          <w:rFonts w:hint="eastAsia"/>
          <w:color w:val="auto"/>
          <w:sz w:val="24"/>
          <w:szCs w:val="21"/>
          <w:lang w:val="en-US" w:eastAsia="zh-CN"/>
        </w:rPr>
        <w:t>（1）监测点位</w:t>
      </w:r>
      <w:bookmarkEnd w:id="323"/>
    </w:p>
    <w:p w14:paraId="237B245F">
      <w:pPr>
        <w:spacing w:line="360" w:lineRule="auto"/>
        <w:ind w:firstLine="480" w:firstLineChars="200"/>
        <w:rPr>
          <w:rFonts w:hint="eastAsia"/>
          <w:color w:val="auto"/>
          <w:sz w:val="24"/>
          <w:szCs w:val="21"/>
          <w:lang w:val="en-US" w:eastAsia="zh-CN"/>
        </w:rPr>
      </w:pPr>
      <w:r>
        <w:rPr>
          <w:rFonts w:hint="eastAsia"/>
          <w:color w:val="auto"/>
          <w:sz w:val="24"/>
          <w:szCs w:val="21"/>
          <w:lang w:val="en-US" w:eastAsia="zh-CN"/>
        </w:rPr>
        <w:t>根据本项目评价区内水文特征、项目排污特征及纳污水体情况，在王引河布设4个监测断面，巴河布置2个监测断面，断面布置情况见表4-4，断面位置见</w:t>
      </w:r>
      <w:bookmarkStart w:id="324" w:name="OLE_LINK96"/>
      <w:r>
        <w:rPr>
          <w:rFonts w:hint="eastAsia"/>
          <w:color w:val="auto"/>
          <w:sz w:val="24"/>
          <w:szCs w:val="21"/>
          <w:lang w:val="en-US" w:eastAsia="zh-CN"/>
        </w:rPr>
        <w:t>图4-2</w:t>
      </w:r>
      <w:bookmarkEnd w:id="324"/>
      <w:r>
        <w:rPr>
          <w:rFonts w:hint="eastAsia"/>
          <w:color w:val="auto"/>
          <w:sz w:val="24"/>
          <w:szCs w:val="21"/>
          <w:lang w:val="en-US" w:eastAsia="zh-CN"/>
        </w:rPr>
        <w:t>。</w:t>
      </w:r>
    </w:p>
    <w:p w14:paraId="192CF4E0">
      <w:pPr>
        <w:bidi w:val="0"/>
        <w:spacing w:line="360" w:lineRule="auto"/>
        <w:jc w:val="center"/>
        <w:rPr>
          <w:rFonts w:hint="default" w:ascii="Times New Roman" w:hAnsi="Times New Roman" w:eastAsia="宋体" w:cs="Times New Roman"/>
          <w:b/>
          <w:bCs/>
          <w:color w:val="auto"/>
          <w:sz w:val="24"/>
          <w:szCs w:val="32"/>
          <w:highlight w:val="none"/>
          <w:lang w:val="en-US" w:eastAsia="zh-CN"/>
        </w:rPr>
      </w:pPr>
      <w:r>
        <w:rPr>
          <w:rFonts w:hint="eastAsia" w:ascii="Times New Roman" w:hAnsi="Times New Roman" w:eastAsia="宋体" w:cs="Times New Roman"/>
          <w:b/>
          <w:bCs/>
          <w:color w:val="auto"/>
          <w:sz w:val="24"/>
          <w:szCs w:val="32"/>
          <w:highlight w:val="none"/>
          <w:lang w:val="en-US" w:eastAsia="zh-CN"/>
        </w:rPr>
        <w:t>表</w:t>
      </w:r>
      <w:r>
        <w:rPr>
          <w:rFonts w:hint="eastAsia" w:cs="Times New Roman"/>
          <w:b/>
          <w:bCs/>
          <w:color w:val="auto"/>
          <w:sz w:val="24"/>
          <w:szCs w:val="32"/>
          <w:highlight w:val="none"/>
          <w:lang w:val="en-US" w:eastAsia="zh-CN"/>
        </w:rPr>
        <w:t>4</w:t>
      </w:r>
      <w:r>
        <w:rPr>
          <w:rFonts w:hint="eastAsia" w:ascii="Times New Roman" w:hAnsi="Times New Roman" w:eastAsia="宋体" w:cs="Times New Roman"/>
          <w:b/>
          <w:bCs/>
          <w:color w:val="auto"/>
          <w:sz w:val="24"/>
          <w:szCs w:val="32"/>
          <w:highlight w:val="none"/>
          <w:lang w:val="en-US" w:eastAsia="zh-CN"/>
        </w:rPr>
        <w:t xml:space="preserve">-4 </w:t>
      </w:r>
      <w:bookmarkStart w:id="325" w:name="OLE_LINK97"/>
      <w:r>
        <w:rPr>
          <w:rFonts w:hint="eastAsia" w:ascii="Times New Roman" w:hAnsi="Times New Roman" w:eastAsia="宋体" w:cs="Times New Roman"/>
          <w:b/>
          <w:bCs/>
          <w:color w:val="auto"/>
          <w:sz w:val="24"/>
          <w:szCs w:val="32"/>
          <w:highlight w:val="none"/>
          <w:lang w:val="en-US" w:eastAsia="zh-CN"/>
        </w:rPr>
        <w:t>地表水监测断面</w:t>
      </w:r>
      <w:bookmarkEnd w:id="325"/>
      <w:r>
        <w:rPr>
          <w:rFonts w:hint="eastAsia" w:ascii="Times New Roman" w:hAnsi="Times New Roman" w:eastAsia="宋体" w:cs="Times New Roman"/>
          <w:b/>
          <w:bCs/>
          <w:color w:val="auto"/>
          <w:sz w:val="24"/>
          <w:szCs w:val="32"/>
          <w:highlight w:val="none"/>
          <w:lang w:val="en-US" w:eastAsia="zh-CN"/>
        </w:rPr>
        <w:t>布设一览表</w:t>
      </w:r>
    </w:p>
    <w:tbl>
      <w:tblPr>
        <w:tblStyle w:val="31"/>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65"/>
        <w:gridCol w:w="1215"/>
        <w:gridCol w:w="5627"/>
        <w:gridCol w:w="2047"/>
      </w:tblGrid>
      <w:tr w14:paraId="1C0A0C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noWrap w:val="0"/>
            <w:vAlign w:val="center"/>
          </w:tcPr>
          <w:p w14:paraId="77184773">
            <w:pPr>
              <w:widowControl/>
              <w:spacing w:line="240" w:lineRule="auto"/>
              <w:ind w:firstLine="0" w:firstLineChars="0"/>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河流</w:t>
            </w:r>
          </w:p>
        </w:tc>
        <w:tc>
          <w:tcPr>
            <w:tcW w:w="610" w:type="pct"/>
            <w:noWrap w:val="0"/>
            <w:vAlign w:val="center"/>
          </w:tcPr>
          <w:p w14:paraId="6F4A104F">
            <w:pPr>
              <w:widowControl/>
              <w:spacing w:line="240" w:lineRule="auto"/>
              <w:ind w:firstLine="0" w:firstLineChars="0"/>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断面编号</w:t>
            </w:r>
          </w:p>
        </w:tc>
        <w:tc>
          <w:tcPr>
            <w:tcW w:w="2826" w:type="pct"/>
            <w:noWrap w:val="0"/>
            <w:vAlign w:val="center"/>
          </w:tcPr>
          <w:p w14:paraId="5982E745">
            <w:pPr>
              <w:widowControl/>
              <w:spacing w:line="240" w:lineRule="auto"/>
              <w:ind w:firstLine="0" w:firstLineChars="0"/>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断面(点)位置</w:t>
            </w:r>
          </w:p>
        </w:tc>
        <w:tc>
          <w:tcPr>
            <w:tcW w:w="1028" w:type="pct"/>
            <w:noWrap w:val="0"/>
            <w:vAlign w:val="center"/>
          </w:tcPr>
          <w:p w14:paraId="7525685D">
            <w:pPr>
              <w:widowControl/>
              <w:spacing w:line="240" w:lineRule="auto"/>
              <w:ind w:firstLine="0" w:firstLineChars="0"/>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监测断面</w:t>
            </w:r>
          </w:p>
        </w:tc>
      </w:tr>
      <w:tr w14:paraId="19086B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vMerge w:val="restart"/>
            <w:noWrap w:val="0"/>
            <w:vAlign w:val="center"/>
          </w:tcPr>
          <w:p w14:paraId="23219332">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王引河</w:t>
            </w:r>
          </w:p>
        </w:tc>
        <w:tc>
          <w:tcPr>
            <w:tcW w:w="610" w:type="pct"/>
            <w:noWrap w:val="0"/>
            <w:vAlign w:val="center"/>
          </w:tcPr>
          <w:p w14:paraId="5DA0E677">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W1</w:t>
            </w:r>
          </w:p>
        </w:tc>
        <w:tc>
          <w:tcPr>
            <w:tcW w:w="2826" w:type="pct"/>
            <w:noWrap w:val="0"/>
            <w:vAlign w:val="center"/>
          </w:tcPr>
          <w:p w14:paraId="50B899D9">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王引河入开发区前500m处断面（王引河）</w:t>
            </w:r>
          </w:p>
        </w:tc>
        <w:tc>
          <w:tcPr>
            <w:tcW w:w="1028" w:type="pct"/>
            <w:vMerge w:val="restart"/>
            <w:noWrap w:val="0"/>
            <w:vAlign w:val="center"/>
          </w:tcPr>
          <w:p w14:paraId="667E5501">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bookmarkStart w:id="326" w:name="OLE_LINK98"/>
            <w:r>
              <w:rPr>
                <w:rFonts w:hint="default" w:ascii="Times New Roman" w:hAnsi="Times New Roman" w:eastAsia="宋体" w:cs="Times New Roman"/>
                <w:color w:val="auto"/>
                <w:kern w:val="0"/>
                <w:sz w:val="21"/>
                <w:szCs w:val="21"/>
              </w:rPr>
              <w:t>pH、溶解氧、COD、BOD</w:t>
            </w:r>
            <w:r>
              <w:rPr>
                <w:rFonts w:hint="default" w:ascii="Times New Roman" w:hAnsi="Times New Roman" w:eastAsia="宋体" w:cs="Times New Roman"/>
                <w:color w:val="auto"/>
                <w:kern w:val="0"/>
                <w:sz w:val="21"/>
                <w:szCs w:val="21"/>
                <w:vertAlign w:val="subscript"/>
              </w:rPr>
              <w:t>5</w:t>
            </w:r>
            <w:r>
              <w:rPr>
                <w:rFonts w:hint="default" w:ascii="Times New Roman" w:hAnsi="Times New Roman" w:eastAsia="宋体" w:cs="Times New Roman"/>
                <w:color w:val="auto"/>
                <w:kern w:val="0"/>
                <w:sz w:val="21"/>
                <w:szCs w:val="21"/>
              </w:rPr>
              <w:t>、氨氮、总磷、石油类</w:t>
            </w:r>
            <w:bookmarkEnd w:id="326"/>
          </w:p>
        </w:tc>
      </w:tr>
      <w:tr w14:paraId="05A7FB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vMerge w:val="continue"/>
            <w:noWrap w:val="0"/>
            <w:vAlign w:val="center"/>
          </w:tcPr>
          <w:p w14:paraId="664F5171">
            <w:pPr>
              <w:widowControl/>
              <w:spacing w:line="240" w:lineRule="auto"/>
              <w:ind w:firstLine="0" w:firstLineChars="0"/>
              <w:jc w:val="center"/>
              <w:rPr>
                <w:rFonts w:hint="default" w:ascii="Times New Roman" w:hAnsi="Times New Roman" w:eastAsia="宋体" w:cs="Times New Roman"/>
                <w:color w:val="auto"/>
                <w:kern w:val="0"/>
                <w:sz w:val="21"/>
                <w:szCs w:val="21"/>
              </w:rPr>
            </w:pPr>
          </w:p>
        </w:tc>
        <w:tc>
          <w:tcPr>
            <w:tcW w:w="610" w:type="pct"/>
            <w:noWrap w:val="0"/>
            <w:vAlign w:val="center"/>
          </w:tcPr>
          <w:p w14:paraId="35D5371C">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W2</w:t>
            </w:r>
          </w:p>
        </w:tc>
        <w:tc>
          <w:tcPr>
            <w:tcW w:w="2826" w:type="pct"/>
            <w:noWrap w:val="0"/>
            <w:vAlign w:val="center"/>
          </w:tcPr>
          <w:p w14:paraId="40029C2E">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王引河与巴河交汇处上游 500 米（王引河）</w:t>
            </w:r>
          </w:p>
        </w:tc>
        <w:tc>
          <w:tcPr>
            <w:tcW w:w="1028" w:type="pct"/>
            <w:vMerge w:val="continue"/>
            <w:noWrap w:val="0"/>
            <w:vAlign w:val="center"/>
          </w:tcPr>
          <w:p w14:paraId="09BA49E0">
            <w:pPr>
              <w:widowControl/>
              <w:spacing w:line="240" w:lineRule="auto"/>
              <w:ind w:firstLine="0" w:firstLineChars="0"/>
              <w:jc w:val="center"/>
              <w:rPr>
                <w:rFonts w:hint="default" w:ascii="Times New Roman" w:hAnsi="Times New Roman" w:eastAsia="宋体" w:cs="Times New Roman"/>
                <w:color w:val="auto"/>
                <w:kern w:val="0"/>
                <w:sz w:val="21"/>
                <w:szCs w:val="21"/>
              </w:rPr>
            </w:pPr>
          </w:p>
        </w:tc>
      </w:tr>
      <w:tr w14:paraId="784834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vMerge w:val="continue"/>
            <w:noWrap w:val="0"/>
            <w:vAlign w:val="center"/>
          </w:tcPr>
          <w:p w14:paraId="71F62659">
            <w:pPr>
              <w:widowControl/>
              <w:spacing w:line="240" w:lineRule="auto"/>
              <w:ind w:firstLine="0" w:firstLineChars="0"/>
              <w:jc w:val="center"/>
              <w:rPr>
                <w:rFonts w:hint="default" w:ascii="Times New Roman" w:hAnsi="Times New Roman" w:eastAsia="宋体" w:cs="Times New Roman"/>
                <w:color w:val="auto"/>
                <w:kern w:val="0"/>
                <w:sz w:val="21"/>
                <w:szCs w:val="21"/>
              </w:rPr>
            </w:pPr>
          </w:p>
        </w:tc>
        <w:tc>
          <w:tcPr>
            <w:tcW w:w="610" w:type="pct"/>
            <w:noWrap w:val="0"/>
            <w:vAlign w:val="center"/>
          </w:tcPr>
          <w:p w14:paraId="72325B30">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W3</w:t>
            </w:r>
          </w:p>
        </w:tc>
        <w:tc>
          <w:tcPr>
            <w:tcW w:w="2826" w:type="pct"/>
            <w:noWrap w:val="0"/>
            <w:vAlign w:val="center"/>
          </w:tcPr>
          <w:p w14:paraId="7D5165A8">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王引河与巴河交汇处下游 500 米断面（王引河）</w:t>
            </w:r>
          </w:p>
        </w:tc>
        <w:tc>
          <w:tcPr>
            <w:tcW w:w="1028" w:type="pct"/>
            <w:vMerge w:val="continue"/>
            <w:noWrap w:val="0"/>
            <w:vAlign w:val="center"/>
          </w:tcPr>
          <w:p w14:paraId="3CFE30B4">
            <w:pPr>
              <w:widowControl/>
              <w:spacing w:line="240" w:lineRule="auto"/>
              <w:ind w:firstLine="0" w:firstLineChars="0"/>
              <w:jc w:val="center"/>
              <w:rPr>
                <w:rFonts w:hint="default" w:ascii="Times New Roman" w:hAnsi="Times New Roman" w:eastAsia="宋体" w:cs="Times New Roman"/>
                <w:color w:val="auto"/>
                <w:kern w:val="0"/>
                <w:sz w:val="21"/>
                <w:szCs w:val="21"/>
              </w:rPr>
            </w:pPr>
          </w:p>
        </w:tc>
      </w:tr>
      <w:tr w14:paraId="71D423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vMerge w:val="continue"/>
            <w:noWrap w:val="0"/>
            <w:vAlign w:val="center"/>
          </w:tcPr>
          <w:p w14:paraId="35591324">
            <w:pPr>
              <w:widowControl/>
              <w:spacing w:line="240" w:lineRule="auto"/>
              <w:ind w:firstLine="0" w:firstLineChars="0"/>
              <w:jc w:val="center"/>
              <w:rPr>
                <w:rFonts w:hint="default" w:ascii="Times New Roman" w:hAnsi="Times New Roman" w:eastAsia="宋体" w:cs="Times New Roman"/>
                <w:color w:val="auto"/>
                <w:kern w:val="0"/>
                <w:sz w:val="21"/>
                <w:szCs w:val="21"/>
              </w:rPr>
            </w:pPr>
          </w:p>
        </w:tc>
        <w:tc>
          <w:tcPr>
            <w:tcW w:w="610" w:type="pct"/>
            <w:noWrap w:val="0"/>
            <w:vAlign w:val="center"/>
          </w:tcPr>
          <w:p w14:paraId="26575D75">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W4</w:t>
            </w:r>
          </w:p>
        </w:tc>
        <w:tc>
          <w:tcPr>
            <w:tcW w:w="2826" w:type="pct"/>
            <w:noWrap w:val="0"/>
            <w:vAlign w:val="center"/>
          </w:tcPr>
          <w:p w14:paraId="4F5186B0">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王引河与巴河交汇处下游 2000 米断面（王引河）</w:t>
            </w:r>
          </w:p>
        </w:tc>
        <w:tc>
          <w:tcPr>
            <w:tcW w:w="1028" w:type="pct"/>
            <w:vMerge w:val="continue"/>
            <w:noWrap w:val="0"/>
            <w:vAlign w:val="center"/>
          </w:tcPr>
          <w:p w14:paraId="2780411A">
            <w:pPr>
              <w:widowControl/>
              <w:spacing w:line="240" w:lineRule="auto"/>
              <w:ind w:firstLine="0" w:firstLineChars="0"/>
              <w:jc w:val="center"/>
              <w:rPr>
                <w:rFonts w:hint="default" w:ascii="Times New Roman" w:hAnsi="Times New Roman" w:eastAsia="宋体" w:cs="Times New Roman"/>
                <w:color w:val="auto"/>
                <w:kern w:val="0"/>
                <w:sz w:val="21"/>
                <w:szCs w:val="21"/>
              </w:rPr>
            </w:pPr>
          </w:p>
        </w:tc>
      </w:tr>
      <w:tr w14:paraId="1596E1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vMerge w:val="restart"/>
            <w:noWrap w:val="0"/>
            <w:vAlign w:val="center"/>
          </w:tcPr>
          <w:p w14:paraId="32EA1AC9">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巴河</w:t>
            </w:r>
          </w:p>
        </w:tc>
        <w:tc>
          <w:tcPr>
            <w:tcW w:w="610" w:type="pct"/>
            <w:noWrap w:val="0"/>
            <w:vAlign w:val="center"/>
          </w:tcPr>
          <w:p w14:paraId="070A7E60">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W5</w:t>
            </w:r>
          </w:p>
        </w:tc>
        <w:tc>
          <w:tcPr>
            <w:tcW w:w="2826" w:type="pct"/>
            <w:noWrap w:val="0"/>
            <w:vAlign w:val="center"/>
          </w:tcPr>
          <w:p w14:paraId="51F83D5B">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濉溪第二污水处理厂排污口上游500米断面（巴河）</w:t>
            </w:r>
          </w:p>
        </w:tc>
        <w:tc>
          <w:tcPr>
            <w:tcW w:w="1028" w:type="pct"/>
            <w:vMerge w:val="continue"/>
            <w:noWrap w:val="0"/>
            <w:vAlign w:val="center"/>
          </w:tcPr>
          <w:p w14:paraId="2AD79CC1">
            <w:pPr>
              <w:widowControl/>
              <w:spacing w:line="240" w:lineRule="auto"/>
              <w:ind w:firstLine="0" w:firstLineChars="0"/>
              <w:jc w:val="center"/>
              <w:rPr>
                <w:rFonts w:hint="default" w:ascii="Times New Roman" w:hAnsi="Times New Roman" w:eastAsia="宋体" w:cs="Times New Roman"/>
                <w:color w:val="auto"/>
                <w:kern w:val="0"/>
                <w:sz w:val="21"/>
                <w:szCs w:val="21"/>
              </w:rPr>
            </w:pPr>
          </w:p>
        </w:tc>
      </w:tr>
      <w:tr w14:paraId="6C0AFC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vMerge w:val="continue"/>
            <w:noWrap w:val="0"/>
            <w:vAlign w:val="center"/>
          </w:tcPr>
          <w:p w14:paraId="492DCA6F">
            <w:pPr>
              <w:widowControl/>
              <w:spacing w:line="240" w:lineRule="auto"/>
              <w:ind w:firstLine="0" w:firstLineChars="0"/>
              <w:jc w:val="center"/>
              <w:rPr>
                <w:rFonts w:hint="default" w:ascii="Times New Roman" w:hAnsi="Times New Roman" w:eastAsia="宋体" w:cs="Times New Roman"/>
                <w:color w:val="auto"/>
                <w:kern w:val="0"/>
                <w:sz w:val="21"/>
                <w:szCs w:val="21"/>
              </w:rPr>
            </w:pPr>
          </w:p>
        </w:tc>
        <w:tc>
          <w:tcPr>
            <w:tcW w:w="610" w:type="pct"/>
            <w:noWrap w:val="0"/>
            <w:vAlign w:val="center"/>
          </w:tcPr>
          <w:p w14:paraId="67D70EAC">
            <w:pPr>
              <w:widowControl/>
              <w:spacing w:line="240" w:lineRule="auto"/>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W6</w:t>
            </w:r>
          </w:p>
        </w:tc>
        <w:tc>
          <w:tcPr>
            <w:tcW w:w="2826" w:type="pct"/>
            <w:noWrap w:val="0"/>
            <w:vAlign w:val="center"/>
          </w:tcPr>
          <w:p w14:paraId="78469F9D">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濉溪第二污水处理厂排污口下游500米断面（巴河）</w:t>
            </w:r>
          </w:p>
        </w:tc>
        <w:tc>
          <w:tcPr>
            <w:tcW w:w="1028" w:type="pct"/>
            <w:vMerge w:val="continue"/>
            <w:noWrap w:val="0"/>
            <w:vAlign w:val="center"/>
          </w:tcPr>
          <w:p w14:paraId="1671B23A">
            <w:pPr>
              <w:widowControl/>
              <w:spacing w:line="240" w:lineRule="auto"/>
              <w:ind w:firstLine="0" w:firstLineChars="0"/>
              <w:jc w:val="center"/>
              <w:rPr>
                <w:rFonts w:hint="default" w:ascii="Times New Roman" w:hAnsi="Times New Roman" w:eastAsia="宋体" w:cs="Times New Roman"/>
                <w:color w:val="auto"/>
                <w:kern w:val="0"/>
                <w:sz w:val="21"/>
                <w:szCs w:val="21"/>
              </w:rPr>
            </w:pPr>
          </w:p>
        </w:tc>
      </w:tr>
      <w:tr w14:paraId="126D8B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vMerge w:val="restart"/>
            <w:noWrap w:val="0"/>
            <w:vAlign w:val="center"/>
          </w:tcPr>
          <w:p w14:paraId="11FAFDA2">
            <w:pPr>
              <w:widowControl/>
              <w:spacing w:line="240" w:lineRule="auto"/>
              <w:ind w:firstLine="0" w:firstLineChars="0"/>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萧濉新河</w:t>
            </w:r>
          </w:p>
        </w:tc>
        <w:tc>
          <w:tcPr>
            <w:tcW w:w="610" w:type="pct"/>
            <w:noWrap w:val="0"/>
            <w:vAlign w:val="center"/>
          </w:tcPr>
          <w:p w14:paraId="30038C0C">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W7</w:t>
            </w:r>
          </w:p>
        </w:tc>
        <w:tc>
          <w:tcPr>
            <w:tcW w:w="2826" w:type="pct"/>
            <w:noWrap w:val="0"/>
            <w:vAlign w:val="center"/>
          </w:tcPr>
          <w:p w14:paraId="2539052D">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bookmarkStart w:id="327" w:name="OLE_LINK61"/>
            <w:r>
              <w:rPr>
                <w:rFonts w:hint="eastAsia" w:ascii="Times New Roman" w:hAnsi="Times New Roman" w:eastAsia="宋体" w:cs="Times New Roman"/>
                <w:color w:val="auto"/>
                <w:sz w:val="21"/>
                <w:szCs w:val="21"/>
                <w:lang w:val="en-US" w:eastAsia="zh-CN"/>
              </w:rPr>
              <w:t>濉溪</w:t>
            </w:r>
            <w:r>
              <w:rPr>
                <w:rFonts w:hint="default" w:ascii="Times New Roman" w:hAnsi="Times New Roman" w:eastAsia="宋体" w:cs="Times New Roman"/>
                <w:color w:val="auto"/>
                <w:sz w:val="21"/>
                <w:szCs w:val="21"/>
              </w:rPr>
              <w:t>第二污水处理厂</w:t>
            </w:r>
            <w:bookmarkEnd w:id="327"/>
            <w:r>
              <w:rPr>
                <w:rFonts w:hint="eastAsia" w:ascii="Times New Roman" w:hAnsi="Times New Roman" w:eastAsia="宋体" w:cs="Times New Roman"/>
                <w:color w:val="auto"/>
                <w:sz w:val="21"/>
                <w:szCs w:val="21"/>
                <w:lang w:val="en-US" w:eastAsia="zh-CN"/>
              </w:rPr>
              <w:t>拟建排污口上游500m</w:t>
            </w:r>
          </w:p>
        </w:tc>
        <w:tc>
          <w:tcPr>
            <w:tcW w:w="1028" w:type="pct"/>
            <w:vMerge w:val="continue"/>
            <w:noWrap w:val="0"/>
            <w:vAlign w:val="center"/>
          </w:tcPr>
          <w:p w14:paraId="084AF289">
            <w:pPr>
              <w:widowControl/>
              <w:spacing w:line="240" w:lineRule="auto"/>
              <w:ind w:firstLine="0" w:firstLineChars="0"/>
              <w:jc w:val="center"/>
              <w:rPr>
                <w:rFonts w:hint="default" w:ascii="Times New Roman" w:hAnsi="Times New Roman" w:eastAsia="宋体" w:cs="Times New Roman"/>
                <w:color w:val="auto"/>
                <w:kern w:val="0"/>
                <w:sz w:val="21"/>
                <w:szCs w:val="21"/>
              </w:rPr>
            </w:pPr>
          </w:p>
        </w:tc>
      </w:tr>
      <w:tr w14:paraId="349D17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5" w:type="pct"/>
            <w:vMerge w:val="continue"/>
            <w:noWrap w:val="0"/>
            <w:vAlign w:val="center"/>
          </w:tcPr>
          <w:p w14:paraId="55DE8C87">
            <w:pPr>
              <w:widowControl/>
              <w:spacing w:line="240" w:lineRule="auto"/>
              <w:ind w:firstLine="0" w:firstLineChars="0"/>
              <w:jc w:val="center"/>
              <w:rPr>
                <w:rFonts w:hint="default" w:ascii="Times New Roman" w:hAnsi="Times New Roman" w:eastAsia="宋体" w:cs="Times New Roman"/>
                <w:color w:val="auto"/>
                <w:kern w:val="0"/>
                <w:sz w:val="21"/>
                <w:szCs w:val="21"/>
              </w:rPr>
            </w:pPr>
          </w:p>
        </w:tc>
        <w:tc>
          <w:tcPr>
            <w:tcW w:w="610" w:type="pct"/>
            <w:noWrap w:val="0"/>
            <w:vAlign w:val="center"/>
          </w:tcPr>
          <w:p w14:paraId="7CF6BF90">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W8</w:t>
            </w:r>
          </w:p>
        </w:tc>
        <w:tc>
          <w:tcPr>
            <w:tcW w:w="2826" w:type="pct"/>
            <w:noWrap w:val="0"/>
            <w:vAlign w:val="center"/>
          </w:tcPr>
          <w:p w14:paraId="03B9C039">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濉溪</w:t>
            </w:r>
            <w:r>
              <w:rPr>
                <w:rFonts w:hint="default" w:ascii="Times New Roman" w:hAnsi="Times New Roman" w:eastAsia="宋体" w:cs="Times New Roman"/>
                <w:color w:val="auto"/>
                <w:sz w:val="21"/>
                <w:szCs w:val="21"/>
              </w:rPr>
              <w:t>第二污水处理厂</w:t>
            </w:r>
            <w:r>
              <w:rPr>
                <w:rFonts w:hint="eastAsia" w:ascii="Times New Roman" w:hAnsi="Times New Roman" w:eastAsia="宋体" w:cs="Times New Roman"/>
                <w:color w:val="auto"/>
                <w:sz w:val="21"/>
                <w:szCs w:val="21"/>
                <w:lang w:val="en-US" w:eastAsia="zh-CN"/>
              </w:rPr>
              <w:t>拟建排污口下游500m</w:t>
            </w:r>
          </w:p>
        </w:tc>
        <w:tc>
          <w:tcPr>
            <w:tcW w:w="1028" w:type="pct"/>
            <w:vMerge w:val="continue"/>
            <w:noWrap w:val="0"/>
            <w:vAlign w:val="center"/>
          </w:tcPr>
          <w:p w14:paraId="6BA1D2A5">
            <w:pPr>
              <w:widowControl/>
              <w:spacing w:line="240" w:lineRule="auto"/>
              <w:ind w:firstLine="0" w:firstLineChars="0"/>
              <w:jc w:val="center"/>
              <w:rPr>
                <w:rFonts w:hint="default" w:ascii="Times New Roman" w:hAnsi="Times New Roman" w:eastAsia="宋体" w:cs="Times New Roman"/>
                <w:color w:val="auto"/>
                <w:kern w:val="0"/>
                <w:sz w:val="21"/>
                <w:szCs w:val="21"/>
              </w:rPr>
            </w:pPr>
          </w:p>
        </w:tc>
      </w:tr>
    </w:tbl>
    <w:p w14:paraId="21CD639C">
      <w:pPr>
        <w:spacing w:line="360" w:lineRule="auto"/>
        <w:rPr>
          <w:rFonts w:hint="eastAsia"/>
          <w:color w:val="auto"/>
          <w:sz w:val="24"/>
          <w:szCs w:val="21"/>
          <w:lang w:val="en-US" w:eastAsia="zh-CN"/>
        </w:rPr>
      </w:pPr>
    </w:p>
    <w:p w14:paraId="2EC3C55A">
      <w:pPr>
        <w:spacing w:line="360" w:lineRule="auto"/>
        <w:rPr>
          <w:rFonts w:hint="eastAsia"/>
          <w:color w:val="auto"/>
          <w:sz w:val="24"/>
          <w:szCs w:val="21"/>
          <w:lang w:val="en-US" w:eastAsia="zh-CN"/>
        </w:rPr>
      </w:pPr>
      <w:r>
        <w:rPr>
          <w:color w:val="auto"/>
          <w:sz w:val="24"/>
        </w:rPr>
        <mc:AlternateContent>
          <mc:Choice Requires="wps">
            <w:drawing>
              <wp:anchor distT="0" distB="0" distL="114300" distR="114300" simplePos="0" relativeHeight="251795456" behindDoc="0" locked="0" layoutInCell="1" allowOverlap="1">
                <wp:simplePos x="0" y="0"/>
                <wp:positionH relativeFrom="column">
                  <wp:posOffset>884555</wp:posOffset>
                </wp:positionH>
                <wp:positionV relativeFrom="paragraph">
                  <wp:posOffset>1503045</wp:posOffset>
                </wp:positionV>
                <wp:extent cx="184150" cy="75565"/>
                <wp:effectExtent l="10160" t="20320" r="15240" b="37465"/>
                <wp:wrapNone/>
                <wp:docPr id="181" name="矩形 181"/>
                <wp:cNvGraphicFramePr/>
                <a:graphic xmlns:a="http://schemas.openxmlformats.org/drawingml/2006/main">
                  <a:graphicData uri="http://schemas.microsoft.com/office/word/2010/wordprocessingShape">
                    <wps:wsp>
                      <wps:cNvSpPr/>
                      <wps:spPr>
                        <a:xfrm rot="600000">
                          <a:off x="1570355" y="3249295"/>
                          <a:ext cx="184150" cy="75565"/>
                        </a:xfrm>
                        <a:prstGeom prst="rect">
                          <a:avLst/>
                        </a:prstGeom>
                        <a:noFill/>
                        <a:ln w="9525">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9.65pt;margin-top:118.35pt;height:5.95pt;width:14.5pt;rotation:655360f;z-index:251795456;v-text-anchor:middle;mso-width-relative:page;mso-height-relative:page;" filled="f" stroked="t" coordsize="21600,21600" o:gfxdata="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AjAlU7ZAAAACwEAAA8AAAAAAAAAAQAgAAAAIgAAAGRycy9k&#10;b3ducmV2LnhtbFBLAQIUABQAAAAIAIdO4kBYVcp/cwIAAM4EAAAOAAAAAAAAAAEAIAAAACgBAABk&#10;cnMvZTJvRG9jLnhtbFBLBQYAAAAABgAGAFkBAAANBgAAAAA=&#10;">
                <v:fill on="f" focussize="0,0"/>
                <v:stroke color="#FF0000 [2404]" joinstyle="round"/>
                <v:imagedata o:title=""/>
                <o:lock v:ext="edit" aspectratio="f"/>
              </v:rect>
            </w:pict>
          </mc:Fallback>
        </mc:AlternateContent>
      </w:r>
      <w:r>
        <w:rPr>
          <w:rFonts w:hint="eastAsia"/>
          <w:color w:val="auto"/>
          <w:sz w:val="24"/>
          <w:szCs w:val="21"/>
          <w:lang w:val="en-US" w:eastAsia="zh-CN"/>
        </w:rPr>
        <w:drawing>
          <wp:inline distT="0" distB="0" distL="114300" distR="114300">
            <wp:extent cx="6187440" cy="3963035"/>
            <wp:effectExtent l="9525" t="9525" r="13335" b="27940"/>
            <wp:docPr id="180" name="图片 18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descr="1"/>
                    <pic:cNvPicPr>
                      <a:picLocks noChangeAspect="1"/>
                    </pic:cNvPicPr>
                  </pic:nvPicPr>
                  <pic:blipFill>
                    <a:blip r:embed="rId33"/>
                    <a:stretch>
                      <a:fillRect/>
                    </a:stretch>
                  </pic:blipFill>
                  <pic:spPr>
                    <a:xfrm>
                      <a:off x="0" y="0"/>
                      <a:ext cx="6187440" cy="3963035"/>
                    </a:xfrm>
                    <a:prstGeom prst="rect">
                      <a:avLst/>
                    </a:prstGeom>
                    <a:ln>
                      <a:solidFill>
                        <a:schemeClr val="tx1"/>
                      </a:solidFill>
                    </a:ln>
                  </pic:spPr>
                </pic:pic>
              </a:graphicData>
            </a:graphic>
          </wp:inline>
        </w:drawing>
      </w:r>
    </w:p>
    <w:p w14:paraId="3DDAAFEF">
      <w:pPr>
        <w:spacing w:line="360" w:lineRule="auto"/>
        <w:jc w:val="center"/>
        <w:rPr>
          <w:rFonts w:hint="default"/>
          <w:b/>
          <w:bCs/>
          <w:color w:val="auto"/>
          <w:sz w:val="24"/>
          <w:szCs w:val="21"/>
          <w:lang w:val="en-US" w:eastAsia="zh-CN"/>
        </w:rPr>
      </w:pPr>
      <w:r>
        <w:rPr>
          <w:rFonts w:hint="eastAsia"/>
          <w:b/>
          <w:bCs/>
          <w:color w:val="auto"/>
          <w:sz w:val="24"/>
          <w:szCs w:val="21"/>
          <w:lang w:val="en-US" w:eastAsia="zh-CN"/>
        </w:rPr>
        <w:t>图4-2 地表水监测断面示意图</w:t>
      </w:r>
    </w:p>
    <w:p w14:paraId="1C251288">
      <w:pPr>
        <w:bidi w:val="0"/>
        <w:spacing w:line="360" w:lineRule="auto"/>
        <w:ind w:firstLine="480" w:firstLineChars="200"/>
        <w:outlineLvl w:val="2"/>
        <w:rPr>
          <w:rFonts w:hint="eastAsia" w:ascii="Times New Roman" w:hAnsi="Times New Roman" w:eastAsia="宋体" w:cs="Times New Roman"/>
          <w:b w:val="0"/>
          <w:bCs w:val="0"/>
          <w:color w:val="auto"/>
          <w:sz w:val="24"/>
          <w:szCs w:val="24"/>
          <w:highlight w:val="none"/>
          <w:lang w:val="en-US" w:eastAsia="zh-CN"/>
        </w:rPr>
      </w:pPr>
      <w:bookmarkStart w:id="328" w:name="_Toc31987"/>
      <w:r>
        <w:rPr>
          <w:rFonts w:hint="eastAsia" w:ascii="Times New Roman" w:hAnsi="Times New Roman" w:eastAsia="宋体" w:cs="Times New Roman"/>
          <w:b w:val="0"/>
          <w:bCs w:val="0"/>
          <w:color w:val="auto"/>
          <w:sz w:val="24"/>
          <w:szCs w:val="24"/>
          <w:highlight w:val="none"/>
          <w:lang w:val="en-US" w:eastAsia="zh-CN"/>
        </w:rPr>
        <w:t>（2）监测项目</w:t>
      </w:r>
      <w:bookmarkEnd w:id="328"/>
    </w:p>
    <w:p w14:paraId="177E9F2B">
      <w:pPr>
        <w:bidi w:val="0"/>
        <w:spacing w:line="360" w:lineRule="auto"/>
        <w:ind w:firstLine="480" w:firstLineChars="200"/>
        <w:rPr>
          <w:rFonts w:hint="eastAsia" w:ascii="Times New Roman" w:hAnsi="Times New Roman" w:eastAsia="宋体" w:cs="Times New Roman"/>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水质监测包括常规水质参数和特征水质参数。具体为pH、溶解氧、COD、BOD</w:t>
      </w:r>
      <w:r>
        <w:rPr>
          <w:rFonts w:hint="eastAsia" w:ascii="Times New Roman" w:hAnsi="Times New Roman" w:eastAsia="宋体" w:cs="Times New Roman"/>
          <w:b w:val="0"/>
          <w:bCs w:val="0"/>
          <w:color w:val="auto"/>
          <w:sz w:val="24"/>
          <w:szCs w:val="24"/>
          <w:highlight w:val="none"/>
          <w:vertAlign w:val="subscript"/>
          <w:lang w:val="en-US" w:eastAsia="zh-CN"/>
        </w:rPr>
        <w:t>5</w:t>
      </w:r>
      <w:r>
        <w:rPr>
          <w:rFonts w:hint="eastAsia" w:ascii="Times New Roman" w:hAnsi="Times New Roman" w:eastAsia="宋体" w:cs="Times New Roman"/>
          <w:b w:val="0"/>
          <w:bCs w:val="0"/>
          <w:color w:val="auto"/>
          <w:sz w:val="24"/>
          <w:szCs w:val="24"/>
          <w:highlight w:val="none"/>
          <w:lang w:val="en-US" w:eastAsia="zh-CN"/>
        </w:rPr>
        <w:t>、氨氮、总磷、石油类。</w:t>
      </w:r>
    </w:p>
    <w:p w14:paraId="051C4A72">
      <w:pPr>
        <w:bidi w:val="0"/>
        <w:spacing w:line="360" w:lineRule="auto"/>
        <w:ind w:firstLine="480" w:firstLineChars="200"/>
        <w:outlineLvl w:val="2"/>
        <w:rPr>
          <w:rFonts w:hint="eastAsia" w:ascii="Times New Roman" w:hAnsi="Times New Roman" w:eastAsia="宋体" w:cs="Times New Roman"/>
          <w:b w:val="0"/>
          <w:bCs w:val="0"/>
          <w:color w:val="auto"/>
          <w:sz w:val="24"/>
          <w:szCs w:val="24"/>
          <w:highlight w:val="none"/>
          <w:lang w:val="en-US" w:eastAsia="zh-CN"/>
        </w:rPr>
      </w:pPr>
      <w:bookmarkStart w:id="329" w:name="_Toc20028"/>
      <w:r>
        <w:rPr>
          <w:rFonts w:hint="eastAsia" w:ascii="Times New Roman" w:hAnsi="Times New Roman" w:eastAsia="宋体" w:cs="Times New Roman"/>
          <w:b w:val="0"/>
          <w:bCs w:val="0"/>
          <w:color w:val="auto"/>
          <w:sz w:val="24"/>
          <w:szCs w:val="24"/>
          <w:highlight w:val="none"/>
          <w:lang w:val="en-US" w:eastAsia="zh-CN"/>
        </w:rPr>
        <w:t>（3）监测频次</w:t>
      </w:r>
      <w:bookmarkEnd w:id="329"/>
    </w:p>
    <w:p w14:paraId="28788712">
      <w:pPr>
        <w:spacing w:line="360" w:lineRule="auto"/>
        <w:rPr>
          <w:rFonts w:hint="eastAsia"/>
          <w:color w:val="auto"/>
          <w:sz w:val="24"/>
          <w:szCs w:val="24"/>
          <w:lang w:val="en-US" w:eastAsia="zh-CN"/>
        </w:rPr>
      </w:pPr>
      <w:r>
        <w:rPr>
          <w:rFonts w:hint="eastAsia" w:ascii="Times New Roman" w:hAnsi="Times New Roman" w:eastAsia="宋体" w:cs="Times New Roman"/>
          <w:b w:val="0"/>
          <w:bCs w:val="0"/>
          <w:color w:val="auto"/>
          <w:sz w:val="24"/>
          <w:szCs w:val="24"/>
          <w:highlight w:val="none"/>
          <w:lang w:val="en-US" w:eastAsia="zh-CN"/>
        </w:rPr>
        <w:t>2023年7月10日~7月12日连续采样3天</w:t>
      </w:r>
    </w:p>
    <w:p w14:paraId="65A3570A">
      <w:pPr>
        <w:spacing w:line="360" w:lineRule="auto"/>
        <w:rPr>
          <w:rFonts w:hint="default"/>
          <w:color w:val="auto"/>
          <w:sz w:val="24"/>
          <w:szCs w:val="21"/>
          <w:lang w:val="en-US" w:eastAsia="zh-CN"/>
        </w:rPr>
      </w:pPr>
      <w:r>
        <w:rPr>
          <w:rFonts w:hint="eastAsia"/>
          <w:b/>
          <w:bCs/>
          <w:color w:val="auto"/>
          <w:sz w:val="24"/>
          <w:szCs w:val="32"/>
          <w:lang w:val="en-US" w:eastAsia="zh-CN"/>
        </w:rPr>
        <w:t>4.3.2.3 地表水环境现状评价</w:t>
      </w:r>
    </w:p>
    <w:p w14:paraId="35AE626A">
      <w:pPr>
        <w:spacing w:line="360" w:lineRule="auto"/>
        <w:ind w:firstLine="480" w:firstLineChars="200"/>
        <w:jc w:val="both"/>
        <w:outlineLvl w:val="2"/>
        <w:rPr>
          <w:rFonts w:hint="default" w:ascii="Times New Roman" w:hAnsi="Times New Roman" w:eastAsia="宋体" w:cs="Times New Roman"/>
          <w:color w:val="auto"/>
          <w:sz w:val="24"/>
          <w:lang w:val="en-US" w:eastAsia="zh-CN"/>
        </w:rPr>
      </w:pPr>
      <w:bookmarkStart w:id="330" w:name="_Toc8325"/>
      <w:r>
        <w:rPr>
          <w:rFonts w:hint="default" w:ascii="Times New Roman" w:hAnsi="Times New Roman" w:eastAsia="宋体" w:cs="Times New Roman"/>
          <w:color w:val="auto"/>
          <w:sz w:val="24"/>
          <w:lang w:val="en-US" w:eastAsia="zh-CN"/>
        </w:rPr>
        <w:t>（1）评价方法</w:t>
      </w:r>
      <w:bookmarkEnd w:id="330"/>
    </w:p>
    <w:p w14:paraId="5466752F">
      <w:pPr>
        <w:adjustRightInd w:val="0"/>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本次地表水环境质量现状评价采用单项污染指数法，其计算公式如下：</w:t>
      </w:r>
    </w:p>
    <w:p w14:paraId="150B2C6E">
      <w:pPr>
        <w:adjustRightInd w:val="0"/>
        <w:spacing w:line="360" w:lineRule="auto"/>
        <w:ind w:firstLine="480" w:firstLineChars="200"/>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Si=Ci/Csi</w:t>
      </w:r>
    </w:p>
    <w:p w14:paraId="09E49A4F">
      <w:pPr>
        <w:adjustRightInd w:val="0"/>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式中：Si —i 种污染物分指数；</w:t>
      </w:r>
    </w:p>
    <w:p w14:paraId="49F7213F">
      <w:pPr>
        <w:adjustRightInd w:val="0"/>
        <w:spacing w:line="360" w:lineRule="auto"/>
        <w:ind w:firstLine="960" w:firstLineChars="4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Ci—i 种污染物实测值（mg/L）；</w:t>
      </w:r>
    </w:p>
    <w:p w14:paraId="116A0D8E">
      <w:pPr>
        <w:adjustRightInd w:val="0"/>
        <w:spacing w:line="360" w:lineRule="auto"/>
        <w:ind w:firstLine="960" w:firstLineChars="4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Csi—i 种污染物评价标准值（mg/L）。</w:t>
      </w:r>
    </w:p>
    <w:p w14:paraId="50F38C5E">
      <w:pPr>
        <w:adjustRightInd w:val="0"/>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pH 污染物指数计算公式如下：</w:t>
      </w:r>
    </w:p>
    <w:p w14:paraId="667B17B5">
      <w:pPr>
        <w:adjustRightInd w:val="0"/>
        <w:spacing w:line="360" w:lineRule="auto"/>
        <w:ind w:firstLine="480" w:firstLineChars="200"/>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drawing>
          <wp:inline distT="0" distB="0" distL="0" distR="0">
            <wp:extent cx="2305050" cy="914400"/>
            <wp:effectExtent l="0" t="0" r="0" b="0"/>
            <wp:docPr id="2" name="图片 2" descr="C:\Users\Administrator\AppData\Local\Temp\ksohtml985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strator\AppData\Local\Temp\ksohtml9852\wps1.png"/>
                    <pic:cNvPicPr>
                      <a:picLocks noChangeAspect="1" noChangeArrowheads="1"/>
                    </pic:cNvPicPr>
                  </pic:nvPicPr>
                  <pic:blipFill>
                    <a:blip r:embed="rId34"/>
                    <a:srcRect/>
                    <a:stretch>
                      <a:fillRect/>
                    </a:stretch>
                  </pic:blipFill>
                  <pic:spPr>
                    <a:xfrm>
                      <a:off x="0" y="0"/>
                      <a:ext cx="2305050" cy="914400"/>
                    </a:xfrm>
                    <a:prstGeom prst="rect">
                      <a:avLst/>
                    </a:prstGeom>
                    <a:noFill/>
                    <a:ln w="9525">
                      <a:noFill/>
                      <a:miter lim="800000"/>
                      <a:headEnd/>
                      <a:tailEnd/>
                    </a:ln>
                  </pic:spPr>
                </pic:pic>
              </a:graphicData>
            </a:graphic>
          </wp:inline>
        </w:drawing>
      </w:r>
    </w:p>
    <w:p w14:paraId="76FEB709">
      <w:pPr>
        <w:adjustRightInd w:val="0"/>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式中：SPH — pH 值的分指数；</w:t>
      </w:r>
    </w:p>
    <w:p w14:paraId="5F61D023">
      <w:pPr>
        <w:adjustRightInd w:val="0"/>
        <w:spacing w:line="360" w:lineRule="auto"/>
        <w:ind w:firstLine="1200" w:firstLineChars="5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PHj — pH 实测值；</w:t>
      </w:r>
    </w:p>
    <w:p w14:paraId="0E13663E">
      <w:pPr>
        <w:adjustRightInd w:val="0"/>
        <w:spacing w:line="360" w:lineRule="auto"/>
        <w:ind w:firstLine="1200" w:firstLineChars="5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PHsd — pH 值评价标准的下限值；</w:t>
      </w:r>
    </w:p>
    <w:p w14:paraId="6DC4144C">
      <w:pPr>
        <w:spacing w:line="360" w:lineRule="auto"/>
        <w:ind w:firstLine="1200" w:firstLineChars="500"/>
        <w:rPr>
          <w:rFonts w:hint="eastAsia" w:eastAsia="宋体"/>
          <w:color w:val="auto"/>
          <w:sz w:val="24"/>
          <w:szCs w:val="21"/>
          <w:lang w:val="en-US" w:eastAsia="zh-CN"/>
        </w:rPr>
      </w:pPr>
      <w:r>
        <w:rPr>
          <w:rFonts w:hint="default" w:ascii="Times New Roman" w:hAnsi="Times New Roman" w:eastAsia="宋体" w:cs="Times New Roman"/>
          <w:color w:val="auto"/>
          <w:sz w:val="24"/>
          <w:szCs w:val="24"/>
        </w:rPr>
        <w:t>PHsu — pH 值评价标准的上限值</w:t>
      </w:r>
      <w:r>
        <w:rPr>
          <w:rFonts w:hint="eastAsia" w:ascii="Times New Roman" w:hAnsi="Times New Roman" w:eastAsia="宋体" w:cs="Times New Roman"/>
          <w:color w:val="auto"/>
          <w:sz w:val="24"/>
          <w:szCs w:val="24"/>
          <w:lang w:eastAsia="zh-CN"/>
        </w:rPr>
        <w:t>。</w:t>
      </w:r>
    </w:p>
    <w:p w14:paraId="113E2DF3">
      <w:pPr>
        <w:spacing w:line="360" w:lineRule="auto"/>
        <w:ind w:firstLine="480" w:firstLineChars="200"/>
        <w:rPr>
          <w:rFonts w:hint="eastAsia"/>
          <w:color w:val="auto"/>
          <w:sz w:val="24"/>
          <w:szCs w:val="21"/>
          <w:lang w:val="en-US" w:eastAsia="zh-CN"/>
        </w:rPr>
      </w:pPr>
      <w:bookmarkStart w:id="331" w:name="_Toc14834"/>
      <w:r>
        <w:rPr>
          <w:rFonts w:hint="eastAsia"/>
          <w:color w:val="auto"/>
          <w:sz w:val="24"/>
          <w:szCs w:val="21"/>
          <w:lang w:val="en-US" w:eastAsia="zh-CN"/>
        </w:rPr>
        <w:t>（2）评价标准</w:t>
      </w:r>
      <w:bookmarkEnd w:id="331"/>
    </w:p>
    <w:p w14:paraId="0671F804">
      <w:pPr>
        <w:spacing w:line="360" w:lineRule="auto"/>
        <w:ind w:firstLine="480" w:firstLineChars="200"/>
        <w:rPr>
          <w:rFonts w:hint="eastAsia"/>
          <w:color w:val="auto"/>
          <w:sz w:val="24"/>
          <w:szCs w:val="21"/>
          <w:lang w:val="en-US" w:eastAsia="zh-CN"/>
        </w:rPr>
      </w:pPr>
      <w:r>
        <w:rPr>
          <w:rFonts w:hint="eastAsia"/>
          <w:color w:val="auto"/>
          <w:sz w:val="24"/>
          <w:szCs w:val="21"/>
          <w:lang w:val="en-US" w:eastAsia="zh-CN"/>
        </w:rPr>
        <w:t>王引河的水环境质量执行《地表水环境质量标准》（GB3838-2002）中Ⅲ类。具体标准值见下表所示。</w:t>
      </w:r>
    </w:p>
    <w:p w14:paraId="2D870D36">
      <w:pPr>
        <w:spacing w:line="360" w:lineRule="auto"/>
        <w:jc w:val="center"/>
        <w:rPr>
          <w:rFonts w:hint="default"/>
          <w:b/>
          <w:bCs/>
          <w:color w:val="auto"/>
          <w:sz w:val="24"/>
          <w:szCs w:val="21"/>
          <w:lang w:val="en-US" w:eastAsia="zh-CN"/>
        </w:rPr>
      </w:pPr>
      <w:r>
        <w:rPr>
          <w:rFonts w:hint="eastAsia"/>
          <w:b/>
          <w:bCs/>
          <w:color w:val="auto"/>
          <w:sz w:val="24"/>
          <w:szCs w:val="21"/>
          <w:lang w:val="en-US" w:eastAsia="zh-CN"/>
        </w:rPr>
        <w:t>表4-5 地表水环境质量标准（单位：mg/L，pH无量纲）</w:t>
      </w:r>
    </w:p>
    <w:tbl>
      <w:tblPr>
        <w:tblStyle w:val="31"/>
        <w:tblW w:w="4995"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2907"/>
        <w:gridCol w:w="3339"/>
        <w:gridCol w:w="1853"/>
        <w:gridCol w:w="1853"/>
      </w:tblGrid>
      <w:tr w14:paraId="57E109A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restart"/>
            <w:noWrap w:val="0"/>
            <w:vAlign w:val="center"/>
          </w:tcPr>
          <w:p w14:paraId="46382C58">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标准类别</w:t>
            </w:r>
          </w:p>
        </w:tc>
        <w:tc>
          <w:tcPr>
            <w:tcW w:w="1677" w:type="pct"/>
            <w:vMerge w:val="restart"/>
            <w:noWrap w:val="0"/>
            <w:vAlign w:val="center"/>
          </w:tcPr>
          <w:p w14:paraId="3E94260D">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项目</w:t>
            </w:r>
          </w:p>
        </w:tc>
        <w:tc>
          <w:tcPr>
            <w:tcW w:w="1862" w:type="pct"/>
            <w:gridSpan w:val="2"/>
            <w:noWrap w:val="0"/>
            <w:vAlign w:val="center"/>
          </w:tcPr>
          <w:p w14:paraId="70D56133">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标准值（mg/L）</w:t>
            </w:r>
          </w:p>
        </w:tc>
      </w:tr>
      <w:tr w14:paraId="00AE322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continue"/>
            <w:noWrap w:val="0"/>
            <w:vAlign w:val="center"/>
          </w:tcPr>
          <w:p w14:paraId="1EBF187E">
            <w:pPr>
              <w:widowControl/>
              <w:spacing w:line="240" w:lineRule="auto"/>
              <w:ind w:firstLine="0" w:firstLineChars="0"/>
              <w:jc w:val="center"/>
              <w:rPr>
                <w:rFonts w:hint="default" w:ascii="Times New Roman" w:hAnsi="Times New Roman" w:cs="Times New Roman"/>
                <w:color w:val="auto"/>
                <w:kern w:val="0"/>
                <w:sz w:val="21"/>
                <w:szCs w:val="21"/>
              </w:rPr>
            </w:pPr>
          </w:p>
        </w:tc>
        <w:tc>
          <w:tcPr>
            <w:tcW w:w="1677" w:type="pct"/>
            <w:vMerge w:val="continue"/>
            <w:noWrap w:val="0"/>
            <w:vAlign w:val="center"/>
          </w:tcPr>
          <w:p w14:paraId="263304E3">
            <w:pPr>
              <w:widowControl/>
              <w:spacing w:line="240" w:lineRule="auto"/>
              <w:ind w:firstLine="0" w:firstLineChars="0"/>
              <w:jc w:val="center"/>
              <w:rPr>
                <w:rFonts w:hint="default" w:ascii="Times New Roman" w:hAnsi="Times New Roman" w:cs="Times New Roman"/>
                <w:color w:val="auto"/>
                <w:kern w:val="0"/>
                <w:sz w:val="21"/>
                <w:szCs w:val="21"/>
              </w:rPr>
            </w:pPr>
          </w:p>
        </w:tc>
        <w:tc>
          <w:tcPr>
            <w:tcW w:w="931" w:type="pct"/>
            <w:tcBorders>
              <w:right w:val="single" w:color="auto" w:sz="4" w:space="0"/>
            </w:tcBorders>
            <w:noWrap w:val="0"/>
            <w:vAlign w:val="center"/>
          </w:tcPr>
          <w:p w14:paraId="167FA282">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Ⅲ类</w:t>
            </w:r>
          </w:p>
        </w:tc>
        <w:tc>
          <w:tcPr>
            <w:tcW w:w="931" w:type="pct"/>
            <w:tcBorders>
              <w:left w:val="single" w:color="auto" w:sz="4" w:space="0"/>
            </w:tcBorders>
            <w:noWrap w:val="0"/>
            <w:vAlign w:val="center"/>
          </w:tcPr>
          <w:p w14:paraId="1D2BCEB3">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sz w:val="21"/>
                <w:szCs w:val="21"/>
              </w:rPr>
              <w:t>IV类</w:t>
            </w:r>
          </w:p>
        </w:tc>
      </w:tr>
      <w:tr w14:paraId="33CAAEE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restart"/>
            <w:noWrap w:val="0"/>
            <w:vAlign w:val="center"/>
          </w:tcPr>
          <w:p w14:paraId="2D9E640F">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《地表水环境质量标准》</w:t>
            </w:r>
          </w:p>
          <w:p w14:paraId="056538D5">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（GB3838-2002）</w:t>
            </w:r>
          </w:p>
        </w:tc>
        <w:tc>
          <w:tcPr>
            <w:tcW w:w="1677" w:type="pct"/>
            <w:noWrap w:val="0"/>
            <w:vAlign w:val="center"/>
          </w:tcPr>
          <w:p w14:paraId="08E04ED6">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pH</w:t>
            </w:r>
          </w:p>
        </w:tc>
        <w:tc>
          <w:tcPr>
            <w:tcW w:w="931" w:type="pct"/>
            <w:tcBorders>
              <w:right w:val="single" w:color="auto" w:sz="4" w:space="0"/>
            </w:tcBorders>
            <w:noWrap w:val="0"/>
            <w:vAlign w:val="center"/>
          </w:tcPr>
          <w:p w14:paraId="726E9CBB">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6～9</w:t>
            </w:r>
          </w:p>
        </w:tc>
        <w:tc>
          <w:tcPr>
            <w:tcW w:w="931" w:type="pct"/>
            <w:tcBorders>
              <w:left w:val="single" w:color="auto" w:sz="4" w:space="0"/>
            </w:tcBorders>
            <w:noWrap w:val="0"/>
            <w:vAlign w:val="center"/>
          </w:tcPr>
          <w:p w14:paraId="4F700CC7">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6～9</w:t>
            </w:r>
          </w:p>
        </w:tc>
      </w:tr>
      <w:tr w14:paraId="5039E2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continue"/>
            <w:noWrap w:val="0"/>
            <w:vAlign w:val="center"/>
          </w:tcPr>
          <w:p w14:paraId="36CF32C4">
            <w:pPr>
              <w:widowControl/>
              <w:spacing w:line="240" w:lineRule="auto"/>
              <w:ind w:firstLine="0" w:firstLineChars="0"/>
              <w:jc w:val="center"/>
              <w:rPr>
                <w:rFonts w:hint="default" w:ascii="Times New Roman" w:hAnsi="Times New Roman" w:cs="Times New Roman"/>
                <w:color w:val="auto"/>
                <w:kern w:val="0"/>
                <w:sz w:val="21"/>
                <w:szCs w:val="21"/>
              </w:rPr>
            </w:pPr>
          </w:p>
        </w:tc>
        <w:tc>
          <w:tcPr>
            <w:tcW w:w="1677" w:type="pct"/>
            <w:noWrap w:val="0"/>
            <w:vAlign w:val="center"/>
          </w:tcPr>
          <w:p w14:paraId="69D3325C">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COD</w:t>
            </w:r>
          </w:p>
        </w:tc>
        <w:tc>
          <w:tcPr>
            <w:tcW w:w="931" w:type="pct"/>
            <w:tcBorders>
              <w:right w:val="single" w:color="auto" w:sz="4" w:space="0"/>
            </w:tcBorders>
            <w:noWrap w:val="0"/>
            <w:vAlign w:val="center"/>
          </w:tcPr>
          <w:p w14:paraId="40EFBE6D">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20</w:t>
            </w:r>
          </w:p>
        </w:tc>
        <w:tc>
          <w:tcPr>
            <w:tcW w:w="931" w:type="pct"/>
            <w:tcBorders>
              <w:left w:val="single" w:color="auto" w:sz="4" w:space="0"/>
            </w:tcBorders>
            <w:noWrap w:val="0"/>
            <w:vAlign w:val="center"/>
          </w:tcPr>
          <w:p w14:paraId="36A5E8DD">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30</w:t>
            </w:r>
          </w:p>
        </w:tc>
      </w:tr>
      <w:tr w14:paraId="365C744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continue"/>
            <w:noWrap w:val="0"/>
            <w:vAlign w:val="center"/>
          </w:tcPr>
          <w:p w14:paraId="23B5CB32">
            <w:pPr>
              <w:widowControl/>
              <w:spacing w:line="240" w:lineRule="auto"/>
              <w:ind w:firstLine="0" w:firstLineChars="0"/>
              <w:jc w:val="center"/>
              <w:rPr>
                <w:rFonts w:hint="default" w:ascii="Times New Roman" w:hAnsi="Times New Roman" w:cs="Times New Roman"/>
                <w:color w:val="auto"/>
                <w:kern w:val="0"/>
                <w:sz w:val="21"/>
                <w:szCs w:val="21"/>
              </w:rPr>
            </w:pPr>
          </w:p>
        </w:tc>
        <w:tc>
          <w:tcPr>
            <w:tcW w:w="1677" w:type="pct"/>
            <w:noWrap w:val="0"/>
            <w:vAlign w:val="center"/>
          </w:tcPr>
          <w:p w14:paraId="2054B203">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BOD</w:t>
            </w:r>
            <w:r>
              <w:rPr>
                <w:rFonts w:hint="default" w:ascii="Times New Roman" w:hAnsi="Times New Roman" w:cs="Times New Roman"/>
                <w:color w:val="auto"/>
                <w:kern w:val="0"/>
                <w:sz w:val="21"/>
                <w:szCs w:val="21"/>
                <w:vertAlign w:val="subscript"/>
              </w:rPr>
              <w:t>5</w:t>
            </w:r>
          </w:p>
        </w:tc>
        <w:tc>
          <w:tcPr>
            <w:tcW w:w="931" w:type="pct"/>
            <w:tcBorders>
              <w:right w:val="single" w:color="auto" w:sz="4" w:space="0"/>
            </w:tcBorders>
            <w:noWrap w:val="0"/>
            <w:vAlign w:val="center"/>
          </w:tcPr>
          <w:p w14:paraId="19A1660D">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4</w:t>
            </w:r>
          </w:p>
        </w:tc>
        <w:tc>
          <w:tcPr>
            <w:tcW w:w="931" w:type="pct"/>
            <w:tcBorders>
              <w:left w:val="single" w:color="auto" w:sz="4" w:space="0"/>
            </w:tcBorders>
            <w:noWrap w:val="0"/>
            <w:vAlign w:val="center"/>
          </w:tcPr>
          <w:p w14:paraId="2C47380B">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6</w:t>
            </w:r>
          </w:p>
        </w:tc>
      </w:tr>
      <w:tr w14:paraId="42B8E00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continue"/>
            <w:noWrap w:val="0"/>
            <w:vAlign w:val="center"/>
          </w:tcPr>
          <w:p w14:paraId="0CB5BE15">
            <w:pPr>
              <w:widowControl/>
              <w:spacing w:line="240" w:lineRule="auto"/>
              <w:ind w:firstLine="0" w:firstLineChars="0"/>
              <w:jc w:val="center"/>
              <w:rPr>
                <w:rFonts w:hint="default" w:ascii="Times New Roman" w:hAnsi="Times New Roman" w:cs="Times New Roman"/>
                <w:color w:val="auto"/>
                <w:kern w:val="0"/>
                <w:sz w:val="21"/>
                <w:szCs w:val="21"/>
              </w:rPr>
            </w:pPr>
          </w:p>
        </w:tc>
        <w:tc>
          <w:tcPr>
            <w:tcW w:w="1677" w:type="pct"/>
            <w:noWrap w:val="0"/>
            <w:vAlign w:val="center"/>
          </w:tcPr>
          <w:p w14:paraId="3352C44B">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溶解氧</w:t>
            </w:r>
          </w:p>
        </w:tc>
        <w:tc>
          <w:tcPr>
            <w:tcW w:w="931" w:type="pct"/>
            <w:tcBorders>
              <w:right w:val="single" w:color="auto" w:sz="4" w:space="0"/>
            </w:tcBorders>
            <w:noWrap w:val="0"/>
            <w:vAlign w:val="center"/>
          </w:tcPr>
          <w:p w14:paraId="6185F15A">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5</w:t>
            </w:r>
          </w:p>
        </w:tc>
        <w:tc>
          <w:tcPr>
            <w:tcW w:w="931" w:type="pct"/>
            <w:tcBorders>
              <w:left w:val="single" w:color="auto" w:sz="4" w:space="0"/>
            </w:tcBorders>
            <w:noWrap w:val="0"/>
            <w:vAlign w:val="center"/>
          </w:tcPr>
          <w:p w14:paraId="54DC567B">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3</w:t>
            </w:r>
          </w:p>
        </w:tc>
      </w:tr>
      <w:tr w14:paraId="337289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continue"/>
            <w:noWrap w:val="0"/>
            <w:vAlign w:val="center"/>
          </w:tcPr>
          <w:p w14:paraId="0030BF39">
            <w:pPr>
              <w:widowControl/>
              <w:spacing w:line="240" w:lineRule="auto"/>
              <w:ind w:firstLine="0" w:firstLineChars="0"/>
              <w:jc w:val="center"/>
              <w:rPr>
                <w:rFonts w:hint="default" w:ascii="Times New Roman" w:hAnsi="Times New Roman" w:cs="Times New Roman"/>
                <w:color w:val="auto"/>
                <w:kern w:val="0"/>
                <w:sz w:val="21"/>
                <w:szCs w:val="21"/>
              </w:rPr>
            </w:pPr>
          </w:p>
        </w:tc>
        <w:tc>
          <w:tcPr>
            <w:tcW w:w="1677" w:type="pct"/>
            <w:noWrap w:val="0"/>
            <w:vAlign w:val="center"/>
          </w:tcPr>
          <w:p w14:paraId="4D13B5BD">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氨氮</w:t>
            </w:r>
          </w:p>
        </w:tc>
        <w:tc>
          <w:tcPr>
            <w:tcW w:w="931" w:type="pct"/>
            <w:tcBorders>
              <w:right w:val="single" w:color="auto" w:sz="4" w:space="0"/>
            </w:tcBorders>
            <w:noWrap w:val="0"/>
            <w:vAlign w:val="center"/>
          </w:tcPr>
          <w:p w14:paraId="6F539B72">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1.0</w:t>
            </w:r>
          </w:p>
        </w:tc>
        <w:tc>
          <w:tcPr>
            <w:tcW w:w="931" w:type="pct"/>
            <w:tcBorders>
              <w:left w:val="single" w:color="auto" w:sz="4" w:space="0"/>
            </w:tcBorders>
            <w:noWrap w:val="0"/>
            <w:vAlign w:val="center"/>
          </w:tcPr>
          <w:p w14:paraId="7A4513A4">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1.5</w:t>
            </w:r>
          </w:p>
        </w:tc>
      </w:tr>
      <w:tr w14:paraId="28BD7E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continue"/>
            <w:noWrap w:val="0"/>
            <w:vAlign w:val="center"/>
          </w:tcPr>
          <w:p w14:paraId="3AEAC0D9">
            <w:pPr>
              <w:widowControl/>
              <w:spacing w:line="240" w:lineRule="auto"/>
              <w:ind w:firstLine="0" w:firstLineChars="0"/>
              <w:jc w:val="center"/>
              <w:rPr>
                <w:rFonts w:hint="default" w:ascii="Times New Roman" w:hAnsi="Times New Roman" w:cs="Times New Roman"/>
                <w:color w:val="auto"/>
                <w:kern w:val="0"/>
                <w:sz w:val="21"/>
                <w:szCs w:val="21"/>
              </w:rPr>
            </w:pPr>
          </w:p>
        </w:tc>
        <w:tc>
          <w:tcPr>
            <w:tcW w:w="1677" w:type="pct"/>
            <w:noWrap w:val="0"/>
            <w:vAlign w:val="center"/>
          </w:tcPr>
          <w:p w14:paraId="56248B66">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总磷</w:t>
            </w:r>
          </w:p>
        </w:tc>
        <w:tc>
          <w:tcPr>
            <w:tcW w:w="931" w:type="pct"/>
            <w:tcBorders>
              <w:right w:val="single" w:color="auto" w:sz="4" w:space="0"/>
            </w:tcBorders>
            <w:noWrap w:val="0"/>
            <w:vAlign w:val="center"/>
          </w:tcPr>
          <w:p w14:paraId="653A374D">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0.2</w:t>
            </w:r>
          </w:p>
        </w:tc>
        <w:tc>
          <w:tcPr>
            <w:tcW w:w="931" w:type="pct"/>
            <w:tcBorders>
              <w:left w:val="single" w:color="auto" w:sz="4" w:space="0"/>
            </w:tcBorders>
            <w:noWrap w:val="0"/>
            <w:vAlign w:val="center"/>
          </w:tcPr>
          <w:p w14:paraId="2C38BC46">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0.3</w:t>
            </w:r>
          </w:p>
        </w:tc>
      </w:tr>
      <w:tr w14:paraId="7B3BD5E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continue"/>
            <w:noWrap w:val="0"/>
            <w:vAlign w:val="center"/>
          </w:tcPr>
          <w:p w14:paraId="3A300076">
            <w:pPr>
              <w:widowControl/>
              <w:spacing w:line="240" w:lineRule="auto"/>
              <w:ind w:firstLine="0" w:firstLineChars="0"/>
              <w:jc w:val="center"/>
              <w:rPr>
                <w:rFonts w:hint="default" w:ascii="Times New Roman" w:hAnsi="Times New Roman" w:cs="Times New Roman"/>
                <w:color w:val="auto"/>
                <w:kern w:val="0"/>
                <w:sz w:val="21"/>
                <w:szCs w:val="21"/>
              </w:rPr>
            </w:pPr>
          </w:p>
        </w:tc>
        <w:tc>
          <w:tcPr>
            <w:tcW w:w="1677" w:type="pct"/>
            <w:noWrap w:val="0"/>
            <w:vAlign w:val="center"/>
          </w:tcPr>
          <w:p w14:paraId="076E3BB4">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总氮</w:t>
            </w:r>
          </w:p>
        </w:tc>
        <w:tc>
          <w:tcPr>
            <w:tcW w:w="931" w:type="pct"/>
            <w:tcBorders>
              <w:right w:val="single" w:color="auto" w:sz="4" w:space="0"/>
            </w:tcBorders>
            <w:noWrap w:val="0"/>
            <w:vAlign w:val="center"/>
          </w:tcPr>
          <w:p w14:paraId="0F69B329">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1.0</w:t>
            </w:r>
          </w:p>
        </w:tc>
        <w:tc>
          <w:tcPr>
            <w:tcW w:w="931" w:type="pct"/>
            <w:tcBorders>
              <w:left w:val="single" w:color="auto" w:sz="4" w:space="0"/>
            </w:tcBorders>
            <w:noWrap w:val="0"/>
            <w:vAlign w:val="center"/>
          </w:tcPr>
          <w:p w14:paraId="0183F987">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1.5</w:t>
            </w:r>
          </w:p>
        </w:tc>
      </w:tr>
      <w:tr w14:paraId="7A061EA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97" w:hRule="atLeast"/>
          <w:jc w:val="center"/>
        </w:trPr>
        <w:tc>
          <w:tcPr>
            <w:tcW w:w="1460" w:type="pct"/>
            <w:vMerge w:val="continue"/>
            <w:noWrap w:val="0"/>
            <w:vAlign w:val="center"/>
          </w:tcPr>
          <w:p w14:paraId="516E5266">
            <w:pPr>
              <w:widowControl/>
              <w:spacing w:line="240" w:lineRule="auto"/>
              <w:ind w:firstLine="0" w:firstLineChars="0"/>
              <w:jc w:val="center"/>
              <w:rPr>
                <w:rFonts w:hint="default" w:ascii="Times New Roman" w:hAnsi="Times New Roman" w:cs="Times New Roman"/>
                <w:color w:val="auto"/>
                <w:kern w:val="0"/>
                <w:sz w:val="21"/>
                <w:szCs w:val="21"/>
              </w:rPr>
            </w:pPr>
          </w:p>
        </w:tc>
        <w:tc>
          <w:tcPr>
            <w:tcW w:w="1677" w:type="pct"/>
            <w:noWrap w:val="0"/>
            <w:vAlign w:val="center"/>
          </w:tcPr>
          <w:p w14:paraId="50CBB67A">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石油类</w:t>
            </w:r>
          </w:p>
        </w:tc>
        <w:tc>
          <w:tcPr>
            <w:tcW w:w="931" w:type="pct"/>
            <w:tcBorders>
              <w:right w:val="single" w:color="auto" w:sz="4" w:space="0"/>
            </w:tcBorders>
            <w:noWrap w:val="0"/>
            <w:vAlign w:val="center"/>
          </w:tcPr>
          <w:p w14:paraId="6798EE5E">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0.05</w:t>
            </w:r>
          </w:p>
        </w:tc>
        <w:tc>
          <w:tcPr>
            <w:tcW w:w="931" w:type="pct"/>
            <w:tcBorders>
              <w:left w:val="single" w:color="auto" w:sz="4" w:space="0"/>
            </w:tcBorders>
            <w:noWrap w:val="0"/>
            <w:vAlign w:val="center"/>
          </w:tcPr>
          <w:p w14:paraId="76F943B0">
            <w:pPr>
              <w:widowControl/>
              <w:spacing w:line="240" w:lineRule="auto"/>
              <w:ind w:firstLine="0" w:firstLineChars="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0.5</w:t>
            </w:r>
          </w:p>
        </w:tc>
      </w:tr>
    </w:tbl>
    <w:p w14:paraId="3561134D">
      <w:pPr>
        <w:spacing w:line="360" w:lineRule="auto"/>
        <w:rPr>
          <w:rFonts w:hint="eastAsia"/>
          <w:color w:val="auto"/>
          <w:sz w:val="24"/>
          <w:szCs w:val="21"/>
          <w:lang w:val="en-US" w:eastAsia="zh-CN"/>
        </w:rPr>
      </w:pPr>
    </w:p>
    <w:p w14:paraId="2B2FF7A6">
      <w:pPr>
        <w:spacing w:line="360" w:lineRule="auto"/>
        <w:ind w:firstLine="480" w:firstLineChars="200"/>
        <w:jc w:val="both"/>
        <w:outlineLvl w:val="2"/>
        <w:rPr>
          <w:rFonts w:hint="default" w:ascii="Times New Roman" w:hAnsi="Times New Roman" w:eastAsia="宋体" w:cs="Times New Roman"/>
          <w:color w:val="auto"/>
          <w:sz w:val="24"/>
          <w:lang w:val="en-US" w:eastAsia="zh-CN"/>
        </w:rPr>
      </w:pPr>
      <w:bookmarkStart w:id="332" w:name="_Toc26483"/>
      <w:r>
        <w:rPr>
          <w:rFonts w:hint="default" w:ascii="Times New Roman" w:hAnsi="Times New Roman" w:eastAsia="宋体" w:cs="Times New Roman"/>
          <w:color w:val="auto"/>
          <w:sz w:val="24"/>
          <w:lang w:val="en-US" w:eastAsia="zh-CN"/>
        </w:rPr>
        <w:t>（</w:t>
      </w:r>
      <w:r>
        <w:rPr>
          <w:rFonts w:hint="eastAsia" w:ascii="Times New Roman" w:hAnsi="Times New Roman" w:eastAsia="宋体" w:cs="Times New Roman"/>
          <w:color w:val="auto"/>
          <w:sz w:val="24"/>
          <w:lang w:val="en-US" w:eastAsia="zh-CN"/>
        </w:rPr>
        <w:t>3</w:t>
      </w:r>
      <w:r>
        <w:rPr>
          <w:rFonts w:hint="default" w:ascii="Times New Roman" w:hAnsi="Times New Roman" w:eastAsia="宋体" w:cs="Times New Roman"/>
          <w:color w:val="auto"/>
          <w:sz w:val="24"/>
          <w:lang w:val="en-US" w:eastAsia="zh-CN"/>
        </w:rPr>
        <w:t>）</w:t>
      </w:r>
      <w:r>
        <w:rPr>
          <w:rFonts w:hint="eastAsia" w:ascii="Times New Roman" w:hAnsi="Times New Roman" w:eastAsia="宋体" w:cs="Times New Roman"/>
          <w:color w:val="auto"/>
          <w:sz w:val="24"/>
          <w:lang w:val="en-US" w:eastAsia="zh-CN"/>
        </w:rPr>
        <w:t>现状监测及评价</w:t>
      </w:r>
      <w:r>
        <w:rPr>
          <w:rFonts w:hint="default" w:ascii="Times New Roman" w:hAnsi="Times New Roman" w:eastAsia="宋体" w:cs="Times New Roman"/>
          <w:color w:val="auto"/>
          <w:sz w:val="24"/>
          <w:lang w:val="en-US" w:eastAsia="zh-CN"/>
        </w:rPr>
        <w:t>结果</w:t>
      </w:r>
      <w:bookmarkEnd w:id="332"/>
    </w:p>
    <w:p w14:paraId="6AB9B90A">
      <w:pPr>
        <w:spacing w:line="360" w:lineRule="auto"/>
        <w:ind w:firstLine="480" w:firstLineChars="200"/>
        <w:rPr>
          <w:rFonts w:hint="default"/>
          <w:color w:val="auto"/>
          <w:sz w:val="24"/>
          <w:szCs w:val="21"/>
          <w:lang w:val="en-US" w:eastAsia="zh-CN"/>
        </w:rPr>
      </w:pPr>
      <w:r>
        <w:rPr>
          <w:rFonts w:hint="default" w:ascii="Times New Roman" w:hAnsi="Times New Roman" w:eastAsia="宋体" w:cs="Times New Roman"/>
          <w:color w:val="auto"/>
          <w:sz w:val="24"/>
          <w:lang w:val="en-US" w:eastAsia="zh-CN"/>
        </w:rPr>
        <w:t>地表水环境现状监测数据见表</w:t>
      </w:r>
      <w:r>
        <w:rPr>
          <w:rFonts w:hint="eastAsia" w:ascii="Times New Roman" w:hAnsi="Times New Roman" w:eastAsia="宋体" w:cs="Times New Roman"/>
          <w:color w:val="auto"/>
          <w:sz w:val="24"/>
          <w:lang w:val="en-US" w:eastAsia="zh-CN"/>
        </w:rPr>
        <w:t>4</w:t>
      </w:r>
      <w:r>
        <w:rPr>
          <w:rFonts w:hint="default" w:ascii="Times New Roman" w:hAnsi="Times New Roman" w:eastAsia="宋体" w:cs="Times New Roman"/>
          <w:color w:val="auto"/>
          <w:sz w:val="24"/>
          <w:lang w:val="en-US" w:eastAsia="zh-CN"/>
        </w:rPr>
        <w:t>-</w:t>
      </w:r>
      <w:r>
        <w:rPr>
          <w:rFonts w:hint="eastAsia" w:ascii="Times New Roman" w:hAnsi="Times New Roman" w:eastAsia="宋体" w:cs="Times New Roman"/>
          <w:color w:val="auto"/>
          <w:sz w:val="24"/>
          <w:lang w:val="en-US" w:eastAsia="zh-CN"/>
        </w:rPr>
        <w:t>6</w:t>
      </w:r>
      <w:r>
        <w:rPr>
          <w:rFonts w:hint="default" w:ascii="Times New Roman" w:hAnsi="Times New Roman" w:eastAsia="宋体" w:cs="Times New Roman"/>
          <w:color w:val="auto"/>
          <w:sz w:val="24"/>
          <w:lang w:val="en-US" w:eastAsia="zh-CN"/>
        </w:rPr>
        <w:t>，地表水环境质量评价结果汇总见表</w:t>
      </w:r>
      <w:r>
        <w:rPr>
          <w:rFonts w:hint="eastAsia" w:ascii="Times New Roman" w:hAnsi="Times New Roman" w:eastAsia="宋体" w:cs="Times New Roman"/>
          <w:color w:val="auto"/>
          <w:sz w:val="24"/>
          <w:lang w:val="en-US" w:eastAsia="zh-CN"/>
        </w:rPr>
        <w:t>4</w:t>
      </w:r>
      <w:r>
        <w:rPr>
          <w:rFonts w:hint="default" w:ascii="Times New Roman" w:hAnsi="Times New Roman" w:eastAsia="宋体" w:cs="Times New Roman"/>
          <w:color w:val="auto"/>
          <w:sz w:val="24"/>
          <w:lang w:val="en-US" w:eastAsia="zh-CN"/>
        </w:rPr>
        <w:t>-</w:t>
      </w:r>
      <w:r>
        <w:rPr>
          <w:rFonts w:hint="eastAsia" w:ascii="Times New Roman" w:hAnsi="Times New Roman" w:eastAsia="宋体" w:cs="Times New Roman"/>
          <w:color w:val="auto"/>
          <w:sz w:val="24"/>
          <w:lang w:val="en-US" w:eastAsia="zh-CN"/>
        </w:rPr>
        <w:t>7。</w:t>
      </w:r>
    </w:p>
    <w:p w14:paraId="389C3C54">
      <w:pPr>
        <w:spacing w:line="360" w:lineRule="auto"/>
        <w:jc w:val="center"/>
        <w:rPr>
          <w:rFonts w:hint="eastAsia"/>
          <w:b/>
          <w:bCs/>
          <w:color w:val="auto"/>
          <w:sz w:val="24"/>
          <w:szCs w:val="21"/>
          <w:lang w:val="en-US" w:eastAsia="zh-CN"/>
        </w:rPr>
      </w:pPr>
      <w:r>
        <w:rPr>
          <w:rFonts w:hint="eastAsia"/>
          <w:b/>
          <w:bCs/>
          <w:color w:val="auto"/>
          <w:sz w:val="24"/>
          <w:szCs w:val="21"/>
          <w:lang w:val="en-US" w:eastAsia="zh-CN"/>
        </w:rPr>
        <w:t>表4-6 地表水环境质量现状评价结果一览表（单位：mg/L；pH无量纲）</w:t>
      </w:r>
    </w:p>
    <w:tbl>
      <w:tblPr>
        <w:tblStyle w:val="3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65"/>
        <w:gridCol w:w="2003"/>
        <w:gridCol w:w="1090"/>
        <w:gridCol w:w="1065"/>
        <w:gridCol w:w="938"/>
        <w:gridCol w:w="855"/>
        <w:gridCol w:w="1404"/>
        <w:gridCol w:w="1276"/>
        <w:gridCol w:w="666"/>
      </w:tblGrid>
      <w:tr w14:paraId="717CD3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4333453D">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检测点位</w:t>
            </w:r>
          </w:p>
        </w:tc>
        <w:tc>
          <w:tcPr>
            <w:tcW w:w="1009" w:type="pct"/>
            <w:noWrap w:val="0"/>
            <w:vAlign w:val="center"/>
          </w:tcPr>
          <w:p w14:paraId="547D6573">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监测断面名称和位置</w:t>
            </w:r>
          </w:p>
        </w:tc>
        <w:tc>
          <w:tcPr>
            <w:tcW w:w="551" w:type="pct"/>
            <w:noWrap w:val="0"/>
            <w:vAlign w:val="center"/>
          </w:tcPr>
          <w:p w14:paraId="6D20D015">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pH</w:t>
            </w:r>
          </w:p>
        </w:tc>
        <w:tc>
          <w:tcPr>
            <w:tcW w:w="534" w:type="pct"/>
            <w:noWrap w:val="0"/>
            <w:vAlign w:val="center"/>
          </w:tcPr>
          <w:p w14:paraId="2965ED80">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溶解氧</w:t>
            </w:r>
          </w:p>
        </w:tc>
        <w:tc>
          <w:tcPr>
            <w:tcW w:w="475" w:type="pct"/>
            <w:noWrap w:val="0"/>
            <w:vAlign w:val="center"/>
          </w:tcPr>
          <w:p w14:paraId="6B2BE7A5">
            <w:pPr>
              <w:bidi w:val="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COD</w:t>
            </w:r>
          </w:p>
        </w:tc>
        <w:tc>
          <w:tcPr>
            <w:tcW w:w="429" w:type="pct"/>
            <w:noWrap w:val="0"/>
            <w:vAlign w:val="center"/>
          </w:tcPr>
          <w:p w14:paraId="0554E9A0">
            <w:pPr>
              <w:bidi w:val="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BOD</w:t>
            </w:r>
            <w:r>
              <w:rPr>
                <w:rFonts w:hint="default" w:ascii="Times New Roman" w:hAnsi="Times New Roman" w:eastAsia="宋体" w:cs="Times New Roman"/>
                <w:b/>
                <w:bCs/>
                <w:color w:val="auto"/>
                <w:sz w:val="21"/>
                <w:szCs w:val="21"/>
                <w:vertAlign w:val="subscript"/>
                <w:lang w:val="en-US" w:eastAsia="zh-CN"/>
              </w:rPr>
              <w:t>5</w:t>
            </w:r>
          </w:p>
        </w:tc>
        <w:tc>
          <w:tcPr>
            <w:tcW w:w="708" w:type="pct"/>
            <w:noWrap w:val="0"/>
            <w:vAlign w:val="center"/>
          </w:tcPr>
          <w:p w14:paraId="109B1142">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氨氮</w:t>
            </w:r>
          </w:p>
        </w:tc>
        <w:tc>
          <w:tcPr>
            <w:tcW w:w="614" w:type="pct"/>
            <w:noWrap w:val="0"/>
            <w:vAlign w:val="center"/>
          </w:tcPr>
          <w:p w14:paraId="5162BF31">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总磷</w:t>
            </w:r>
          </w:p>
        </w:tc>
        <w:tc>
          <w:tcPr>
            <w:tcW w:w="338" w:type="pct"/>
            <w:noWrap w:val="0"/>
            <w:vAlign w:val="center"/>
          </w:tcPr>
          <w:p w14:paraId="0B400074">
            <w:pPr>
              <w:bidi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石油类</w:t>
            </w:r>
          </w:p>
        </w:tc>
      </w:tr>
      <w:tr w14:paraId="4B2E36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493FBFD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W1</w:t>
            </w:r>
          </w:p>
        </w:tc>
        <w:tc>
          <w:tcPr>
            <w:tcW w:w="1009" w:type="pct"/>
            <w:noWrap w:val="0"/>
            <w:vAlign w:val="center"/>
          </w:tcPr>
          <w:p w14:paraId="0595A94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王引河入开发区前500m处断面</w:t>
            </w:r>
          </w:p>
          <w:p w14:paraId="4300B991">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（王引河）</w:t>
            </w:r>
          </w:p>
        </w:tc>
        <w:tc>
          <w:tcPr>
            <w:tcW w:w="551" w:type="pct"/>
            <w:noWrap w:val="0"/>
            <w:vAlign w:val="center"/>
          </w:tcPr>
          <w:p w14:paraId="3DEB68E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7.2～7.4</w:t>
            </w:r>
          </w:p>
        </w:tc>
        <w:tc>
          <w:tcPr>
            <w:tcW w:w="534" w:type="pct"/>
            <w:noWrap w:val="0"/>
            <w:vAlign w:val="center"/>
          </w:tcPr>
          <w:p w14:paraId="474BFAC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6.4～7.2</w:t>
            </w:r>
          </w:p>
        </w:tc>
        <w:tc>
          <w:tcPr>
            <w:tcW w:w="475" w:type="pct"/>
            <w:noWrap w:val="0"/>
            <w:vAlign w:val="center"/>
          </w:tcPr>
          <w:p w14:paraId="0F0F5671">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25～31</w:t>
            </w:r>
          </w:p>
        </w:tc>
        <w:tc>
          <w:tcPr>
            <w:tcW w:w="429" w:type="pct"/>
            <w:noWrap w:val="0"/>
            <w:vAlign w:val="center"/>
          </w:tcPr>
          <w:p w14:paraId="5B2E92C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6.2～7.4</w:t>
            </w:r>
          </w:p>
        </w:tc>
        <w:tc>
          <w:tcPr>
            <w:tcW w:w="708" w:type="pct"/>
            <w:noWrap w:val="0"/>
            <w:vAlign w:val="center"/>
          </w:tcPr>
          <w:p w14:paraId="0F7764ED">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0.611～0.706</w:t>
            </w:r>
          </w:p>
        </w:tc>
        <w:tc>
          <w:tcPr>
            <w:tcW w:w="614" w:type="pct"/>
            <w:noWrap w:val="0"/>
            <w:vAlign w:val="center"/>
          </w:tcPr>
          <w:p w14:paraId="59B41F0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0.16～0.26</w:t>
            </w:r>
          </w:p>
        </w:tc>
        <w:tc>
          <w:tcPr>
            <w:tcW w:w="338" w:type="pct"/>
            <w:noWrap w:val="0"/>
            <w:vAlign w:val="center"/>
          </w:tcPr>
          <w:p w14:paraId="3C67EA3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ND</w:t>
            </w:r>
          </w:p>
        </w:tc>
      </w:tr>
      <w:tr w14:paraId="77A2E0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36AC292E">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W2</w:t>
            </w:r>
          </w:p>
        </w:tc>
        <w:tc>
          <w:tcPr>
            <w:tcW w:w="1009" w:type="pct"/>
            <w:noWrap w:val="0"/>
            <w:vAlign w:val="center"/>
          </w:tcPr>
          <w:p w14:paraId="7C9A68AF">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王引河与巴河交汇处上游 500 米</w:t>
            </w:r>
          </w:p>
          <w:p w14:paraId="308F7D59">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（王引河）</w:t>
            </w:r>
          </w:p>
        </w:tc>
        <w:tc>
          <w:tcPr>
            <w:tcW w:w="551" w:type="pct"/>
            <w:noWrap w:val="0"/>
            <w:vAlign w:val="center"/>
          </w:tcPr>
          <w:p w14:paraId="7A2400C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7.4～7.6</w:t>
            </w:r>
          </w:p>
        </w:tc>
        <w:tc>
          <w:tcPr>
            <w:tcW w:w="534" w:type="pct"/>
            <w:noWrap w:val="0"/>
            <w:vAlign w:val="center"/>
          </w:tcPr>
          <w:p w14:paraId="57A17C69">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6.2～7.4</w:t>
            </w:r>
          </w:p>
        </w:tc>
        <w:tc>
          <w:tcPr>
            <w:tcW w:w="475" w:type="pct"/>
            <w:noWrap w:val="0"/>
            <w:vAlign w:val="center"/>
          </w:tcPr>
          <w:p w14:paraId="7BA1FE04">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29～35</w:t>
            </w:r>
          </w:p>
        </w:tc>
        <w:tc>
          <w:tcPr>
            <w:tcW w:w="429" w:type="pct"/>
            <w:noWrap w:val="0"/>
            <w:vAlign w:val="center"/>
          </w:tcPr>
          <w:p w14:paraId="4DCACAE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6.2～7.9</w:t>
            </w:r>
          </w:p>
        </w:tc>
        <w:tc>
          <w:tcPr>
            <w:tcW w:w="708" w:type="pct"/>
            <w:noWrap w:val="0"/>
            <w:vAlign w:val="center"/>
          </w:tcPr>
          <w:p w14:paraId="188CE43F">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0.128～0.218</w:t>
            </w:r>
          </w:p>
        </w:tc>
        <w:tc>
          <w:tcPr>
            <w:tcW w:w="614" w:type="pct"/>
            <w:noWrap w:val="0"/>
            <w:vAlign w:val="center"/>
          </w:tcPr>
          <w:p w14:paraId="3530207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0.21～0.26</w:t>
            </w:r>
          </w:p>
        </w:tc>
        <w:tc>
          <w:tcPr>
            <w:tcW w:w="338" w:type="pct"/>
            <w:noWrap w:val="0"/>
            <w:vAlign w:val="center"/>
          </w:tcPr>
          <w:p w14:paraId="47C5250E">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ND</w:t>
            </w:r>
          </w:p>
        </w:tc>
      </w:tr>
      <w:tr w14:paraId="7BADA6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541C24B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W3</w:t>
            </w:r>
          </w:p>
        </w:tc>
        <w:tc>
          <w:tcPr>
            <w:tcW w:w="1009" w:type="pct"/>
            <w:noWrap w:val="0"/>
            <w:vAlign w:val="center"/>
          </w:tcPr>
          <w:p w14:paraId="7363CBF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王引河与巴河交汇处下游 500 米断面</w:t>
            </w:r>
          </w:p>
          <w:p w14:paraId="2F4C873F">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（王引河）</w:t>
            </w:r>
          </w:p>
        </w:tc>
        <w:tc>
          <w:tcPr>
            <w:tcW w:w="551" w:type="pct"/>
            <w:noWrap w:val="0"/>
            <w:vAlign w:val="center"/>
          </w:tcPr>
          <w:p w14:paraId="1833DF2D">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7.4～7.6</w:t>
            </w:r>
          </w:p>
        </w:tc>
        <w:tc>
          <w:tcPr>
            <w:tcW w:w="534" w:type="pct"/>
            <w:noWrap w:val="0"/>
            <w:vAlign w:val="center"/>
          </w:tcPr>
          <w:p w14:paraId="7920DFB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6.0～7.1</w:t>
            </w:r>
          </w:p>
        </w:tc>
        <w:tc>
          <w:tcPr>
            <w:tcW w:w="475" w:type="pct"/>
            <w:noWrap w:val="0"/>
            <w:vAlign w:val="center"/>
          </w:tcPr>
          <w:p w14:paraId="5CE6DAE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25～33</w:t>
            </w:r>
          </w:p>
        </w:tc>
        <w:tc>
          <w:tcPr>
            <w:tcW w:w="429" w:type="pct"/>
            <w:noWrap w:val="0"/>
            <w:vAlign w:val="center"/>
          </w:tcPr>
          <w:p w14:paraId="752C2A7E">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6.2～7.8</w:t>
            </w:r>
          </w:p>
        </w:tc>
        <w:tc>
          <w:tcPr>
            <w:tcW w:w="708" w:type="pct"/>
            <w:noWrap w:val="0"/>
            <w:vAlign w:val="center"/>
          </w:tcPr>
          <w:p w14:paraId="1BD322C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0.051～0.528</w:t>
            </w:r>
          </w:p>
        </w:tc>
        <w:tc>
          <w:tcPr>
            <w:tcW w:w="614" w:type="pct"/>
            <w:noWrap w:val="0"/>
            <w:vAlign w:val="center"/>
          </w:tcPr>
          <w:p w14:paraId="582249C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0.26～0.28</w:t>
            </w:r>
          </w:p>
        </w:tc>
        <w:tc>
          <w:tcPr>
            <w:tcW w:w="338" w:type="pct"/>
            <w:noWrap w:val="0"/>
            <w:vAlign w:val="center"/>
          </w:tcPr>
          <w:p w14:paraId="30F9279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ND</w:t>
            </w:r>
          </w:p>
        </w:tc>
      </w:tr>
      <w:tr w14:paraId="6C01E6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1F4BC9DE">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W4</w:t>
            </w:r>
          </w:p>
        </w:tc>
        <w:tc>
          <w:tcPr>
            <w:tcW w:w="1009" w:type="pct"/>
            <w:noWrap w:val="0"/>
            <w:vAlign w:val="center"/>
          </w:tcPr>
          <w:p w14:paraId="6E1A202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王引河与巴河交汇处下游 2000 米断面（王引河）</w:t>
            </w:r>
          </w:p>
        </w:tc>
        <w:tc>
          <w:tcPr>
            <w:tcW w:w="551" w:type="pct"/>
            <w:noWrap w:val="0"/>
            <w:vAlign w:val="center"/>
          </w:tcPr>
          <w:p w14:paraId="4E8B61E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7.4～7.9</w:t>
            </w:r>
          </w:p>
        </w:tc>
        <w:tc>
          <w:tcPr>
            <w:tcW w:w="534" w:type="pct"/>
            <w:noWrap w:val="0"/>
            <w:vAlign w:val="center"/>
          </w:tcPr>
          <w:p w14:paraId="1C95E02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6.2～7.2</w:t>
            </w:r>
          </w:p>
        </w:tc>
        <w:tc>
          <w:tcPr>
            <w:tcW w:w="475" w:type="pct"/>
            <w:noWrap w:val="0"/>
            <w:vAlign w:val="center"/>
          </w:tcPr>
          <w:p w14:paraId="62C1E89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20～35</w:t>
            </w:r>
          </w:p>
        </w:tc>
        <w:tc>
          <w:tcPr>
            <w:tcW w:w="429" w:type="pct"/>
            <w:noWrap w:val="0"/>
            <w:vAlign w:val="center"/>
          </w:tcPr>
          <w:p w14:paraId="1ABC40F2">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6.0～7.1</w:t>
            </w:r>
          </w:p>
        </w:tc>
        <w:tc>
          <w:tcPr>
            <w:tcW w:w="708" w:type="pct"/>
            <w:noWrap w:val="0"/>
            <w:vAlign w:val="center"/>
          </w:tcPr>
          <w:p w14:paraId="027E830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0.353～0.373</w:t>
            </w:r>
          </w:p>
        </w:tc>
        <w:tc>
          <w:tcPr>
            <w:tcW w:w="614" w:type="pct"/>
            <w:noWrap w:val="0"/>
            <w:vAlign w:val="center"/>
          </w:tcPr>
          <w:p w14:paraId="5F368E5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0.2～0.25</w:t>
            </w:r>
          </w:p>
        </w:tc>
        <w:tc>
          <w:tcPr>
            <w:tcW w:w="338" w:type="pct"/>
            <w:noWrap w:val="0"/>
            <w:vAlign w:val="center"/>
          </w:tcPr>
          <w:p w14:paraId="07FE073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ND</w:t>
            </w:r>
          </w:p>
        </w:tc>
      </w:tr>
      <w:tr w14:paraId="0F5ED8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7A51A533">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W5</w:t>
            </w:r>
          </w:p>
        </w:tc>
        <w:tc>
          <w:tcPr>
            <w:tcW w:w="1009" w:type="pct"/>
            <w:noWrap w:val="0"/>
            <w:vAlign w:val="center"/>
          </w:tcPr>
          <w:p w14:paraId="2B4E2660">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濉溪第二污水处理厂排污口上游500米断面（巴河）</w:t>
            </w:r>
          </w:p>
        </w:tc>
        <w:tc>
          <w:tcPr>
            <w:tcW w:w="551" w:type="pct"/>
            <w:noWrap w:val="0"/>
            <w:vAlign w:val="center"/>
          </w:tcPr>
          <w:p w14:paraId="50CFC87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7.1～8.0</w:t>
            </w:r>
          </w:p>
        </w:tc>
        <w:tc>
          <w:tcPr>
            <w:tcW w:w="534" w:type="pct"/>
            <w:noWrap w:val="0"/>
            <w:vAlign w:val="center"/>
          </w:tcPr>
          <w:p w14:paraId="46C8132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6.3～7.1</w:t>
            </w:r>
          </w:p>
        </w:tc>
        <w:tc>
          <w:tcPr>
            <w:tcW w:w="475" w:type="pct"/>
            <w:noWrap w:val="0"/>
            <w:vAlign w:val="center"/>
          </w:tcPr>
          <w:p w14:paraId="291E466A">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30～35</w:t>
            </w:r>
          </w:p>
        </w:tc>
        <w:tc>
          <w:tcPr>
            <w:tcW w:w="429" w:type="pct"/>
            <w:noWrap w:val="0"/>
            <w:vAlign w:val="center"/>
          </w:tcPr>
          <w:p w14:paraId="1F6B1EEE">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6.2～7.0</w:t>
            </w:r>
          </w:p>
        </w:tc>
        <w:tc>
          <w:tcPr>
            <w:tcW w:w="708" w:type="pct"/>
            <w:noWrap w:val="0"/>
            <w:vAlign w:val="center"/>
          </w:tcPr>
          <w:p w14:paraId="0C490D2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0.303～0.318</w:t>
            </w:r>
          </w:p>
        </w:tc>
        <w:tc>
          <w:tcPr>
            <w:tcW w:w="614" w:type="pct"/>
            <w:noWrap w:val="0"/>
            <w:vAlign w:val="center"/>
          </w:tcPr>
          <w:p w14:paraId="110CC8D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0.25～0.26</w:t>
            </w:r>
          </w:p>
        </w:tc>
        <w:tc>
          <w:tcPr>
            <w:tcW w:w="338" w:type="pct"/>
            <w:noWrap w:val="0"/>
            <w:vAlign w:val="center"/>
          </w:tcPr>
          <w:p w14:paraId="157A0D8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ND</w:t>
            </w:r>
          </w:p>
        </w:tc>
      </w:tr>
      <w:tr w14:paraId="4861D8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6E77F7FD">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W6</w:t>
            </w:r>
          </w:p>
        </w:tc>
        <w:tc>
          <w:tcPr>
            <w:tcW w:w="1009" w:type="pct"/>
            <w:noWrap w:val="0"/>
            <w:vAlign w:val="center"/>
          </w:tcPr>
          <w:p w14:paraId="4C93598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濉溪第二污水处理厂排污口下游500米断面（巴河）</w:t>
            </w:r>
          </w:p>
        </w:tc>
        <w:tc>
          <w:tcPr>
            <w:tcW w:w="551" w:type="pct"/>
            <w:noWrap w:val="0"/>
            <w:vAlign w:val="center"/>
          </w:tcPr>
          <w:p w14:paraId="564EF55E">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7.2～7.3</w:t>
            </w:r>
          </w:p>
        </w:tc>
        <w:tc>
          <w:tcPr>
            <w:tcW w:w="534" w:type="pct"/>
            <w:noWrap w:val="0"/>
            <w:vAlign w:val="center"/>
          </w:tcPr>
          <w:p w14:paraId="4CF96655">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6.4～6.8</w:t>
            </w:r>
          </w:p>
        </w:tc>
        <w:tc>
          <w:tcPr>
            <w:tcW w:w="475" w:type="pct"/>
            <w:noWrap w:val="0"/>
            <w:vAlign w:val="center"/>
          </w:tcPr>
          <w:p w14:paraId="54E1451D">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18～35</w:t>
            </w:r>
          </w:p>
        </w:tc>
        <w:tc>
          <w:tcPr>
            <w:tcW w:w="429" w:type="pct"/>
            <w:noWrap w:val="0"/>
            <w:vAlign w:val="center"/>
          </w:tcPr>
          <w:p w14:paraId="26FA81D6">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6.2～7.3</w:t>
            </w:r>
          </w:p>
        </w:tc>
        <w:tc>
          <w:tcPr>
            <w:tcW w:w="708" w:type="pct"/>
            <w:noWrap w:val="0"/>
            <w:vAlign w:val="center"/>
          </w:tcPr>
          <w:p w14:paraId="7199273C">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0.281～0.336</w:t>
            </w:r>
          </w:p>
        </w:tc>
        <w:tc>
          <w:tcPr>
            <w:tcW w:w="614" w:type="pct"/>
            <w:noWrap w:val="0"/>
            <w:vAlign w:val="center"/>
          </w:tcPr>
          <w:p w14:paraId="71495D3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0.16～0.28</w:t>
            </w:r>
          </w:p>
        </w:tc>
        <w:tc>
          <w:tcPr>
            <w:tcW w:w="338" w:type="pct"/>
            <w:noWrap w:val="0"/>
            <w:vAlign w:val="center"/>
          </w:tcPr>
          <w:p w14:paraId="1B5ED7BB">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ND</w:t>
            </w:r>
          </w:p>
        </w:tc>
      </w:tr>
      <w:tr w14:paraId="3477FD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7509E2E6">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val="en-US" w:eastAsia="zh-CN"/>
              </w:rPr>
              <w:t>W7</w:t>
            </w:r>
          </w:p>
        </w:tc>
        <w:tc>
          <w:tcPr>
            <w:tcW w:w="1009" w:type="pct"/>
            <w:noWrap w:val="0"/>
            <w:vAlign w:val="center"/>
          </w:tcPr>
          <w:p w14:paraId="1C9D74F4">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濉溪</w:t>
            </w:r>
            <w:r>
              <w:rPr>
                <w:rFonts w:hint="default" w:ascii="Times New Roman" w:hAnsi="Times New Roman" w:eastAsia="宋体" w:cs="Times New Roman"/>
                <w:color w:val="auto"/>
                <w:sz w:val="21"/>
                <w:szCs w:val="21"/>
              </w:rPr>
              <w:t>第二污水处理厂</w:t>
            </w:r>
            <w:r>
              <w:rPr>
                <w:rFonts w:hint="default" w:ascii="Times New Roman" w:hAnsi="Times New Roman" w:eastAsia="宋体" w:cs="Times New Roman"/>
                <w:color w:val="auto"/>
                <w:sz w:val="21"/>
                <w:szCs w:val="21"/>
                <w:lang w:val="en-US" w:eastAsia="zh-CN"/>
              </w:rPr>
              <w:t>拟建排污口上游500m</w:t>
            </w:r>
          </w:p>
        </w:tc>
        <w:tc>
          <w:tcPr>
            <w:tcW w:w="551" w:type="pct"/>
            <w:noWrap w:val="0"/>
            <w:vAlign w:val="center"/>
          </w:tcPr>
          <w:p w14:paraId="6AE6C4E3">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7.2~7.3</w:t>
            </w:r>
          </w:p>
        </w:tc>
        <w:tc>
          <w:tcPr>
            <w:tcW w:w="534" w:type="pct"/>
            <w:noWrap w:val="0"/>
            <w:vAlign w:val="center"/>
          </w:tcPr>
          <w:p w14:paraId="05DD0180">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5.16~5.21</w:t>
            </w:r>
          </w:p>
        </w:tc>
        <w:tc>
          <w:tcPr>
            <w:tcW w:w="475" w:type="pct"/>
            <w:noWrap w:val="0"/>
            <w:vAlign w:val="center"/>
          </w:tcPr>
          <w:p w14:paraId="0D7D3A54">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16~18</w:t>
            </w:r>
          </w:p>
        </w:tc>
        <w:tc>
          <w:tcPr>
            <w:tcW w:w="429" w:type="pct"/>
            <w:noWrap w:val="0"/>
            <w:vAlign w:val="center"/>
          </w:tcPr>
          <w:p w14:paraId="0D6A3C42">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3.6~3.7</w:t>
            </w:r>
          </w:p>
        </w:tc>
        <w:tc>
          <w:tcPr>
            <w:tcW w:w="708" w:type="pct"/>
            <w:noWrap w:val="0"/>
            <w:vAlign w:val="center"/>
          </w:tcPr>
          <w:p w14:paraId="7982E13F">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0.346~0.392</w:t>
            </w:r>
          </w:p>
        </w:tc>
        <w:tc>
          <w:tcPr>
            <w:tcW w:w="614" w:type="pct"/>
            <w:noWrap w:val="0"/>
            <w:vAlign w:val="center"/>
          </w:tcPr>
          <w:p w14:paraId="485A3DFB">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0.073~0.081</w:t>
            </w:r>
          </w:p>
        </w:tc>
        <w:tc>
          <w:tcPr>
            <w:tcW w:w="338" w:type="pct"/>
            <w:noWrap w:val="0"/>
            <w:vAlign w:val="center"/>
          </w:tcPr>
          <w:p w14:paraId="3126F5B7">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ND</w:t>
            </w:r>
          </w:p>
        </w:tc>
      </w:tr>
      <w:tr w14:paraId="607B75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38" w:type="pct"/>
            <w:noWrap w:val="0"/>
            <w:vAlign w:val="center"/>
          </w:tcPr>
          <w:p w14:paraId="53FC69AC">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val="en-US" w:eastAsia="zh-CN"/>
              </w:rPr>
              <w:t>W8</w:t>
            </w:r>
          </w:p>
        </w:tc>
        <w:tc>
          <w:tcPr>
            <w:tcW w:w="1009" w:type="pct"/>
            <w:noWrap w:val="0"/>
            <w:vAlign w:val="center"/>
          </w:tcPr>
          <w:p w14:paraId="70B25CD9">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濉溪</w:t>
            </w:r>
            <w:r>
              <w:rPr>
                <w:rFonts w:hint="default" w:ascii="Times New Roman" w:hAnsi="Times New Roman" w:eastAsia="宋体" w:cs="Times New Roman"/>
                <w:color w:val="auto"/>
                <w:sz w:val="21"/>
                <w:szCs w:val="21"/>
              </w:rPr>
              <w:t>第二污水处理厂</w:t>
            </w:r>
            <w:r>
              <w:rPr>
                <w:rFonts w:hint="default" w:ascii="Times New Roman" w:hAnsi="Times New Roman" w:eastAsia="宋体" w:cs="Times New Roman"/>
                <w:color w:val="auto"/>
                <w:sz w:val="21"/>
                <w:szCs w:val="21"/>
                <w:lang w:val="en-US" w:eastAsia="zh-CN"/>
              </w:rPr>
              <w:t>拟建排污口下游500m</w:t>
            </w:r>
          </w:p>
        </w:tc>
        <w:tc>
          <w:tcPr>
            <w:tcW w:w="551" w:type="pct"/>
            <w:noWrap w:val="0"/>
            <w:vAlign w:val="center"/>
          </w:tcPr>
          <w:p w14:paraId="621B8351">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7.1~7.2</w:t>
            </w:r>
          </w:p>
        </w:tc>
        <w:tc>
          <w:tcPr>
            <w:tcW w:w="534" w:type="pct"/>
            <w:noWrap w:val="0"/>
            <w:vAlign w:val="center"/>
          </w:tcPr>
          <w:p w14:paraId="0A740042">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5.19~5.24</w:t>
            </w:r>
          </w:p>
        </w:tc>
        <w:tc>
          <w:tcPr>
            <w:tcW w:w="475" w:type="pct"/>
            <w:noWrap w:val="0"/>
            <w:vAlign w:val="center"/>
          </w:tcPr>
          <w:p w14:paraId="5A9A1C4C">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15~17</w:t>
            </w:r>
          </w:p>
        </w:tc>
        <w:tc>
          <w:tcPr>
            <w:tcW w:w="429" w:type="pct"/>
            <w:noWrap w:val="0"/>
            <w:vAlign w:val="center"/>
          </w:tcPr>
          <w:p w14:paraId="2B8B7E1C">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3.5~3.6</w:t>
            </w:r>
          </w:p>
        </w:tc>
        <w:tc>
          <w:tcPr>
            <w:tcW w:w="708" w:type="pct"/>
            <w:noWrap w:val="0"/>
            <w:vAlign w:val="center"/>
          </w:tcPr>
          <w:p w14:paraId="43252DEE">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0.330~0.360</w:t>
            </w:r>
          </w:p>
        </w:tc>
        <w:tc>
          <w:tcPr>
            <w:tcW w:w="614" w:type="pct"/>
            <w:noWrap w:val="0"/>
            <w:vAlign w:val="center"/>
          </w:tcPr>
          <w:p w14:paraId="43507185">
            <w:pPr>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0.043~0.056</w:t>
            </w:r>
          </w:p>
        </w:tc>
        <w:tc>
          <w:tcPr>
            <w:tcW w:w="338" w:type="pct"/>
            <w:noWrap w:val="0"/>
            <w:vAlign w:val="center"/>
          </w:tcPr>
          <w:p w14:paraId="4E18BB18">
            <w:pPr>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ND</w:t>
            </w:r>
          </w:p>
        </w:tc>
      </w:tr>
    </w:tbl>
    <w:p w14:paraId="3D47CEAA">
      <w:pPr>
        <w:spacing w:line="360" w:lineRule="auto"/>
        <w:rPr>
          <w:rFonts w:hint="eastAsia"/>
          <w:color w:val="auto"/>
          <w:sz w:val="24"/>
          <w:szCs w:val="21"/>
          <w:lang w:val="en-US" w:eastAsia="zh-CN"/>
        </w:rPr>
      </w:pPr>
    </w:p>
    <w:p w14:paraId="13DCFFDA">
      <w:pPr>
        <w:spacing w:line="360" w:lineRule="auto"/>
        <w:ind w:firstLine="480" w:firstLineChars="200"/>
        <w:rPr>
          <w:rFonts w:hint="default"/>
          <w:color w:val="auto"/>
          <w:sz w:val="24"/>
          <w:szCs w:val="21"/>
          <w:lang w:val="en-US" w:eastAsia="zh-CN"/>
        </w:rPr>
      </w:pPr>
      <w:r>
        <w:rPr>
          <w:rFonts w:hint="eastAsia"/>
          <w:color w:val="auto"/>
          <w:sz w:val="24"/>
          <w:szCs w:val="21"/>
          <w:lang w:val="en-US" w:eastAsia="zh-CN"/>
        </w:rPr>
        <w:t>根据上述评价标准与评价方法，得到的单因子评价结果见下表。</w:t>
      </w:r>
    </w:p>
    <w:p w14:paraId="7D54E756">
      <w:pPr>
        <w:spacing w:line="360" w:lineRule="auto"/>
        <w:jc w:val="center"/>
        <w:rPr>
          <w:rFonts w:hint="default"/>
          <w:b/>
          <w:bCs/>
          <w:color w:val="auto"/>
          <w:sz w:val="24"/>
          <w:szCs w:val="21"/>
          <w:lang w:val="en-US" w:eastAsia="zh-CN"/>
        </w:rPr>
      </w:pPr>
      <w:r>
        <w:rPr>
          <w:rFonts w:hint="eastAsia"/>
          <w:b/>
          <w:bCs/>
          <w:color w:val="auto"/>
          <w:sz w:val="24"/>
          <w:szCs w:val="21"/>
          <w:lang w:val="en-US" w:eastAsia="zh-CN"/>
        </w:rPr>
        <w:t>表4-7 地表水环境质量评价标准指数一览表</w:t>
      </w:r>
    </w:p>
    <w:tbl>
      <w:tblPr>
        <w:tblStyle w:val="31"/>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79"/>
        <w:gridCol w:w="1044"/>
        <w:gridCol w:w="1110"/>
        <w:gridCol w:w="1110"/>
        <w:gridCol w:w="1058"/>
        <w:gridCol w:w="1112"/>
        <w:gridCol w:w="1314"/>
        <w:gridCol w:w="1278"/>
        <w:gridCol w:w="951"/>
      </w:tblGrid>
      <w:tr w14:paraId="15EA16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noWrap w:val="0"/>
            <w:vAlign w:val="center"/>
          </w:tcPr>
          <w:p w14:paraId="7DD4263C">
            <w:pPr>
              <w:widowControl/>
              <w:adjustRightInd w:val="0"/>
              <w:snapToGrid w:val="0"/>
              <w:spacing w:line="240" w:lineRule="auto"/>
              <w:ind w:firstLine="0" w:firstLineChars="0"/>
              <w:jc w:val="center"/>
              <w:textAlignment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kern w:val="0"/>
                <w:sz w:val="21"/>
                <w:szCs w:val="21"/>
                <w:lang w:bidi="ar"/>
              </w:rPr>
              <w:t>检测点位</w:t>
            </w:r>
          </w:p>
        </w:tc>
        <w:tc>
          <w:tcPr>
            <w:tcW w:w="524" w:type="pct"/>
            <w:noWrap w:val="0"/>
            <w:vAlign w:val="center"/>
          </w:tcPr>
          <w:p w14:paraId="42F4D25C">
            <w:pPr>
              <w:widowControl/>
              <w:adjustRightInd w:val="0"/>
              <w:snapToGrid w:val="0"/>
              <w:spacing w:line="240" w:lineRule="auto"/>
              <w:ind w:firstLine="0" w:firstLineChars="0"/>
              <w:jc w:val="center"/>
              <w:textAlignment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kern w:val="0"/>
                <w:sz w:val="21"/>
                <w:szCs w:val="21"/>
                <w:lang w:bidi="ar"/>
              </w:rPr>
              <w:t>内容</w:t>
            </w:r>
          </w:p>
        </w:tc>
        <w:tc>
          <w:tcPr>
            <w:tcW w:w="557" w:type="pct"/>
            <w:noWrap w:val="0"/>
            <w:vAlign w:val="center"/>
          </w:tcPr>
          <w:p w14:paraId="74006B7B">
            <w:pPr>
              <w:widowControl/>
              <w:adjustRightInd w:val="0"/>
              <w:snapToGrid w:val="0"/>
              <w:spacing w:line="240" w:lineRule="auto"/>
              <w:ind w:firstLine="0" w:firstLineChars="0"/>
              <w:jc w:val="center"/>
              <w:textAlignment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kern w:val="0"/>
                <w:sz w:val="21"/>
                <w:szCs w:val="21"/>
                <w:lang w:bidi="ar"/>
              </w:rPr>
              <w:t>pH</w:t>
            </w:r>
          </w:p>
        </w:tc>
        <w:tc>
          <w:tcPr>
            <w:tcW w:w="557" w:type="pct"/>
            <w:noWrap w:val="0"/>
            <w:vAlign w:val="center"/>
          </w:tcPr>
          <w:p w14:paraId="19486852">
            <w:pPr>
              <w:widowControl/>
              <w:adjustRightInd w:val="0"/>
              <w:snapToGrid w:val="0"/>
              <w:spacing w:line="240" w:lineRule="auto"/>
              <w:ind w:firstLine="0" w:firstLineChars="0"/>
              <w:jc w:val="center"/>
              <w:textAlignment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kern w:val="0"/>
                <w:sz w:val="21"/>
                <w:szCs w:val="21"/>
                <w:lang w:bidi="ar"/>
              </w:rPr>
              <w:t>溶解氧</w:t>
            </w:r>
          </w:p>
        </w:tc>
        <w:tc>
          <w:tcPr>
            <w:tcW w:w="531" w:type="pct"/>
            <w:noWrap w:val="0"/>
            <w:vAlign w:val="center"/>
          </w:tcPr>
          <w:p w14:paraId="1E83693C">
            <w:pPr>
              <w:bidi w:val="0"/>
              <w:jc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sz w:val="21"/>
                <w:szCs w:val="21"/>
                <w:lang w:val="en-US" w:eastAsia="zh-CN"/>
              </w:rPr>
              <w:t>COD</w:t>
            </w:r>
          </w:p>
        </w:tc>
        <w:tc>
          <w:tcPr>
            <w:tcW w:w="558" w:type="pct"/>
            <w:noWrap w:val="0"/>
            <w:vAlign w:val="center"/>
          </w:tcPr>
          <w:p w14:paraId="5E989413">
            <w:pPr>
              <w:bidi w:val="0"/>
              <w:jc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sz w:val="21"/>
                <w:szCs w:val="21"/>
                <w:lang w:val="en-US" w:eastAsia="zh-CN"/>
              </w:rPr>
              <w:t>BOD</w:t>
            </w:r>
            <w:r>
              <w:rPr>
                <w:rFonts w:hint="default" w:ascii="Times New Roman" w:hAnsi="Times New Roman" w:eastAsia="宋体" w:cs="Times New Roman"/>
                <w:b/>
                <w:bCs/>
                <w:color w:val="auto"/>
                <w:sz w:val="21"/>
                <w:szCs w:val="21"/>
                <w:vertAlign w:val="subscript"/>
                <w:lang w:val="en-US" w:eastAsia="zh-CN"/>
              </w:rPr>
              <w:t>5</w:t>
            </w:r>
          </w:p>
        </w:tc>
        <w:tc>
          <w:tcPr>
            <w:tcW w:w="659" w:type="pct"/>
            <w:noWrap w:val="0"/>
            <w:vAlign w:val="center"/>
          </w:tcPr>
          <w:p w14:paraId="13C73E29">
            <w:pPr>
              <w:widowControl/>
              <w:adjustRightInd w:val="0"/>
              <w:snapToGrid w:val="0"/>
              <w:spacing w:line="240" w:lineRule="auto"/>
              <w:ind w:firstLine="0" w:firstLineChars="0"/>
              <w:jc w:val="center"/>
              <w:textAlignment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kern w:val="0"/>
                <w:sz w:val="21"/>
                <w:szCs w:val="21"/>
                <w:lang w:bidi="ar"/>
              </w:rPr>
              <w:t>氨氮</w:t>
            </w:r>
          </w:p>
        </w:tc>
        <w:tc>
          <w:tcPr>
            <w:tcW w:w="641" w:type="pct"/>
            <w:noWrap w:val="0"/>
            <w:vAlign w:val="center"/>
          </w:tcPr>
          <w:p w14:paraId="0339DA9F">
            <w:pPr>
              <w:widowControl/>
              <w:adjustRightInd w:val="0"/>
              <w:snapToGrid w:val="0"/>
              <w:spacing w:line="240" w:lineRule="auto"/>
              <w:ind w:firstLine="0" w:firstLineChars="0"/>
              <w:jc w:val="center"/>
              <w:textAlignment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kern w:val="0"/>
                <w:sz w:val="21"/>
                <w:szCs w:val="21"/>
                <w:lang w:bidi="ar"/>
              </w:rPr>
              <w:t>总磷</w:t>
            </w:r>
          </w:p>
        </w:tc>
        <w:tc>
          <w:tcPr>
            <w:tcW w:w="477" w:type="pct"/>
            <w:noWrap w:val="0"/>
            <w:vAlign w:val="center"/>
          </w:tcPr>
          <w:p w14:paraId="0D9B3B8B">
            <w:pPr>
              <w:widowControl/>
              <w:adjustRightInd w:val="0"/>
              <w:snapToGrid w:val="0"/>
              <w:spacing w:line="240" w:lineRule="auto"/>
              <w:ind w:firstLine="0" w:firstLineChars="0"/>
              <w:jc w:val="center"/>
              <w:textAlignment w:val="center"/>
              <w:rPr>
                <w:rFonts w:hint="default" w:ascii="Times New Roman" w:hAnsi="Times New Roman" w:eastAsia="宋体" w:cs="Times New Roman"/>
                <w:b/>
                <w:bCs/>
                <w:color w:val="auto"/>
                <w:kern w:val="0"/>
                <w:sz w:val="21"/>
                <w:szCs w:val="21"/>
                <w:lang w:bidi="ar"/>
              </w:rPr>
            </w:pPr>
            <w:r>
              <w:rPr>
                <w:rFonts w:hint="default" w:ascii="Times New Roman" w:hAnsi="Times New Roman" w:eastAsia="宋体" w:cs="Times New Roman"/>
                <w:b/>
                <w:bCs/>
                <w:color w:val="auto"/>
                <w:kern w:val="0"/>
                <w:sz w:val="21"/>
                <w:szCs w:val="21"/>
                <w:lang w:bidi="ar"/>
              </w:rPr>
              <w:t>石油类</w:t>
            </w:r>
          </w:p>
        </w:tc>
      </w:tr>
      <w:tr w14:paraId="3DA9E9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restart"/>
            <w:noWrap w:val="0"/>
            <w:vAlign w:val="center"/>
          </w:tcPr>
          <w:p w14:paraId="1C7D033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eastAsia="zh-CN" w:bidi="ar"/>
              </w:rPr>
            </w:pPr>
            <w:r>
              <w:rPr>
                <w:rFonts w:hint="default" w:ascii="Times New Roman" w:hAnsi="Times New Roman" w:eastAsia="宋体" w:cs="Times New Roman"/>
                <w:color w:val="auto"/>
                <w:kern w:val="0"/>
                <w:sz w:val="21"/>
                <w:szCs w:val="21"/>
                <w:lang w:bidi="ar"/>
              </w:rPr>
              <w:t>W1</w:t>
            </w:r>
          </w:p>
          <w:p w14:paraId="459CCE2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王引河入开发区前500m处断面</w:t>
            </w:r>
            <w:r>
              <w:rPr>
                <w:rFonts w:hint="default" w:ascii="Times New Roman" w:hAnsi="Times New Roman" w:eastAsia="宋体" w:cs="Times New Roman"/>
                <w:color w:val="auto"/>
                <w:sz w:val="21"/>
                <w:szCs w:val="21"/>
              </w:rPr>
              <w:t>（王引河）</w:t>
            </w:r>
          </w:p>
        </w:tc>
        <w:tc>
          <w:tcPr>
            <w:tcW w:w="524" w:type="pct"/>
            <w:noWrap w:val="0"/>
            <w:vAlign w:val="center"/>
          </w:tcPr>
          <w:p w14:paraId="4EE432B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测定范围</w:t>
            </w:r>
          </w:p>
        </w:tc>
        <w:tc>
          <w:tcPr>
            <w:tcW w:w="557" w:type="pct"/>
            <w:noWrap w:val="0"/>
            <w:vAlign w:val="center"/>
          </w:tcPr>
          <w:p w14:paraId="7D5481C1">
            <w:pPr>
              <w:pStyle w:val="118"/>
              <w:widowControl/>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7.2～7.4</w:t>
            </w:r>
          </w:p>
        </w:tc>
        <w:tc>
          <w:tcPr>
            <w:tcW w:w="557" w:type="pct"/>
            <w:noWrap w:val="0"/>
            <w:vAlign w:val="center"/>
          </w:tcPr>
          <w:p w14:paraId="7F9497D2">
            <w:pPr>
              <w:pStyle w:val="118"/>
              <w:widowControl/>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6.4～7.2</w:t>
            </w:r>
          </w:p>
        </w:tc>
        <w:tc>
          <w:tcPr>
            <w:tcW w:w="531" w:type="pct"/>
            <w:noWrap w:val="0"/>
            <w:vAlign w:val="center"/>
          </w:tcPr>
          <w:p w14:paraId="2CA92C6D">
            <w:pPr>
              <w:pStyle w:val="118"/>
              <w:widowControl/>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25～31</w:t>
            </w:r>
          </w:p>
        </w:tc>
        <w:tc>
          <w:tcPr>
            <w:tcW w:w="558" w:type="pct"/>
            <w:noWrap w:val="0"/>
            <w:vAlign w:val="center"/>
          </w:tcPr>
          <w:p w14:paraId="38530176">
            <w:pPr>
              <w:pStyle w:val="118"/>
              <w:widowControl/>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6.2～7.4</w:t>
            </w:r>
          </w:p>
        </w:tc>
        <w:tc>
          <w:tcPr>
            <w:tcW w:w="659" w:type="pct"/>
            <w:noWrap w:val="0"/>
            <w:vAlign w:val="center"/>
          </w:tcPr>
          <w:p w14:paraId="31948B4D">
            <w:pPr>
              <w:pStyle w:val="118"/>
              <w:widowControl/>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0.611～0.706</w:t>
            </w:r>
          </w:p>
        </w:tc>
        <w:tc>
          <w:tcPr>
            <w:tcW w:w="641" w:type="pct"/>
            <w:noWrap w:val="0"/>
            <w:vAlign w:val="center"/>
          </w:tcPr>
          <w:p w14:paraId="0FCEFCB8">
            <w:pPr>
              <w:pStyle w:val="118"/>
              <w:widowControl/>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0.16～0.26</w:t>
            </w:r>
          </w:p>
        </w:tc>
        <w:tc>
          <w:tcPr>
            <w:tcW w:w="477" w:type="pct"/>
            <w:noWrap w:val="0"/>
            <w:vAlign w:val="center"/>
          </w:tcPr>
          <w:p w14:paraId="198251BB">
            <w:pPr>
              <w:pStyle w:val="118"/>
              <w:widowControl/>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ND</w:t>
            </w:r>
          </w:p>
        </w:tc>
      </w:tr>
      <w:tr w14:paraId="205BF4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57BD477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109B952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标准</w:t>
            </w:r>
          </w:p>
        </w:tc>
        <w:tc>
          <w:tcPr>
            <w:tcW w:w="557" w:type="pct"/>
            <w:noWrap w:val="0"/>
            <w:vAlign w:val="center"/>
          </w:tcPr>
          <w:p w14:paraId="5C1F97C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6～9</w:t>
            </w:r>
          </w:p>
        </w:tc>
        <w:tc>
          <w:tcPr>
            <w:tcW w:w="557" w:type="pct"/>
            <w:noWrap w:val="0"/>
            <w:vAlign w:val="center"/>
          </w:tcPr>
          <w:p w14:paraId="5786D20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5</w:t>
            </w:r>
          </w:p>
        </w:tc>
        <w:tc>
          <w:tcPr>
            <w:tcW w:w="531" w:type="pct"/>
            <w:noWrap w:val="0"/>
            <w:vAlign w:val="center"/>
          </w:tcPr>
          <w:p w14:paraId="29ED76A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20</w:t>
            </w:r>
          </w:p>
        </w:tc>
        <w:tc>
          <w:tcPr>
            <w:tcW w:w="558" w:type="pct"/>
            <w:noWrap w:val="0"/>
            <w:vAlign w:val="center"/>
          </w:tcPr>
          <w:p w14:paraId="29A0A4C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4</w:t>
            </w:r>
          </w:p>
        </w:tc>
        <w:tc>
          <w:tcPr>
            <w:tcW w:w="659" w:type="pct"/>
            <w:noWrap w:val="0"/>
            <w:vAlign w:val="center"/>
          </w:tcPr>
          <w:p w14:paraId="472028E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w:t>
            </w:r>
          </w:p>
        </w:tc>
        <w:tc>
          <w:tcPr>
            <w:tcW w:w="641" w:type="pct"/>
            <w:noWrap w:val="0"/>
            <w:vAlign w:val="center"/>
          </w:tcPr>
          <w:p w14:paraId="49FD465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0.2</w:t>
            </w:r>
          </w:p>
        </w:tc>
        <w:tc>
          <w:tcPr>
            <w:tcW w:w="477" w:type="pct"/>
            <w:noWrap w:val="0"/>
            <w:vAlign w:val="center"/>
          </w:tcPr>
          <w:p w14:paraId="4051621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0.05</w:t>
            </w:r>
          </w:p>
        </w:tc>
      </w:tr>
      <w:tr w14:paraId="6F6BF2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677A97F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48C7B1E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最大指数</w:t>
            </w:r>
          </w:p>
        </w:tc>
        <w:tc>
          <w:tcPr>
            <w:tcW w:w="557" w:type="pct"/>
            <w:noWrap w:val="0"/>
            <w:vAlign w:val="center"/>
          </w:tcPr>
          <w:p w14:paraId="0AFE0CF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57" w:type="pct"/>
            <w:noWrap w:val="0"/>
            <w:vAlign w:val="center"/>
          </w:tcPr>
          <w:p w14:paraId="750F012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31" w:type="pct"/>
            <w:noWrap w:val="0"/>
            <w:vAlign w:val="center"/>
          </w:tcPr>
          <w:p w14:paraId="48FEC02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1.55</w:t>
            </w:r>
          </w:p>
        </w:tc>
        <w:tc>
          <w:tcPr>
            <w:tcW w:w="558" w:type="pct"/>
            <w:noWrap w:val="0"/>
            <w:vAlign w:val="center"/>
          </w:tcPr>
          <w:p w14:paraId="7294922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1.85</w:t>
            </w:r>
          </w:p>
        </w:tc>
        <w:tc>
          <w:tcPr>
            <w:tcW w:w="659" w:type="pct"/>
            <w:noWrap w:val="0"/>
            <w:vAlign w:val="center"/>
          </w:tcPr>
          <w:p w14:paraId="4BD0911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0.706</w:t>
            </w:r>
          </w:p>
        </w:tc>
        <w:tc>
          <w:tcPr>
            <w:tcW w:w="641" w:type="pct"/>
            <w:noWrap w:val="0"/>
            <w:vAlign w:val="center"/>
          </w:tcPr>
          <w:p w14:paraId="740772A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1.3</w:t>
            </w:r>
          </w:p>
        </w:tc>
        <w:tc>
          <w:tcPr>
            <w:tcW w:w="477" w:type="pct"/>
            <w:noWrap w:val="0"/>
            <w:vAlign w:val="center"/>
          </w:tcPr>
          <w:p w14:paraId="6CBA52D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0.6</w:t>
            </w:r>
          </w:p>
        </w:tc>
      </w:tr>
      <w:tr w14:paraId="112BCB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499F6A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5DF1495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超标率</w:t>
            </w:r>
          </w:p>
        </w:tc>
        <w:tc>
          <w:tcPr>
            <w:tcW w:w="557" w:type="pct"/>
            <w:noWrap w:val="0"/>
            <w:vAlign w:val="center"/>
          </w:tcPr>
          <w:p w14:paraId="7622ED8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57" w:type="pct"/>
            <w:noWrap w:val="0"/>
            <w:vAlign w:val="center"/>
          </w:tcPr>
          <w:p w14:paraId="7C28120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31" w:type="pct"/>
            <w:noWrap w:val="0"/>
            <w:vAlign w:val="center"/>
          </w:tcPr>
          <w:p w14:paraId="3AB3BB7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558" w:type="pct"/>
            <w:noWrap w:val="0"/>
            <w:vAlign w:val="center"/>
          </w:tcPr>
          <w:p w14:paraId="700B6E9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659" w:type="pct"/>
            <w:noWrap w:val="0"/>
            <w:vAlign w:val="center"/>
          </w:tcPr>
          <w:p w14:paraId="46E1CE8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641" w:type="pct"/>
            <w:noWrap w:val="0"/>
            <w:vAlign w:val="center"/>
          </w:tcPr>
          <w:p w14:paraId="79FD0CE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66.6%</w:t>
            </w:r>
          </w:p>
        </w:tc>
        <w:tc>
          <w:tcPr>
            <w:tcW w:w="477" w:type="pct"/>
            <w:noWrap w:val="0"/>
            <w:vAlign w:val="center"/>
          </w:tcPr>
          <w:p w14:paraId="5A44DA5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r>
      <w:tr w14:paraId="7829A6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7F48486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3630315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最大超标倍数</w:t>
            </w:r>
          </w:p>
        </w:tc>
        <w:tc>
          <w:tcPr>
            <w:tcW w:w="557" w:type="pct"/>
            <w:noWrap w:val="0"/>
            <w:vAlign w:val="center"/>
          </w:tcPr>
          <w:p w14:paraId="0107087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7" w:type="pct"/>
            <w:noWrap w:val="0"/>
            <w:vAlign w:val="center"/>
          </w:tcPr>
          <w:p w14:paraId="400FCCA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31" w:type="pct"/>
            <w:noWrap w:val="0"/>
            <w:vAlign w:val="center"/>
          </w:tcPr>
          <w:p w14:paraId="2DC9962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1.55</w:t>
            </w:r>
          </w:p>
        </w:tc>
        <w:tc>
          <w:tcPr>
            <w:tcW w:w="558" w:type="pct"/>
            <w:noWrap w:val="0"/>
            <w:vAlign w:val="center"/>
          </w:tcPr>
          <w:p w14:paraId="66A52AD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1.85</w:t>
            </w:r>
          </w:p>
        </w:tc>
        <w:tc>
          <w:tcPr>
            <w:tcW w:w="659" w:type="pct"/>
            <w:noWrap w:val="0"/>
            <w:vAlign w:val="center"/>
          </w:tcPr>
          <w:p w14:paraId="74E04C6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41" w:type="pct"/>
            <w:noWrap w:val="0"/>
            <w:vAlign w:val="center"/>
          </w:tcPr>
          <w:p w14:paraId="051BB17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1.3</w:t>
            </w:r>
          </w:p>
        </w:tc>
        <w:tc>
          <w:tcPr>
            <w:tcW w:w="477" w:type="pct"/>
            <w:noWrap w:val="0"/>
            <w:vAlign w:val="center"/>
          </w:tcPr>
          <w:p w14:paraId="7878AAE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r>
      <w:tr w14:paraId="24183E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restart"/>
            <w:noWrap w:val="0"/>
            <w:vAlign w:val="center"/>
          </w:tcPr>
          <w:p w14:paraId="2951524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eastAsia="zh-CN" w:bidi="ar"/>
              </w:rPr>
            </w:pPr>
            <w:r>
              <w:rPr>
                <w:rFonts w:hint="default" w:ascii="Times New Roman" w:hAnsi="Times New Roman" w:eastAsia="宋体" w:cs="Times New Roman"/>
                <w:color w:val="auto"/>
                <w:kern w:val="0"/>
                <w:sz w:val="21"/>
                <w:szCs w:val="21"/>
                <w:lang w:bidi="ar"/>
              </w:rPr>
              <w:t>W2</w:t>
            </w:r>
          </w:p>
          <w:p w14:paraId="55408A5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王引河与巴河交汇处上游 500 米（王引河）</w:t>
            </w:r>
          </w:p>
        </w:tc>
        <w:tc>
          <w:tcPr>
            <w:tcW w:w="524" w:type="pct"/>
            <w:noWrap w:val="0"/>
            <w:vAlign w:val="center"/>
          </w:tcPr>
          <w:p w14:paraId="27573BA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测定范围</w:t>
            </w:r>
          </w:p>
        </w:tc>
        <w:tc>
          <w:tcPr>
            <w:tcW w:w="557" w:type="pct"/>
            <w:noWrap w:val="0"/>
            <w:vAlign w:val="center"/>
          </w:tcPr>
          <w:p w14:paraId="086E8EA4">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7.4～7.6</w:t>
            </w:r>
          </w:p>
        </w:tc>
        <w:tc>
          <w:tcPr>
            <w:tcW w:w="557" w:type="pct"/>
            <w:noWrap w:val="0"/>
            <w:vAlign w:val="center"/>
          </w:tcPr>
          <w:p w14:paraId="5EA2EB7D">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6.2～7.4</w:t>
            </w:r>
          </w:p>
        </w:tc>
        <w:tc>
          <w:tcPr>
            <w:tcW w:w="531" w:type="pct"/>
            <w:noWrap w:val="0"/>
            <w:vAlign w:val="center"/>
          </w:tcPr>
          <w:p w14:paraId="1DAE3E92">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29～35</w:t>
            </w:r>
          </w:p>
        </w:tc>
        <w:tc>
          <w:tcPr>
            <w:tcW w:w="558" w:type="pct"/>
            <w:noWrap w:val="0"/>
            <w:vAlign w:val="center"/>
          </w:tcPr>
          <w:p w14:paraId="0E6A0F66">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6.2～7.9</w:t>
            </w:r>
          </w:p>
        </w:tc>
        <w:tc>
          <w:tcPr>
            <w:tcW w:w="659" w:type="pct"/>
            <w:noWrap w:val="0"/>
            <w:vAlign w:val="center"/>
          </w:tcPr>
          <w:p w14:paraId="6F1FB6E2">
            <w:pPr>
              <w:widowControl/>
              <w:adjustRightInd w:val="0"/>
              <w:snapToGrid w:val="0"/>
              <w:spacing w:line="240" w:lineRule="auto"/>
              <w:ind w:firstLine="0" w:firstLineChars="0"/>
              <w:jc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0.128～0.218</w:t>
            </w:r>
          </w:p>
        </w:tc>
        <w:tc>
          <w:tcPr>
            <w:tcW w:w="641" w:type="pct"/>
            <w:noWrap w:val="0"/>
            <w:vAlign w:val="center"/>
          </w:tcPr>
          <w:p w14:paraId="18C196F3">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0.21～0.26</w:t>
            </w:r>
          </w:p>
        </w:tc>
        <w:tc>
          <w:tcPr>
            <w:tcW w:w="477" w:type="pct"/>
            <w:noWrap w:val="0"/>
            <w:vAlign w:val="center"/>
          </w:tcPr>
          <w:p w14:paraId="76CB057B">
            <w:pPr>
              <w:widowControl/>
              <w:adjustRightInd w:val="0"/>
              <w:snapToGrid w:val="0"/>
              <w:spacing w:line="240" w:lineRule="auto"/>
              <w:ind w:firstLine="0" w:firstLineChars="0"/>
              <w:jc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ND</w:t>
            </w:r>
          </w:p>
        </w:tc>
      </w:tr>
      <w:tr w14:paraId="00FE09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70C66F0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2DE61D7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标准</w:t>
            </w:r>
          </w:p>
        </w:tc>
        <w:tc>
          <w:tcPr>
            <w:tcW w:w="557" w:type="pct"/>
            <w:noWrap w:val="0"/>
            <w:vAlign w:val="center"/>
          </w:tcPr>
          <w:p w14:paraId="4D226A6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6～9</w:t>
            </w:r>
          </w:p>
        </w:tc>
        <w:tc>
          <w:tcPr>
            <w:tcW w:w="557" w:type="pct"/>
            <w:noWrap w:val="0"/>
            <w:vAlign w:val="center"/>
          </w:tcPr>
          <w:p w14:paraId="11EE318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5</w:t>
            </w:r>
          </w:p>
        </w:tc>
        <w:tc>
          <w:tcPr>
            <w:tcW w:w="531" w:type="pct"/>
            <w:noWrap w:val="0"/>
            <w:vAlign w:val="center"/>
          </w:tcPr>
          <w:p w14:paraId="68E7D0A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20</w:t>
            </w:r>
          </w:p>
        </w:tc>
        <w:tc>
          <w:tcPr>
            <w:tcW w:w="558" w:type="pct"/>
            <w:noWrap w:val="0"/>
            <w:vAlign w:val="center"/>
          </w:tcPr>
          <w:p w14:paraId="5A3E6EF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4</w:t>
            </w:r>
          </w:p>
        </w:tc>
        <w:tc>
          <w:tcPr>
            <w:tcW w:w="659" w:type="pct"/>
            <w:noWrap w:val="0"/>
            <w:vAlign w:val="center"/>
          </w:tcPr>
          <w:p w14:paraId="1AED60A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w:t>
            </w:r>
          </w:p>
        </w:tc>
        <w:tc>
          <w:tcPr>
            <w:tcW w:w="641" w:type="pct"/>
            <w:noWrap w:val="0"/>
            <w:vAlign w:val="center"/>
          </w:tcPr>
          <w:p w14:paraId="3B1F5E2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0.2</w:t>
            </w:r>
          </w:p>
        </w:tc>
        <w:tc>
          <w:tcPr>
            <w:tcW w:w="477" w:type="pct"/>
            <w:noWrap w:val="0"/>
            <w:vAlign w:val="center"/>
          </w:tcPr>
          <w:p w14:paraId="1CFBD36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0.05</w:t>
            </w:r>
          </w:p>
        </w:tc>
      </w:tr>
      <w:tr w14:paraId="168E0D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007B7A2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213C611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最大指数</w:t>
            </w:r>
          </w:p>
        </w:tc>
        <w:tc>
          <w:tcPr>
            <w:tcW w:w="557" w:type="pct"/>
            <w:noWrap w:val="0"/>
            <w:vAlign w:val="center"/>
          </w:tcPr>
          <w:p w14:paraId="4D41958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57" w:type="pct"/>
            <w:noWrap w:val="0"/>
            <w:vAlign w:val="center"/>
          </w:tcPr>
          <w:p w14:paraId="6D7E364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31" w:type="pct"/>
            <w:noWrap w:val="0"/>
            <w:vAlign w:val="center"/>
          </w:tcPr>
          <w:p w14:paraId="70A15E0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1.7</w:t>
            </w:r>
          </w:p>
        </w:tc>
        <w:tc>
          <w:tcPr>
            <w:tcW w:w="558" w:type="pct"/>
            <w:noWrap w:val="0"/>
            <w:vAlign w:val="center"/>
          </w:tcPr>
          <w:p w14:paraId="2A3B522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1.98</w:t>
            </w:r>
          </w:p>
        </w:tc>
        <w:tc>
          <w:tcPr>
            <w:tcW w:w="659" w:type="pct"/>
            <w:noWrap w:val="0"/>
            <w:vAlign w:val="center"/>
          </w:tcPr>
          <w:p w14:paraId="1E9D446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0.218</w:t>
            </w:r>
          </w:p>
        </w:tc>
        <w:tc>
          <w:tcPr>
            <w:tcW w:w="641" w:type="pct"/>
            <w:noWrap w:val="0"/>
            <w:vAlign w:val="center"/>
          </w:tcPr>
          <w:p w14:paraId="380A64A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1.3</w:t>
            </w:r>
          </w:p>
        </w:tc>
        <w:tc>
          <w:tcPr>
            <w:tcW w:w="477" w:type="pct"/>
            <w:noWrap w:val="0"/>
            <w:vAlign w:val="center"/>
          </w:tcPr>
          <w:p w14:paraId="52AD697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0.6</w:t>
            </w:r>
          </w:p>
        </w:tc>
      </w:tr>
      <w:tr w14:paraId="17953B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8" w:hRule="atLeast"/>
          <w:jc w:val="center"/>
        </w:trPr>
        <w:tc>
          <w:tcPr>
            <w:tcW w:w="491" w:type="pct"/>
            <w:vMerge w:val="continue"/>
            <w:noWrap w:val="0"/>
            <w:vAlign w:val="center"/>
          </w:tcPr>
          <w:p w14:paraId="1761B42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1BD137F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超标率</w:t>
            </w:r>
          </w:p>
        </w:tc>
        <w:tc>
          <w:tcPr>
            <w:tcW w:w="557" w:type="pct"/>
            <w:noWrap w:val="0"/>
            <w:vAlign w:val="center"/>
          </w:tcPr>
          <w:p w14:paraId="4A6084C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57" w:type="pct"/>
            <w:noWrap w:val="0"/>
            <w:vAlign w:val="center"/>
          </w:tcPr>
          <w:p w14:paraId="539D299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31" w:type="pct"/>
            <w:noWrap w:val="0"/>
            <w:vAlign w:val="center"/>
          </w:tcPr>
          <w:p w14:paraId="2803E3D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558" w:type="pct"/>
            <w:noWrap w:val="0"/>
            <w:vAlign w:val="center"/>
          </w:tcPr>
          <w:p w14:paraId="706FA0F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659" w:type="pct"/>
            <w:noWrap w:val="0"/>
            <w:vAlign w:val="center"/>
          </w:tcPr>
          <w:p w14:paraId="2EFCD4C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641" w:type="pct"/>
            <w:noWrap w:val="0"/>
            <w:vAlign w:val="center"/>
          </w:tcPr>
          <w:p w14:paraId="6DB0779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477" w:type="pct"/>
            <w:noWrap w:val="0"/>
            <w:vAlign w:val="center"/>
          </w:tcPr>
          <w:p w14:paraId="5D8019E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r>
      <w:tr w14:paraId="2619A1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0D53F0E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4D2F827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最大超标倍数</w:t>
            </w:r>
          </w:p>
        </w:tc>
        <w:tc>
          <w:tcPr>
            <w:tcW w:w="557" w:type="pct"/>
            <w:noWrap w:val="0"/>
            <w:vAlign w:val="center"/>
          </w:tcPr>
          <w:p w14:paraId="7931D14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7" w:type="pct"/>
            <w:noWrap w:val="0"/>
            <w:vAlign w:val="center"/>
          </w:tcPr>
          <w:p w14:paraId="4AE642F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31" w:type="pct"/>
            <w:noWrap w:val="0"/>
            <w:vAlign w:val="center"/>
          </w:tcPr>
          <w:p w14:paraId="2511282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1.7</w:t>
            </w:r>
          </w:p>
        </w:tc>
        <w:tc>
          <w:tcPr>
            <w:tcW w:w="558" w:type="pct"/>
            <w:noWrap w:val="0"/>
            <w:vAlign w:val="center"/>
          </w:tcPr>
          <w:p w14:paraId="32F9F8E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1.98</w:t>
            </w:r>
          </w:p>
        </w:tc>
        <w:tc>
          <w:tcPr>
            <w:tcW w:w="659" w:type="pct"/>
            <w:noWrap w:val="0"/>
            <w:vAlign w:val="center"/>
          </w:tcPr>
          <w:p w14:paraId="1598592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41" w:type="pct"/>
            <w:noWrap w:val="0"/>
            <w:vAlign w:val="center"/>
          </w:tcPr>
          <w:p w14:paraId="76C04FC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1.3</w:t>
            </w:r>
          </w:p>
        </w:tc>
        <w:tc>
          <w:tcPr>
            <w:tcW w:w="477" w:type="pct"/>
            <w:noWrap w:val="0"/>
            <w:vAlign w:val="center"/>
          </w:tcPr>
          <w:p w14:paraId="7292471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r>
      <w:tr w14:paraId="0FAEF8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restart"/>
            <w:noWrap w:val="0"/>
            <w:vAlign w:val="center"/>
          </w:tcPr>
          <w:p w14:paraId="330EA68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eastAsia="zh-CN" w:bidi="ar"/>
              </w:rPr>
            </w:pPr>
            <w:r>
              <w:rPr>
                <w:rFonts w:hint="default" w:ascii="Times New Roman" w:hAnsi="Times New Roman" w:eastAsia="宋体" w:cs="Times New Roman"/>
                <w:color w:val="auto"/>
                <w:kern w:val="0"/>
                <w:sz w:val="21"/>
                <w:szCs w:val="21"/>
                <w:lang w:bidi="ar"/>
              </w:rPr>
              <w:t>W3</w:t>
            </w:r>
          </w:p>
          <w:p w14:paraId="546DE89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王引河与巴河交汇处下游 500 米断面</w:t>
            </w:r>
            <w:r>
              <w:rPr>
                <w:rFonts w:hint="default" w:ascii="Times New Roman" w:hAnsi="Times New Roman" w:eastAsia="宋体" w:cs="Times New Roman"/>
                <w:color w:val="auto"/>
                <w:sz w:val="21"/>
                <w:szCs w:val="21"/>
              </w:rPr>
              <w:t>（王引河）</w:t>
            </w:r>
          </w:p>
        </w:tc>
        <w:tc>
          <w:tcPr>
            <w:tcW w:w="524" w:type="pct"/>
            <w:noWrap w:val="0"/>
            <w:vAlign w:val="center"/>
          </w:tcPr>
          <w:p w14:paraId="4573C87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测定范围</w:t>
            </w:r>
          </w:p>
        </w:tc>
        <w:tc>
          <w:tcPr>
            <w:tcW w:w="557" w:type="pct"/>
            <w:noWrap w:val="0"/>
            <w:vAlign w:val="center"/>
          </w:tcPr>
          <w:p w14:paraId="32B8222C">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7.4～7.6</w:t>
            </w:r>
          </w:p>
        </w:tc>
        <w:tc>
          <w:tcPr>
            <w:tcW w:w="557" w:type="pct"/>
            <w:noWrap w:val="0"/>
            <w:vAlign w:val="center"/>
          </w:tcPr>
          <w:p w14:paraId="4B00E363">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6.0～7.1</w:t>
            </w:r>
          </w:p>
        </w:tc>
        <w:tc>
          <w:tcPr>
            <w:tcW w:w="531" w:type="pct"/>
            <w:noWrap w:val="0"/>
            <w:vAlign w:val="center"/>
          </w:tcPr>
          <w:p w14:paraId="555AB62D">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25～33</w:t>
            </w:r>
          </w:p>
        </w:tc>
        <w:tc>
          <w:tcPr>
            <w:tcW w:w="558" w:type="pct"/>
            <w:noWrap w:val="0"/>
            <w:vAlign w:val="center"/>
          </w:tcPr>
          <w:p w14:paraId="51790E02">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6.2～7.8</w:t>
            </w:r>
          </w:p>
        </w:tc>
        <w:tc>
          <w:tcPr>
            <w:tcW w:w="659" w:type="pct"/>
            <w:noWrap w:val="0"/>
            <w:vAlign w:val="center"/>
          </w:tcPr>
          <w:p w14:paraId="5263AC2A">
            <w:pPr>
              <w:widowControl/>
              <w:adjustRightInd w:val="0"/>
              <w:snapToGrid w:val="0"/>
              <w:spacing w:line="240" w:lineRule="auto"/>
              <w:ind w:firstLine="0" w:firstLineChars="0"/>
              <w:jc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0.051～0.528</w:t>
            </w:r>
          </w:p>
        </w:tc>
        <w:tc>
          <w:tcPr>
            <w:tcW w:w="641" w:type="pct"/>
            <w:noWrap w:val="0"/>
            <w:vAlign w:val="center"/>
          </w:tcPr>
          <w:p w14:paraId="64E9EC0D">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0.26～0.28</w:t>
            </w:r>
          </w:p>
        </w:tc>
        <w:tc>
          <w:tcPr>
            <w:tcW w:w="477" w:type="pct"/>
            <w:noWrap w:val="0"/>
            <w:vAlign w:val="center"/>
          </w:tcPr>
          <w:p w14:paraId="457EE309">
            <w:pPr>
              <w:widowControl/>
              <w:adjustRightInd w:val="0"/>
              <w:snapToGrid w:val="0"/>
              <w:spacing w:line="240" w:lineRule="auto"/>
              <w:ind w:firstLine="0" w:firstLineChars="0"/>
              <w:jc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ND</w:t>
            </w:r>
          </w:p>
        </w:tc>
      </w:tr>
      <w:tr w14:paraId="4D3596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D63899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1482ADD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标准</w:t>
            </w:r>
          </w:p>
        </w:tc>
        <w:tc>
          <w:tcPr>
            <w:tcW w:w="557" w:type="pct"/>
            <w:noWrap w:val="0"/>
            <w:vAlign w:val="center"/>
          </w:tcPr>
          <w:p w14:paraId="1DEEF81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6～9</w:t>
            </w:r>
          </w:p>
        </w:tc>
        <w:tc>
          <w:tcPr>
            <w:tcW w:w="557" w:type="pct"/>
            <w:noWrap w:val="0"/>
            <w:vAlign w:val="center"/>
          </w:tcPr>
          <w:p w14:paraId="3B8C083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5</w:t>
            </w:r>
          </w:p>
        </w:tc>
        <w:tc>
          <w:tcPr>
            <w:tcW w:w="531" w:type="pct"/>
            <w:noWrap w:val="0"/>
            <w:vAlign w:val="center"/>
          </w:tcPr>
          <w:p w14:paraId="2A517AD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20</w:t>
            </w:r>
          </w:p>
        </w:tc>
        <w:tc>
          <w:tcPr>
            <w:tcW w:w="558" w:type="pct"/>
            <w:noWrap w:val="0"/>
            <w:vAlign w:val="center"/>
          </w:tcPr>
          <w:p w14:paraId="10AFA39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4</w:t>
            </w:r>
          </w:p>
        </w:tc>
        <w:tc>
          <w:tcPr>
            <w:tcW w:w="659" w:type="pct"/>
            <w:noWrap w:val="0"/>
            <w:vAlign w:val="center"/>
          </w:tcPr>
          <w:p w14:paraId="6DE4378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w:t>
            </w:r>
          </w:p>
        </w:tc>
        <w:tc>
          <w:tcPr>
            <w:tcW w:w="641" w:type="pct"/>
            <w:noWrap w:val="0"/>
            <w:vAlign w:val="center"/>
          </w:tcPr>
          <w:p w14:paraId="38DCE0C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0.2</w:t>
            </w:r>
          </w:p>
        </w:tc>
        <w:tc>
          <w:tcPr>
            <w:tcW w:w="477" w:type="pct"/>
            <w:noWrap w:val="0"/>
            <w:vAlign w:val="center"/>
          </w:tcPr>
          <w:p w14:paraId="57379A4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0.05</w:t>
            </w:r>
          </w:p>
        </w:tc>
      </w:tr>
      <w:tr w14:paraId="76905E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44F9518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023736A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最大指数</w:t>
            </w:r>
          </w:p>
        </w:tc>
        <w:tc>
          <w:tcPr>
            <w:tcW w:w="557" w:type="pct"/>
            <w:noWrap w:val="0"/>
            <w:vAlign w:val="center"/>
          </w:tcPr>
          <w:p w14:paraId="38E7E74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57" w:type="pct"/>
            <w:noWrap w:val="0"/>
            <w:vAlign w:val="center"/>
          </w:tcPr>
          <w:p w14:paraId="6B8792D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31" w:type="pct"/>
            <w:noWrap w:val="0"/>
            <w:vAlign w:val="center"/>
          </w:tcPr>
          <w:p w14:paraId="19B9371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1.65</w:t>
            </w:r>
          </w:p>
        </w:tc>
        <w:tc>
          <w:tcPr>
            <w:tcW w:w="558" w:type="pct"/>
            <w:noWrap w:val="0"/>
            <w:vAlign w:val="center"/>
          </w:tcPr>
          <w:p w14:paraId="75E65FC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1.95</w:t>
            </w:r>
          </w:p>
        </w:tc>
        <w:tc>
          <w:tcPr>
            <w:tcW w:w="659" w:type="pct"/>
            <w:noWrap w:val="0"/>
            <w:vAlign w:val="center"/>
          </w:tcPr>
          <w:p w14:paraId="25A15F1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0.528</w:t>
            </w:r>
          </w:p>
        </w:tc>
        <w:tc>
          <w:tcPr>
            <w:tcW w:w="641" w:type="pct"/>
            <w:noWrap w:val="0"/>
            <w:vAlign w:val="center"/>
          </w:tcPr>
          <w:p w14:paraId="747523F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1.4</w:t>
            </w:r>
          </w:p>
        </w:tc>
        <w:tc>
          <w:tcPr>
            <w:tcW w:w="477" w:type="pct"/>
            <w:noWrap w:val="0"/>
            <w:vAlign w:val="center"/>
          </w:tcPr>
          <w:p w14:paraId="532D3B2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0.6</w:t>
            </w:r>
          </w:p>
        </w:tc>
      </w:tr>
      <w:tr w14:paraId="642EEC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A370F2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5879F0A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超标率</w:t>
            </w:r>
          </w:p>
        </w:tc>
        <w:tc>
          <w:tcPr>
            <w:tcW w:w="557" w:type="pct"/>
            <w:noWrap w:val="0"/>
            <w:vAlign w:val="center"/>
          </w:tcPr>
          <w:p w14:paraId="059A03E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57" w:type="pct"/>
            <w:noWrap w:val="0"/>
            <w:vAlign w:val="center"/>
          </w:tcPr>
          <w:p w14:paraId="3BBB7C6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31" w:type="pct"/>
            <w:noWrap w:val="0"/>
            <w:vAlign w:val="center"/>
          </w:tcPr>
          <w:p w14:paraId="0F1D938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558" w:type="pct"/>
            <w:noWrap w:val="0"/>
            <w:vAlign w:val="center"/>
          </w:tcPr>
          <w:p w14:paraId="30A51AE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659" w:type="pct"/>
            <w:noWrap w:val="0"/>
            <w:vAlign w:val="center"/>
          </w:tcPr>
          <w:p w14:paraId="1E9C89F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641" w:type="pct"/>
            <w:noWrap w:val="0"/>
            <w:vAlign w:val="center"/>
          </w:tcPr>
          <w:p w14:paraId="6365879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477" w:type="pct"/>
            <w:noWrap w:val="0"/>
            <w:vAlign w:val="center"/>
          </w:tcPr>
          <w:p w14:paraId="6405BB9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r>
      <w:tr w14:paraId="6D5987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9367A8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56F4E47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最大超标倍数</w:t>
            </w:r>
          </w:p>
        </w:tc>
        <w:tc>
          <w:tcPr>
            <w:tcW w:w="557" w:type="pct"/>
            <w:noWrap w:val="0"/>
            <w:vAlign w:val="center"/>
          </w:tcPr>
          <w:p w14:paraId="589384F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7" w:type="pct"/>
            <w:noWrap w:val="0"/>
            <w:vAlign w:val="center"/>
          </w:tcPr>
          <w:p w14:paraId="594DED5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31" w:type="pct"/>
            <w:noWrap w:val="0"/>
            <w:vAlign w:val="center"/>
          </w:tcPr>
          <w:p w14:paraId="31C6435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1.65</w:t>
            </w:r>
          </w:p>
        </w:tc>
        <w:tc>
          <w:tcPr>
            <w:tcW w:w="558" w:type="pct"/>
            <w:noWrap w:val="0"/>
            <w:vAlign w:val="center"/>
          </w:tcPr>
          <w:p w14:paraId="09A9610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1.95</w:t>
            </w:r>
          </w:p>
        </w:tc>
        <w:tc>
          <w:tcPr>
            <w:tcW w:w="659" w:type="pct"/>
            <w:noWrap w:val="0"/>
            <w:vAlign w:val="center"/>
          </w:tcPr>
          <w:p w14:paraId="5E8B866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41" w:type="pct"/>
            <w:noWrap w:val="0"/>
            <w:vAlign w:val="center"/>
          </w:tcPr>
          <w:p w14:paraId="423F18C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1.4</w:t>
            </w:r>
          </w:p>
        </w:tc>
        <w:tc>
          <w:tcPr>
            <w:tcW w:w="477" w:type="pct"/>
            <w:noWrap w:val="0"/>
            <w:vAlign w:val="center"/>
          </w:tcPr>
          <w:p w14:paraId="6A5CAFF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r>
      <w:tr w14:paraId="5D0DF2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restart"/>
            <w:noWrap w:val="0"/>
            <w:vAlign w:val="center"/>
          </w:tcPr>
          <w:p w14:paraId="0192233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eastAsia="zh-CN" w:bidi="ar"/>
              </w:rPr>
            </w:pPr>
            <w:r>
              <w:rPr>
                <w:rFonts w:hint="default" w:ascii="Times New Roman" w:hAnsi="Times New Roman" w:eastAsia="宋体" w:cs="Times New Roman"/>
                <w:color w:val="auto"/>
                <w:kern w:val="0"/>
                <w:sz w:val="21"/>
                <w:szCs w:val="21"/>
                <w:lang w:bidi="ar"/>
              </w:rPr>
              <w:t>W4</w:t>
            </w:r>
          </w:p>
          <w:p w14:paraId="1404D97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王引河与巴河交汇处下游 2000 米断面</w:t>
            </w:r>
            <w:r>
              <w:rPr>
                <w:rFonts w:hint="default" w:ascii="Times New Roman" w:hAnsi="Times New Roman" w:eastAsia="宋体" w:cs="Times New Roman"/>
                <w:color w:val="auto"/>
                <w:sz w:val="21"/>
                <w:szCs w:val="21"/>
              </w:rPr>
              <w:t>（王引河）</w:t>
            </w:r>
          </w:p>
        </w:tc>
        <w:tc>
          <w:tcPr>
            <w:tcW w:w="524" w:type="pct"/>
            <w:noWrap w:val="0"/>
            <w:vAlign w:val="center"/>
          </w:tcPr>
          <w:p w14:paraId="2C3562D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测定范围</w:t>
            </w:r>
          </w:p>
        </w:tc>
        <w:tc>
          <w:tcPr>
            <w:tcW w:w="557" w:type="pct"/>
            <w:noWrap w:val="0"/>
            <w:vAlign w:val="center"/>
          </w:tcPr>
          <w:p w14:paraId="073E7B36">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7.4～7.9</w:t>
            </w:r>
          </w:p>
        </w:tc>
        <w:tc>
          <w:tcPr>
            <w:tcW w:w="557" w:type="pct"/>
            <w:noWrap w:val="0"/>
            <w:vAlign w:val="center"/>
          </w:tcPr>
          <w:p w14:paraId="64F38F26">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6.2～7.2</w:t>
            </w:r>
          </w:p>
        </w:tc>
        <w:tc>
          <w:tcPr>
            <w:tcW w:w="531" w:type="pct"/>
            <w:noWrap w:val="0"/>
            <w:vAlign w:val="center"/>
          </w:tcPr>
          <w:p w14:paraId="72D308FF">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20～35</w:t>
            </w:r>
          </w:p>
        </w:tc>
        <w:tc>
          <w:tcPr>
            <w:tcW w:w="558" w:type="pct"/>
            <w:noWrap w:val="0"/>
            <w:vAlign w:val="center"/>
          </w:tcPr>
          <w:p w14:paraId="6B24C097">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6.0～7.1</w:t>
            </w:r>
          </w:p>
        </w:tc>
        <w:tc>
          <w:tcPr>
            <w:tcW w:w="659" w:type="pct"/>
            <w:noWrap w:val="0"/>
            <w:vAlign w:val="center"/>
          </w:tcPr>
          <w:p w14:paraId="293970E9">
            <w:pPr>
              <w:widowControl/>
              <w:adjustRightInd w:val="0"/>
              <w:snapToGrid w:val="0"/>
              <w:spacing w:line="240" w:lineRule="auto"/>
              <w:ind w:firstLine="0" w:firstLineChars="0"/>
              <w:jc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0.353～0.373</w:t>
            </w:r>
          </w:p>
        </w:tc>
        <w:tc>
          <w:tcPr>
            <w:tcW w:w="641" w:type="pct"/>
            <w:noWrap w:val="0"/>
            <w:vAlign w:val="center"/>
          </w:tcPr>
          <w:p w14:paraId="616AFA17">
            <w:pPr>
              <w:pStyle w:val="118"/>
              <w:widowControl/>
              <w:ind w:left="0" w:leftChars="0" w:firstLine="0" w:firstLineChars="0"/>
              <w:jc w:val="center"/>
              <w:textAlignment w:val="auto"/>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0.2～0.25</w:t>
            </w:r>
          </w:p>
        </w:tc>
        <w:tc>
          <w:tcPr>
            <w:tcW w:w="477" w:type="pct"/>
            <w:noWrap w:val="0"/>
            <w:vAlign w:val="center"/>
          </w:tcPr>
          <w:p w14:paraId="435552C5">
            <w:pPr>
              <w:widowControl/>
              <w:adjustRightInd w:val="0"/>
              <w:snapToGrid w:val="0"/>
              <w:spacing w:line="240" w:lineRule="auto"/>
              <w:ind w:firstLine="0" w:firstLineChars="0"/>
              <w:jc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ND</w:t>
            </w:r>
          </w:p>
        </w:tc>
      </w:tr>
      <w:tr w14:paraId="178B7C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099B0F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72D53AF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标准</w:t>
            </w:r>
          </w:p>
        </w:tc>
        <w:tc>
          <w:tcPr>
            <w:tcW w:w="557" w:type="pct"/>
            <w:noWrap w:val="0"/>
            <w:vAlign w:val="center"/>
          </w:tcPr>
          <w:p w14:paraId="02478F2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6～9</w:t>
            </w:r>
          </w:p>
        </w:tc>
        <w:tc>
          <w:tcPr>
            <w:tcW w:w="557" w:type="pct"/>
            <w:noWrap w:val="0"/>
            <w:vAlign w:val="center"/>
          </w:tcPr>
          <w:p w14:paraId="4E008D8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5</w:t>
            </w:r>
          </w:p>
        </w:tc>
        <w:tc>
          <w:tcPr>
            <w:tcW w:w="531" w:type="pct"/>
            <w:noWrap w:val="0"/>
            <w:vAlign w:val="center"/>
          </w:tcPr>
          <w:p w14:paraId="1E345E0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20</w:t>
            </w:r>
          </w:p>
        </w:tc>
        <w:tc>
          <w:tcPr>
            <w:tcW w:w="558" w:type="pct"/>
            <w:noWrap w:val="0"/>
            <w:vAlign w:val="center"/>
          </w:tcPr>
          <w:p w14:paraId="44916BA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4</w:t>
            </w:r>
          </w:p>
        </w:tc>
        <w:tc>
          <w:tcPr>
            <w:tcW w:w="659" w:type="pct"/>
            <w:noWrap w:val="0"/>
            <w:vAlign w:val="center"/>
          </w:tcPr>
          <w:p w14:paraId="0662283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w:t>
            </w:r>
          </w:p>
        </w:tc>
        <w:tc>
          <w:tcPr>
            <w:tcW w:w="641" w:type="pct"/>
            <w:noWrap w:val="0"/>
            <w:vAlign w:val="center"/>
          </w:tcPr>
          <w:p w14:paraId="0E5D323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0.2</w:t>
            </w:r>
          </w:p>
        </w:tc>
        <w:tc>
          <w:tcPr>
            <w:tcW w:w="477" w:type="pct"/>
            <w:noWrap w:val="0"/>
            <w:vAlign w:val="center"/>
          </w:tcPr>
          <w:p w14:paraId="2413CE7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0.05</w:t>
            </w:r>
          </w:p>
        </w:tc>
      </w:tr>
      <w:tr w14:paraId="066825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7673E63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2391CB8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最大指数</w:t>
            </w:r>
          </w:p>
        </w:tc>
        <w:tc>
          <w:tcPr>
            <w:tcW w:w="557" w:type="pct"/>
            <w:noWrap w:val="0"/>
            <w:vAlign w:val="center"/>
          </w:tcPr>
          <w:p w14:paraId="5BC8B50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57" w:type="pct"/>
            <w:noWrap w:val="0"/>
            <w:vAlign w:val="center"/>
          </w:tcPr>
          <w:p w14:paraId="1E02379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31" w:type="pct"/>
            <w:noWrap w:val="0"/>
            <w:vAlign w:val="center"/>
          </w:tcPr>
          <w:p w14:paraId="46B2D8F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1.75</w:t>
            </w:r>
          </w:p>
        </w:tc>
        <w:tc>
          <w:tcPr>
            <w:tcW w:w="558" w:type="pct"/>
            <w:noWrap w:val="0"/>
            <w:vAlign w:val="center"/>
          </w:tcPr>
          <w:p w14:paraId="16210B7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1.775</w:t>
            </w:r>
          </w:p>
        </w:tc>
        <w:tc>
          <w:tcPr>
            <w:tcW w:w="659" w:type="pct"/>
            <w:noWrap w:val="0"/>
            <w:vAlign w:val="center"/>
          </w:tcPr>
          <w:p w14:paraId="7474153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0.373</w:t>
            </w:r>
          </w:p>
        </w:tc>
        <w:tc>
          <w:tcPr>
            <w:tcW w:w="641" w:type="pct"/>
            <w:noWrap w:val="0"/>
            <w:vAlign w:val="center"/>
          </w:tcPr>
          <w:p w14:paraId="109E434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1.25</w:t>
            </w:r>
          </w:p>
        </w:tc>
        <w:tc>
          <w:tcPr>
            <w:tcW w:w="477" w:type="pct"/>
            <w:noWrap w:val="0"/>
            <w:vAlign w:val="center"/>
          </w:tcPr>
          <w:p w14:paraId="16FF5AB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0.6</w:t>
            </w:r>
          </w:p>
        </w:tc>
      </w:tr>
      <w:tr w14:paraId="0624DD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48D2625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1BCDACF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超标率</w:t>
            </w:r>
          </w:p>
        </w:tc>
        <w:tc>
          <w:tcPr>
            <w:tcW w:w="557" w:type="pct"/>
            <w:noWrap w:val="0"/>
            <w:vAlign w:val="center"/>
          </w:tcPr>
          <w:p w14:paraId="1F7F831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57" w:type="pct"/>
            <w:noWrap w:val="0"/>
            <w:vAlign w:val="center"/>
          </w:tcPr>
          <w:p w14:paraId="654CDE1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31" w:type="pct"/>
            <w:noWrap w:val="0"/>
            <w:vAlign w:val="center"/>
          </w:tcPr>
          <w:p w14:paraId="770B0FD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66.7%</w:t>
            </w:r>
          </w:p>
        </w:tc>
        <w:tc>
          <w:tcPr>
            <w:tcW w:w="558" w:type="pct"/>
            <w:noWrap w:val="0"/>
            <w:vAlign w:val="center"/>
          </w:tcPr>
          <w:p w14:paraId="45462C5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659" w:type="pct"/>
            <w:noWrap w:val="0"/>
            <w:vAlign w:val="center"/>
          </w:tcPr>
          <w:p w14:paraId="2D6E853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641" w:type="pct"/>
            <w:noWrap w:val="0"/>
            <w:vAlign w:val="center"/>
          </w:tcPr>
          <w:p w14:paraId="0CF76FB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66.6%</w:t>
            </w:r>
          </w:p>
        </w:tc>
        <w:tc>
          <w:tcPr>
            <w:tcW w:w="477" w:type="pct"/>
            <w:noWrap w:val="0"/>
            <w:vAlign w:val="center"/>
          </w:tcPr>
          <w:p w14:paraId="763FA02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r>
      <w:tr w14:paraId="35EFA8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44FA714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2305CDF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最大超标倍数</w:t>
            </w:r>
          </w:p>
        </w:tc>
        <w:tc>
          <w:tcPr>
            <w:tcW w:w="557" w:type="pct"/>
            <w:noWrap w:val="0"/>
            <w:vAlign w:val="center"/>
          </w:tcPr>
          <w:p w14:paraId="622E606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7" w:type="pct"/>
            <w:noWrap w:val="0"/>
            <w:vAlign w:val="center"/>
          </w:tcPr>
          <w:p w14:paraId="1F37C10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31" w:type="pct"/>
            <w:noWrap w:val="0"/>
            <w:vAlign w:val="center"/>
          </w:tcPr>
          <w:p w14:paraId="6E322D3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1.75</w:t>
            </w:r>
          </w:p>
        </w:tc>
        <w:tc>
          <w:tcPr>
            <w:tcW w:w="558" w:type="pct"/>
            <w:noWrap w:val="0"/>
            <w:vAlign w:val="center"/>
          </w:tcPr>
          <w:p w14:paraId="014AD44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1.775</w:t>
            </w:r>
          </w:p>
        </w:tc>
        <w:tc>
          <w:tcPr>
            <w:tcW w:w="659" w:type="pct"/>
            <w:noWrap w:val="0"/>
            <w:vAlign w:val="center"/>
          </w:tcPr>
          <w:p w14:paraId="4C89BE1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41" w:type="pct"/>
            <w:noWrap w:val="0"/>
            <w:vAlign w:val="center"/>
          </w:tcPr>
          <w:p w14:paraId="7ABD728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1.25</w:t>
            </w:r>
          </w:p>
        </w:tc>
        <w:tc>
          <w:tcPr>
            <w:tcW w:w="477" w:type="pct"/>
            <w:noWrap w:val="0"/>
            <w:vAlign w:val="center"/>
          </w:tcPr>
          <w:p w14:paraId="08E93B1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r>
      <w:tr w14:paraId="769FAE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restart"/>
            <w:noWrap w:val="0"/>
            <w:vAlign w:val="center"/>
          </w:tcPr>
          <w:p w14:paraId="6C6F59D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eastAsia="zh-CN" w:bidi="ar"/>
              </w:rPr>
            </w:pPr>
            <w:r>
              <w:rPr>
                <w:rFonts w:hint="default" w:ascii="Times New Roman" w:hAnsi="Times New Roman" w:eastAsia="宋体" w:cs="Times New Roman"/>
                <w:color w:val="auto"/>
                <w:kern w:val="0"/>
                <w:sz w:val="21"/>
                <w:szCs w:val="21"/>
                <w:lang w:bidi="ar"/>
              </w:rPr>
              <w:t>W5</w:t>
            </w:r>
          </w:p>
          <w:p w14:paraId="1999CD9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濉溪第二污水处理厂排污口上游500米断面（巴河）</w:t>
            </w:r>
          </w:p>
        </w:tc>
        <w:tc>
          <w:tcPr>
            <w:tcW w:w="524" w:type="pct"/>
            <w:noWrap w:val="0"/>
            <w:vAlign w:val="center"/>
          </w:tcPr>
          <w:p w14:paraId="7FB94A1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测定范围</w:t>
            </w:r>
          </w:p>
        </w:tc>
        <w:tc>
          <w:tcPr>
            <w:tcW w:w="557" w:type="pct"/>
            <w:noWrap w:val="0"/>
            <w:vAlign w:val="center"/>
          </w:tcPr>
          <w:p w14:paraId="27A7EEF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7.1～8.0</w:t>
            </w:r>
          </w:p>
        </w:tc>
        <w:tc>
          <w:tcPr>
            <w:tcW w:w="557" w:type="pct"/>
            <w:noWrap w:val="0"/>
            <w:vAlign w:val="center"/>
          </w:tcPr>
          <w:p w14:paraId="7B11DFA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6.3～7.1</w:t>
            </w:r>
          </w:p>
        </w:tc>
        <w:tc>
          <w:tcPr>
            <w:tcW w:w="531" w:type="pct"/>
            <w:noWrap w:val="0"/>
            <w:vAlign w:val="center"/>
          </w:tcPr>
          <w:p w14:paraId="0708E0C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30～35</w:t>
            </w:r>
          </w:p>
        </w:tc>
        <w:tc>
          <w:tcPr>
            <w:tcW w:w="558" w:type="pct"/>
            <w:noWrap w:val="0"/>
            <w:vAlign w:val="center"/>
          </w:tcPr>
          <w:p w14:paraId="66E0430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6.2～7.0</w:t>
            </w:r>
          </w:p>
        </w:tc>
        <w:tc>
          <w:tcPr>
            <w:tcW w:w="659" w:type="pct"/>
            <w:noWrap w:val="0"/>
            <w:vAlign w:val="center"/>
          </w:tcPr>
          <w:p w14:paraId="19C471E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0.303～0.318</w:t>
            </w:r>
          </w:p>
        </w:tc>
        <w:tc>
          <w:tcPr>
            <w:tcW w:w="641" w:type="pct"/>
            <w:noWrap w:val="0"/>
            <w:vAlign w:val="center"/>
          </w:tcPr>
          <w:p w14:paraId="6FC5712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0.25～0.26</w:t>
            </w:r>
          </w:p>
        </w:tc>
        <w:tc>
          <w:tcPr>
            <w:tcW w:w="477" w:type="pct"/>
            <w:noWrap w:val="0"/>
            <w:vAlign w:val="center"/>
          </w:tcPr>
          <w:p w14:paraId="1F23F41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ND</w:t>
            </w:r>
          </w:p>
        </w:tc>
      </w:tr>
      <w:tr w14:paraId="51A1DF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697DDE8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123FF2B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标准</w:t>
            </w:r>
          </w:p>
        </w:tc>
        <w:tc>
          <w:tcPr>
            <w:tcW w:w="557" w:type="pct"/>
            <w:noWrap w:val="0"/>
            <w:vAlign w:val="center"/>
          </w:tcPr>
          <w:p w14:paraId="2605961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6～9</w:t>
            </w:r>
          </w:p>
        </w:tc>
        <w:tc>
          <w:tcPr>
            <w:tcW w:w="557" w:type="pct"/>
            <w:noWrap w:val="0"/>
            <w:vAlign w:val="center"/>
          </w:tcPr>
          <w:p w14:paraId="4E9136F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3</w:t>
            </w:r>
          </w:p>
        </w:tc>
        <w:tc>
          <w:tcPr>
            <w:tcW w:w="531" w:type="pct"/>
            <w:noWrap w:val="0"/>
            <w:vAlign w:val="center"/>
          </w:tcPr>
          <w:p w14:paraId="4FC43C5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30</w:t>
            </w:r>
          </w:p>
        </w:tc>
        <w:tc>
          <w:tcPr>
            <w:tcW w:w="558" w:type="pct"/>
            <w:noWrap w:val="0"/>
            <w:vAlign w:val="center"/>
          </w:tcPr>
          <w:p w14:paraId="6B90CA3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w:t>
            </w:r>
          </w:p>
        </w:tc>
        <w:tc>
          <w:tcPr>
            <w:tcW w:w="659" w:type="pct"/>
            <w:noWrap w:val="0"/>
            <w:vAlign w:val="center"/>
          </w:tcPr>
          <w:p w14:paraId="2048525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1.5</w:t>
            </w:r>
          </w:p>
        </w:tc>
        <w:tc>
          <w:tcPr>
            <w:tcW w:w="641" w:type="pct"/>
            <w:noWrap w:val="0"/>
            <w:vAlign w:val="center"/>
          </w:tcPr>
          <w:p w14:paraId="143A605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0.3</w:t>
            </w:r>
          </w:p>
        </w:tc>
        <w:tc>
          <w:tcPr>
            <w:tcW w:w="477" w:type="pct"/>
            <w:noWrap w:val="0"/>
            <w:vAlign w:val="center"/>
          </w:tcPr>
          <w:p w14:paraId="0CE8CC8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0.5</w:t>
            </w:r>
          </w:p>
        </w:tc>
      </w:tr>
      <w:tr w14:paraId="2B16A3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145224A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2631C0B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最大指数</w:t>
            </w:r>
          </w:p>
        </w:tc>
        <w:tc>
          <w:tcPr>
            <w:tcW w:w="557" w:type="pct"/>
            <w:noWrap w:val="0"/>
            <w:vAlign w:val="center"/>
          </w:tcPr>
          <w:p w14:paraId="7598C35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57" w:type="pct"/>
            <w:noWrap w:val="0"/>
            <w:vAlign w:val="center"/>
          </w:tcPr>
          <w:p w14:paraId="347CB42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31" w:type="pct"/>
            <w:noWrap w:val="0"/>
            <w:vAlign w:val="center"/>
          </w:tcPr>
          <w:p w14:paraId="6C8B201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1.17</w:t>
            </w:r>
          </w:p>
        </w:tc>
        <w:tc>
          <w:tcPr>
            <w:tcW w:w="558" w:type="pct"/>
            <w:noWrap w:val="0"/>
            <w:vAlign w:val="center"/>
          </w:tcPr>
          <w:p w14:paraId="62B94F5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1.17</w:t>
            </w:r>
          </w:p>
        </w:tc>
        <w:tc>
          <w:tcPr>
            <w:tcW w:w="659" w:type="pct"/>
            <w:noWrap w:val="0"/>
            <w:vAlign w:val="center"/>
          </w:tcPr>
          <w:p w14:paraId="4129B28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0.212</w:t>
            </w:r>
          </w:p>
        </w:tc>
        <w:tc>
          <w:tcPr>
            <w:tcW w:w="641" w:type="pct"/>
            <w:noWrap w:val="0"/>
            <w:vAlign w:val="center"/>
          </w:tcPr>
          <w:p w14:paraId="215D0DB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0.867</w:t>
            </w:r>
          </w:p>
        </w:tc>
        <w:tc>
          <w:tcPr>
            <w:tcW w:w="477" w:type="pct"/>
            <w:noWrap w:val="0"/>
            <w:vAlign w:val="center"/>
          </w:tcPr>
          <w:p w14:paraId="45378A7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0.06</w:t>
            </w:r>
          </w:p>
        </w:tc>
      </w:tr>
      <w:tr w14:paraId="75CEE7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5895FBA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36CACDA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超标率</w:t>
            </w:r>
          </w:p>
        </w:tc>
        <w:tc>
          <w:tcPr>
            <w:tcW w:w="557" w:type="pct"/>
            <w:noWrap w:val="0"/>
            <w:vAlign w:val="center"/>
          </w:tcPr>
          <w:p w14:paraId="79D98B6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57" w:type="pct"/>
            <w:noWrap w:val="0"/>
            <w:vAlign w:val="center"/>
          </w:tcPr>
          <w:p w14:paraId="60A8B22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31" w:type="pct"/>
            <w:noWrap w:val="0"/>
            <w:vAlign w:val="center"/>
          </w:tcPr>
          <w:p w14:paraId="7BDC468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66.7%</w:t>
            </w:r>
          </w:p>
        </w:tc>
        <w:tc>
          <w:tcPr>
            <w:tcW w:w="558" w:type="pct"/>
            <w:noWrap w:val="0"/>
            <w:vAlign w:val="center"/>
          </w:tcPr>
          <w:p w14:paraId="1EFE216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659" w:type="pct"/>
            <w:noWrap w:val="0"/>
            <w:vAlign w:val="center"/>
          </w:tcPr>
          <w:p w14:paraId="02ED020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641" w:type="pct"/>
            <w:noWrap w:val="0"/>
            <w:vAlign w:val="center"/>
          </w:tcPr>
          <w:p w14:paraId="4572770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477" w:type="pct"/>
            <w:noWrap w:val="0"/>
            <w:vAlign w:val="center"/>
          </w:tcPr>
          <w:p w14:paraId="765C10F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r>
      <w:tr w14:paraId="6D67B1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38BB12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29A67B8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最大超标倍数</w:t>
            </w:r>
          </w:p>
        </w:tc>
        <w:tc>
          <w:tcPr>
            <w:tcW w:w="557" w:type="pct"/>
            <w:noWrap w:val="0"/>
            <w:vAlign w:val="center"/>
          </w:tcPr>
          <w:p w14:paraId="2FCAC10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7" w:type="pct"/>
            <w:noWrap w:val="0"/>
            <w:vAlign w:val="center"/>
          </w:tcPr>
          <w:p w14:paraId="057256E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31" w:type="pct"/>
            <w:noWrap w:val="0"/>
            <w:vAlign w:val="center"/>
          </w:tcPr>
          <w:p w14:paraId="700A554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1.17</w:t>
            </w:r>
          </w:p>
        </w:tc>
        <w:tc>
          <w:tcPr>
            <w:tcW w:w="558" w:type="pct"/>
            <w:noWrap w:val="0"/>
            <w:vAlign w:val="center"/>
          </w:tcPr>
          <w:p w14:paraId="3555DDB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1.775</w:t>
            </w:r>
          </w:p>
        </w:tc>
        <w:tc>
          <w:tcPr>
            <w:tcW w:w="659" w:type="pct"/>
            <w:noWrap w:val="0"/>
            <w:vAlign w:val="center"/>
          </w:tcPr>
          <w:p w14:paraId="3449561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41" w:type="pct"/>
            <w:noWrap w:val="0"/>
            <w:vAlign w:val="center"/>
          </w:tcPr>
          <w:p w14:paraId="6948FAF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477" w:type="pct"/>
            <w:noWrap w:val="0"/>
            <w:vAlign w:val="center"/>
          </w:tcPr>
          <w:p w14:paraId="3CF7453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r>
      <w:tr w14:paraId="250984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restart"/>
            <w:noWrap w:val="0"/>
            <w:vAlign w:val="center"/>
          </w:tcPr>
          <w:p w14:paraId="6B6F3C8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eastAsia="zh-CN" w:bidi="ar"/>
              </w:rPr>
            </w:pPr>
            <w:r>
              <w:rPr>
                <w:rFonts w:hint="default" w:ascii="Times New Roman" w:hAnsi="Times New Roman" w:eastAsia="宋体" w:cs="Times New Roman"/>
                <w:color w:val="auto"/>
                <w:kern w:val="0"/>
                <w:sz w:val="21"/>
                <w:szCs w:val="21"/>
                <w:lang w:bidi="ar"/>
              </w:rPr>
              <w:t>W6</w:t>
            </w:r>
          </w:p>
          <w:p w14:paraId="0A8603A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濉溪第二污水处理厂排污口下游500米断面（巴河）</w:t>
            </w:r>
          </w:p>
        </w:tc>
        <w:tc>
          <w:tcPr>
            <w:tcW w:w="524" w:type="pct"/>
            <w:noWrap w:val="0"/>
            <w:vAlign w:val="center"/>
          </w:tcPr>
          <w:p w14:paraId="07DF918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测定范围</w:t>
            </w:r>
          </w:p>
        </w:tc>
        <w:tc>
          <w:tcPr>
            <w:tcW w:w="557" w:type="pct"/>
            <w:noWrap w:val="0"/>
            <w:vAlign w:val="center"/>
          </w:tcPr>
          <w:p w14:paraId="2517EB2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7.2～7.3</w:t>
            </w:r>
          </w:p>
        </w:tc>
        <w:tc>
          <w:tcPr>
            <w:tcW w:w="557" w:type="pct"/>
            <w:noWrap w:val="0"/>
            <w:vAlign w:val="center"/>
          </w:tcPr>
          <w:p w14:paraId="1EFCB64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6.4～6.8</w:t>
            </w:r>
          </w:p>
        </w:tc>
        <w:tc>
          <w:tcPr>
            <w:tcW w:w="531" w:type="pct"/>
            <w:noWrap w:val="0"/>
            <w:vAlign w:val="center"/>
          </w:tcPr>
          <w:p w14:paraId="3530862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18～35</w:t>
            </w:r>
          </w:p>
        </w:tc>
        <w:tc>
          <w:tcPr>
            <w:tcW w:w="558" w:type="pct"/>
            <w:noWrap w:val="0"/>
            <w:vAlign w:val="center"/>
          </w:tcPr>
          <w:p w14:paraId="2C69E4F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6.2～7.3</w:t>
            </w:r>
          </w:p>
        </w:tc>
        <w:tc>
          <w:tcPr>
            <w:tcW w:w="659" w:type="pct"/>
            <w:noWrap w:val="0"/>
            <w:vAlign w:val="center"/>
          </w:tcPr>
          <w:p w14:paraId="00BE845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0.281～0.336</w:t>
            </w:r>
          </w:p>
        </w:tc>
        <w:tc>
          <w:tcPr>
            <w:tcW w:w="641" w:type="pct"/>
            <w:noWrap w:val="0"/>
            <w:vAlign w:val="center"/>
          </w:tcPr>
          <w:p w14:paraId="2BD6D43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0.16～0.28</w:t>
            </w:r>
          </w:p>
        </w:tc>
        <w:tc>
          <w:tcPr>
            <w:tcW w:w="477" w:type="pct"/>
            <w:noWrap w:val="0"/>
            <w:vAlign w:val="center"/>
          </w:tcPr>
          <w:p w14:paraId="2742DE7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ND</w:t>
            </w:r>
          </w:p>
        </w:tc>
      </w:tr>
      <w:tr w14:paraId="5BA6FA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8775EC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1CB1033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标准</w:t>
            </w:r>
          </w:p>
        </w:tc>
        <w:tc>
          <w:tcPr>
            <w:tcW w:w="557" w:type="pct"/>
            <w:noWrap w:val="0"/>
            <w:vAlign w:val="center"/>
          </w:tcPr>
          <w:p w14:paraId="0B146C7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bidi="ar"/>
              </w:rPr>
              <w:t>6～9</w:t>
            </w:r>
          </w:p>
        </w:tc>
        <w:tc>
          <w:tcPr>
            <w:tcW w:w="557" w:type="pct"/>
            <w:noWrap w:val="0"/>
            <w:vAlign w:val="center"/>
          </w:tcPr>
          <w:p w14:paraId="2634556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bidi="ar"/>
              </w:rPr>
              <w:t>3</w:t>
            </w:r>
          </w:p>
        </w:tc>
        <w:tc>
          <w:tcPr>
            <w:tcW w:w="531" w:type="pct"/>
            <w:noWrap w:val="0"/>
            <w:vAlign w:val="center"/>
          </w:tcPr>
          <w:p w14:paraId="12F3C91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bidi="ar"/>
              </w:rPr>
              <w:t>30</w:t>
            </w:r>
          </w:p>
        </w:tc>
        <w:tc>
          <w:tcPr>
            <w:tcW w:w="558" w:type="pct"/>
            <w:noWrap w:val="0"/>
            <w:vAlign w:val="center"/>
          </w:tcPr>
          <w:p w14:paraId="2258A86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bidi="ar"/>
              </w:rPr>
              <w:t>6</w:t>
            </w:r>
          </w:p>
        </w:tc>
        <w:tc>
          <w:tcPr>
            <w:tcW w:w="659" w:type="pct"/>
            <w:noWrap w:val="0"/>
            <w:vAlign w:val="center"/>
          </w:tcPr>
          <w:p w14:paraId="5D35CF7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1.5</w:t>
            </w:r>
          </w:p>
        </w:tc>
        <w:tc>
          <w:tcPr>
            <w:tcW w:w="641" w:type="pct"/>
            <w:noWrap w:val="0"/>
            <w:vAlign w:val="center"/>
          </w:tcPr>
          <w:p w14:paraId="53DEEAB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0.3</w:t>
            </w:r>
          </w:p>
        </w:tc>
        <w:tc>
          <w:tcPr>
            <w:tcW w:w="477" w:type="pct"/>
            <w:noWrap w:val="0"/>
            <w:vAlign w:val="center"/>
          </w:tcPr>
          <w:p w14:paraId="19FDF5C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0.5</w:t>
            </w:r>
          </w:p>
        </w:tc>
      </w:tr>
      <w:tr w14:paraId="1338A4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23FF619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1C2B02F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最大指数</w:t>
            </w:r>
          </w:p>
        </w:tc>
        <w:tc>
          <w:tcPr>
            <w:tcW w:w="557" w:type="pct"/>
            <w:noWrap w:val="0"/>
            <w:vAlign w:val="center"/>
          </w:tcPr>
          <w:p w14:paraId="59E9201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57" w:type="pct"/>
            <w:noWrap w:val="0"/>
            <w:vAlign w:val="center"/>
          </w:tcPr>
          <w:p w14:paraId="1707671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531" w:type="pct"/>
            <w:noWrap w:val="0"/>
            <w:vAlign w:val="center"/>
          </w:tcPr>
          <w:p w14:paraId="6A77F13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1.17</w:t>
            </w:r>
          </w:p>
        </w:tc>
        <w:tc>
          <w:tcPr>
            <w:tcW w:w="558" w:type="pct"/>
            <w:noWrap w:val="0"/>
            <w:vAlign w:val="center"/>
          </w:tcPr>
          <w:p w14:paraId="183E3DA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1.22</w:t>
            </w:r>
          </w:p>
        </w:tc>
        <w:tc>
          <w:tcPr>
            <w:tcW w:w="659" w:type="pct"/>
            <w:noWrap w:val="0"/>
            <w:vAlign w:val="center"/>
          </w:tcPr>
          <w:p w14:paraId="4CDE1AC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0.22</w:t>
            </w:r>
          </w:p>
        </w:tc>
        <w:tc>
          <w:tcPr>
            <w:tcW w:w="641" w:type="pct"/>
            <w:noWrap w:val="0"/>
            <w:vAlign w:val="center"/>
          </w:tcPr>
          <w:p w14:paraId="28A81E2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0.933</w:t>
            </w:r>
          </w:p>
        </w:tc>
        <w:tc>
          <w:tcPr>
            <w:tcW w:w="477" w:type="pct"/>
            <w:noWrap w:val="0"/>
            <w:vAlign w:val="center"/>
          </w:tcPr>
          <w:p w14:paraId="1800CD7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0.06</w:t>
            </w:r>
          </w:p>
        </w:tc>
      </w:tr>
      <w:tr w14:paraId="1092AD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5F60078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7B856EF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超标率</w:t>
            </w:r>
          </w:p>
        </w:tc>
        <w:tc>
          <w:tcPr>
            <w:tcW w:w="557" w:type="pct"/>
            <w:noWrap w:val="0"/>
            <w:vAlign w:val="center"/>
          </w:tcPr>
          <w:p w14:paraId="62B679A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57" w:type="pct"/>
            <w:noWrap w:val="0"/>
            <w:vAlign w:val="center"/>
          </w:tcPr>
          <w:p w14:paraId="7C90353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531" w:type="pct"/>
            <w:noWrap w:val="0"/>
            <w:vAlign w:val="center"/>
          </w:tcPr>
          <w:p w14:paraId="63B0D31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33.3%</w:t>
            </w:r>
          </w:p>
        </w:tc>
        <w:tc>
          <w:tcPr>
            <w:tcW w:w="558" w:type="pct"/>
            <w:noWrap w:val="0"/>
            <w:vAlign w:val="center"/>
          </w:tcPr>
          <w:p w14:paraId="18A5679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100%</w:t>
            </w:r>
          </w:p>
        </w:tc>
        <w:tc>
          <w:tcPr>
            <w:tcW w:w="659" w:type="pct"/>
            <w:noWrap w:val="0"/>
            <w:vAlign w:val="center"/>
          </w:tcPr>
          <w:p w14:paraId="2D00FC3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641" w:type="pct"/>
            <w:noWrap w:val="0"/>
            <w:vAlign w:val="center"/>
          </w:tcPr>
          <w:p w14:paraId="588328B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c>
          <w:tcPr>
            <w:tcW w:w="477" w:type="pct"/>
            <w:noWrap w:val="0"/>
            <w:vAlign w:val="center"/>
          </w:tcPr>
          <w:p w14:paraId="464DFF8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r>
      <w:tr w14:paraId="781F08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2B6D74D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p>
        </w:tc>
        <w:tc>
          <w:tcPr>
            <w:tcW w:w="524" w:type="pct"/>
            <w:noWrap w:val="0"/>
            <w:vAlign w:val="center"/>
          </w:tcPr>
          <w:p w14:paraId="434DAC5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最大超标倍数</w:t>
            </w:r>
          </w:p>
        </w:tc>
        <w:tc>
          <w:tcPr>
            <w:tcW w:w="557" w:type="pct"/>
            <w:noWrap w:val="0"/>
            <w:vAlign w:val="center"/>
          </w:tcPr>
          <w:p w14:paraId="63EF44F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7" w:type="pct"/>
            <w:noWrap w:val="0"/>
            <w:vAlign w:val="center"/>
          </w:tcPr>
          <w:p w14:paraId="4A17AEE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31" w:type="pct"/>
            <w:noWrap w:val="0"/>
            <w:vAlign w:val="center"/>
          </w:tcPr>
          <w:p w14:paraId="19CBD17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1.17</w:t>
            </w:r>
          </w:p>
        </w:tc>
        <w:tc>
          <w:tcPr>
            <w:tcW w:w="558" w:type="pct"/>
            <w:noWrap w:val="0"/>
            <w:vAlign w:val="center"/>
          </w:tcPr>
          <w:p w14:paraId="253D89C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1.22</w:t>
            </w:r>
          </w:p>
        </w:tc>
        <w:tc>
          <w:tcPr>
            <w:tcW w:w="659" w:type="pct"/>
            <w:noWrap w:val="0"/>
            <w:vAlign w:val="center"/>
          </w:tcPr>
          <w:p w14:paraId="74C99BC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41" w:type="pct"/>
            <w:noWrap w:val="0"/>
            <w:vAlign w:val="center"/>
          </w:tcPr>
          <w:p w14:paraId="1C35B7E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477" w:type="pct"/>
            <w:noWrap w:val="0"/>
            <w:vAlign w:val="center"/>
          </w:tcPr>
          <w:p w14:paraId="3F74941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r>
      <w:tr w14:paraId="58365A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restart"/>
            <w:noWrap w:val="0"/>
            <w:vAlign w:val="center"/>
          </w:tcPr>
          <w:p w14:paraId="709D0922">
            <w:pPr>
              <w:widowControl/>
              <w:spacing w:line="240" w:lineRule="auto"/>
              <w:ind w:firstLine="0" w:firstLineChars="0"/>
              <w:jc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lang w:val="en-US" w:eastAsia="zh-CN"/>
              </w:rPr>
              <w:t>W7濉溪</w:t>
            </w:r>
            <w:r>
              <w:rPr>
                <w:rFonts w:hint="default" w:ascii="Times New Roman" w:hAnsi="Times New Roman" w:eastAsia="宋体" w:cs="Times New Roman"/>
                <w:color w:val="auto"/>
                <w:sz w:val="21"/>
                <w:szCs w:val="21"/>
              </w:rPr>
              <w:t>第二污水处理厂</w:t>
            </w:r>
            <w:r>
              <w:rPr>
                <w:rFonts w:hint="default" w:ascii="Times New Roman" w:hAnsi="Times New Roman" w:eastAsia="宋体" w:cs="Times New Roman"/>
                <w:color w:val="auto"/>
                <w:sz w:val="21"/>
                <w:szCs w:val="21"/>
                <w:lang w:val="en-US" w:eastAsia="zh-CN"/>
              </w:rPr>
              <w:t>拟建排污口上游500m</w:t>
            </w:r>
          </w:p>
        </w:tc>
        <w:tc>
          <w:tcPr>
            <w:tcW w:w="524" w:type="pct"/>
            <w:noWrap w:val="0"/>
            <w:vAlign w:val="center"/>
          </w:tcPr>
          <w:p w14:paraId="32B9D2A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测定范围</w:t>
            </w:r>
          </w:p>
        </w:tc>
        <w:tc>
          <w:tcPr>
            <w:tcW w:w="557" w:type="pct"/>
            <w:noWrap w:val="0"/>
            <w:vAlign w:val="center"/>
          </w:tcPr>
          <w:p w14:paraId="05C7995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7.2~7.3</w:t>
            </w:r>
          </w:p>
        </w:tc>
        <w:tc>
          <w:tcPr>
            <w:tcW w:w="557" w:type="pct"/>
            <w:noWrap w:val="0"/>
            <w:vAlign w:val="center"/>
          </w:tcPr>
          <w:p w14:paraId="59322FF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5.16~5.21</w:t>
            </w:r>
          </w:p>
        </w:tc>
        <w:tc>
          <w:tcPr>
            <w:tcW w:w="531" w:type="pct"/>
            <w:noWrap w:val="0"/>
            <w:vAlign w:val="center"/>
          </w:tcPr>
          <w:p w14:paraId="13253D3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16~18</w:t>
            </w:r>
          </w:p>
        </w:tc>
        <w:tc>
          <w:tcPr>
            <w:tcW w:w="558" w:type="pct"/>
            <w:noWrap w:val="0"/>
            <w:vAlign w:val="center"/>
          </w:tcPr>
          <w:p w14:paraId="66910A4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3.6~3.7</w:t>
            </w:r>
          </w:p>
        </w:tc>
        <w:tc>
          <w:tcPr>
            <w:tcW w:w="659" w:type="pct"/>
            <w:noWrap w:val="0"/>
            <w:vAlign w:val="center"/>
          </w:tcPr>
          <w:p w14:paraId="33B0600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0.346~0.392</w:t>
            </w:r>
          </w:p>
        </w:tc>
        <w:tc>
          <w:tcPr>
            <w:tcW w:w="641" w:type="pct"/>
            <w:noWrap w:val="0"/>
            <w:vAlign w:val="center"/>
          </w:tcPr>
          <w:p w14:paraId="270DE27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0.073~0.081</w:t>
            </w:r>
          </w:p>
        </w:tc>
        <w:tc>
          <w:tcPr>
            <w:tcW w:w="477" w:type="pct"/>
            <w:noWrap w:val="0"/>
            <w:vAlign w:val="center"/>
          </w:tcPr>
          <w:p w14:paraId="4503AF9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ND</w:t>
            </w:r>
          </w:p>
        </w:tc>
      </w:tr>
      <w:tr w14:paraId="1C9151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53CE1F9">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p>
        </w:tc>
        <w:tc>
          <w:tcPr>
            <w:tcW w:w="524" w:type="pct"/>
            <w:noWrap w:val="0"/>
            <w:vAlign w:val="center"/>
          </w:tcPr>
          <w:p w14:paraId="748C3B0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标准</w:t>
            </w:r>
          </w:p>
        </w:tc>
        <w:tc>
          <w:tcPr>
            <w:tcW w:w="557" w:type="pct"/>
            <w:noWrap w:val="0"/>
            <w:vAlign w:val="center"/>
          </w:tcPr>
          <w:p w14:paraId="51E9A5E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6~9</w:t>
            </w:r>
          </w:p>
        </w:tc>
        <w:tc>
          <w:tcPr>
            <w:tcW w:w="557" w:type="pct"/>
            <w:noWrap w:val="0"/>
            <w:vAlign w:val="center"/>
          </w:tcPr>
          <w:p w14:paraId="77F4BFE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5</w:t>
            </w:r>
          </w:p>
        </w:tc>
        <w:tc>
          <w:tcPr>
            <w:tcW w:w="531" w:type="pct"/>
            <w:noWrap w:val="0"/>
            <w:vAlign w:val="center"/>
          </w:tcPr>
          <w:p w14:paraId="1130ACD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20</w:t>
            </w:r>
          </w:p>
        </w:tc>
        <w:tc>
          <w:tcPr>
            <w:tcW w:w="558" w:type="pct"/>
            <w:noWrap w:val="0"/>
            <w:vAlign w:val="center"/>
          </w:tcPr>
          <w:p w14:paraId="4521480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4</w:t>
            </w:r>
          </w:p>
        </w:tc>
        <w:tc>
          <w:tcPr>
            <w:tcW w:w="659" w:type="pct"/>
            <w:noWrap w:val="0"/>
            <w:vAlign w:val="center"/>
          </w:tcPr>
          <w:p w14:paraId="22E139F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1.0</w:t>
            </w:r>
          </w:p>
        </w:tc>
        <w:tc>
          <w:tcPr>
            <w:tcW w:w="641" w:type="pct"/>
            <w:noWrap w:val="0"/>
            <w:vAlign w:val="center"/>
          </w:tcPr>
          <w:p w14:paraId="3F700CA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0.2</w:t>
            </w:r>
          </w:p>
        </w:tc>
        <w:tc>
          <w:tcPr>
            <w:tcW w:w="477" w:type="pct"/>
            <w:noWrap w:val="0"/>
            <w:vAlign w:val="center"/>
          </w:tcPr>
          <w:p w14:paraId="31588FA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0.5</w:t>
            </w:r>
          </w:p>
        </w:tc>
      </w:tr>
      <w:tr w14:paraId="791D5D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12E7F1D5">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p>
        </w:tc>
        <w:tc>
          <w:tcPr>
            <w:tcW w:w="524" w:type="pct"/>
            <w:noWrap w:val="0"/>
            <w:vAlign w:val="center"/>
          </w:tcPr>
          <w:p w14:paraId="41D27E3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最大指数</w:t>
            </w:r>
          </w:p>
        </w:tc>
        <w:tc>
          <w:tcPr>
            <w:tcW w:w="557" w:type="pct"/>
            <w:noWrap w:val="0"/>
            <w:vAlign w:val="center"/>
          </w:tcPr>
          <w:p w14:paraId="409A567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w:t>
            </w:r>
          </w:p>
        </w:tc>
        <w:tc>
          <w:tcPr>
            <w:tcW w:w="557" w:type="pct"/>
            <w:noWrap w:val="0"/>
            <w:vAlign w:val="center"/>
          </w:tcPr>
          <w:p w14:paraId="16FD0B5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w:t>
            </w:r>
          </w:p>
        </w:tc>
        <w:tc>
          <w:tcPr>
            <w:tcW w:w="531" w:type="pct"/>
            <w:noWrap w:val="0"/>
            <w:vAlign w:val="center"/>
          </w:tcPr>
          <w:p w14:paraId="057D9E5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0.85</w:t>
            </w:r>
          </w:p>
        </w:tc>
        <w:tc>
          <w:tcPr>
            <w:tcW w:w="558" w:type="pct"/>
            <w:noWrap w:val="0"/>
            <w:vAlign w:val="center"/>
          </w:tcPr>
          <w:p w14:paraId="25E6017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0.925</w:t>
            </w:r>
          </w:p>
        </w:tc>
        <w:tc>
          <w:tcPr>
            <w:tcW w:w="659" w:type="pct"/>
            <w:noWrap w:val="0"/>
            <w:vAlign w:val="center"/>
          </w:tcPr>
          <w:p w14:paraId="70AACBC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0.392</w:t>
            </w:r>
          </w:p>
        </w:tc>
        <w:tc>
          <w:tcPr>
            <w:tcW w:w="641" w:type="pct"/>
            <w:noWrap w:val="0"/>
            <w:vAlign w:val="center"/>
          </w:tcPr>
          <w:p w14:paraId="1C4EDB9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0.405</w:t>
            </w:r>
          </w:p>
        </w:tc>
        <w:tc>
          <w:tcPr>
            <w:tcW w:w="477" w:type="pct"/>
            <w:noWrap w:val="0"/>
            <w:vAlign w:val="center"/>
          </w:tcPr>
          <w:p w14:paraId="0931927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0.06</w:t>
            </w:r>
          </w:p>
        </w:tc>
      </w:tr>
      <w:tr w14:paraId="076070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9778A5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p>
        </w:tc>
        <w:tc>
          <w:tcPr>
            <w:tcW w:w="524" w:type="pct"/>
            <w:noWrap w:val="0"/>
            <w:vAlign w:val="center"/>
          </w:tcPr>
          <w:p w14:paraId="4511E78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超标率</w:t>
            </w:r>
          </w:p>
        </w:tc>
        <w:tc>
          <w:tcPr>
            <w:tcW w:w="557" w:type="pct"/>
            <w:noWrap w:val="0"/>
            <w:vAlign w:val="center"/>
          </w:tcPr>
          <w:p w14:paraId="0549A84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557" w:type="pct"/>
            <w:noWrap w:val="0"/>
            <w:vAlign w:val="center"/>
          </w:tcPr>
          <w:p w14:paraId="5BB3ABF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531" w:type="pct"/>
            <w:noWrap w:val="0"/>
            <w:vAlign w:val="center"/>
          </w:tcPr>
          <w:p w14:paraId="6EA6784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558" w:type="pct"/>
            <w:noWrap w:val="0"/>
            <w:vAlign w:val="center"/>
          </w:tcPr>
          <w:p w14:paraId="5DD885B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659" w:type="pct"/>
            <w:noWrap w:val="0"/>
            <w:vAlign w:val="center"/>
          </w:tcPr>
          <w:p w14:paraId="0BEC417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641" w:type="pct"/>
            <w:noWrap w:val="0"/>
            <w:vAlign w:val="center"/>
          </w:tcPr>
          <w:p w14:paraId="693366B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477" w:type="pct"/>
            <w:noWrap w:val="0"/>
            <w:vAlign w:val="center"/>
          </w:tcPr>
          <w:p w14:paraId="67507F1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r>
      <w:tr w14:paraId="6CE0B5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62D62BD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p>
        </w:tc>
        <w:tc>
          <w:tcPr>
            <w:tcW w:w="524" w:type="pct"/>
            <w:noWrap w:val="0"/>
            <w:vAlign w:val="center"/>
          </w:tcPr>
          <w:p w14:paraId="0527AD7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最大超标倍数</w:t>
            </w:r>
          </w:p>
        </w:tc>
        <w:tc>
          <w:tcPr>
            <w:tcW w:w="557" w:type="pct"/>
            <w:noWrap w:val="0"/>
            <w:vAlign w:val="center"/>
          </w:tcPr>
          <w:p w14:paraId="2EAE203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7" w:type="pct"/>
            <w:noWrap w:val="0"/>
            <w:vAlign w:val="center"/>
          </w:tcPr>
          <w:p w14:paraId="69E0427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31" w:type="pct"/>
            <w:noWrap w:val="0"/>
            <w:vAlign w:val="center"/>
          </w:tcPr>
          <w:p w14:paraId="126749C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8" w:type="pct"/>
            <w:noWrap w:val="0"/>
            <w:vAlign w:val="center"/>
          </w:tcPr>
          <w:p w14:paraId="3158C64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59" w:type="pct"/>
            <w:noWrap w:val="0"/>
            <w:vAlign w:val="center"/>
          </w:tcPr>
          <w:p w14:paraId="2425E48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41" w:type="pct"/>
            <w:noWrap w:val="0"/>
            <w:vAlign w:val="center"/>
          </w:tcPr>
          <w:p w14:paraId="1BC9BDE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477" w:type="pct"/>
            <w:noWrap w:val="0"/>
            <w:vAlign w:val="center"/>
          </w:tcPr>
          <w:p w14:paraId="18A0660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r>
      <w:tr w14:paraId="0E57AA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restart"/>
            <w:noWrap w:val="0"/>
            <w:vAlign w:val="center"/>
          </w:tcPr>
          <w:p w14:paraId="1DEF4D8F">
            <w:pPr>
              <w:widowControl/>
              <w:spacing w:line="240" w:lineRule="auto"/>
              <w:ind w:firstLine="0" w:firstLineChars="0"/>
              <w:jc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lang w:val="en-US" w:eastAsia="zh-CN"/>
              </w:rPr>
              <w:t>W8濉溪</w:t>
            </w:r>
            <w:r>
              <w:rPr>
                <w:rFonts w:hint="default" w:ascii="Times New Roman" w:hAnsi="Times New Roman" w:eastAsia="宋体" w:cs="Times New Roman"/>
                <w:color w:val="auto"/>
                <w:sz w:val="21"/>
                <w:szCs w:val="21"/>
              </w:rPr>
              <w:t>第二污水处理厂</w:t>
            </w:r>
            <w:r>
              <w:rPr>
                <w:rFonts w:hint="default" w:ascii="Times New Roman" w:hAnsi="Times New Roman" w:eastAsia="宋体" w:cs="Times New Roman"/>
                <w:color w:val="auto"/>
                <w:sz w:val="21"/>
                <w:szCs w:val="21"/>
                <w:lang w:val="en-US" w:eastAsia="zh-CN"/>
              </w:rPr>
              <w:t>拟建排污口下游500m</w:t>
            </w:r>
          </w:p>
        </w:tc>
        <w:tc>
          <w:tcPr>
            <w:tcW w:w="524" w:type="pct"/>
            <w:noWrap w:val="0"/>
            <w:vAlign w:val="center"/>
          </w:tcPr>
          <w:p w14:paraId="3992161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测定范围</w:t>
            </w:r>
          </w:p>
        </w:tc>
        <w:tc>
          <w:tcPr>
            <w:tcW w:w="557" w:type="pct"/>
            <w:noWrap w:val="0"/>
            <w:vAlign w:val="center"/>
          </w:tcPr>
          <w:p w14:paraId="3B44EFCA">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7.1~7.2</w:t>
            </w:r>
          </w:p>
        </w:tc>
        <w:tc>
          <w:tcPr>
            <w:tcW w:w="557" w:type="pct"/>
            <w:noWrap w:val="0"/>
            <w:vAlign w:val="center"/>
          </w:tcPr>
          <w:p w14:paraId="13BBDD1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5.19~5.24</w:t>
            </w:r>
          </w:p>
        </w:tc>
        <w:tc>
          <w:tcPr>
            <w:tcW w:w="531" w:type="pct"/>
            <w:noWrap w:val="0"/>
            <w:vAlign w:val="center"/>
          </w:tcPr>
          <w:p w14:paraId="682C0E1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15~17</w:t>
            </w:r>
          </w:p>
        </w:tc>
        <w:tc>
          <w:tcPr>
            <w:tcW w:w="558" w:type="pct"/>
            <w:noWrap w:val="0"/>
            <w:vAlign w:val="center"/>
          </w:tcPr>
          <w:p w14:paraId="2ACD515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3.5~3.6</w:t>
            </w:r>
          </w:p>
        </w:tc>
        <w:tc>
          <w:tcPr>
            <w:tcW w:w="659" w:type="pct"/>
            <w:noWrap w:val="0"/>
            <w:vAlign w:val="center"/>
          </w:tcPr>
          <w:p w14:paraId="3E13352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0.330~0.056</w:t>
            </w:r>
          </w:p>
        </w:tc>
        <w:tc>
          <w:tcPr>
            <w:tcW w:w="641" w:type="pct"/>
            <w:noWrap w:val="0"/>
            <w:vAlign w:val="center"/>
          </w:tcPr>
          <w:p w14:paraId="57262E6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0.043~0.056</w:t>
            </w:r>
          </w:p>
        </w:tc>
        <w:tc>
          <w:tcPr>
            <w:tcW w:w="477" w:type="pct"/>
            <w:noWrap w:val="0"/>
            <w:vAlign w:val="center"/>
          </w:tcPr>
          <w:p w14:paraId="2632726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sz w:val="21"/>
                <w:szCs w:val="21"/>
              </w:rPr>
              <w:t>ND</w:t>
            </w:r>
          </w:p>
        </w:tc>
      </w:tr>
      <w:tr w14:paraId="729838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1F182F9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p>
        </w:tc>
        <w:tc>
          <w:tcPr>
            <w:tcW w:w="524" w:type="pct"/>
            <w:noWrap w:val="0"/>
            <w:vAlign w:val="center"/>
          </w:tcPr>
          <w:p w14:paraId="06AE6ED5">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标准</w:t>
            </w:r>
          </w:p>
        </w:tc>
        <w:tc>
          <w:tcPr>
            <w:tcW w:w="557" w:type="pct"/>
            <w:noWrap w:val="0"/>
            <w:vAlign w:val="center"/>
          </w:tcPr>
          <w:p w14:paraId="5AC80BF7">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6~9</w:t>
            </w:r>
          </w:p>
        </w:tc>
        <w:tc>
          <w:tcPr>
            <w:tcW w:w="557" w:type="pct"/>
            <w:noWrap w:val="0"/>
            <w:vAlign w:val="center"/>
          </w:tcPr>
          <w:p w14:paraId="227D494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5</w:t>
            </w:r>
          </w:p>
        </w:tc>
        <w:tc>
          <w:tcPr>
            <w:tcW w:w="531" w:type="pct"/>
            <w:noWrap w:val="0"/>
            <w:vAlign w:val="center"/>
          </w:tcPr>
          <w:p w14:paraId="371F8BB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20</w:t>
            </w:r>
          </w:p>
        </w:tc>
        <w:tc>
          <w:tcPr>
            <w:tcW w:w="558" w:type="pct"/>
            <w:noWrap w:val="0"/>
            <w:vAlign w:val="center"/>
          </w:tcPr>
          <w:p w14:paraId="59E499E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4</w:t>
            </w:r>
          </w:p>
        </w:tc>
        <w:tc>
          <w:tcPr>
            <w:tcW w:w="659" w:type="pct"/>
            <w:noWrap w:val="0"/>
            <w:vAlign w:val="center"/>
          </w:tcPr>
          <w:p w14:paraId="7BCAAFA4">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0.2</w:t>
            </w:r>
          </w:p>
        </w:tc>
        <w:tc>
          <w:tcPr>
            <w:tcW w:w="641" w:type="pct"/>
            <w:noWrap w:val="0"/>
            <w:vAlign w:val="center"/>
          </w:tcPr>
          <w:p w14:paraId="055A4440">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0.2</w:t>
            </w:r>
          </w:p>
        </w:tc>
        <w:tc>
          <w:tcPr>
            <w:tcW w:w="477" w:type="pct"/>
            <w:noWrap w:val="0"/>
            <w:vAlign w:val="center"/>
          </w:tcPr>
          <w:p w14:paraId="4BCD2A9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0.5</w:t>
            </w:r>
          </w:p>
        </w:tc>
      </w:tr>
      <w:tr w14:paraId="47C9B0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3018F21D">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p>
        </w:tc>
        <w:tc>
          <w:tcPr>
            <w:tcW w:w="524" w:type="pct"/>
            <w:noWrap w:val="0"/>
            <w:vAlign w:val="center"/>
          </w:tcPr>
          <w:p w14:paraId="30D3D9A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最大指数</w:t>
            </w:r>
          </w:p>
        </w:tc>
        <w:tc>
          <w:tcPr>
            <w:tcW w:w="557" w:type="pct"/>
            <w:noWrap w:val="0"/>
            <w:vAlign w:val="center"/>
          </w:tcPr>
          <w:p w14:paraId="7C7BE00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w:t>
            </w:r>
          </w:p>
        </w:tc>
        <w:tc>
          <w:tcPr>
            <w:tcW w:w="557" w:type="pct"/>
            <w:noWrap w:val="0"/>
            <w:vAlign w:val="center"/>
          </w:tcPr>
          <w:p w14:paraId="1E96F9C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w:t>
            </w:r>
          </w:p>
        </w:tc>
        <w:tc>
          <w:tcPr>
            <w:tcW w:w="531" w:type="pct"/>
            <w:noWrap w:val="0"/>
            <w:vAlign w:val="center"/>
          </w:tcPr>
          <w:p w14:paraId="39E4E33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0.85</w:t>
            </w:r>
          </w:p>
        </w:tc>
        <w:tc>
          <w:tcPr>
            <w:tcW w:w="558" w:type="pct"/>
            <w:noWrap w:val="0"/>
            <w:vAlign w:val="center"/>
          </w:tcPr>
          <w:p w14:paraId="376D20C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0.9</w:t>
            </w:r>
          </w:p>
        </w:tc>
        <w:tc>
          <w:tcPr>
            <w:tcW w:w="659" w:type="pct"/>
            <w:noWrap w:val="0"/>
            <w:vAlign w:val="center"/>
          </w:tcPr>
          <w:p w14:paraId="28E05B03">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0.28</w:t>
            </w:r>
          </w:p>
        </w:tc>
        <w:tc>
          <w:tcPr>
            <w:tcW w:w="641" w:type="pct"/>
            <w:noWrap w:val="0"/>
            <w:vAlign w:val="center"/>
          </w:tcPr>
          <w:p w14:paraId="77FD237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0.28</w:t>
            </w:r>
          </w:p>
        </w:tc>
        <w:tc>
          <w:tcPr>
            <w:tcW w:w="477" w:type="pct"/>
            <w:noWrap w:val="0"/>
            <w:vAlign w:val="center"/>
          </w:tcPr>
          <w:p w14:paraId="000F66F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0.06</w:t>
            </w:r>
          </w:p>
        </w:tc>
      </w:tr>
      <w:tr w14:paraId="541B7F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2FDE1F9D">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p>
        </w:tc>
        <w:tc>
          <w:tcPr>
            <w:tcW w:w="524" w:type="pct"/>
            <w:noWrap w:val="0"/>
            <w:vAlign w:val="center"/>
          </w:tcPr>
          <w:p w14:paraId="217DEC28">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超标率</w:t>
            </w:r>
          </w:p>
        </w:tc>
        <w:tc>
          <w:tcPr>
            <w:tcW w:w="557" w:type="pct"/>
            <w:noWrap w:val="0"/>
            <w:vAlign w:val="center"/>
          </w:tcPr>
          <w:p w14:paraId="1C853F0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557" w:type="pct"/>
            <w:noWrap w:val="0"/>
            <w:vAlign w:val="center"/>
          </w:tcPr>
          <w:p w14:paraId="1F64596F">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531" w:type="pct"/>
            <w:noWrap w:val="0"/>
            <w:vAlign w:val="center"/>
          </w:tcPr>
          <w:p w14:paraId="2DE252F9">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558" w:type="pct"/>
            <w:noWrap w:val="0"/>
            <w:vAlign w:val="center"/>
          </w:tcPr>
          <w:p w14:paraId="14CC3C9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659" w:type="pct"/>
            <w:noWrap w:val="0"/>
            <w:vAlign w:val="center"/>
          </w:tcPr>
          <w:p w14:paraId="2176CBB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641" w:type="pct"/>
            <w:noWrap w:val="0"/>
            <w:vAlign w:val="center"/>
          </w:tcPr>
          <w:p w14:paraId="24BBF03B">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0</w:t>
            </w:r>
          </w:p>
        </w:tc>
        <w:tc>
          <w:tcPr>
            <w:tcW w:w="477" w:type="pct"/>
            <w:noWrap w:val="0"/>
            <w:vAlign w:val="center"/>
          </w:tcPr>
          <w:p w14:paraId="46FBE81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0</w:t>
            </w:r>
          </w:p>
        </w:tc>
      </w:tr>
      <w:tr w14:paraId="27C071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1" w:type="pct"/>
            <w:vMerge w:val="continue"/>
            <w:noWrap w:val="0"/>
            <w:vAlign w:val="center"/>
          </w:tcPr>
          <w:p w14:paraId="1F8AD0A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p>
        </w:tc>
        <w:tc>
          <w:tcPr>
            <w:tcW w:w="524" w:type="pct"/>
            <w:noWrap w:val="0"/>
            <w:vAlign w:val="center"/>
          </w:tcPr>
          <w:p w14:paraId="3D2361A1">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最大超标倍数</w:t>
            </w:r>
          </w:p>
        </w:tc>
        <w:tc>
          <w:tcPr>
            <w:tcW w:w="557" w:type="pct"/>
            <w:noWrap w:val="0"/>
            <w:vAlign w:val="center"/>
          </w:tcPr>
          <w:p w14:paraId="17F0B48D">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7" w:type="pct"/>
            <w:noWrap w:val="0"/>
            <w:vAlign w:val="center"/>
          </w:tcPr>
          <w:p w14:paraId="0DAC89C6">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31" w:type="pct"/>
            <w:noWrap w:val="0"/>
            <w:vAlign w:val="center"/>
          </w:tcPr>
          <w:p w14:paraId="69CD6A9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558" w:type="pct"/>
            <w:noWrap w:val="0"/>
            <w:vAlign w:val="center"/>
          </w:tcPr>
          <w:p w14:paraId="7D0E8E1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59" w:type="pct"/>
            <w:noWrap w:val="0"/>
            <w:vAlign w:val="center"/>
          </w:tcPr>
          <w:p w14:paraId="748FE63E">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641" w:type="pct"/>
            <w:noWrap w:val="0"/>
            <w:vAlign w:val="center"/>
          </w:tcPr>
          <w:p w14:paraId="5E4C3802">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c>
          <w:tcPr>
            <w:tcW w:w="477" w:type="pct"/>
            <w:noWrap w:val="0"/>
            <w:vAlign w:val="center"/>
          </w:tcPr>
          <w:p w14:paraId="4513CF4C">
            <w:pPr>
              <w:widowControl/>
              <w:adjustRightInd w:val="0"/>
              <w:snapToGrid w:val="0"/>
              <w:spacing w:line="240" w:lineRule="auto"/>
              <w:ind w:firstLine="0" w:firstLineChars="0"/>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达标</w:t>
            </w:r>
          </w:p>
        </w:tc>
      </w:tr>
    </w:tbl>
    <w:p w14:paraId="4DE22EA9">
      <w:pPr>
        <w:spacing w:line="360" w:lineRule="auto"/>
        <w:rPr>
          <w:rFonts w:hint="eastAsia"/>
          <w:color w:val="auto"/>
          <w:sz w:val="24"/>
          <w:szCs w:val="21"/>
          <w:lang w:val="en-US" w:eastAsia="zh-CN"/>
        </w:rPr>
      </w:pPr>
    </w:p>
    <w:p w14:paraId="369AFB44">
      <w:pPr>
        <w:spacing w:line="360" w:lineRule="auto"/>
        <w:ind w:firstLine="480" w:firstLineChars="200"/>
        <w:rPr>
          <w:rFonts w:hint="eastAsia"/>
          <w:color w:val="auto"/>
          <w:sz w:val="24"/>
          <w:szCs w:val="21"/>
          <w:lang w:val="en-US" w:eastAsia="zh-CN"/>
        </w:rPr>
      </w:pPr>
      <w:r>
        <w:rPr>
          <w:rFonts w:hint="eastAsia"/>
          <w:color w:val="auto"/>
          <w:sz w:val="24"/>
          <w:szCs w:val="21"/>
          <w:lang w:val="en-US" w:eastAsia="zh-CN"/>
        </w:rPr>
        <w:t>由上表可知，王引河W1、W2、W3、W4监测断面化学需氧量、五日生化需氧量、总磷标准指数大于1，水质不能达到《地表水环境质量标准》（GB3838-2002）中</w:t>
      </w:r>
      <w:r>
        <w:rPr>
          <w:rFonts w:hint="eastAsia"/>
          <w:color w:val="auto"/>
          <w:sz w:val="24"/>
          <w:szCs w:val="21"/>
          <w:lang w:val="en-US" w:eastAsia="zh-CN"/>
        </w:rPr>
        <w:fldChar w:fldCharType="begin"/>
      </w:r>
      <w:r>
        <w:rPr>
          <w:rFonts w:hint="eastAsia"/>
          <w:color w:val="auto"/>
          <w:sz w:val="24"/>
          <w:szCs w:val="21"/>
          <w:lang w:val="en-US" w:eastAsia="zh-CN"/>
        </w:rPr>
        <w:instrText xml:space="preserve"> = 3 \* ROMAN \* MERGEFORMAT </w:instrText>
      </w:r>
      <w:r>
        <w:rPr>
          <w:rFonts w:hint="eastAsia"/>
          <w:color w:val="auto"/>
          <w:sz w:val="24"/>
          <w:szCs w:val="21"/>
          <w:lang w:val="en-US" w:eastAsia="zh-CN"/>
        </w:rPr>
        <w:fldChar w:fldCharType="separate"/>
      </w:r>
      <w:r>
        <w:rPr>
          <w:rFonts w:hint="eastAsia"/>
          <w:color w:val="auto"/>
          <w:sz w:val="24"/>
          <w:szCs w:val="21"/>
          <w:lang w:val="en-US" w:eastAsia="zh-CN"/>
        </w:rPr>
        <w:t>III</w:t>
      </w:r>
      <w:r>
        <w:rPr>
          <w:rFonts w:hint="eastAsia"/>
          <w:color w:val="auto"/>
          <w:sz w:val="24"/>
          <w:szCs w:val="21"/>
          <w:lang w:val="en-US" w:eastAsia="zh-CN"/>
        </w:rPr>
        <w:fldChar w:fldCharType="end"/>
      </w:r>
      <w:r>
        <w:rPr>
          <w:rFonts w:hint="eastAsia"/>
          <w:color w:val="auto"/>
          <w:sz w:val="24"/>
          <w:szCs w:val="21"/>
          <w:lang w:val="en-US" w:eastAsia="zh-CN"/>
        </w:rPr>
        <w:t>类水质标准的要求。巴河W5监测断面化学需氧量、五日生化需氧量、总磷标准指数大于1，巴河W6监测断面化学需氧量、五日生化需氧量标准指数大于1水质不能达到《地表水环境质量标准》（GB3838-2002）中</w:t>
      </w:r>
      <w:r>
        <w:rPr>
          <w:rFonts w:hint="eastAsia"/>
          <w:color w:val="auto"/>
          <w:sz w:val="24"/>
          <w:szCs w:val="21"/>
          <w:lang w:val="en-US" w:eastAsia="zh-CN"/>
        </w:rPr>
        <w:fldChar w:fldCharType="begin"/>
      </w:r>
      <w:r>
        <w:rPr>
          <w:rFonts w:hint="eastAsia"/>
          <w:color w:val="auto"/>
          <w:sz w:val="24"/>
          <w:szCs w:val="21"/>
          <w:lang w:val="en-US" w:eastAsia="zh-CN"/>
        </w:rPr>
        <w:instrText xml:space="preserve"> = 4 \* ROMAN \* MERGEFORMAT </w:instrText>
      </w:r>
      <w:r>
        <w:rPr>
          <w:rFonts w:hint="eastAsia"/>
          <w:color w:val="auto"/>
          <w:sz w:val="24"/>
          <w:szCs w:val="21"/>
          <w:lang w:val="en-US" w:eastAsia="zh-CN"/>
        </w:rPr>
        <w:fldChar w:fldCharType="separate"/>
      </w:r>
      <w:r>
        <w:rPr>
          <w:rFonts w:hint="eastAsia"/>
          <w:color w:val="auto"/>
          <w:sz w:val="24"/>
          <w:szCs w:val="21"/>
          <w:lang w:val="en-US" w:eastAsia="zh-CN"/>
        </w:rPr>
        <w:t>IV</w:t>
      </w:r>
      <w:r>
        <w:rPr>
          <w:rFonts w:hint="eastAsia"/>
          <w:color w:val="auto"/>
          <w:sz w:val="24"/>
          <w:szCs w:val="21"/>
          <w:lang w:val="en-US" w:eastAsia="zh-CN"/>
        </w:rPr>
        <w:fldChar w:fldCharType="end"/>
      </w:r>
      <w:r>
        <w:rPr>
          <w:rFonts w:hint="eastAsia"/>
          <w:color w:val="auto"/>
          <w:sz w:val="24"/>
          <w:szCs w:val="21"/>
          <w:lang w:val="en-US" w:eastAsia="zh-CN"/>
        </w:rPr>
        <w:t>类水质标准的要求，萧濉新河W7、W8监测断面各监测因子小于1，水质可达到《地表水环境质量标准》（GB3838-2002）中III类水质标准的要求。</w:t>
      </w:r>
    </w:p>
    <w:p w14:paraId="0251F7D7">
      <w:pPr>
        <w:spacing w:line="360" w:lineRule="auto"/>
        <w:outlineLvl w:val="2"/>
        <w:rPr>
          <w:b/>
          <w:bCs/>
          <w:color w:val="auto"/>
          <w:sz w:val="24"/>
        </w:rPr>
      </w:pPr>
      <w:r>
        <w:rPr>
          <w:b/>
          <w:bCs/>
          <w:color w:val="auto"/>
          <w:sz w:val="24"/>
        </w:rPr>
        <w:t>4.3.3地下水环境现状监测与评价</w:t>
      </w:r>
    </w:p>
    <w:p w14:paraId="1D9DB39F">
      <w:pPr>
        <w:spacing w:line="360" w:lineRule="auto"/>
        <w:ind w:firstLine="480" w:firstLineChars="200"/>
        <w:rPr>
          <w:color w:val="auto"/>
          <w:sz w:val="24"/>
          <w:szCs w:val="32"/>
        </w:rPr>
      </w:pPr>
      <w:r>
        <w:rPr>
          <w:color w:val="auto"/>
          <w:sz w:val="24"/>
          <w:szCs w:val="32"/>
        </w:rPr>
        <w:t>本项目根据区域地下水流向（由西北向东南），地下水环境质量现状监测引用</w:t>
      </w:r>
      <w:r>
        <w:rPr>
          <w:rFonts w:hint="eastAsia"/>
          <w:color w:val="auto"/>
          <w:sz w:val="24"/>
          <w:szCs w:val="32"/>
          <w:lang w:val="en-US" w:eastAsia="zh-CN"/>
        </w:rPr>
        <w:t>《安徽濉溪经济开发区总体发展规划（2023～2035）环境影响报告书》中“黄大庄、龙华学校、区内香樟路空地”等</w:t>
      </w:r>
      <w:r>
        <w:rPr>
          <w:rFonts w:hint="eastAsia"/>
          <w:color w:val="auto"/>
          <w:sz w:val="24"/>
          <w:szCs w:val="32"/>
        </w:rPr>
        <w:t>监测</w:t>
      </w:r>
      <w:r>
        <w:rPr>
          <w:rFonts w:hint="eastAsia"/>
          <w:color w:val="auto"/>
          <w:sz w:val="24"/>
          <w:szCs w:val="32"/>
          <w:lang w:val="en-US" w:eastAsia="zh-CN"/>
        </w:rPr>
        <w:t>点位</w:t>
      </w:r>
      <w:r>
        <w:rPr>
          <w:rFonts w:hint="eastAsia"/>
          <w:color w:val="auto"/>
          <w:sz w:val="24"/>
          <w:szCs w:val="32"/>
        </w:rPr>
        <w:t>数据</w:t>
      </w:r>
      <w:r>
        <w:rPr>
          <w:color w:val="auto"/>
          <w:sz w:val="24"/>
          <w:szCs w:val="32"/>
        </w:rPr>
        <w:t>，监测时间为202</w:t>
      </w:r>
      <w:r>
        <w:rPr>
          <w:rFonts w:hint="eastAsia"/>
          <w:color w:val="auto"/>
          <w:sz w:val="24"/>
          <w:szCs w:val="32"/>
          <w:lang w:val="en-US" w:eastAsia="zh-CN"/>
        </w:rPr>
        <w:t>3</w:t>
      </w:r>
      <w:r>
        <w:rPr>
          <w:color w:val="auto"/>
          <w:sz w:val="24"/>
          <w:szCs w:val="32"/>
        </w:rPr>
        <w:t>年</w:t>
      </w:r>
      <w:r>
        <w:rPr>
          <w:rFonts w:hint="eastAsia"/>
          <w:color w:val="auto"/>
          <w:sz w:val="24"/>
          <w:szCs w:val="32"/>
          <w:lang w:val="en-US" w:eastAsia="zh-CN"/>
        </w:rPr>
        <w:t>7</w:t>
      </w:r>
      <w:r>
        <w:rPr>
          <w:color w:val="auto"/>
          <w:sz w:val="24"/>
          <w:szCs w:val="32"/>
        </w:rPr>
        <w:t>月</w:t>
      </w:r>
      <w:r>
        <w:rPr>
          <w:rFonts w:hint="eastAsia"/>
          <w:color w:val="auto"/>
          <w:sz w:val="24"/>
          <w:szCs w:val="32"/>
          <w:lang w:val="en-US" w:eastAsia="zh-CN"/>
        </w:rPr>
        <w:t>12</w:t>
      </w:r>
      <w:r>
        <w:rPr>
          <w:color w:val="auto"/>
          <w:sz w:val="24"/>
          <w:szCs w:val="32"/>
        </w:rPr>
        <w:t>日</w:t>
      </w:r>
      <w:r>
        <w:rPr>
          <w:rFonts w:hint="eastAsia"/>
          <w:color w:val="auto"/>
          <w:sz w:val="24"/>
          <w:szCs w:val="32"/>
          <w:lang w:eastAsia="zh-CN"/>
        </w:rPr>
        <w:t>，</w:t>
      </w:r>
      <w:r>
        <w:rPr>
          <w:rFonts w:hint="eastAsia"/>
          <w:color w:val="auto"/>
          <w:sz w:val="24"/>
          <w:szCs w:val="32"/>
          <w:lang w:val="en-US" w:eastAsia="zh-CN"/>
        </w:rPr>
        <w:t>具体监测点位如下</w:t>
      </w:r>
      <w:r>
        <w:rPr>
          <w:color w:val="auto"/>
          <w:sz w:val="24"/>
          <w:szCs w:val="32"/>
        </w:rPr>
        <w:t>。</w:t>
      </w:r>
    </w:p>
    <w:p w14:paraId="46009D4D">
      <w:pPr>
        <w:spacing w:line="360" w:lineRule="auto"/>
        <w:ind w:firstLine="480" w:firstLineChars="200"/>
        <w:rPr>
          <w:rFonts w:hint="default" w:eastAsia="宋体"/>
          <w:color w:val="auto"/>
          <w:sz w:val="24"/>
          <w:szCs w:val="32"/>
          <w:lang w:val="en-US" w:eastAsia="zh-CN"/>
        </w:rPr>
      </w:pPr>
      <w:bookmarkStart w:id="333" w:name="_Toc28783"/>
      <w:bookmarkStart w:id="334" w:name="_Toc5292"/>
      <w:r>
        <w:rPr>
          <w:rFonts w:hint="eastAsia"/>
          <w:color w:val="auto"/>
          <w:sz w:val="24"/>
          <w:szCs w:val="32"/>
          <w:lang w:eastAsia="zh-CN"/>
        </w:rPr>
        <w:t>（</w:t>
      </w:r>
      <w:r>
        <w:rPr>
          <w:rFonts w:hint="eastAsia"/>
          <w:color w:val="auto"/>
          <w:sz w:val="24"/>
          <w:szCs w:val="32"/>
          <w:lang w:val="en-US" w:eastAsia="zh-CN"/>
        </w:rPr>
        <w:t>1</w:t>
      </w:r>
      <w:r>
        <w:rPr>
          <w:rFonts w:hint="eastAsia"/>
          <w:color w:val="auto"/>
          <w:sz w:val="24"/>
          <w:szCs w:val="32"/>
          <w:lang w:eastAsia="zh-CN"/>
        </w:rPr>
        <w:t>）</w:t>
      </w:r>
      <w:r>
        <w:rPr>
          <w:color w:val="auto"/>
          <w:sz w:val="24"/>
          <w:szCs w:val="32"/>
        </w:rPr>
        <w:t>监测</w:t>
      </w:r>
      <w:bookmarkEnd w:id="333"/>
      <w:bookmarkEnd w:id="334"/>
      <w:r>
        <w:rPr>
          <w:rFonts w:hint="eastAsia"/>
          <w:color w:val="auto"/>
          <w:sz w:val="24"/>
          <w:szCs w:val="32"/>
          <w:lang w:val="en-US" w:eastAsia="zh-CN"/>
        </w:rPr>
        <w:t>点位布设</w:t>
      </w:r>
    </w:p>
    <w:p w14:paraId="209F68D8">
      <w:pPr>
        <w:spacing w:line="360" w:lineRule="auto"/>
        <w:ind w:firstLine="480" w:firstLineChars="200"/>
        <w:rPr>
          <w:color w:val="auto"/>
          <w:sz w:val="24"/>
          <w:szCs w:val="32"/>
        </w:rPr>
      </w:pPr>
      <w:r>
        <w:rPr>
          <w:color w:val="auto"/>
          <w:sz w:val="24"/>
          <w:szCs w:val="32"/>
        </w:rPr>
        <w:t>监测点位分布见下表。</w:t>
      </w:r>
    </w:p>
    <w:p w14:paraId="649F181C">
      <w:pPr>
        <w:jc w:val="center"/>
        <w:rPr>
          <w:b/>
          <w:bCs/>
          <w:color w:val="auto"/>
          <w:sz w:val="24"/>
          <w:szCs w:val="32"/>
        </w:rPr>
      </w:pPr>
    </w:p>
    <w:p w14:paraId="1E85E017">
      <w:pPr>
        <w:spacing w:line="360" w:lineRule="auto"/>
        <w:jc w:val="center"/>
        <w:rPr>
          <w:b/>
          <w:bCs/>
          <w:color w:val="auto"/>
          <w:sz w:val="24"/>
          <w:szCs w:val="32"/>
        </w:rPr>
      </w:pPr>
      <w:r>
        <w:rPr>
          <w:b/>
          <w:bCs/>
          <w:color w:val="auto"/>
          <w:sz w:val="24"/>
          <w:szCs w:val="32"/>
        </w:rPr>
        <w:t>表4-</w:t>
      </w:r>
      <w:r>
        <w:rPr>
          <w:rFonts w:hint="eastAsia"/>
          <w:b/>
          <w:bCs/>
          <w:color w:val="auto"/>
          <w:sz w:val="24"/>
          <w:szCs w:val="32"/>
          <w:lang w:val="en-US" w:eastAsia="zh-CN"/>
        </w:rPr>
        <w:t>8</w:t>
      </w:r>
      <w:r>
        <w:rPr>
          <w:b/>
          <w:bCs/>
          <w:color w:val="auto"/>
          <w:sz w:val="24"/>
          <w:szCs w:val="32"/>
        </w:rPr>
        <w:t xml:space="preserve"> 地下水监测点位表</w:t>
      </w:r>
    </w:p>
    <w:tbl>
      <w:tblPr>
        <w:tblStyle w:val="31"/>
        <w:tblW w:w="4996"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558"/>
        <w:gridCol w:w="779"/>
        <w:gridCol w:w="2695"/>
        <w:gridCol w:w="2151"/>
        <w:gridCol w:w="2153"/>
        <w:gridCol w:w="1618"/>
      </w:tblGrid>
      <w:tr w14:paraId="7B09ABC7">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280" w:type="pct"/>
            <w:tcBorders>
              <w:tl2br w:val="nil"/>
              <w:tr2bl w:val="nil"/>
            </w:tcBorders>
            <w:vAlign w:val="center"/>
          </w:tcPr>
          <w:p w14:paraId="10F29FFC">
            <w:pPr>
              <w:jc w:val="center"/>
              <w:rPr>
                <w:b/>
                <w:bCs/>
                <w:color w:val="auto"/>
              </w:rPr>
            </w:pPr>
            <w:r>
              <w:rPr>
                <w:b/>
                <w:bCs/>
                <w:color w:val="auto"/>
              </w:rPr>
              <w:t>序号</w:t>
            </w:r>
          </w:p>
        </w:tc>
        <w:tc>
          <w:tcPr>
            <w:tcW w:w="391" w:type="pct"/>
            <w:tcBorders>
              <w:tl2br w:val="nil"/>
              <w:tr2bl w:val="nil"/>
            </w:tcBorders>
            <w:vAlign w:val="center"/>
          </w:tcPr>
          <w:p w14:paraId="46F040EA">
            <w:pPr>
              <w:jc w:val="center"/>
              <w:rPr>
                <w:b/>
                <w:bCs/>
                <w:color w:val="auto"/>
              </w:rPr>
            </w:pPr>
            <w:r>
              <w:rPr>
                <w:b/>
                <w:bCs/>
                <w:color w:val="auto"/>
              </w:rPr>
              <w:t>采样点位</w:t>
            </w:r>
          </w:p>
        </w:tc>
        <w:tc>
          <w:tcPr>
            <w:tcW w:w="1353" w:type="pct"/>
            <w:tcBorders>
              <w:tl2br w:val="nil"/>
              <w:tr2bl w:val="nil"/>
            </w:tcBorders>
            <w:vAlign w:val="center"/>
          </w:tcPr>
          <w:p w14:paraId="09F73DF5">
            <w:pPr>
              <w:jc w:val="center"/>
              <w:rPr>
                <w:b/>
                <w:bCs/>
                <w:color w:val="auto"/>
              </w:rPr>
            </w:pPr>
            <w:r>
              <w:rPr>
                <w:b/>
                <w:bCs/>
                <w:color w:val="auto"/>
              </w:rPr>
              <w:t>点位名称</w:t>
            </w:r>
          </w:p>
        </w:tc>
        <w:tc>
          <w:tcPr>
            <w:tcW w:w="1080" w:type="pct"/>
            <w:tcBorders>
              <w:tl2br w:val="nil"/>
              <w:tr2bl w:val="nil"/>
            </w:tcBorders>
            <w:vAlign w:val="center"/>
          </w:tcPr>
          <w:p w14:paraId="6D109786">
            <w:pPr>
              <w:spacing w:line="240" w:lineRule="auto"/>
              <w:ind w:firstLine="0" w:firstLineChars="0"/>
              <w:jc w:val="center"/>
              <w:rPr>
                <w:b/>
                <w:bCs/>
                <w:color w:val="auto"/>
              </w:rPr>
            </w:pPr>
            <w:r>
              <w:rPr>
                <w:rFonts w:hint="default" w:ascii="Times New Roman" w:hAnsi="Times New Roman" w:eastAsia="宋体" w:cs="Times New Roman"/>
                <w:b/>
                <w:bCs/>
                <w:color w:val="auto"/>
                <w:sz w:val="21"/>
                <w:szCs w:val="21"/>
              </w:rPr>
              <w:t>监测点与本项目位置关系</w:t>
            </w:r>
          </w:p>
        </w:tc>
        <w:tc>
          <w:tcPr>
            <w:tcW w:w="1081" w:type="pct"/>
            <w:tcBorders>
              <w:tl2br w:val="nil"/>
              <w:tr2bl w:val="nil"/>
            </w:tcBorders>
            <w:vAlign w:val="center"/>
          </w:tcPr>
          <w:p w14:paraId="6BF5049A">
            <w:pPr>
              <w:spacing w:line="240" w:lineRule="auto"/>
              <w:ind w:firstLine="0" w:firstLineChars="0"/>
              <w:jc w:val="center"/>
              <w:rPr>
                <w:b/>
                <w:bCs/>
                <w:color w:val="auto"/>
              </w:rPr>
            </w:pPr>
            <w:r>
              <w:rPr>
                <w:rFonts w:hint="default" w:ascii="Times New Roman" w:hAnsi="Times New Roman" w:eastAsia="宋体" w:cs="Times New Roman"/>
                <w:b/>
                <w:bCs/>
                <w:color w:val="auto"/>
                <w:sz w:val="21"/>
                <w:szCs w:val="21"/>
              </w:rPr>
              <w:t>监测点与本项目位置距离/m</w:t>
            </w:r>
          </w:p>
        </w:tc>
        <w:tc>
          <w:tcPr>
            <w:tcW w:w="812" w:type="pct"/>
            <w:tcBorders>
              <w:tl2br w:val="nil"/>
              <w:tr2bl w:val="nil"/>
            </w:tcBorders>
            <w:vAlign w:val="center"/>
          </w:tcPr>
          <w:p w14:paraId="1C81B6A5">
            <w:pPr>
              <w:spacing w:line="240" w:lineRule="auto"/>
              <w:ind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备注</w:t>
            </w:r>
          </w:p>
        </w:tc>
      </w:tr>
      <w:tr w14:paraId="34376BDC">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280" w:type="pct"/>
            <w:tcBorders>
              <w:tl2br w:val="nil"/>
              <w:tr2bl w:val="nil"/>
            </w:tcBorders>
            <w:vAlign w:val="center"/>
          </w:tcPr>
          <w:p w14:paraId="67597D8B">
            <w:pPr>
              <w:jc w:val="center"/>
              <w:rPr>
                <w:color w:val="auto"/>
              </w:rPr>
            </w:pPr>
            <w:r>
              <w:rPr>
                <w:color w:val="auto"/>
              </w:rPr>
              <w:t>1</w:t>
            </w:r>
          </w:p>
        </w:tc>
        <w:tc>
          <w:tcPr>
            <w:tcW w:w="391" w:type="pct"/>
            <w:tcBorders>
              <w:tl2br w:val="nil"/>
              <w:tr2bl w:val="nil"/>
            </w:tcBorders>
            <w:vAlign w:val="center"/>
          </w:tcPr>
          <w:p w14:paraId="6F321FF3">
            <w:pPr>
              <w:jc w:val="center"/>
              <w:rPr>
                <w:color w:val="auto"/>
              </w:rPr>
            </w:pPr>
            <w:r>
              <w:rPr>
                <w:rFonts w:hint="eastAsia"/>
                <w:color w:val="auto"/>
              </w:rPr>
              <w:t>D1</w:t>
            </w:r>
          </w:p>
        </w:tc>
        <w:tc>
          <w:tcPr>
            <w:tcW w:w="1353" w:type="pct"/>
            <w:tcBorders>
              <w:tl2br w:val="nil"/>
              <w:tr2bl w:val="nil"/>
            </w:tcBorders>
            <w:vAlign w:val="center"/>
          </w:tcPr>
          <w:p w14:paraId="7100A10A">
            <w:pPr>
              <w:jc w:val="center"/>
              <w:rPr>
                <w:rFonts w:hint="eastAsia" w:eastAsia="宋体"/>
                <w:color w:val="auto"/>
                <w:lang w:eastAsia="zh-CN"/>
              </w:rPr>
            </w:pPr>
            <w:r>
              <w:rPr>
                <w:rFonts w:hint="eastAsia"/>
                <w:color w:val="auto"/>
                <w:lang w:val="en-US" w:eastAsia="zh-CN"/>
              </w:rPr>
              <w:t>黄大庄</w:t>
            </w:r>
          </w:p>
        </w:tc>
        <w:tc>
          <w:tcPr>
            <w:tcW w:w="1080" w:type="pct"/>
            <w:tcBorders>
              <w:tl2br w:val="nil"/>
              <w:tr2bl w:val="nil"/>
            </w:tcBorders>
            <w:vAlign w:val="center"/>
          </w:tcPr>
          <w:p w14:paraId="402EEEE6">
            <w:pPr>
              <w:bidi w:val="0"/>
              <w:snapToGrid w:val="0"/>
              <w:spacing w:line="240" w:lineRule="auto"/>
              <w:ind w:left="0" w:leftChars="0" w:right="0" w:rightChars="0" w:firstLine="0" w:firstLineChars="0"/>
              <w:jc w:val="center"/>
              <w:rPr>
                <w:rFonts w:hint="default" w:eastAsia="宋体"/>
                <w:color w:val="auto"/>
                <w:lang w:val="en-US" w:eastAsia="zh-CN"/>
              </w:rPr>
            </w:pPr>
            <w:r>
              <w:rPr>
                <w:rFonts w:hint="eastAsia" w:cs="Times New Roman"/>
                <w:color w:val="auto"/>
                <w:sz w:val="21"/>
                <w:szCs w:val="21"/>
                <w:lang w:val="en-US" w:eastAsia="zh-CN"/>
              </w:rPr>
              <w:t>SW</w:t>
            </w:r>
          </w:p>
        </w:tc>
        <w:tc>
          <w:tcPr>
            <w:tcW w:w="1081" w:type="pct"/>
            <w:tcBorders>
              <w:tl2br w:val="nil"/>
              <w:tr2bl w:val="nil"/>
            </w:tcBorders>
            <w:vAlign w:val="center"/>
          </w:tcPr>
          <w:p w14:paraId="3C6E154E">
            <w:pPr>
              <w:bidi w:val="0"/>
              <w:snapToGrid w:val="0"/>
              <w:spacing w:line="240" w:lineRule="auto"/>
              <w:ind w:left="0" w:leftChars="0" w:right="0" w:rightChars="0" w:firstLine="0" w:firstLineChars="0"/>
              <w:jc w:val="center"/>
              <w:rPr>
                <w:rFonts w:hint="eastAsia"/>
                <w:color w:val="auto"/>
              </w:rPr>
            </w:pPr>
            <w:r>
              <w:rPr>
                <w:rFonts w:hint="eastAsia" w:cs="Times New Roman"/>
                <w:color w:val="auto"/>
                <w:sz w:val="21"/>
                <w:szCs w:val="21"/>
                <w:lang w:val="en-US" w:eastAsia="zh-CN"/>
              </w:rPr>
              <w:t>2209</w:t>
            </w:r>
          </w:p>
        </w:tc>
        <w:tc>
          <w:tcPr>
            <w:tcW w:w="812" w:type="pct"/>
            <w:tcBorders>
              <w:tl2br w:val="nil"/>
              <w:tr2bl w:val="nil"/>
            </w:tcBorders>
            <w:vAlign w:val="center"/>
          </w:tcPr>
          <w:p w14:paraId="3B00BC76">
            <w:pPr>
              <w:jc w:val="center"/>
              <w:rPr>
                <w:rFonts w:hint="eastAsia"/>
                <w:color w:val="auto"/>
              </w:rPr>
            </w:pPr>
            <w:r>
              <w:rPr>
                <w:rFonts w:hint="eastAsia"/>
                <w:color w:val="auto"/>
                <w:lang w:val="en-US" w:eastAsia="zh-CN"/>
              </w:rPr>
              <w:t>项目厂址两侧</w:t>
            </w:r>
          </w:p>
        </w:tc>
      </w:tr>
      <w:tr w14:paraId="0C67F046">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280" w:type="pct"/>
            <w:tcBorders>
              <w:tl2br w:val="nil"/>
              <w:tr2bl w:val="nil"/>
            </w:tcBorders>
            <w:vAlign w:val="center"/>
          </w:tcPr>
          <w:p w14:paraId="1DE6FF1B">
            <w:pPr>
              <w:jc w:val="center"/>
              <w:rPr>
                <w:color w:val="auto"/>
              </w:rPr>
            </w:pPr>
            <w:r>
              <w:rPr>
                <w:color w:val="auto"/>
              </w:rPr>
              <w:t>2</w:t>
            </w:r>
          </w:p>
        </w:tc>
        <w:tc>
          <w:tcPr>
            <w:tcW w:w="391" w:type="pct"/>
            <w:tcBorders>
              <w:tl2br w:val="nil"/>
              <w:tr2bl w:val="nil"/>
            </w:tcBorders>
            <w:vAlign w:val="center"/>
          </w:tcPr>
          <w:p w14:paraId="41D57FF5">
            <w:pPr>
              <w:jc w:val="center"/>
              <w:rPr>
                <w:rFonts w:hint="eastAsia" w:eastAsia="宋体"/>
                <w:color w:val="auto"/>
                <w:lang w:val="en-US" w:eastAsia="zh-CN"/>
              </w:rPr>
            </w:pPr>
            <w:r>
              <w:rPr>
                <w:color w:val="auto"/>
              </w:rPr>
              <w:t>D</w:t>
            </w:r>
            <w:r>
              <w:rPr>
                <w:rFonts w:hint="eastAsia"/>
                <w:color w:val="auto"/>
                <w:lang w:val="en-US" w:eastAsia="zh-CN"/>
              </w:rPr>
              <w:t>2</w:t>
            </w:r>
          </w:p>
        </w:tc>
        <w:tc>
          <w:tcPr>
            <w:tcW w:w="1353" w:type="pct"/>
            <w:tcBorders>
              <w:tl2br w:val="nil"/>
              <w:tr2bl w:val="nil"/>
            </w:tcBorders>
            <w:vAlign w:val="center"/>
          </w:tcPr>
          <w:p w14:paraId="369AA8FB">
            <w:pPr>
              <w:jc w:val="center"/>
              <w:rPr>
                <w:color w:val="auto"/>
              </w:rPr>
            </w:pPr>
            <w:r>
              <w:rPr>
                <w:rFonts w:hint="eastAsia"/>
                <w:color w:val="auto"/>
                <w:lang w:val="en-US" w:eastAsia="zh-CN"/>
              </w:rPr>
              <w:t>龙华学校</w:t>
            </w:r>
          </w:p>
        </w:tc>
        <w:tc>
          <w:tcPr>
            <w:tcW w:w="1080" w:type="pct"/>
            <w:tcBorders>
              <w:tl2br w:val="nil"/>
              <w:tr2bl w:val="nil"/>
            </w:tcBorders>
            <w:vAlign w:val="center"/>
          </w:tcPr>
          <w:p w14:paraId="665169E4">
            <w:pPr>
              <w:bidi w:val="0"/>
              <w:snapToGrid w:val="0"/>
              <w:spacing w:line="240" w:lineRule="auto"/>
              <w:ind w:left="0" w:leftChars="0" w:right="0" w:rightChars="0" w:firstLine="0" w:firstLineChars="0"/>
              <w:jc w:val="center"/>
              <w:rPr>
                <w:color w:val="auto"/>
              </w:rPr>
            </w:pPr>
            <w:r>
              <w:rPr>
                <w:rFonts w:hint="eastAsia" w:cs="Times New Roman"/>
                <w:color w:val="auto"/>
                <w:sz w:val="21"/>
                <w:szCs w:val="21"/>
                <w:lang w:val="en-US" w:eastAsia="zh-CN"/>
              </w:rPr>
              <w:t>NE</w:t>
            </w:r>
          </w:p>
        </w:tc>
        <w:tc>
          <w:tcPr>
            <w:tcW w:w="1081" w:type="pct"/>
            <w:tcBorders>
              <w:tl2br w:val="nil"/>
              <w:tr2bl w:val="nil"/>
            </w:tcBorders>
            <w:vAlign w:val="center"/>
          </w:tcPr>
          <w:p w14:paraId="00BA21B6">
            <w:pPr>
              <w:bidi w:val="0"/>
              <w:snapToGrid w:val="0"/>
              <w:spacing w:line="240" w:lineRule="auto"/>
              <w:ind w:left="0" w:leftChars="0" w:right="0" w:rightChars="0" w:firstLine="0" w:firstLineChars="0"/>
              <w:jc w:val="center"/>
              <w:rPr>
                <w:rFonts w:hint="eastAsia"/>
                <w:color w:val="auto"/>
              </w:rPr>
            </w:pPr>
            <w:r>
              <w:rPr>
                <w:rFonts w:hint="eastAsia" w:cs="Times New Roman"/>
                <w:color w:val="auto"/>
                <w:sz w:val="21"/>
                <w:szCs w:val="21"/>
                <w:lang w:val="en-US" w:eastAsia="zh-CN"/>
              </w:rPr>
              <w:t>2028</w:t>
            </w:r>
          </w:p>
        </w:tc>
        <w:tc>
          <w:tcPr>
            <w:tcW w:w="812" w:type="pct"/>
            <w:tcBorders>
              <w:tl2br w:val="nil"/>
              <w:tr2bl w:val="nil"/>
            </w:tcBorders>
            <w:vAlign w:val="center"/>
          </w:tcPr>
          <w:p w14:paraId="7116E9C1">
            <w:pPr>
              <w:jc w:val="center"/>
              <w:rPr>
                <w:rFonts w:hint="eastAsia"/>
                <w:color w:val="auto"/>
              </w:rPr>
            </w:pPr>
            <w:r>
              <w:rPr>
                <w:rFonts w:hint="eastAsia"/>
                <w:color w:val="auto"/>
                <w:lang w:val="en-US" w:eastAsia="zh-CN"/>
              </w:rPr>
              <w:t>项目厂址两侧</w:t>
            </w:r>
          </w:p>
        </w:tc>
      </w:tr>
      <w:tr w14:paraId="6BD74FDC">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280" w:type="pct"/>
            <w:tcBorders>
              <w:tl2br w:val="nil"/>
              <w:tr2bl w:val="nil"/>
            </w:tcBorders>
            <w:vAlign w:val="center"/>
          </w:tcPr>
          <w:p w14:paraId="4082116B">
            <w:pPr>
              <w:jc w:val="center"/>
              <w:rPr>
                <w:color w:val="auto"/>
              </w:rPr>
            </w:pPr>
            <w:r>
              <w:rPr>
                <w:color w:val="auto"/>
              </w:rPr>
              <w:t>3</w:t>
            </w:r>
          </w:p>
        </w:tc>
        <w:tc>
          <w:tcPr>
            <w:tcW w:w="391" w:type="pct"/>
            <w:tcBorders>
              <w:tl2br w:val="nil"/>
              <w:tr2bl w:val="nil"/>
            </w:tcBorders>
            <w:vAlign w:val="center"/>
          </w:tcPr>
          <w:p w14:paraId="58E30D89">
            <w:pPr>
              <w:jc w:val="center"/>
              <w:rPr>
                <w:rFonts w:hint="default" w:eastAsia="宋体"/>
                <w:color w:val="auto"/>
                <w:lang w:val="en-US" w:eastAsia="zh-CN"/>
              </w:rPr>
            </w:pPr>
            <w:r>
              <w:rPr>
                <w:rFonts w:hint="eastAsia"/>
                <w:color w:val="auto"/>
                <w:lang w:val="en-US" w:eastAsia="zh-CN"/>
              </w:rPr>
              <w:t>D3</w:t>
            </w:r>
          </w:p>
        </w:tc>
        <w:tc>
          <w:tcPr>
            <w:tcW w:w="1353" w:type="pct"/>
            <w:tcBorders>
              <w:tl2br w:val="nil"/>
              <w:tr2bl w:val="nil"/>
            </w:tcBorders>
            <w:vAlign w:val="center"/>
          </w:tcPr>
          <w:p w14:paraId="198B2E8B">
            <w:pPr>
              <w:jc w:val="center"/>
              <w:rPr>
                <w:color w:val="auto"/>
              </w:rPr>
            </w:pPr>
            <w:r>
              <w:rPr>
                <w:rFonts w:hint="eastAsia"/>
                <w:color w:val="auto"/>
                <w:lang w:val="en-US" w:eastAsia="zh-CN"/>
              </w:rPr>
              <w:t>区内香樟路空地</w:t>
            </w:r>
          </w:p>
        </w:tc>
        <w:tc>
          <w:tcPr>
            <w:tcW w:w="1080" w:type="pct"/>
            <w:tcBorders>
              <w:tl2br w:val="nil"/>
              <w:tr2bl w:val="nil"/>
            </w:tcBorders>
            <w:vAlign w:val="center"/>
          </w:tcPr>
          <w:p w14:paraId="0B8541F2">
            <w:pPr>
              <w:jc w:val="center"/>
              <w:rPr>
                <w:rFonts w:hint="default" w:eastAsia="宋体"/>
                <w:color w:val="auto"/>
                <w:lang w:val="en-US" w:eastAsia="zh-CN"/>
              </w:rPr>
            </w:pPr>
            <w:r>
              <w:rPr>
                <w:rFonts w:hint="eastAsia"/>
                <w:color w:val="auto"/>
                <w:lang w:val="en-US" w:eastAsia="zh-CN"/>
              </w:rPr>
              <w:t>SE</w:t>
            </w:r>
          </w:p>
        </w:tc>
        <w:tc>
          <w:tcPr>
            <w:tcW w:w="1081" w:type="pct"/>
            <w:tcBorders>
              <w:tl2br w:val="nil"/>
              <w:tr2bl w:val="nil"/>
            </w:tcBorders>
            <w:vAlign w:val="center"/>
          </w:tcPr>
          <w:p w14:paraId="1E7E3E33">
            <w:pPr>
              <w:jc w:val="center"/>
              <w:rPr>
                <w:rFonts w:hint="default" w:eastAsia="宋体"/>
                <w:color w:val="auto"/>
                <w:lang w:val="en-US" w:eastAsia="zh-CN"/>
              </w:rPr>
            </w:pPr>
            <w:r>
              <w:rPr>
                <w:rFonts w:hint="eastAsia"/>
                <w:color w:val="auto"/>
                <w:lang w:val="en-US" w:eastAsia="zh-CN"/>
              </w:rPr>
              <w:t>2067</w:t>
            </w:r>
          </w:p>
        </w:tc>
        <w:tc>
          <w:tcPr>
            <w:tcW w:w="812" w:type="pct"/>
            <w:tcBorders>
              <w:tl2br w:val="nil"/>
              <w:tr2bl w:val="nil"/>
            </w:tcBorders>
            <w:vAlign w:val="center"/>
          </w:tcPr>
          <w:p w14:paraId="70DD1DCB">
            <w:pPr>
              <w:jc w:val="center"/>
              <w:rPr>
                <w:rFonts w:hint="eastAsia"/>
                <w:color w:val="auto"/>
              </w:rPr>
            </w:pPr>
            <w:r>
              <w:rPr>
                <w:rFonts w:hint="eastAsia"/>
                <w:color w:val="auto"/>
                <w:lang w:val="en-US" w:eastAsia="zh-CN"/>
              </w:rPr>
              <w:t>项目厂址下游</w:t>
            </w:r>
          </w:p>
        </w:tc>
      </w:tr>
    </w:tbl>
    <w:p w14:paraId="2E1B627E">
      <w:pPr>
        <w:spacing w:line="360" w:lineRule="auto"/>
        <w:jc w:val="center"/>
        <w:rPr>
          <w:rFonts w:hint="eastAsia" w:ascii="Times New Roman" w:hAnsi="Times New Roman" w:cs="Times New Roman"/>
          <w:b/>
          <w:bCs/>
          <w:color w:val="auto"/>
          <w:sz w:val="24"/>
          <w:szCs w:val="32"/>
          <w:lang w:val="en-US" w:eastAsia="zh-CN"/>
        </w:rPr>
      </w:pPr>
      <w:r>
        <w:rPr>
          <w:color w:val="auto"/>
          <w:sz w:val="21"/>
        </w:rPr>
        <mc:AlternateContent>
          <mc:Choice Requires="wps">
            <w:drawing>
              <wp:anchor distT="0" distB="0" distL="114300" distR="114300" simplePos="0" relativeHeight="251805696" behindDoc="0" locked="0" layoutInCell="1" allowOverlap="1">
                <wp:simplePos x="0" y="0"/>
                <wp:positionH relativeFrom="column">
                  <wp:posOffset>280670</wp:posOffset>
                </wp:positionH>
                <wp:positionV relativeFrom="paragraph">
                  <wp:posOffset>4570095</wp:posOffset>
                </wp:positionV>
                <wp:extent cx="158750" cy="139700"/>
                <wp:effectExtent l="4445" t="4445" r="8255" b="8255"/>
                <wp:wrapNone/>
                <wp:docPr id="54" name="等腰三角形 54"/>
                <wp:cNvGraphicFramePr/>
                <a:graphic xmlns:a="http://schemas.openxmlformats.org/drawingml/2006/main">
                  <a:graphicData uri="http://schemas.microsoft.com/office/word/2010/wordprocessingShape">
                    <wps:wsp>
                      <wps:cNvSpPr/>
                      <wps:spPr>
                        <a:xfrm>
                          <a:off x="0" y="0"/>
                          <a:ext cx="158750" cy="139700"/>
                        </a:xfrm>
                        <a:prstGeom prst="triangl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22.1pt;margin-top:359.85pt;height:11pt;width:12.5pt;z-index:251805696;v-text-anchor:middle;mso-width-relative:page;mso-height-relative:page;" fillcolor="#FFFF00" filled="t" stroked="t" coordsize="21600,21600" o:gfxdata="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CInubC2gAAAAkB&#10;AAAPAAAAAAAAAAEAIAAAACIAAABkcnMvZG93bnJldi54bWxQSwECFAAUAAAACACHTuJAbwe81osC&#10;AAAMBQAADgAAAAAAAAABACAAAAApAQAAZHJzL2Uyb0RvYy54bWxQSwUGAAAAAAYABgBZAQAAJgYA&#10;AAAA&#10;" adj="10800">
                <v:fill on="t" focussize="0,0"/>
                <v:stroke weight="0.25pt" color="#376092 [2404]" joinstyle="round"/>
                <v:imagedata o:title=""/>
                <o:lock v:ext="edit" aspectratio="f"/>
              </v:shape>
            </w:pict>
          </mc:Fallback>
        </mc:AlternateContent>
      </w:r>
      <w:r>
        <w:rPr>
          <w:color w:val="auto"/>
          <w:sz w:val="21"/>
        </w:rPr>
        <mc:AlternateContent>
          <mc:Choice Requires="wps">
            <w:drawing>
              <wp:anchor distT="0" distB="0" distL="114300" distR="114300" simplePos="0" relativeHeight="251804672" behindDoc="0" locked="0" layoutInCell="1" allowOverlap="1">
                <wp:simplePos x="0" y="0"/>
                <wp:positionH relativeFrom="column">
                  <wp:posOffset>224155</wp:posOffset>
                </wp:positionH>
                <wp:positionV relativeFrom="paragraph">
                  <wp:posOffset>4837430</wp:posOffset>
                </wp:positionV>
                <wp:extent cx="213995" cy="125095"/>
                <wp:effectExtent l="5080" t="5080" r="9525" b="22225"/>
                <wp:wrapNone/>
                <wp:docPr id="50" name="矩形 50"/>
                <wp:cNvGraphicFramePr/>
                <a:graphic xmlns:a="http://schemas.openxmlformats.org/drawingml/2006/main">
                  <a:graphicData uri="http://schemas.microsoft.com/office/word/2010/wordprocessingShape">
                    <wps:wsp>
                      <wps:cNvSpPr/>
                      <wps:spPr>
                        <a:xfrm>
                          <a:off x="909955" y="5751830"/>
                          <a:ext cx="213995" cy="125095"/>
                        </a:xfrm>
                        <a:prstGeom prst="rect">
                          <a:avLst/>
                        </a:prstGeom>
                        <a:noFill/>
                        <a:ln w="9525">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7.65pt;margin-top:380.9pt;height:9.85pt;width:16.85pt;z-index:251804672;v-text-anchor:middle;mso-width-relative:page;mso-height-relative:page;" filled="f" stroked="t" coordsize="21600,21600" o:gfxdata="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AG1gENgAAAAJAQAADwAAAAAAAAABACAAAAAiAAAAZHJzL2Rvd25yZXYueG1sUEsB&#10;AhQAFAAAAAgAh07iQG4e5zlnAgAAvwQAAA4AAAAAAAAAAQAgAAAAJwEAAGRycy9lMm9Eb2MueG1s&#10;UEsFBgAAAAAGAAYAWQEAAAAGAAAAAA==&#10;">
                <v:fill on="f" focussize="0,0"/>
                <v:stroke color="#FF0000 [2404]" joinstyle="round"/>
                <v:imagedata o:title=""/>
                <o:lock v:ext="edit" aspectratio="f"/>
              </v:rect>
            </w:pict>
          </mc:Fallback>
        </mc:AlternateContent>
      </w:r>
      <w:r>
        <w:rPr>
          <w:color w:val="auto"/>
          <w:sz w:val="21"/>
        </w:rPr>
        <mc:AlternateContent>
          <mc:Choice Requires="wps">
            <w:drawing>
              <wp:anchor distT="0" distB="0" distL="114300" distR="114300" simplePos="0" relativeHeight="251803648" behindDoc="0" locked="0" layoutInCell="1" allowOverlap="1">
                <wp:simplePos x="0" y="0"/>
                <wp:positionH relativeFrom="column">
                  <wp:posOffset>69215</wp:posOffset>
                </wp:positionH>
                <wp:positionV relativeFrom="paragraph">
                  <wp:posOffset>4248150</wp:posOffset>
                </wp:positionV>
                <wp:extent cx="1143000" cy="904875"/>
                <wp:effectExtent l="4445" t="4445" r="14605" b="5080"/>
                <wp:wrapNone/>
                <wp:docPr id="48" name="文本框 48"/>
                <wp:cNvGraphicFramePr/>
                <a:graphic xmlns:a="http://schemas.openxmlformats.org/drawingml/2006/main">
                  <a:graphicData uri="http://schemas.microsoft.com/office/word/2010/wordprocessingShape">
                    <wps:wsp>
                      <wps:cNvSpPr txBox="1"/>
                      <wps:spPr>
                        <a:xfrm>
                          <a:off x="755015" y="5162550"/>
                          <a:ext cx="1143000" cy="9048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B439971">
                            <w:pPr>
                              <w:spacing w:line="360" w:lineRule="auto"/>
                              <w:jc w:val="center"/>
                              <w:rPr>
                                <w:rFonts w:hint="eastAsia"/>
                                <w:b/>
                                <w:bCs/>
                                <w:lang w:val="en-US" w:eastAsia="zh-CN"/>
                              </w:rPr>
                            </w:pPr>
                            <w:r>
                              <w:rPr>
                                <w:rFonts w:hint="eastAsia"/>
                                <w:b/>
                                <w:bCs/>
                                <w:lang w:val="en-US" w:eastAsia="zh-CN"/>
                              </w:rPr>
                              <w:t>图例</w:t>
                            </w:r>
                          </w:p>
                          <w:p w14:paraId="77A34859">
                            <w:pPr>
                              <w:spacing w:line="360" w:lineRule="auto"/>
                              <w:jc w:val="right"/>
                              <w:rPr>
                                <w:rFonts w:hint="eastAsia"/>
                                <w:lang w:val="en-US" w:eastAsia="zh-CN"/>
                              </w:rPr>
                            </w:pPr>
                            <w:r>
                              <w:rPr>
                                <w:rFonts w:hint="eastAsia"/>
                                <w:lang w:val="en-US" w:eastAsia="zh-CN"/>
                              </w:rPr>
                              <w:t>监测点位</w:t>
                            </w:r>
                          </w:p>
                          <w:p w14:paraId="0FD30A1F">
                            <w:pPr>
                              <w:spacing w:line="360" w:lineRule="auto"/>
                              <w:jc w:val="right"/>
                              <w:rPr>
                                <w:rFonts w:hint="default"/>
                                <w:lang w:val="en-US" w:eastAsia="zh-CN"/>
                              </w:rPr>
                            </w:pPr>
                            <w:r>
                              <w:rPr>
                                <w:rFonts w:hint="eastAsia"/>
                                <w:lang w:val="en-US" w:eastAsia="zh-CN"/>
                              </w:rPr>
                              <w:t>项目厂址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45pt;margin-top:334.5pt;height:71.25pt;width:90pt;z-index:251803648;mso-width-relative:page;mso-height-relative:page;" fillcolor="#FFFFFF [3201]" filled="t" stroked="t" coordsize="21600,21600" o:gfxdata="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FqhMH1QAAAAoBAAAPAAAAAAAAAAEAIAAAACIAAABkcnMvZG93bnJldi54bWxQSwECFAAUAAAA&#10;CACHTuJAqIjgF2MCAADEBAAADgAAAAAAAAABACAAAAAkAQAAZHJzL2Uyb0RvYy54bWxQSwUGAAAA&#10;AAYABgBZAQAA+QUAAAAA&#10;">
                <v:fill on="t" focussize="0,0"/>
                <v:stroke weight="0.5pt" color="#000000 [3204]" joinstyle="round"/>
                <v:imagedata o:title=""/>
                <o:lock v:ext="edit" aspectratio="f"/>
                <v:textbox>
                  <w:txbxContent>
                    <w:p w14:paraId="5B439971">
                      <w:pPr>
                        <w:spacing w:line="360" w:lineRule="auto"/>
                        <w:jc w:val="center"/>
                        <w:rPr>
                          <w:rFonts w:hint="eastAsia"/>
                          <w:b/>
                          <w:bCs/>
                          <w:lang w:val="en-US" w:eastAsia="zh-CN"/>
                        </w:rPr>
                      </w:pPr>
                      <w:r>
                        <w:rPr>
                          <w:rFonts w:hint="eastAsia"/>
                          <w:b/>
                          <w:bCs/>
                          <w:lang w:val="en-US" w:eastAsia="zh-CN"/>
                        </w:rPr>
                        <w:t>图例</w:t>
                      </w:r>
                    </w:p>
                    <w:p w14:paraId="77A34859">
                      <w:pPr>
                        <w:spacing w:line="360" w:lineRule="auto"/>
                        <w:jc w:val="right"/>
                        <w:rPr>
                          <w:rFonts w:hint="eastAsia"/>
                          <w:lang w:val="en-US" w:eastAsia="zh-CN"/>
                        </w:rPr>
                      </w:pPr>
                      <w:r>
                        <w:rPr>
                          <w:rFonts w:hint="eastAsia"/>
                          <w:lang w:val="en-US" w:eastAsia="zh-CN"/>
                        </w:rPr>
                        <w:t>监测点位</w:t>
                      </w:r>
                    </w:p>
                    <w:p w14:paraId="0FD30A1F">
                      <w:pPr>
                        <w:spacing w:line="360" w:lineRule="auto"/>
                        <w:jc w:val="right"/>
                        <w:rPr>
                          <w:rFonts w:hint="default"/>
                          <w:lang w:val="en-US" w:eastAsia="zh-CN"/>
                        </w:rPr>
                      </w:pPr>
                      <w:r>
                        <w:rPr>
                          <w:rFonts w:hint="eastAsia"/>
                          <w:lang w:val="en-US" w:eastAsia="zh-CN"/>
                        </w:rPr>
                        <w:t>项目厂址</w:t>
                      </w:r>
                    </w:p>
                  </w:txbxContent>
                </v:textbox>
              </v:shape>
            </w:pict>
          </mc:Fallback>
        </mc:AlternateContent>
      </w:r>
      <w:r>
        <w:rPr>
          <w:color w:val="auto"/>
          <w:sz w:val="21"/>
        </w:rPr>
        <mc:AlternateContent>
          <mc:Choice Requires="wps">
            <w:drawing>
              <wp:anchor distT="0" distB="0" distL="114300" distR="114300" simplePos="0" relativeHeight="251802624" behindDoc="0" locked="0" layoutInCell="1" allowOverlap="1">
                <wp:simplePos x="0" y="0"/>
                <wp:positionH relativeFrom="column">
                  <wp:posOffset>5269865</wp:posOffset>
                </wp:positionH>
                <wp:positionV relativeFrom="paragraph">
                  <wp:posOffset>1449070</wp:posOffset>
                </wp:positionV>
                <wp:extent cx="1095375" cy="2921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095375" cy="2921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BC5D9E">
                            <w:pPr>
                              <w:rPr>
                                <w:rFonts w:hint="default" w:eastAsia="宋体"/>
                                <w:b/>
                                <w:bCs/>
                                <w:color w:val="FFFF00"/>
                                <w:lang w:val="en-US" w:eastAsia="zh-CN"/>
                              </w:rPr>
                            </w:pPr>
                            <w:r>
                              <w:rPr>
                                <w:rFonts w:hint="eastAsia"/>
                                <w:b/>
                                <w:bCs/>
                                <w:color w:val="FFFF00"/>
                                <w:lang w:val="en-US" w:eastAsia="zh-CN"/>
                              </w:rPr>
                              <w:t>D2龙华学校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4.95pt;margin-top:114.1pt;height:23pt;width:86.25pt;z-index:251802624;mso-width-relative:page;mso-height-relative:page;" filled="f" stroked="f" coordsize="21600,21600" o:gfxdata="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k8UTHcAAAADAEAAA8AAAAAAAAAAQAgAAAAIgAA&#10;AGRycy9kb3ducmV2LnhtbFBLAQIUABQAAAAIAIdO4kDvjOPLPQIAAGgEAAAOAAAAAAAAAAEAIAAA&#10;ACsBAABkcnMvZTJvRG9jLnhtbFBLBQYAAAAABgAGAFkBAADaBQAAAAA=&#10;">
                <v:fill on="f" focussize="0,0"/>
                <v:stroke on="f" weight="0.5pt"/>
                <v:imagedata o:title=""/>
                <o:lock v:ext="edit" aspectratio="f"/>
                <v:textbox>
                  <w:txbxContent>
                    <w:p w14:paraId="17BC5D9E">
                      <w:pPr>
                        <w:rPr>
                          <w:rFonts w:hint="default" w:eastAsia="宋体"/>
                          <w:b/>
                          <w:bCs/>
                          <w:color w:val="FFFF00"/>
                          <w:lang w:val="en-US" w:eastAsia="zh-CN"/>
                        </w:rPr>
                      </w:pPr>
                      <w:r>
                        <w:rPr>
                          <w:rFonts w:hint="eastAsia"/>
                          <w:b/>
                          <w:bCs/>
                          <w:color w:val="FFFF00"/>
                          <w:lang w:val="en-US" w:eastAsia="zh-CN"/>
                        </w:rPr>
                        <w:t>D2龙华学校</w:t>
                      </w:r>
                    </w:p>
                  </w:txbxContent>
                </v:textbox>
              </v:shape>
            </w:pict>
          </mc:Fallback>
        </mc:AlternateContent>
      </w:r>
      <w:r>
        <w:rPr>
          <w:color w:val="auto"/>
          <w:sz w:val="21"/>
        </w:rPr>
        <mc:AlternateContent>
          <mc:Choice Requires="wps">
            <w:drawing>
              <wp:anchor distT="0" distB="0" distL="114300" distR="114300" simplePos="0" relativeHeight="251801600" behindDoc="0" locked="0" layoutInCell="1" allowOverlap="1">
                <wp:simplePos x="0" y="0"/>
                <wp:positionH relativeFrom="column">
                  <wp:posOffset>4717415</wp:posOffset>
                </wp:positionH>
                <wp:positionV relativeFrom="paragraph">
                  <wp:posOffset>3145790</wp:posOffset>
                </wp:positionV>
                <wp:extent cx="1427480" cy="292100"/>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427480" cy="2921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5F8521">
                            <w:pPr>
                              <w:rPr>
                                <w:rFonts w:hint="default" w:eastAsia="宋体"/>
                                <w:b/>
                                <w:bCs/>
                                <w:color w:val="FFFF00"/>
                                <w:lang w:val="en-US" w:eastAsia="zh-CN"/>
                              </w:rPr>
                            </w:pPr>
                            <w:r>
                              <w:rPr>
                                <w:rFonts w:hint="eastAsia"/>
                                <w:b/>
                                <w:bCs/>
                                <w:color w:val="FFFF00"/>
                                <w:lang w:val="en-US" w:eastAsia="zh-CN"/>
                              </w:rPr>
                              <w:t>D3区内香樟路空地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1.45pt;margin-top:247.7pt;height:23pt;width:112.4pt;z-index:251801600;mso-width-relative:page;mso-height-relative:page;" filled="f" stroked="f" coordsize="21600,21600" o:gfxdata="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JTEzdAAAACwEAAA8AAAAAAAAAAQAgAAAAIgAA&#10;AGRycy9kb3ducmV2LnhtbFBLAQIUABQAAAAIAIdO4kAcia/1PAIAAGgEAAAOAAAAAAAAAAEAIAAA&#10;ACwBAABkcnMvZTJvRG9jLnhtbFBLBQYAAAAABgAGAFkBAADaBQAAAAA=&#10;">
                <v:fill on="f" focussize="0,0"/>
                <v:stroke on="f" weight="0.5pt"/>
                <v:imagedata o:title=""/>
                <o:lock v:ext="edit" aspectratio="f"/>
                <v:textbox>
                  <w:txbxContent>
                    <w:p w14:paraId="4B5F8521">
                      <w:pPr>
                        <w:rPr>
                          <w:rFonts w:hint="default" w:eastAsia="宋体"/>
                          <w:b/>
                          <w:bCs/>
                          <w:color w:val="FFFF00"/>
                          <w:lang w:val="en-US" w:eastAsia="zh-CN"/>
                        </w:rPr>
                      </w:pPr>
                      <w:r>
                        <w:rPr>
                          <w:rFonts w:hint="eastAsia"/>
                          <w:b/>
                          <w:bCs/>
                          <w:color w:val="FFFF00"/>
                          <w:lang w:val="en-US" w:eastAsia="zh-CN"/>
                        </w:rPr>
                        <w:t>D3区内香樟路空地</w:t>
                      </w:r>
                    </w:p>
                  </w:txbxContent>
                </v:textbox>
              </v:shape>
            </w:pict>
          </mc:Fallback>
        </mc:AlternateContent>
      </w:r>
      <w:r>
        <w:rPr>
          <w:color w:val="auto"/>
          <w:sz w:val="21"/>
        </w:rPr>
        <mc:AlternateContent>
          <mc:Choice Requires="wps">
            <w:drawing>
              <wp:anchor distT="0" distB="0" distL="114300" distR="114300" simplePos="0" relativeHeight="251800576" behindDoc="0" locked="0" layoutInCell="1" allowOverlap="1">
                <wp:simplePos x="0" y="0"/>
                <wp:positionH relativeFrom="column">
                  <wp:posOffset>1795145</wp:posOffset>
                </wp:positionH>
                <wp:positionV relativeFrom="paragraph">
                  <wp:posOffset>4368800</wp:posOffset>
                </wp:positionV>
                <wp:extent cx="1095375" cy="292100"/>
                <wp:effectExtent l="0" t="0" r="9525" b="12700"/>
                <wp:wrapNone/>
                <wp:docPr id="43" name="文本框 43"/>
                <wp:cNvGraphicFramePr/>
                <a:graphic xmlns:a="http://schemas.openxmlformats.org/drawingml/2006/main">
                  <a:graphicData uri="http://schemas.microsoft.com/office/word/2010/wordprocessingShape">
                    <wps:wsp>
                      <wps:cNvSpPr txBox="1"/>
                      <wps:spPr>
                        <a:xfrm>
                          <a:off x="2588260" y="5330825"/>
                          <a:ext cx="1095375" cy="2921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5E372E">
                            <w:pPr>
                              <w:rPr>
                                <w:rFonts w:hint="default" w:eastAsia="宋体"/>
                                <w:b/>
                                <w:bCs/>
                                <w:color w:val="FFFF00"/>
                                <w:lang w:val="en-US" w:eastAsia="zh-CN"/>
                              </w:rPr>
                            </w:pPr>
                            <w:r>
                              <w:rPr>
                                <w:rFonts w:hint="eastAsia"/>
                                <w:b/>
                                <w:bCs/>
                                <w:color w:val="FFFF00"/>
                                <w:lang w:val="en-US" w:eastAsia="zh-CN"/>
                              </w:rPr>
                              <w:t>D1黄大庄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1.35pt;margin-top:344pt;height:23pt;width:86.25pt;z-index:251800576;mso-width-relative:page;mso-height-relative:page;" filled="f" stroked="f" coordsize="21600,21600" o:gfxdata="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dIgRRtwAAAALAQAADwAA&#10;AAAAAAABACAAAAAiAAAAZHJzL2Rvd25yZXYueG1sUEsBAhQAFAAAAAgAh07iQBtNARRLAgAAdAQA&#10;AA4AAAAAAAAAAQAgAAAAKwEAAGRycy9lMm9Eb2MueG1sUEsFBgAAAAAGAAYAWQEAAOgFAAAAAA==&#10;">
                <v:fill on="f" focussize="0,0"/>
                <v:stroke on="f" weight="0.5pt"/>
                <v:imagedata o:title=""/>
                <o:lock v:ext="edit" aspectratio="f"/>
                <v:textbox>
                  <w:txbxContent>
                    <w:p w14:paraId="615E372E">
                      <w:pPr>
                        <w:rPr>
                          <w:rFonts w:hint="default" w:eastAsia="宋体"/>
                          <w:b/>
                          <w:bCs/>
                          <w:color w:val="FFFF00"/>
                          <w:lang w:val="en-US" w:eastAsia="zh-CN"/>
                        </w:rPr>
                      </w:pPr>
                      <w:r>
                        <w:rPr>
                          <w:rFonts w:hint="eastAsia"/>
                          <w:b/>
                          <w:bCs/>
                          <w:color w:val="FFFF00"/>
                          <w:lang w:val="en-US" w:eastAsia="zh-CN"/>
                        </w:rPr>
                        <w:t>D1黄大庄</w:t>
                      </w:r>
                    </w:p>
                  </w:txbxContent>
                </v:textbox>
              </v:shape>
            </w:pict>
          </mc:Fallback>
        </mc:AlternateContent>
      </w:r>
      <w:r>
        <w:rPr>
          <w:color w:val="auto"/>
        </w:rPr>
        <w:drawing>
          <wp:anchor distT="0" distB="0" distL="114300" distR="114300" simplePos="0" relativeHeight="251799552" behindDoc="0" locked="0" layoutInCell="1" allowOverlap="1">
            <wp:simplePos x="0" y="0"/>
            <wp:positionH relativeFrom="column">
              <wp:posOffset>5420360</wp:posOffset>
            </wp:positionH>
            <wp:positionV relativeFrom="paragraph">
              <wp:posOffset>18415</wp:posOffset>
            </wp:positionV>
            <wp:extent cx="758190" cy="1022985"/>
            <wp:effectExtent l="0" t="0" r="3810" b="5715"/>
            <wp:wrapNone/>
            <wp:docPr id="42" name="图片 42" descr="风向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风向标"/>
                    <pic:cNvPicPr>
                      <a:picLocks noChangeAspect="1"/>
                    </pic:cNvPicPr>
                  </pic:nvPicPr>
                  <pic:blipFill>
                    <a:blip r:embed="rId18"/>
                    <a:srcRect l="8090" t="1916" r="5231" b="6034"/>
                    <a:stretch>
                      <a:fillRect/>
                    </a:stretch>
                  </pic:blipFill>
                  <pic:spPr>
                    <a:xfrm>
                      <a:off x="0" y="0"/>
                      <a:ext cx="758190" cy="1022985"/>
                    </a:xfrm>
                    <a:prstGeom prst="rect">
                      <a:avLst/>
                    </a:prstGeom>
                  </pic:spPr>
                </pic:pic>
              </a:graphicData>
            </a:graphic>
          </wp:anchor>
        </w:drawing>
      </w:r>
      <w:r>
        <w:rPr>
          <w:color w:val="auto"/>
          <w:sz w:val="21"/>
        </w:rPr>
        <mc:AlternateContent>
          <mc:Choice Requires="wps">
            <w:drawing>
              <wp:anchor distT="0" distB="0" distL="114300" distR="114300" simplePos="0" relativeHeight="251798528" behindDoc="0" locked="0" layoutInCell="1" allowOverlap="1">
                <wp:simplePos x="0" y="0"/>
                <wp:positionH relativeFrom="column">
                  <wp:posOffset>5374005</wp:posOffset>
                </wp:positionH>
                <wp:positionV relativeFrom="paragraph">
                  <wp:posOffset>3054350</wp:posOffset>
                </wp:positionV>
                <wp:extent cx="158750" cy="139700"/>
                <wp:effectExtent l="4445" t="4445" r="8255" b="8255"/>
                <wp:wrapNone/>
                <wp:docPr id="33" name="等腰三角形 33"/>
                <wp:cNvGraphicFramePr/>
                <a:graphic xmlns:a="http://schemas.openxmlformats.org/drawingml/2006/main">
                  <a:graphicData uri="http://schemas.microsoft.com/office/word/2010/wordprocessingShape">
                    <wps:wsp>
                      <wps:cNvSpPr/>
                      <wps:spPr>
                        <a:xfrm>
                          <a:off x="0" y="0"/>
                          <a:ext cx="158750" cy="139700"/>
                        </a:xfrm>
                        <a:prstGeom prst="triangl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423.15pt;margin-top:240.5pt;height:11pt;width:12.5pt;z-index:251798528;v-text-anchor:middle;mso-width-relative:page;mso-height-relative:page;" fillcolor="#FFFF00" filled="t" stroked="t" coordsize="21600,21600" o:gfxdata="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Bs0tY72wAAAAsB&#10;AAAPAAAAAAAAAAEAIAAAACIAAABkcnMvZG93bnJldi54bWxQSwECFAAUAAAACACHTuJAexlQUIoC&#10;AAAMBQAADgAAAAAAAAABACAAAAAqAQAAZHJzL2Uyb0RvYy54bWxQSwUGAAAAAAYABgBZAQAAJgYA&#10;AAAA&#10;" adj="10800">
                <v:fill on="t" focussize="0,0"/>
                <v:stroke weight="0.25pt" color="#376092 [2404]" joinstyle="round"/>
                <v:imagedata o:title=""/>
                <o:lock v:ext="edit" aspectratio="f"/>
              </v:shape>
            </w:pict>
          </mc:Fallback>
        </mc:AlternateContent>
      </w:r>
      <w:r>
        <w:rPr>
          <w:color w:val="auto"/>
          <w:sz w:val="21"/>
        </w:rPr>
        <mc:AlternateContent>
          <mc:Choice Requires="wps">
            <w:drawing>
              <wp:anchor distT="0" distB="0" distL="114300" distR="114300" simplePos="0" relativeHeight="251797504" behindDoc="0" locked="0" layoutInCell="1" allowOverlap="1">
                <wp:simplePos x="0" y="0"/>
                <wp:positionH relativeFrom="column">
                  <wp:posOffset>5253355</wp:posOffset>
                </wp:positionH>
                <wp:positionV relativeFrom="paragraph">
                  <wp:posOffset>1365250</wp:posOffset>
                </wp:positionV>
                <wp:extent cx="158750" cy="139700"/>
                <wp:effectExtent l="4445" t="4445" r="8255" b="8255"/>
                <wp:wrapNone/>
                <wp:docPr id="30" name="等腰三角形 30"/>
                <wp:cNvGraphicFramePr/>
                <a:graphic xmlns:a="http://schemas.openxmlformats.org/drawingml/2006/main">
                  <a:graphicData uri="http://schemas.microsoft.com/office/word/2010/wordprocessingShape">
                    <wps:wsp>
                      <wps:cNvSpPr/>
                      <wps:spPr>
                        <a:xfrm>
                          <a:off x="0" y="0"/>
                          <a:ext cx="158750" cy="139700"/>
                        </a:xfrm>
                        <a:prstGeom prst="triangl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413.65pt;margin-top:107.5pt;height:11pt;width:12.5pt;z-index:251797504;v-text-anchor:middle;mso-width-relative:page;mso-height-relative:page;" fillcolor="#FFFF00" filled="t" stroked="t" coordsize="21600,21600" o:gfxdata="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D6JcwvaAAAACwEA&#10;AA8AAAAAAAAAAQAgAAAAIgAAAGRycy9kb3ducmV2LnhtbFBLAQIUABQAAAAIAIdO4kBUCAreigIA&#10;AAwFAAAOAAAAAAAAAAEAIAAAACkBAABkcnMvZTJvRG9jLnhtbFBLBQYAAAAABgAGAFkBAAAlBgAA&#10;AAA=&#10;" adj="10800">
                <v:fill on="t" focussize="0,0"/>
                <v:stroke weight="0.25pt" color="#376092 [2404]" joinstyle="round"/>
                <v:imagedata o:title=""/>
                <o:lock v:ext="edit" aspectratio="f"/>
              </v:shape>
            </w:pict>
          </mc:Fallback>
        </mc:AlternateContent>
      </w:r>
      <w:r>
        <w:rPr>
          <w:color w:val="auto"/>
          <w:sz w:val="21"/>
        </w:rPr>
        <mc:AlternateContent>
          <mc:Choice Requires="wps">
            <w:drawing>
              <wp:anchor distT="0" distB="0" distL="114300" distR="114300" simplePos="0" relativeHeight="251796480" behindDoc="0" locked="0" layoutInCell="1" allowOverlap="1">
                <wp:simplePos x="0" y="0"/>
                <wp:positionH relativeFrom="column">
                  <wp:posOffset>1741805</wp:posOffset>
                </wp:positionH>
                <wp:positionV relativeFrom="paragraph">
                  <wp:posOffset>4292600</wp:posOffset>
                </wp:positionV>
                <wp:extent cx="158750" cy="139700"/>
                <wp:effectExtent l="4445" t="4445" r="8255" b="8255"/>
                <wp:wrapNone/>
                <wp:docPr id="28" name="等腰三角形 28"/>
                <wp:cNvGraphicFramePr/>
                <a:graphic xmlns:a="http://schemas.openxmlformats.org/drawingml/2006/main">
                  <a:graphicData uri="http://schemas.microsoft.com/office/word/2010/wordprocessingShape">
                    <wps:wsp>
                      <wps:cNvSpPr/>
                      <wps:spPr>
                        <a:xfrm>
                          <a:off x="2427605" y="5207000"/>
                          <a:ext cx="158750" cy="139700"/>
                        </a:xfrm>
                        <a:prstGeom prst="triangl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137.15pt;margin-top:338pt;height:11pt;width:12.5pt;z-index:251796480;v-text-anchor:middle;mso-width-relative:page;mso-height-relative:page;" fillcolor="#FFFF00" filled="t" stroked="t" coordsize="21600,21600" o:gfxdata="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pMJft9sAAAALAQAADwAAAAAAAAABACAAAAAiAAAAZHJzL2Rvd25yZXYueG1sUEsBAhQAFAAAAAgA&#10;h07iQBUkA/yUAgAAGAUAAA4AAAAAAAAAAQAgAAAAKgEAAGRycy9lMm9Eb2MueG1sUEsFBgAAAAAG&#10;AAYAWQEAADAGAAAAAA==&#10;" adj="10800">
                <v:fill on="t" focussize="0,0"/>
                <v:stroke weight="0.25pt" color="#376092 [2404]" joinstyle="round"/>
                <v:imagedata o:title=""/>
                <o:lock v:ext="edit" aspectratio="f"/>
              </v:shape>
            </w:pict>
          </mc:Fallback>
        </mc:AlternateContent>
      </w:r>
      <w:r>
        <w:rPr>
          <w:rFonts w:hint="eastAsia" w:eastAsia="宋体"/>
          <w:color w:val="auto"/>
          <w:lang w:eastAsia="zh-CN"/>
        </w:rPr>
        <w:drawing>
          <wp:inline distT="0" distB="0" distL="114300" distR="114300">
            <wp:extent cx="6189345" cy="5400040"/>
            <wp:effectExtent l="0" t="0" r="1905" b="10160"/>
            <wp:docPr id="16" name="图片 1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
                    <pic:cNvPicPr>
                      <a:picLocks noChangeAspect="1"/>
                    </pic:cNvPicPr>
                  </pic:nvPicPr>
                  <pic:blipFill>
                    <a:blip r:embed="rId35"/>
                    <a:stretch>
                      <a:fillRect/>
                    </a:stretch>
                  </pic:blipFill>
                  <pic:spPr>
                    <a:xfrm>
                      <a:off x="0" y="0"/>
                      <a:ext cx="6189345" cy="5400040"/>
                    </a:xfrm>
                    <a:prstGeom prst="rect">
                      <a:avLst/>
                    </a:prstGeom>
                  </pic:spPr>
                </pic:pic>
              </a:graphicData>
            </a:graphic>
          </wp:inline>
        </w:drawing>
      </w:r>
      <w:r>
        <w:rPr>
          <w:rFonts w:hint="default" w:ascii="Times New Roman" w:hAnsi="Times New Roman" w:cs="Times New Roman"/>
          <w:b/>
          <w:bCs/>
          <w:color w:val="auto"/>
          <w:sz w:val="24"/>
          <w:szCs w:val="32"/>
          <w:lang w:val="en-US" w:eastAsia="zh-CN"/>
        </w:rPr>
        <w:t>图4-3</w:t>
      </w:r>
      <w:r>
        <w:rPr>
          <w:rFonts w:hint="eastAsia" w:ascii="Times New Roman" w:hAnsi="Times New Roman" w:cs="Times New Roman"/>
          <w:b/>
          <w:bCs/>
          <w:color w:val="auto"/>
          <w:sz w:val="24"/>
          <w:szCs w:val="32"/>
          <w:lang w:val="en-US" w:eastAsia="zh-CN"/>
        </w:rPr>
        <w:t xml:space="preserve"> 地下水环境监测点位示意图</w:t>
      </w:r>
    </w:p>
    <w:p w14:paraId="5CB07075">
      <w:pPr>
        <w:spacing w:line="360" w:lineRule="auto"/>
        <w:ind w:firstLine="480" w:firstLineChars="200"/>
        <w:jc w:val="left"/>
        <w:rPr>
          <w:rFonts w:hint="default" w:ascii="Times New Roman" w:hAnsi="Times New Roman" w:cs="Times New Roman"/>
          <w:b w:val="0"/>
          <w:bCs w:val="0"/>
          <w:color w:val="auto"/>
          <w:sz w:val="24"/>
          <w:szCs w:val="32"/>
          <w:lang w:val="en-US" w:eastAsia="zh-CN"/>
        </w:rPr>
      </w:pPr>
      <w:r>
        <w:rPr>
          <w:rFonts w:hint="eastAsia" w:ascii="Times New Roman" w:hAnsi="Times New Roman" w:cs="Times New Roman"/>
          <w:b w:val="0"/>
          <w:bCs w:val="0"/>
          <w:color w:val="auto"/>
          <w:sz w:val="24"/>
          <w:szCs w:val="32"/>
          <w:lang w:val="en-US" w:eastAsia="zh-CN"/>
        </w:rPr>
        <w:t>（2）监测因子</w:t>
      </w:r>
    </w:p>
    <w:p w14:paraId="1AD3366B">
      <w:pPr>
        <w:spacing w:line="360" w:lineRule="auto"/>
        <w:ind w:firstLine="480" w:firstLineChars="200"/>
        <w:jc w:val="left"/>
        <w:rPr>
          <w:rFonts w:hint="eastAsia" w:ascii="Times New Roman" w:hAnsi="Times New Roman"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highlight w:val="none"/>
          <w:lang w:val="en-US" w:eastAsia="zh-CN"/>
        </w:rPr>
        <w:t>地下水现状检测因子如下：K</w:t>
      </w:r>
      <w:r>
        <w:rPr>
          <w:rFonts w:hint="eastAsia" w:ascii="Times New Roman" w:hAnsi="Times New Roman" w:eastAsia="宋体" w:cs="Times New Roman"/>
          <w:b w:val="0"/>
          <w:bCs w:val="0"/>
          <w:color w:val="auto"/>
          <w:sz w:val="24"/>
          <w:szCs w:val="24"/>
          <w:highlight w:val="none"/>
          <w:vertAlign w:val="superscript"/>
          <w:lang w:val="en-US" w:eastAsia="zh-CN"/>
        </w:rPr>
        <w:t>+</w:t>
      </w:r>
      <w:r>
        <w:rPr>
          <w:rFonts w:hint="eastAsia" w:ascii="Times New Roman" w:hAnsi="Times New Roman" w:eastAsia="宋体" w:cs="Times New Roman"/>
          <w:b w:val="0"/>
          <w:bCs w:val="0"/>
          <w:color w:val="auto"/>
          <w:sz w:val="24"/>
          <w:szCs w:val="24"/>
          <w:highlight w:val="none"/>
          <w:lang w:val="en-US" w:eastAsia="zh-CN"/>
        </w:rPr>
        <w:t>、Na</w:t>
      </w:r>
      <w:r>
        <w:rPr>
          <w:rFonts w:hint="eastAsia" w:ascii="Times New Roman" w:hAnsi="Times New Roman" w:eastAsia="宋体" w:cs="Times New Roman"/>
          <w:b w:val="0"/>
          <w:bCs w:val="0"/>
          <w:color w:val="auto"/>
          <w:sz w:val="24"/>
          <w:szCs w:val="24"/>
          <w:highlight w:val="none"/>
          <w:vertAlign w:val="superscript"/>
          <w:lang w:val="en-US" w:eastAsia="zh-CN"/>
        </w:rPr>
        <w:t>+</w:t>
      </w:r>
      <w:r>
        <w:rPr>
          <w:rFonts w:hint="eastAsia" w:ascii="Times New Roman" w:hAnsi="Times New Roman" w:eastAsia="宋体" w:cs="Times New Roman"/>
          <w:b w:val="0"/>
          <w:bCs w:val="0"/>
          <w:color w:val="auto"/>
          <w:sz w:val="24"/>
          <w:szCs w:val="24"/>
          <w:highlight w:val="none"/>
          <w:lang w:val="en-US" w:eastAsia="zh-CN"/>
        </w:rPr>
        <w:t>、Ca</w:t>
      </w:r>
      <w:r>
        <w:rPr>
          <w:rFonts w:hint="eastAsia" w:ascii="Times New Roman" w:hAnsi="Times New Roman" w:eastAsia="宋体" w:cs="Times New Roman"/>
          <w:b w:val="0"/>
          <w:bCs w:val="0"/>
          <w:color w:val="auto"/>
          <w:sz w:val="24"/>
          <w:szCs w:val="24"/>
          <w:highlight w:val="none"/>
          <w:vertAlign w:val="superscript"/>
          <w:lang w:val="en-US" w:eastAsia="zh-CN"/>
        </w:rPr>
        <w:t>2+</w:t>
      </w:r>
      <w:r>
        <w:rPr>
          <w:rFonts w:hint="eastAsia" w:ascii="Times New Roman" w:hAnsi="Times New Roman" w:eastAsia="宋体" w:cs="Times New Roman"/>
          <w:b w:val="0"/>
          <w:bCs w:val="0"/>
          <w:color w:val="auto"/>
          <w:sz w:val="24"/>
          <w:szCs w:val="24"/>
          <w:highlight w:val="none"/>
          <w:lang w:val="en-US" w:eastAsia="zh-CN"/>
        </w:rPr>
        <w:t>、Mg</w:t>
      </w:r>
      <w:r>
        <w:rPr>
          <w:rFonts w:hint="eastAsia" w:ascii="Times New Roman" w:hAnsi="Times New Roman" w:eastAsia="宋体" w:cs="Times New Roman"/>
          <w:b w:val="0"/>
          <w:bCs w:val="0"/>
          <w:color w:val="auto"/>
          <w:sz w:val="24"/>
          <w:szCs w:val="24"/>
          <w:highlight w:val="none"/>
          <w:vertAlign w:val="superscript"/>
          <w:lang w:val="en-US" w:eastAsia="zh-CN"/>
        </w:rPr>
        <w:t>2+</w:t>
      </w:r>
      <w:r>
        <w:rPr>
          <w:rFonts w:hint="eastAsia" w:ascii="Times New Roman" w:hAnsi="Times New Roman" w:eastAsia="宋体" w:cs="Times New Roman"/>
          <w:b w:val="0"/>
          <w:bCs w:val="0"/>
          <w:color w:val="auto"/>
          <w:sz w:val="24"/>
          <w:szCs w:val="24"/>
          <w:highlight w:val="none"/>
          <w:lang w:val="en-US" w:eastAsia="zh-CN"/>
        </w:rPr>
        <w:t>、CO</w:t>
      </w:r>
      <w:r>
        <w:rPr>
          <w:rFonts w:hint="eastAsia" w:ascii="Times New Roman" w:hAnsi="Times New Roman" w:eastAsia="宋体" w:cs="Times New Roman"/>
          <w:b w:val="0"/>
          <w:bCs w:val="0"/>
          <w:color w:val="auto"/>
          <w:sz w:val="24"/>
          <w:szCs w:val="24"/>
          <w:highlight w:val="none"/>
          <w:vertAlign w:val="subscript"/>
          <w:lang w:val="en-US" w:eastAsia="zh-CN"/>
        </w:rPr>
        <w:t>3</w:t>
      </w:r>
      <w:r>
        <w:rPr>
          <w:rFonts w:hint="eastAsia" w:ascii="Times New Roman" w:hAnsi="Times New Roman" w:eastAsia="宋体" w:cs="Times New Roman"/>
          <w:b w:val="0"/>
          <w:bCs w:val="0"/>
          <w:color w:val="auto"/>
          <w:sz w:val="24"/>
          <w:szCs w:val="24"/>
          <w:highlight w:val="none"/>
          <w:vertAlign w:val="superscript"/>
          <w:lang w:val="en-US" w:eastAsia="zh-CN"/>
        </w:rPr>
        <w:t>2-</w:t>
      </w:r>
      <w:r>
        <w:rPr>
          <w:rFonts w:hint="eastAsia" w:ascii="Times New Roman" w:hAnsi="Times New Roman" w:eastAsia="宋体" w:cs="Times New Roman"/>
          <w:b w:val="0"/>
          <w:bCs w:val="0"/>
          <w:color w:val="auto"/>
          <w:sz w:val="24"/>
          <w:szCs w:val="24"/>
          <w:highlight w:val="none"/>
          <w:lang w:val="en-US" w:eastAsia="zh-CN"/>
        </w:rPr>
        <w:t>、HCO</w:t>
      </w:r>
      <w:r>
        <w:rPr>
          <w:rFonts w:hint="eastAsia" w:ascii="Times New Roman" w:hAnsi="Times New Roman" w:eastAsia="宋体" w:cs="Times New Roman"/>
          <w:b w:val="0"/>
          <w:bCs w:val="0"/>
          <w:color w:val="auto"/>
          <w:sz w:val="24"/>
          <w:szCs w:val="24"/>
          <w:highlight w:val="none"/>
          <w:vertAlign w:val="subscript"/>
          <w:lang w:val="en-US" w:eastAsia="zh-CN"/>
        </w:rPr>
        <w:t>3</w:t>
      </w:r>
      <w:r>
        <w:rPr>
          <w:rFonts w:hint="eastAsia" w:ascii="Times New Roman" w:hAnsi="Times New Roman" w:eastAsia="宋体" w:cs="Times New Roman"/>
          <w:b w:val="0"/>
          <w:bCs w:val="0"/>
          <w:color w:val="auto"/>
          <w:sz w:val="24"/>
          <w:szCs w:val="24"/>
          <w:highlight w:val="none"/>
          <w:vertAlign w:val="superscript"/>
          <w:lang w:val="en-US" w:eastAsia="zh-CN"/>
        </w:rPr>
        <w:t>-</w:t>
      </w:r>
      <w:r>
        <w:rPr>
          <w:rFonts w:hint="eastAsia" w:ascii="Times New Roman" w:hAnsi="Times New Roman" w:eastAsia="宋体" w:cs="Times New Roman"/>
          <w:b w:val="0"/>
          <w:bCs w:val="0"/>
          <w:color w:val="auto"/>
          <w:sz w:val="24"/>
          <w:szCs w:val="24"/>
          <w:highlight w:val="none"/>
          <w:lang w:val="en-US" w:eastAsia="zh-CN"/>
        </w:rPr>
        <w:t>、Cl</w:t>
      </w:r>
      <w:r>
        <w:rPr>
          <w:rFonts w:hint="eastAsia" w:ascii="Times New Roman" w:hAnsi="Times New Roman" w:eastAsia="宋体" w:cs="Times New Roman"/>
          <w:b w:val="0"/>
          <w:bCs w:val="0"/>
          <w:color w:val="auto"/>
          <w:sz w:val="24"/>
          <w:szCs w:val="24"/>
          <w:highlight w:val="none"/>
          <w:vertAlign w:val="superscript"/>
          <w:lang w:val="en-US" w:eastAsia="zh-CN"/>
        </w:rPr>
        <w:t>-</w:t>
      </w:r>
      <w:r>
        <w:rPr>
          <w:rFonts w:hint="eastAsia" w:ascii="Times New Roman" w:hAnsi="Times New Roman" w:eastAsia="宋体" w:cs="Times New Roman"/>
          <w:b w:val="0"/>
          <w:bCs w:val="0"/>
          <w:color w:val="auto"/>
          <w:sz w:val="24"/>
          <w:szCs w:val="24"/>
          <w:highlight w:val="none"/>
          <w:lang w:val="en-US" w:eastAsia="zh-CN"/>
        </w:rPr>
        <w:t>、</w:t>
      </w:r>
      <w:bookmarkStart w:id="335" w:name="OLE_LINK103"/>
      <w:r>
        <w:rPr>
          <w:rFonts w:hint="eastAsia" w:ascii="Times New Roman" w:hAnsi="Times New Roman" w:eastAsia="宋体" w:cs="Times New Roman"/>
          <w:b w:val="0"/>
          <w:bCs w:val="0"/>
          <w:color w:val="auto"/>
          <w:sz w:val="24"/>
          <w:szCs w:val="24"/>
          <w:highlight w:val="none"/>
          <w:lang w:val="en-US" w:eastAsia="zh-CN"/>
        </w:rPr>
        <w:t>S</w:t>
      </w:r>
      <w:bookmarkStart w:id="336" w:name="OLE_LINK102"/>
      <w:r>
        <w:rPr>
          <w:rFonts w:hint="eastAsia" w:ascii="Times New Roman" w:hAnsi="Times New Roman" w:eastAsia="宋体" w:cs="Times New Roman"/>
          <w:b w:val="0"/>
          <w:bCs w:val="0"/>
          <w:color w:val="auto"/>
          <w:sz w:val="24"/>
          <w:szCs w:val="24"/>
          <w:highlight w:val="none"/>
          <w:lang w:val="en-US" w:eastAsia="zh-CN"/>
        </w:rPr>
        <w:t>O</w:t>
      </w:r>
      <w:bookmarkEnd w:id="336"/>
      <w:bookmarkStart w:id="337" w:name="OLE_LINK104"/>
      <w:r>
        <w:rPr>
          <w:rFonts w:hint="eastAsia" w:ascii="Times New Roman" w:hAnsi="Times New Roman" w:eastAsia="宋体" w:cs="Times New Roman"/>
          <w:b w:val="0"/>
          <w:bCs w:val="0"/>
          <w:color w:val="auto"/>
          <w:sz w:val="24"/>
          <w:szCs w:val="24"/>
          <w:highlight w:val="none"/>
          <w:vertAlign w:val="subscript"/>
          <w:lang w:val="en-US" w:eastAsia="zh-CN"/>
        </w:rPr>
        <w:t>4</w:t>
      </w:r>
      <w:bookmarkEnd w:id="337"/>
      <w:r>
        <w:rPr>
          <w:rFonts w:hint="eastAsia" w:ascii="Times New Roman" w:hAnsi="Times New Roman" w:eastAsia="宋体" w:cs="Times New Roman"/>
          <w:b w:val="0"/>
          <w:bCs w:val="0"/>
          <w:color w:val="auto"/>
          <w:sz w:val="24"/>
          <w:szCs w:val="24"/>
          <w:highlight w:val="none"/>
          <w:vertAlign w:val="superscript"/>
          <w:lang w:val="en-US" w:eastAsia="zh-CN"/>
        </w:rPr>
        <w:t>2</w:t>
      </w:r>
      <w:bookmarkEnd w:id="335"/>
      <w:r>
        <w:rPr>
          <w:rFonts w:hint="eastAsia" w:ascii="Times New Roman" w:hAnsi="Times New Roman" w:eastAsia="宋体" w:cs="Times New Roman"/>
          <w:b w:val="0"/>
          <w:bCs w:val="0"/>
          <w:color w:val="auto"/>
          <w:sz w:val="24"/>
          <w:szCs w:val="24"/>
          <w:highlight w:val="none"/>
          <w:vertAlign w:val="superscript"/>
          <w:lang w:val="en-US" w:eastAsia="zh-CN"/>
        </w:rPr>
        <w:t>-</w:t>
      </w:r>
      <w:r>
        <w:rPr>
          <w:rFonts w:hint="eastAsia" w:ascii="Times New Roman" w:hAnsi="Times New Roman" w:eastAsia="宋体" w:cs="Times New Roman"/>
          <w:b w:val="0"/>
          <w:bCs w:val="0"/>
          <w:color w:val="auto"/>
          <w:sz w:val="24"/>
          <w:szCs w:val="24"/>
          <w:highlight w:val="none"/>
          <w:lang w:val="en-US" w:eastAsia="zh-CN"/>
        </w:rPr>
        <w:t>、pH、总硬度、溶解性总固体、铁、锰、铜、锌、铝、铅、镍、镉、六价铬、汞、砷、挥发性酚类、耗氧量、氨氮、亚硝酸盐、硝酸盐、氰化物、氟化物，同步监测水位</w:t>
      </w:r>
    </w:p>
    <w:p w14:paraId="335AB110">
      <w:pPr>
        <w:bidi w:val="0"/>
        <w:spacing w:line="360" w:lineRule="auto"/>
        <w:ind w:firstLine="480" w:firstLineChars="200"/>
        <w:outlineLvl w:val="2"/>
        <w:rPr>
          <w:rFonts w:hint="default" w:ascii="Times New Roman" w:hAnsi="Times New Roman" w:eastAsia="宋体" w:cs="Times New Roman"/>
          <w:b w:val="0"/>
          <w:bCs w:val="0"/>
          <w:color w:val="auto"/>
          <w:sz w:val="24"/>
          <w:szCs w:val="24"/>
          <w:highlight w:val="none"/>
          <w:lang w:val="en-US" w:eastAsia="zh-CN"/>
        </w:rPr>
      </w:pPr>
      <w:bookmarkStart w:id="338" w:name="_Toc29150"/>
      <w:r>
        <w:rPr>
          <w:rFonts w:hint="eastAsia" w:ascii="Times New Roman" w:hAnsi="Times New Roman" w:eastAsia="宋体" w:cs="Times New Roman"/>
          <w:b w:val="0"/>
          <w:bCs w:val="0"/>
          <w:color w:val="auto"/>
          <w:sz w:val="24"/>
          <w:szCs w:val="24"/>
          <w:highlight w:val="none"/>
          <w:lang w:val="en-US" w:eastAsia="zh-CN"/>
        </w:rPr>
        <w:t>（3）采样及分析方法</w:t>
      </w:r>
      <w:bookmarkEnd w:id="338"/>
    </w:p>
    <w:p w14:paraId="4A11102F">
      <w:pPr>
        <w:numPr>
          <w:ilvl w:val="0"/>
          <w:numId w:val="0"/>
        </w:numPr>
        <w:spacing w:line="360" w:lineRule="auto"/>
        <w:ind w:firstLine="480" w:firstLineChars="200"/>
        <w:jc w:val="left"/>
        <w:rPr>
          <w:rFonts w:hint="default" w:ascii="Times New Roman" w:hAnsi="Times New Roman" w:cs="Times New Roman"/>
          <w:b w:val="0"/>
          <w:bCs w:val="0"/>
          <w:color w:val="auto"/>
          <w:sz w:val="24"/>
          <w:szCs w:val="24"/>
          <w:highlight w:val="none"/>
          <w:lang w:val="en-US" w:eastAsia="zh-CN"/>
        </w:rPr>
      </w:pPr>
      <w:r>
        <w:rPr>
          <w:rFonts w:hint="eastAsia" w:ascii="Times New Roman" w:hAnsi="Times New Roman" w:cs="Times New Roman"/>
          <w:b w:val="0"/>
          <w:bCs w:val="0"/>
          <w:color w:val="auto"/>
          <w:sz w:val="24"/>
          <w:szCs w:val="24"/>
          <w:highlight w:val="none"/>
          <w:lang w:val="en-US" w:eastAsia="zh-CN"/>
        </w:rPr>
        <w:t>采样与分析方法按照《地下水质量标准》（GB/T14848-2017）的有关规定执行。</w:t>
      </w:r>
    </w:p>
    <w:p w14:paraId="50D02F87">
      <w:pPr>
        <w:spacing w:line="360" w:lineRule="auto"/>
        <w:ind w:firstLine="480" w:firstLineChars="200"/>
        <w:jc w:val="left"/>
        <w:rPr>
          <w:rFonts w:hint="default" w:ascii="Times New Roman" w:hAnsi="Times New Roman" w:cs="Times New Roman"/>
          <w:b w:val="0"/>
          <w:bCs w:val="0"/>
          <w:color w:val="auto"/>
          <w:sz w:val="24"/>
          <w:szCs w:val="32"/>
          <w:lang w:val="en-US" w:eastAsia="zh-CN"/>
        </w:rPr>
      </w:pPr>
      <w:bookmarkStart w:id="339" w:name="_Toc454"/>
      <w:r>
        <w:rPr>
          <w:rFonts w:hint="eastAsia" w:ascii="Times New Roman" w:hAnsi="Times New Roman" w:cs="Times New Roman"/>
          <w:b w:val="0"/>
          <w:bCs w:val="0"/>
          <w:color w:val="auto"/>
          <w:sz w:val="24"/>
          <w:szCs w:val="32"/>
          <w:lang w:val="en-US" w:eastAsia="zh-CN"/>
        </w:rPr>
        <w:t>（4）评价标准</w:t>
      </w:r>
    </w:p>
    <w:p w14:paraId="16073B76">
      <w:pPr>
        <w:spacing w:line="360" w:lineRule="auto"/>
        <w:ind w:firstLine="480" w:firstLineChars="200"/>
        <w:jc w:val="left"/>
        <w:rPr>
          <w:rFonts w:hint="eastAsia" w:ascii="Times New Roman" w:hAnsi="Times New Roman" w:cs="Times New Roman"/>
          <w:b w:val="0"/>
          <w:bCs w:val="0"/>
          <w:color w:val="auto"/>
          <w:sz w:val="24"/>
          <w:szCs w:val="32"/>
          <w:lang w:val="en-US" w:eastAsia="zh-CN"/>
        </w:rPr>
      </w:pPr>
      <w:r>
        <w:rPr>
          <w:rFonts w:hint="eastAsia" w:ascii="Times New Roman" w:hAnsi="Times New Roman" w:cs="Times New Roman"/>
          <w:b w:val="0"/>
          <w:bCs w:val="0"/>
          <w:color w:val="auto"/>
          <w:sz w:val="24"/>
          <w:szCs w:val="32"/>
          <w:lang w:val="en-US" w:eastAsia="zh-CN"/>
        </w:rPr>
        <w:t>评价标准采用《地下水质量标准》（GB/T 14848-2017）中Ⅲ类标准。</w:t>
      </w:r>
    </w:p>
    <w:p w14:paraId="7A63D80F">
      <w:pPr>
        <w:spacing w:line="360" w:lineRule="auto"/>
        <w:ind w:firstLine="480" w:firstLineChars="200"/>
        <w:jc w:val="left"/>
        <w:rPr>
          <w:rFonts w:hint="default" w:ascii="Times New Roman" w:hAnsi="Times New Roman" w:cs="Times New Roman"/>
          <w:b w:val="0"/>
          <w:bCs w:val="0"/>
          <w:color w:val="auto"/>
          <w:sz w:val="24"/>
          <w:szCs w:val="32"/>
          <w:lang w:val="en-US" w:eastAsia="zh-CN"/>
        </w:rPr>
      </w:pPr>
      <w:r>
        <w:rPr>
          <w:rFonts w:hint="eastAsia" w:ascii="Times New Roman" w:hAnsi="Times New Roman" w:cs="Times New Roman"/>
          <w:b w:val="0"/>
          <w:bCs w:val="0"/>
          <w:color w:val="auto"/>
          <w:sz w:val="24"/>
          <w:szCs w:val="32"/>
          <w:lang w:val="en-US" w:eastAsia="zh-CN"/>
        </w:rPr>
        <w:t>（5）评价方法</w:t>
      </w:r>
    </w:p>
    <w:p w14:paraId="77456CC7">
      <w:pPr>
        <w:spacing w:line="360" w:lineRule="auto"/>
        <w:ind w:firstLine="48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采用单因子标准指数法</w:t>
      </w:r>
    </w:p>
    <w:p w14:paraId="3D71E342">
      <w:pPr>
        <w:spacing w:line="360" w:lineRule="auto"/>
        <w:ind w:firstLine="48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①各评价因子（除pH值）的标准指数计算公式：</w:t>
      </w:r>
    </w:p>
    <w:p w14:paraId="4A34A49C">
      <w:pPr>
        <w:widowControl/>
        <w:spacing w:line="360" w:lineRule="auto"/>
        <w:ind w:firstLine="0" w:firstLineChars="0"/>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object>
          <v:shape id="_x0000_i1027" o:spt="75" type="#_x0000_t75" style="height:37.5pt;width:42pt;" o:ole="t" filled="f" o:preferrelative="t" stroked="f" coordsize="21600,21600">
            <v:path/>
            <v:fill on="f" focussize="0,0"/>
            <v:stroke on="f"/>
            <v:imagedata r:id="rId37" o:title=""/>
            <o:lock v:ext="edit" aspectratio="t"/>
            <w10:wrap type="none"/>
            <w10:anchorlock/>
          </v:shape>
          <o:OLEObject Type="Embed" ProgID="Equation.3" ShapeID="_x0000_i1027" DrawAspect="Content" ObjectID="_1468075727" r:id="rId36">
            <o:LockedField>false</o:LockedField>
          </o:OLEObject>
        </w:object>
      </w:r>
    </w:p>
    <w:p w14:paraId="14F1EBF1">
      <w:pPr>
        <w:spacing w:line="360" w:lineRule="auto"/>
        <w:ind w:firstLine="48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式中：S</w:t>
      </w:r>
      <w:r>
        <w:rPr>
          <w:rFonts w:hint="default" w:ascii="Times New Roman" w:hAnsi="Times New Roman" w:cs="Times New Roman"/>
          <w:color w:val="auto"/>
          <w:sz w:val="24"/>
          <w:szCs w:val="24"/>
          <w:vertAlign w:val="subscript"/>
        </w:rPr>
        <w:t>i</w:t>
      </w:r>
      <w:r>
        <w:rPr>
          <w:rFonts w:hint="default" w:ascii="Times New Roman" w:hAnsi="Times New Roman" w:cs="Times New Roman"/>
          <w:color w:val="auto"/>
          <w:sz w:val="24"/>
          <w:szCs w:val="24"/>
        </w:rPr>
        <w:t>为第i项评价因子的单因子标准指数；</w:t>
      </w:r>
    </w:p>
    <w:p w14:paraId="4A214981">
      <w:pPr>
        <w:spacing w:line="360" w:lineRule="auto"/>
        <w:ind w:firstLine="1161" w:firstLineChars="484"/>
        <w:rPr>
          <w:rFonts w:hint="default" w:ascii="Times New Roman" w:hAnsi="Times New Roman" w:cs="Times New Roman"/>
          <w:color w:val="auto"/>
          <w:sz w:val="24"/>
          <w:szCs w:val="24"/>
        </w:rPr>
      </w:pPr>
      <w:r>
        <w:rPr>
          <w:rFonts w:hint="default" w:ascii="Times New Roman" w:hAnsi="Times New Roman" w:cs="Times New Roman"/>
          <w:color w:val="auto"/>
          <w:sz w:val="24"/>
          <w:szCs w:val="24"/>
        </w:rPr>
        <w:t>C</w:t>
      </w:r>
      <w:r>
        <w:rPr>
          <w:rFonts w:hint="default" w:ascii="Times New Roman" w:hAnsi="Times New Roman" w:cs="Times New Roman"/>
          <w:color w:val="auto"/>
          <w:sz w:val="24"/>
          <w:szCs w:val="24"/>
          <w:vertAlign w:val="subscript"/>
        </w:rPr>
        <w:t>i</w:t>
      </w:r>
      <w:r>
        <w:rPr>
          <w:rFonts w:hint="default" w:ascii="Times New Roman" w:hAnsi="Times New Roman" w:cs="Times New Roman"/>
          <w:color w:val="auto"/>
          <w:sz w:val="24"/>
          <w:szCs w:val="24"/>
        </w:rPr>
        <w:t>为第i项评价因子的实测浓度值，mg/L；</w:t>
      </w:r>
    </w:p>
    <w:p w14:paraId="11D86163">
      <w:pPr>
        <w:spacing w:line="360" w:lineRule="auto"/>
        <w:ind w:firstLine="1161" w:firstLineChars="484"/>
        <w:rPr>
          <w:rFonts w:hint="default" w:ascii="Times New Roman" w:hAnsi="Times New Roman" w:cs="Times New Roman"/>
          <w:color w:val="auto"/>
          <w:sz w:val="24"/>
          <w:szCs w:val="24"/>
        </w:rPr>
      </w:pPr>
      <w:r>
        <w:rPr>
          <w:rFonts w:hint="default" w:ascii="Times New Roman" w:hAnsi="Times New Roman" w:cs="Times New Roman"/>
          <w:color w:val="auto"/>
          <w:sz w:val="24"/>
          <w:szCs w:val="24"/>
        </w:rPr>
        <w:t>C</w:t>
      </w:r>
      <w:r>
        <w:rPr>
          <w:rFonts w:hint="default" w:ascii="Times New Roman" w:hAnsi="Times New Roman" w:cs="Times New Roman"/>
          <w:color w:val="auto"/>
          <w:sz w:val="24"/>
          <w:szCs w:val="24"/>
          <w:vertAlign w:val="subscript"/>
        </w:rPr>
        <w:t>oi</w:t>
      </w:r>
      <w:r>
        <w:rPr>
          <w:rFonts w:hint="default" w:ascii="Times New Roman" w:hAnsi="Times New Roman" w:cs="Times New Roman"/>
          <w:color w:val="auto"/>
          <w:sz w:val="24"/>
          <w:szCs w:val="24"/>
        </w:rPr>
        <w:t>为第i项评价因子的环境质量标准值，mg/L。</w:t>
      </w:r>
    </w:p>
    <w:p w14:paraId="3965896E">
      <w:pPr>
        <w:spacing w:line="360" w:lineRule="auto"/>
        <w:ind w:firstLine="48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②pH值的标准指数用下式计算：</w:t>
      </w:r>
    </w:p>
    <w:p w14:paraId="188A0DE1">
      <w:pPr>
        <w:widowControl/>
        <w:spacing w:line="360" w:lineRule="auto"/>
        <w:ind w:firstLine="0" w:firstLineChars="0"/>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object>
          <v:shape id="_x0000_i1028" o:spt="75" type="#_x0000_t75" style="height:31.5pt;width:186pt;" o:ole="t" filled="f" o:preferrelative="t" stroked="f" coordsize="21600,21600">
            <v:path/>
            <v:fill on="f" focussize="0,0"/>
            <v:stroke on="f"/>
            <v:imagedata r:id="rId39" o:title=""/>
            <o:lock v:ext="edit" aspectratio="t"/>
            <w10:wrap type="none"/>
            <w10:anchorlock/>
          </v:shape>
          <o:OLEObject Type="Embed" ProgID="Equation.3" ShapeID="_x0000_i1028" DrawAspect="Content" ObjectID="_1468075728" r:id="rId38">
            <o:LockedField>false</o:LockedField>
          </o:OLEObject>
        </w:object>
      </w:r>
    </w:p>
    <w:p w14:paraId="6D263F05">
      <w:pPr>
        <w:widowControl/>
        <w:spacing w:line="360" w:lineRule="auto"/>
        <w:ind w:firstLine="0" w:firstLineChars="0"/>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object>
          <v:shape id="_x0000_i1029" o:spt="75" type="#_x0000_t75" style="height:31.5pt;width:191.25pt;" o:ole="t" filled="f" o:preferrelative="t" stroked="f" coordsize="21600,21600">
            <v:path/>
            <v:fill on="f" focussize="0,0"/>
            <v:stroke on="f"/>
            <v:imagedata r:id="rId41" o:title=""/>
            <o:lock v:ext="edit" aspectratio="t"/>
            <w10:wrap type="none"/>
            <w10:anchorlock/>
          </v:shape>
          <o:OLEObject Type="Embed" ProgID="Equation.3" ShapeID="_x0000_i1029" DrawAspect="Content" ObjectID="_1468075729" r:id="rId40">
            <o:LockedField>false</o:LockedField>
          </o:OLEObject>
        </w:object>
      </w:r>
    </w:p>
    <w:p w14:paraId="1B5B44C2">
      <w:pPr>
        <w:spacing w:line="360" w:lineRule="auto"/>
        <w:ind w:firstLine="48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式中：S</w:t>
      </w:r>
      <w:r>
        <w:rPr>
          <w:rFonts w:hint="default" w:ascii="Times New Roman" w:hAnsi="Times New Roman" w:cs="Times New Roman"/>
          <w:color w:val="auto"/>
          <w:sz w:val="24"/>
          <w:szCs w:val="24"/>
          <w:vertAlign w:val="subscript"/>
        </w:rPr>
        <w:t>pH,j</w:t>
      </w:r>
      <w:r>
        <w:rPr>
          <w:rFonts w:hint="default" w:ascii="Times New Roman" w:hAnsi="Times New Roman" w:cs="Times New Roman"/>
          <w:color w:val="auto"/>
          <w:sz w:val="24"/>
          <w:szCs w:val="24"/>
        </w:rPr>
        <w:t>为第j点的pH值标准指数；</w:t>
      </w:r>
    </w:p>
    <w:p w14:paraId="2BD2639D">
      <w:pPr>
        <w:spacing w:line="360" w:lineRule="auto"/>
        <w:ind w:firstLine="1202" w:firstLineChars="501"/>
        <w:rPr>
          <w:rFonts w:hint="default" w:ascii="Times New Roman" w:hAnsi="Times New Roman" w:cs="Times New Roman"/>
          <w:color w:val="auto"/>
          <w:sz w:val="24"/>
          <w:szCs w:val="24"/>
        </w:rPr>
      </w:pPr>
      <w:r>
        <w:rPr>
          <w:rFonts w:hint="default" w:ascii="Times New Roman" w:hAnsi="Times New Roman" w:cs="Times New Roman"/>
          <w:color w:val="auto"/>
          <w:sz w:val="24"/>
          <w:szCs w:val="24"/>
        </w:rPr>
        <w:t>pH</w:t>
      </w:r>
      <w:r>
        <w:rPr>
          <w:rFonts w:hint="default" w:ascii="Times New Roman" w:hAnsi="Times New Roman" w:cs="Times New Roman"/>
          <w:color w:val="auto"/>
          <w:sz w:val="24"/>
          <w:szCs w:val="24"/>
          <w:vertAlign w:val="subscript"/>
        </w:rPr>
        <w:t>sd</w:t>
      </w:r>
      <w:r>
        <w:rPr>
          <w:rFonts w:hint="default" w:ascii="Times New Roman" w:hAnsi="Times New Roman" w:cs="Times New Roman"/>
          <w:color w:val="auto"/>
          <w:sz w:val="24"/>
          <w:szCs w:val="24"/>
        </w:rPr>
        <w:t>为水质标准中pH值的下限；</w:t>
      </w:r>
    </w:p>
    <w:p w14:paraId="375650BD">
      <w:pPr>
        <w:spacing w:line="360" w:lineRule="auto"/>
        <w:ind w:firstLine="1202" w:firstLineChars="501"/>
        <w:rPr>
          <w:rFonts w:hint="default" w:ascii="Times New Roman" w:hAnsi="Times New Roman" w:cs="Times New Roman"/>
          <w:color w:val="auto"/>
          <w:sz w:val="24"/>
          <w:szCs w:val="24"/>
        </w:rPr>
      </w:pPr>
      <w:r>
        <w:rPr>
          <w:rFonts w:hint="default" w:ascii="Times New Roman" w:hAnsi="Times New Roman" w:cs="Times New Roman"/>
          <w:color w:val="auto"/>
          <w:sz w:val="24"/>
          <w:szCs w:val="24"/>
        </w:rPr>
        <w:t>pH</w:t>
      </w:r>
      <w:r>
        <w:rPr>
          <w:rFonts w:hint="default" w:ascii="Times New Roman" w:hAnsi="Times New Roman" w:cs="Times New Roman"/>
          <w:color w:val="auto"/>
          <w:sz w:val="24"/>
          <w:szCs w:val="24"/>
          <w:vertAlign w:val="subscript"/>
        </w:rPr>
        <w:t>su</w:t>
      </w:r>
      <w:r>
        <w:rPr>
          <w:rFonts w:hint="default" w:ascii="Times New Roman" w:hAnsi="Times New Roman" w:cs="Times New Roman"/>
          <w:color w:val="auto"/>
          <w:sz w:val="24"/>
          <w:szCs w:val="24"/>
        </w:rPr>
        <w:t>为水质标准中pH值的上限；</w:t>
      </w:r>
    </w:p>
    <w:p w14:paraId="0D2424B9">
      <w:pPr>
        <w:spacing w:line="360" w:lineRule="auto"/>
        <w:ind w:firstLine="1202" w:firstLineChars="501"/>
        <w:rPr>
          <w:rFonts w:hint="default" w:ascii="Times New Roman" w:hAnsi="Times New Roman" w:cs="Times New Roman"/>
          <w:color w:val="auto"/>
          <w:sz w:val="24"/>
          <w:szCs w:val="24"/>
        </w:rPr>
      </w:pPr>
      <w:r>
        <w:rPr>
          <w:rFonts w:hint="default" w:ascii="Times New Roman" w:hAnsi="Times New Roman" w:cs="Times New Roman"/>
          <w:color w:val="auto"/>
          <w:sz w:val="24"/>
          <w:szCs w:val="24"/>
        </w:rPr>
        <w:t>pH</w:t>
      </w:r>
      <w:r>
        <w:rPr>
          <w:rFonts w:hint="default" w:ascii="Times New Roman" w:hAnsi="Times New Roman" w:cs="Times New Roman"/>
          <w:color w:val="auto"/>
          <w:sz w:val="24"/>
          <w:szCs w:val="24"/>
          <w:vertAlign w:val="subscript"/>
        </w:rPr>
        <w:t>j</w:t>
      </w:r>
      <w:r>
        <w:rPr>
          <w:rFonts w:hint="default" w:ascii="Times New Roman" w:hAnsi="Times New Roman" w:cs="Times New Roman"/>
          <w:color w:val="auto"/>
          <w:sz w:val="24"/>
          <w:szCs w:val="24"/>
        </w:rPr>
        <w:t>为第j点的pH值实测值。</w:t>
      </w:r>
    </w:p>
    <w:p w14:paraId="2AA691AB">
      <w:pPr>
        <w:bidi w:val="0"/>
        <w:spacing w:line="360" w:lineRule="auto"/>
        <w:ind w:firstLine="480" w:firstLineChars="200"/>
        <w:outlineLvl w:val="2"/>
        <w:rPr>
          <w:rFonts w:hint="eastAsia" w:ascii="Times New Roman" w:hAnsi="Times New Roman" w:eastAsia="宋体" w:cs="Times New Roman"/>
          <w:b w:val="0"/>
          <w:bCs w:val="0"/>
          <w:color w:val="auto"/>
          <w:sz w:val="24"/>
          <w:szCs w:val="24"/>
          <w:highlight w:val="none"/>
          <w:lang w:val="en-US" w:eastAsia="zh-CN"/>
        </w:rPr>
      </w:pPr>
      <w:r>
        <w:rPr>
          <w:rFonts w:hint="default" w:ascii="Times New Roman" w:hAnsi="Times New Roman" w:cs="Times New Roman"/>
          <w:color w:val="auto"/>
          <w:sz w:val="24"/>
          <w:szCs w:val="24"/>
        </w:rPr>
        <w:t>评价因子的标准指数小于等于1，则符合地下水质的标准要求；评价因子的标准指数大于1，则为超标。</w:t>
      </w:r>
    </w:p>
    <w:p w14:paraId="0C32BBFA">
      <w:pPr>
        <w:bidi w:val="0"/>
        <w:spacing w:line="360" w:lineRule="auto"/>
        <w:ind w:firstLine="480" w:firstLineChars="200"/>
        <w:outlineLvl w:val="2"/>
        <w:rPr>
          <w:rFonts w:hint="default" w:ascii="Times New Roman" w:hAnsi="Times New Roman" w:eastAsia="宋体" w:cs="Times New Roman"/>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（6）监测结果</w:t>
      </w:r>
      <w:bookmarkEnd w:id="339"/>
      <w:r>
        <w:rPr>
          <w:rFonts w:hint="eastAsia" w:ascii="Times New Roman" w:hAnsi="Times New Roman" w:eastAsia="宋体" w:cs="Times New Roman"/>
          <w:b w:val="0"/>
          <w:bCs w:val="0"/>
          <w:color w:val="auto"/>
          <w:sz w:val="24"/>
          <w:szCs w:val="24"/>
          <w:highlight w:val="none"/>
          <w:lang w:val="en-US" w:eastAsia="zh-CN"/>
        </w:rPr>
        <w:t>及评价结果</w:t>
      </w:r>
    </w:p>
    <w:p w14:paraId="242C7AEA">
      <w:pPr>
        <w:spacing w:line="360" w:lineRule="auto"/>
        <w:ind w:firstLine="480" w:firstLineChars="200"/>
        <w:jc w:val="left"/>
        <w:rPr>
          <w:rFonts w:hint="eastAsia" w:ascii="Times New Roman" w:hAnsi="Times New Roman" w:eastAsia="宋体" w:cs="Times New Roman"/>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地下水环境质量现状水位及水质监测结果见下表。</w:t>
      </w:r>
    </w:p>
    <w:p w14:paraId="760B9841">
      <w:pPr>
        <w:spacing w:line="360" w:lineRule="auto"/>
        <w:jc w:val="center"/>
        <w:rPr>
          <w:rFonts w:hint="default" w:ascii="Times New Roman" w:hAnsi="Times New Roman" w:cs="Times New Roman"/>
          <w:b/>
          <w:bCs/>
          <w:color w:val="auto"/>
          <w:sz w:val="24"/>
          <w:szCs w:val="32"/>
          <w:lang w:val="en-US" w:eastAsia="zh-CN"/>
        </w:rPr>
      </w:pPr>
      <w:r>
        <w:rPr>
          <w:rFonts w:hint="eastAsia" w:ascii="Times New Roman" w:hAnsi="Times New Roman" w:cs="Times New Roman"/>
          <w:b/>
          <w:bCs/>
          <w:color w:val="auto"/>
          <w:sz w:val="24"/>
          <w:szCs w:val="32"/>
          <w:lang w:val="en-US" w:eastAsia="zh-CN"/>
        </w:rPr>
        <w:t xml:space="preserve">表4-9 </w:t>
      </w:r>
      <w:bookmarkStart w:id="340" w:name="OLE_LINK113"/>
      <w:r>
        <w:rPr>
          <w:rFonts w:hint="eastAsia" w:ascii="Times New Roman" w:hAnsi="Times New Roman" w:cs="Times New Roman"/>
          <w:b/>
          <w:bCs/>
          <w:color w:val="auto"/>
          <w:sz w:val="24"/>
          <w:szCs w:val="32"/>
          <w:lang w:val="en-US" w:eastAsia="zh-CN"/>
        </w:rPr>
        <w:t>地下水水位监测结果一览表</w:t>
      </w:r>
      <w:bookmarkEnd w:id="340"/>
    </w:p>
    <w:tbl>
      <w:tblPr>
        <w:tblStyle w:val="123"/>
        <w:tblW w:w="4993"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0" w:type="dxa"/>
          <w:bottom w:w="0" w:type="dxa"/>
          <w:right w:w="0" w:type="dxa"/>
        </w:tblCellMar>
      </w:tblPr>
      <w:tblGrid>
        <w:gridCol w:w="2434"/>
        <w:gridCol w:w="2430"/>
        <w:gridCol w:w="2430"/>
        <w:gridCol w:w="2438"/>
      </w:tblGrid>
      <w:tr w14:paraId="1FC3E09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35" w:hRule="atLeast"/>
        </w:trPr>
        <w:tc>
          <w:tcPr>
            <w:tcW w:w="1250" w:type="pct"/>
            <w:tcBorders>
              <w:tl2br w:val="nil"/>
              <w:tr2bl w:val="nil"/>
            </w:tcBorders>
            <w:vAlign w:val="center"/>
          </w:tcPr>
          <w:p w14:paraId="0F1D6355">
            <w:pPr>
              <w:bidi w:val="0"/>
              <w:spacing w:line="240" w:lineRule="auto"/>
              <w:jc w:val="center"/>
              <w:rPr>
                <w:rFonts w:hint="default" w:ascii="Times New Roman" w:hAnsi="Times New Roman" w:cs="Times New Roman"/>
                <w:b/>
                <w:bCs/>
                <w:color w:val="auto"/>
                <w:sz w:val="21"/>
                <w:szCs w:val="18"/>
              </w:rPr>
            </w:pPr>
            <w:r>
              <w:rPr>
                <w:rFonts w:hint="default" w:ascii="Times New Roman" w:hAnsi="Times New Roman" w:cs="Times New Roman"/>
                <w:b/>
                <w:bCs/>
                <w:color w:val="auto"/>
                <w:sz w:val="21"/>
                <w:szCs w:val="18"/>
              </w:rPr>
              <w:t>编号</w:t>
            </w:r>
          </w:p>
        </w:tc>
        <w:tc>
          <w:tcPr>
            <w:tcW w:w="1248" w:type="pct"/>
            <w:tcBorders>
              <w:tl2br w:val="nil"/>
              <w:tr2bl w:val="nil"/>
            </w:tcBorders>
            <w:vAlign w:val="center"/>
          </w:tcPr>
          <w:p w14:paraId="3E6E54B8">
            <w:pPr>
              <w:bidi w:val="0"/>
              <w:spacing w:line="240" w:lineRule="auto"/>
              <w:jc w:val="center"/>
              <w:rPr>
                <w:rFonts w:hint="default" w:ascii="Times New Roman" w:hAnsi="Times New Roman" w:cs="Times New Roman"/>
                <w:b/>
                <w:bCs/>
                <w:color w:val="auto"/>
                <w:sz w:val="21"/>
                <w:szCs w:val="18"/>
              </w:rPr>
            </w:pPr>
            <w:r>
              <w:rPr>
                <w:rFonts w:hint="default" w:ascii="Times New Roman" w:hAnsi="Times New Roman" w:cs="Times New Roman"/>
                <w:b/>
                <w:bCs/>
                <w:color w:val="auto"/>
                <w:sz w:val="21"/>
                <w:szCs w:val="18"/>
              </w:rPr>
              <w:t>监测点位置</w:t>
            </w:r>
          </w:p>
        </w:tc>
        <w:tc>
          <w:tcPr>
            <w:tcW w:w="1248" w:type="pct"/>
            <w:tcBorders>
              <w:tl2br w:val="nil"/>
              <w:tr2bl w:val="nil"/>
            </w:tcBorders>
            <w:vAlign w:val="center"/>
          </w:tcPr>
          <w:p w14:paraId="7AE71DAC">
            <w:pPr>
              <w:bidi w:val="0"/>
              <w:spacing w:line="240" w:lineRule="auto"/>
              <w:jc w:val="center"/>
              <w:rPr>
                <w:rFonts w:hint="default" w:ascii="Times New Roman" w:hAnsi="Times New Roman" w:cs="Times New Roman"/>
                <w:b/>
                <w:bCs/>
                <w:color w:val="auto"/>
                <w:sz w:val="21"/>
                <w:szCs w:val="18"/>
              </w:rPr>
            </w:pPr>
            <w:r>
              <w:rPr>
                <w:rFonts w:hint="default" w:ascii="Times New Roman" w:hAnsi="Times New Roman" w:cs="Times New Roman"/>
                <w:b/>
                <w:bCs/>
                <w:color w:val="auto"/>
                <w:sz w:val="21"/>
                <w:szCs w:val="18"/>
              </w:rPr>
              <w:t>方位</w:t>
            </w:r>
          </w:p>
        </w:tc>
        <w:tc>
          <w:tcPr>
            <w:tcW w:w="1252" w:type="pct"/>
            <w:tcBorders>
              <w:tl2br w:val="nil"/>
              <w:tr2bl w:val="nil"/>
            </w:tcBorders>
            <w:vAlign w:val="center"/>
          </w:tcPr>
          <w:p w14:paraId="281417A0">
            <w:pPr>
              <w:bidi w:val="0"/>
              <w:spacing w:line="240" w:lineRule="auto"/>
              <w:jc w:val="center"/>
              <w:rPr>
                <w:rFonts w:hint="default" w:ascii="Times New Roman" w:hAnsi="Times New Roman" w:cs="Times New Roman"/>
                <w:b/>
                <w:bCs/>
                <w:color w:val="auto"/>
                <w:sz w:val="21"/>
                <w:szCs w:val="18"/>
              </w:rPr>
            </w:pPr>
            <w:r>
              <w:rPr>
                <w:rFonts w:hint="default" w:ascii="Times New Roman" w:hAnsi="Times New Roman" w:cs="Times New Roman"/>
                <w:b/>
                <w:bCs/>
                <w:color w:val="auto"/>
                <w:sz w:val="21"/>
                <w:szCs w:val="18"/>
              </w:rPr>
              <w:t>水位/m</w:t>
            </w:r>
          </w:p>
        </w:tc>
      </w:tr>
      <w:tr w14:paraId="6BF8827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75" w:hRule="atLeast"/>
        </w:trPr>
        <w:tc>
          <w:tcPr>
            <w:tcW w:w="1250" w:type="pct"/>
            <w:tcBorders>
              <w:tl2br w:val="nil"/>
              <w:tr2bl w:val="nil"/>
            </w:tcBorders>
            <w:vAlign w:val="center"/>
          </w:tcPr>
          <w:p w14:paraId="684B2721">
            <w:pPr>
              <w:spacing w:line="240" w:lineRule="auto"/>
              <w:ind w:firstLine="0" w:firstLineChars="0"/>
              <w:jc w:val="center"/>
              <w:rPr>
                <w:rFonts w:hint="eastAsia" w:ascii="Times New Roman" w:hAnsi="Times New Roman" w:eastAsia="宋体" w:cs="Times New Roman"/>
                <w:color w:val="auto"/>
                <w:sz w:val="21"/>
                <w:szCs w:val="18"/>
                <w:lang w:val="en-US" w:eastAsia="zh-CN"/>
              </w:rPr>
            </w:pPr>
            <w:r>
              <w:rPr>
                <w:rFonts w:hint="default" w:ascii="Times New Roman" w:hAnsi="Times New Roman" w:eastAsia="宋体" w:cs="Times New Roman"/>
                <w:color w:val="auto"/>
                <w:kern w:val="0"/>
                <w:sz w:val="21"/>
                <w:szCs w:val="21"/>
              </w:rPr>
              <w:t>D</w:t>
            </w:r>
            <w:r>
              <w:rPr>
                <w:rFonts w:hint="eastAsia" w:ascii="Times New Roman" w:hAnsi="Times New Roman" w:eastAsia="宋体" w:cs="Times New Roman"/>
                <w:color w:val="auto"/>
                <w:kern w:val="0"/>
                <w:sz w:val="21"/>
                <w:szCs w:val="21"/>
                <w:lang w:val="en-US" w:eastAsia="zh-CN"/>
              </w:rPr>
              <w:t>1</w:t>
            </w:r>
          </w:p>
        </w:tc>
        <w:tc>
          <w:tcPr>
            <w:tcW w:w="1248" w:type="pct"/>
            <w:tcBorders>
              <w:tl2br w:val="nil"/>
              <w:tr2bl w:val="nil"/>
            </w:tcBorders>
            <w:vAlign w:val="center"/>
          </w:tcPr>
          <w:p w14:paraId="5BF81E91">
            <w:pPr>
              <w:spacing w:line="240" w:lineRule="auto"/>
              <w:ind w:firstLine="0" w:firstLineChars="0"/>
              <w:jc w:val="center"/>
              <w:rPr>
                <w:rFonts w:hint="default" w:ascii="Times New Roman" w:hAnsi="Times New Roman" w:cs="Times New Roman"/>
                <w:color w:val="auto"/>
                <w:sz w:val="21"/>
                <w:szCs w:val="18"/>
              </w:rPr>
            </w:pPr>
            <w:r>
              <w:rPr>
                <w:rFonts w:hint="eastAsia" w:ascii="Times New Roman" w:hAnsi="Times New Roman" w:eastAsia="宋体" w:cs="Times New Roman"/>
                <w:color w:val="auto"/>
                <w:kern w:val="0"/>
                <w:sz w:val="21"/>
                <w:szCs w:val="21"/>
                <w:lang w:val="en-US" w:eastAsia="zh-CN"/>
              </w:rPr>
              <w:t>黄大庄</w:t>
            </w:r>
          </w:p>
        </w:tc>
        <w:tc>
          <w:tcPr>
            <w:tcW w:w="2431" w:type="dxa"/>
            <w:tcBorders>
              <w:tl2br w:val="nil"/>
              <w:tr2bl w:val="nil"/>
            </w:tcBorders>
            <w:vAlign w:val="center"/>
          </w:tcPr>
          <w:p w14:paraId="741320F9">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18"/>
              </w:rPr>
            </w:pPr>
            <w:r>
              <w:rPr>
                <w:rFonts w:hint="eastAsia" w:cs="Times New Roman"/>
                <w:color w:val="auto"/>
                <w:sz w:val="21"/>
                <w:szCs w:val="21"/>
                <w:lang w:val="en-US" w:eastAsia="zh-CN"/>
              </w:rPr>
              <w:t>SW</w:t>
            </w:r>
          </w:p>
        </w:tc>
        <w:tc>
          <w:tcPr>
            <w:tcW w:w="1252" w:type="pct"/>
            <w:tcBorders>
              <w:tl2br w:val="nil"/>
              <w:tr2bl w:val="nil"/>
            </w:tcBorders>
            <w:vAlign w:val="center"/>
          </w:tcPr>
          <w:p w14:paraId="17C0DCE6">
            <w:pPr>
              <w:bidi w:val="0"/>
              <w:spacing w:line="240" w:lineRule="auto"/>
              <w:jc w:val="center"/>
              <w:rPr>
                <w:rFonts w:hint="default" w:ascii="Times New Roman" w:hAnsi="Times New Roman" w:eastAsia="宋体" w:cs="Times New Roman"/>
                <w:color w:val="auto"/>
                <w:sz w:val="21"/>
                <w:szCs w:val="18"/>
                <w:lang w:val="en-US" w:eastAsia="zh-CN"/>
              </w:rPr>
            </w:pPr>
            <w:r>
              <w:rPr>
                <w:rFonts w:hint="eastAsia" w:ascii="Times New Roman" w:hAnsi="Times New Roman" w:eastAsia="宋体" w:cs="Times New Roman"/>
                <w:color w:val="auto"/>
                <w:sz w:val="21"/>
                <w:szCs w:val="18"/>
                <w:lang w:val="en-US" w:eastAsia="zh-CN"/>
              </w:rPr>
              <w:t>4.6</w:t>
            </w:r>
          </w:p>
        </w:tc>
      </w:tr>
      <w:tr w14:paraId="37427C2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1250" w:type="pct"/>
            <w:tcBorders>
              <w:tl2br w:val="nil"/>
              <w:tr2bl w:val="nil"/>
            </w:tcBorders>
            <w:vAlign w:val="center"/>
          </w:tcPr>
          <w:p w14:paraId="03E9D55F">
            <w:pPr>
              <w:spacing w:line="240" w:lineRule="auto"/>
              <w:ind w:firstLine="0" w:firstLineChars="0"/>
              <w:jc w:val="center"/>
              <w:rPr>
                <w:rFonts w:hint="eastAsia" w:ascii="Times New Roman" w:hAnsi="Times New Roman" w:eastAsia="宋体" w:cs="Times New Roman"/>
                <w:color w:val="auto"/>
                <w:sz w:val="21"/>
                <w:szCs w:val="18"/>
                <w:lang w:val="en-US" w:eastAsia="zh-CN"/>
              </w:rPr>
            </w:pPr>
            <w:r>
              <w:rPr>
                <w:rFonts w:hint="default" w:ascii="Times New Roman" w:hAnsi="Times New Roman" w:eastAsia="宋体" w:cs="Times New Roman"/>
                <w:color w:val="auto"/>
                <w:sz w:val="21"/>
                <w:szCs w:val="21"/>
              </w:rPr>
              <w:t>D</w:t>
            </w:r>
            <w:r>
              <w:rPr>
                <w:rFonts w:hint="eastAsia" w:ascii="Times New Roman" w:hAnsi="Times New Roman" w:eastAsia="宋体" w:cs="Times New Roman"/>
                <w:color w:val="auto"/>
                <w:sz w:val="21"/>
                <w:szCs w:val="21"/>
                <w:lang w:val="en-US" w:eastAsia="zh-CN"/>
              </w:rPr>
              <w:t>2</w:t>
            </w:r>
          </w:p>
        </w:tc>
        <w:tc>
          <w:tcPr>
            <w:tcW w:w="1248" w:type="pct"/>
            <w:tcBorders>
              <w:tl2br w:val="nil"/>
              <w:tr2bl w:val="nil"/>
            </w:tcBorders>
            <w:vAlign w:val="center"/>
          </w:tcPr>
          <w:p w14:paraId="4251FAFE">
            <w:pPr>
              <w:spacing w:line="240" w:lineRule="auto"/>
              <w:ind w:firstLine="0" w:firstLineChars="0"/>
              <w:jc w:val="center"/>
              <w:rPr>
                <w:rFonts w:hint="default" w:ascii="Times New Roman" w:hAnsi="Times New Roman" w:cs="Times New Roman"/>
                <w:color w:val="auto"/>
                <w:sz w:val="21"/>
                <w:szCs w:val="18"/>
              </w:rPr>
            </w:pPr>
            <w:r>
              <w:rPr>
                <w:rFonts w:hint="eastAsia" w:ascii="Times New Roman" w:hAnsi="Times New Roman" w:eastAsia="宋体" w:cs="Times New Roman"/>
                <w:color w:val="auto"/>
                <w:sz w:val="21"/>
                <w:szCs w:val="21"/>
                <w:lang w:val="en-US" w:eastAsia="zh-CN"/>
              </w:rPr>
              <w:t>龙华学校</w:t>
            </w:r>
          </w:p>
        </w:tc>
        <w:tc>
          <w:tcPr>
            <w:tcW w:w="2431" w:type="dxa"/>
            <w:tcBorders>
              <w:tl2br w:val="nil"/>
              <w:tr2bl w:val="nil"/>
            </w:tcBorders>
            <w:vAlign w:val="center"/>
          </w:tcPr>
          <w:p w14:paraId="65D0E743">
            <w:pPr>
              <w:bidi w:val="0"/>
              <w:snapToGrid w:val="0"/>
              <w:spacing w:line="240" w:lineRule="auto"/>
              <w:ind w:left="0" w:leftChars="0" w:right="0" w:rightChars="0" w:firstLine="0" w:firstLineChars="0"/>
              <w:jc w:val="center"/>
              <w:rPr>
                <w:rFonts w:hint="default" w:ascii="Times New Roman" w:hAnsi="Times New Roman" w:cs="Times New Roman"/>
                <w:color w:val="auto"/>
                <w:sz w:val="21"/>
                <w:szCs w:val="18"/>
              </w:rPr>
            </w:pPr>
            <w:r>
              <w:rPr>
                <w:rFonts w:hint="eastAsia" w:cs="Times New Roman"/>
                <w:color w:val="auto"/>
                <w:sz w:val="21"/>
                <w:szCs w:val="21"/>
                <w:lang w:val="en-US" w:eastAsia="zh-CN"/>
              </w:rPr>
              <w:t>NE</w:t>
            </w:r>
          </w:p>
        </w:tc>
        <w:tc>
          <w:tcPr>
            <w:tcW w:w="1252" w:type="pct"/>
            <w:tcBorders>
              <w:tl2br w:val="nil"/>
              <w:tr2bl w:val="nil"/>
            </w:tcBorders>
            <w:vAlign w:val="center"/>
          </w:tcPr>
          <w:p w14:paraId="2E3C4D97">
            <w:pPr>
              <w:bidi w:val="0"/>
              <w:spacing w:line="240" w:lineRule="auto"/>
              <w:jc w:val="center"/>
              <w:rPr>
                <w:rFonts w:hint="default" w:ascii="Times New Roman" w:hAnsi="Times New Roman" w:cs="Times New Roman"/>
                <w:color w:val="auto"/>
                <w:sz w:val="21"/>
                <w:szCs w:val="18"/>
                <w:lang w:val="en-US"/>
              </w:rPr>
            </w:pPr>
            <w:r>
              <w:rPr>
                <w:rFonts w:hint="eastAsia" w:ascii="Times New Roman" w:hAnsi="Times New Roman" w:eastAsia="宋体" w:cs="Times New Roman"/>
                <w:color w:val="auto"/>
                <w:sz w:val="21"/>
                <w:szCs w:val="18"/>
                <w:lang w:val="en-US" w:eastAsia="zh-CN"/>
              </w:rPr>
              <w:t>4.5</w:t>
            </w:r>
          </w:p>
        </w:tc>
      </w:tr>
      <w:tr w14:paraId="732C051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70" w:hRule="atLeast"/>
        </w:trPr>
        <w:tc>
          <w:tcPr>
            <w:tcW w:w="1250" w:type="pct"/>
            <w:tcBorders>
              <w:tl2br w:val="nil"/>
              <w:tr2bl w:val="nil"/>
            </w:tcBorders>
            <w:shd w:val="clear" w:color="auto" w:fill="auto"/>
            <w:vAlign w:val="center"/>
          </w:tcPr>
          <w:p w14:paraId="559CF7C2">
            <w:pPr>
              <w:spacing w:line="240" w:lineRule="auto"/>
              <w:ind w:firstLine="0" w:firstLineChars="0"/>
              <w:jc w:val="center"/>
              <w:rPr>
                <w:rFonts w:hint="eastAsia" w:ascii="Times New Roman" w:hAnsi="Times New Roman" w:eastAsia="宋体" w:cs="Times New Roman"/>
                <w:color w:val="auto"/>
                <w:kern w:val="2"/>
                <w:sz w:val="21"/>
                <w:szCs w:val="18"/>
                <w:lang w:val="en-US" w:eastAsia="zh-CN" w:bidi="ar-SA"/>
              </w:rPr>
            </w:pPr>
            <w:r>
              <w:rPr>
                <w:rFonts w:hint="default" w:ascii="Times New Roman" w:hAnsi="Times New Roman" w:eastAsia="宋体" w:cs="Times New Roman"/>
                <w:color w:val="auto"/>
                <w:kern w:val="0"/>
                <w:sz w:val="21"/>
                <w:szCs w:val="21"/>
              </w:rPr>
              <w:t>D</w:t>
            </w:r>
            <w:r>
              <w:rPr>
                <w:rFonts w:hint="eastAsia" w:ascii="Times New Roman" w:hAnsi="Times New Roman" w:eastAsia="宋体" w:cs="Times New Roman"/>
                <w:color w:val="auto"/>
                <w:kern w:val="0"/>
                <w:sz w:val="21"/>
                <w:szCs w:val="21"/>
                <w:lang w:val="en-US" w:eastAsia="zh-CN"/>
              </w:rPr>
              <w:t>3</w:t>
            </w:r>
          </w:p>
        </w:tc>
        <w:tc>
          <w:tcPr>
            <w:tcW w:w="1248" w:type="pct"/>
            <w:tcBorders>
              <w:tl2br w:val="nil"/>
              <w:tr2bl w:val="nil"/>
            </w:tcBorders>
            <w:shd w:val="clear" w:color="auto" w:fill="auto"/>
            <w:vAlign w:val="center"/>
          </w:tcPr>
          <w:p w14:paraId="3626ADA9">
            <w:pPr>
              <w:spacing w:line="240" w:lineRule="auto"/>
              <w:ind w:firstLine="0" w:firstLineChars="0"/>
              <w:jc w:val="center"/>
              <w:rPr>
                <w:rFonts w:hint="eastAsia" w:ascii="Times New Roman" w:hAnsi="Times New Roman" w:eastAsia="宋体" w:cs="Times New Roman"/>
                <w:color w:val="auto"/>
                <w:kern w:val="2"/>
                <w:sz w:val="21"/>
                <w:szCs w:val="18"/>
                <w:lang w:val="en-US" w:eastAsia="zh-CN" w:bidi="ar-SA"/>
              </w:rPr>
            </w:pPr>
            <w:r>
              <w:rPr>
                <w:rFonts w:hint="eastAsia" w:ascii="Times New Roman" w:hAnsi="Times New Roman" w:eastAsia="宋体" w:cs="Times New Roman"/>
                <w:color w:val="auto"/>
                <w:kern w:val="0"/>
                <w:sz w:val="21"/>
                <w:szCs w:val="21"/>
                <w:lang w:val="en-US" w:eastAsia="zh-CN"/>
              </w:rPr>
              <w:t>香樟路空地</w:t>
            </w:r>
          </w:p>
        </w:tc>
        <w:tc>
          <w:tcPr>
            <w:tcW w:w="2431" w:type="dxa"/>
            <w:tcBorders>
              <w:tl2br w:val="nil"/>
              <w:tr2bl w:val="nil"/>
            </w:tcBorders>
            <w:shd w:val="clear" w:color="auto" w:fill="auto"/>
            <w:vAlign w:val="center"/>
          </w:tcPr>
          <w:p w14:paraId="3BDBF3DF">
            <w:pPr>
              <w:jc w:val="center"/>
              <w:rPr>
                <w:rFonts w:hint="eastAsia" w:ascii="Times New Roman" w:hAnsi="Times New Roman" w:eastAsia="宋体" w:cs="Times New Roman"/>
                <w:color w:val="auto"/>
                <w:kern w:val="2"/>
                <w:sz w:val="21"/>
                <w:szCs w:val="18"/>
                <w:lang w:val="en-US" w:eastAsia="zh-CN" w:bidi="ar-SA"/>
              </w:rPr>
            </w:pPr>
            <w:r>
              <w:rPr>
                <w:rFonts w:hint="eastAsia"/>
                <w:color w:val="auto"/>
                <w:lang w:val="en-US" w:eastAsia="zh-CN"/>
              </w:rPr>
              <w:t>SE</w:t>
            </w:r>
          </w:p>
        </w:tc>
        <w:tc>
          <w:tcPr>
            <w:tcW w:w="1252" w:type="pct"/>
            <w:tcBorders>
              <w:tl2br w:val="nil"/>
              <w:tr2bl w:val="nil"/>
            </w:tcBorders>
            <w:shd w:val="clear" w:color="auto" w:fill="auto"/>
            <w:vAlign w:val="center"/>
          </w:tcPr>
          <w:p w14:paraId="7EDAE851">
            <w:pPr>
              <w:bidi w:val="0"/>
              <w:spacing w:line="240" w:lineRule="auto"/>
              <w:jc w:val="center"/>
              <w:rPr>
                <w:rFonts w:hint="default" w:ascii="Times New Roman" w:hAnsi="Times New Roman" w:eastAsia="宋体" w:cs="Times New Roman"/>
                <w:color w:val="auto"/>
                <w:kern w:val="2"/>
                <w:sz w:val="21"/>
                <w:szCs w:val="18"/>
                <w:lang w:val="en-US" w:eastAsia="zh-CN" w:bidi="ar-SA"/>
              </w:rPr>
            </w:pPr>
            <w:r>
              <w:rPr>
                <w:rFonts w:hint="eastAsia" w:ascii="Times New Roman" w:hAnsi="Times New Roman" w:eastAsia="宋体" w:cs="Times New Roman"/>
                <w:color w:val="auto"/>
                <w:sz w:val="21"/>
                <w:szCs w:val="18"/>
                <w:lang w:val="en-US" w:eastAsia="zh-CN"/>
              </w:rPr>
              <w:t>4.3</w:t>
            </w:r>
          </w:p>
        </w:tc>
      </w:tr>
    </w:tbl>
    <w:p w14:paraId="2FD137DE">
      <w:pPr>
        <w:jc w:val="center"/>
        <w:rPr>
          <w:rFonts w:hint="default" w:ascii="Times New Roman" w:hAnsi="Times New Roman" w:cs="Times New Roman"/>
          <w:b/>
          <w:bCs/>
          <w:color w:val="auto"/>
          <w:sz w:val="24"/>
          <w:szCs w:val="32"/>
          <w:lang w:val="en-US" w:eastAsia="zh-CN"/>
        </w:rPr>
      </w:pPr>
    </w:p>
    <w:p w14:paraId="5493AA91">
      <w:pPr>
        <w:spacing w:line="360" w:lineRule="auto"/>
        <w:jc w:val="center"/>
        <w:rPr>
          <w:rFonts w:hint="eastAsia" w:ascii="Times New Roman" w:hAnsi="Times New Roman" w:cs="Times New Roman"/>
          <w:b/>
          <w:bCs/>
          <w:color w:val="auto"/>
          <w:sz w:val="24"/>
          <w:szCs w:val="32"/>
          <w:lang w:val="en-US" w:eastAsia="zh-CN"/>
        </w:rPr>
      </w:pPr>
      <w:bookmarkStart w:id="341" w:name="OLE_LINK116"/>
      <w:r>
        <w:rPr>
          <w:rFonts w:hint="eastAsia" w:ascii="Times New Roman" w:hAnsi="Times New Roman" w:cs="Times New Roman"/>
          <w:b/>
          <w:bCs/>
          <w:color w:val="auto"/>
          <w:sz w:val="24"/>
          <w:szCs w:val="32"/>
          <w:lang w:val="en-US" w:eastAsia="zh-CN"/>
        </w:rPr>
        <w:t>表4-10 地下水水质监测结果一览表</w:t>
      </w:r>
      <w:bookmarkEnd w:id="341"/>
      <w:r>
        <w:rPr>
          <w:rFonts w:hint="eastAsia" w:ascii="Times New Roman" w:hAnsi="Times New Roman" w:cs="Times New Roman"/>
          <w:b/>
          <w:bCs/>
          <w:color w:val="auto"/>
          <w:sz w:val="24"/>
          <w:szCs w:val="32"/>
          <w:lang w:val="en-US" w:eastAsia="zh-CN"/>
        </w:rPr>
        <w:t xml:space="preserve">  单位：mg/L，pH无量纲</w:t>
      </w:r>
    </w:p>
    <w:tbl>
      <w:tblPr>
        <w:tblStyle w:val="31"/>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13"/>
        <w:gridCol w:w="951"/>
        <w:gridCol w:w="1177"/>
        <w:gridCol w:w="1185"/>
        <w:gridCol w:w="1177"/>
        <w:gridCol w:w="1185"/>
        <w:gridCol w:w="1177"/>
        <w:gridCol w:w="1189"/>
      </w:tblGrid>
      <w:tr w14:paraId="74BEF2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vMerge w:val="restart"/>
            <w:tcBorders>
              <w:tl2br w:val="nil"/>
              <w:tr2bl w:val="nil"/>
            </w:tcBorders>
            <w:noWrap w:val="0"/>
            <w:vAlign w:val="center"/>
          </w:tcPr>
          <w:p w14:paraId="10F3E86F">
            <w:pPr>
              <w:widowControl/>
              <w:spacing w:line="240" w:lineRule="auto"/>
              <w:ind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检测项目</w:t>
            </w:r>
          </w:p>
        </w:tc>
        <w:tc>
          <w:tcPr>
            <w:tcW w:w="478" w:type="pct"/>
            <w:vMerge w:val="restart"/>
            <w:tcBorders>
              <w:tl2br w:val="nil"/>
              <w:tr2bl w:val="nil"/>
            </w:tcBorders>
            <w:shd w:val="clear" w:color="auto" w:fill="auto"/>
            <w:noWrap w:val="0"/>
            <w:vAlign w:val="center"/>
          </w:tcPr>
          <w:p w14:paraId="14BDBD8A">
            <w:pPr>
              <w:widowControl/>
              <w:spacing w:line="240" w:lineRule="auto"/>
              <w:ind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标准限值</w:t>
            </w:r>
          </w:p>
        </w:tc>
        <w:tc>
          <w:tcPr>
            <w:tcW w:w="1186" w:type="pct"/>
            <w:gridSpan w:val="2"/>
            <w:tcBorders>
              <w:tl2br w:val="nil"/>
              <w:tr2bl w:val="nil"/>
            </w:tcBorders>
            <w:shd w:val="clear" w:color="auto" w:fill="auto"/>
            <w:noWrap w:val="0"/>
            <w:vAlign w:val="center"/>
          </w:tcPr>
          <w:p w14:paraId="561E4082">
            <w:pPr>
              <w:widowControl/>
              <w:spacing w:line="240" w:lineRule="auto"/>
              <w:ind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D</w:t>
            </w:r>
            <w:r>
              <w:rPr>
                <w:rFonts w:hint="eastAsia" w:ascii="Times New Roman" w:hAnsi="Times New Roman" w:eastAsia="宋体" w:cs="Times New Roman"/>
                <w:b/>
                <w:bCs/>
                <w:color w:val="auto"/>
                <w:sz w:val="21"/>
                <w:szCs w:val="21"/>
                <w:lang w:val="en-US" w:eastAsia="zh-CN"/>
              </w:rPr>
              <w:t>1</w:t>
            </w:r>
            <w:r>
              <w:rPr>
                <w:rFonts w:hint="default" w:ascii="Times New Roman" w:hAnsi="Times New Roman" w:eastAsia="宋体" w:cs="Times New Roman"/>
                <w:b/>
                <w:bCs/>
                <w:color w:val="auto"/>
                <w:sz w:val="21"/>
                <w:szCs w:val="21"/>
              </w:rPr>
              <w:t>黄大庄</w:t>
            </w:r>
          </w:p>
        </w:tc>
        <w:tc>
          <w:tcPr>
            <w:tcW w:w="1186" w:type="pct"/>
            <w:gridSpan w:val="2"/>
            <w:tcBorders>
              <w:tl2br w:val="nil"/>
              <w:tr2bl w:val="nil"/>
            </w:tcBorders>
            <w:noWrap w:val="0"/>
            <w:vAlign w:val="center"/>
          </w:tcPr>
          <w:p w14:paraId="74481820">
            <w:pPr>
              <w:widowControl/>
              <w:spacing w:line="240" w:lineRule="auto"/>
              <w:ind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D2龙华学校</w:t>
            </w:r>
          </w:p>
        </w:tc>
        <w:tc>
          <w:tcPr>
            <w:tcW w:w="1188" w:type="pct"/>
            <w:gridSpan w:val="2"/>
            <w:tcBorders>
              <w:tl2br w:val="nil"/>
              <w:tr2bl w:val="nil"/>
            </w:tcBorders>
            <w:noWrap w:val="0"/>
            <w:vAlign w:val="center"/>
          </w:tcPr>
          <w:p w14:paraId="19CF7E6B">
            <w:pPr>
              <w:widowControl/>
              <w:spacing w:line="240" w:lineRule="auto"/>
              <w:ind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D</w:t>
            </w:r>
            <w:r>
              <w:rPr>
                <w:rFonts w:hint="eastAsia" w:ascii="Times New Roman" w:hAnsi="Times New Roman" w:eastAsia="宋体" w:cs="Times New Roman"/>
                <w:b/>
                <w:bCs/>
                <w:color w:val="auto"/>
                <w:sz w:val="21"/>
                <w:szCs w:val="21"/>
                <w:lang w:val="en-US" w:eastAsia="zh-CN"/>
              </w:rPr>
              <w:t>3</w:t>
            </w:r>
            <w:r>
              <w:rPr>
                <w:rFonts w:hint="default" w:ascii="Times New Roman" w:hAnsi="Times New Roman" w:eastAsia="宋体" w:cs="Times New Roman"/>
                <w:b/>
                <w:bCs/>
                <w:color w:val="auto"/>
                <w:sz w:val="21"/>
                <w:szCs w:val="21"/>
              </w:rPr>
              <w:t>香樟路空地</w:t>
            </w:r>
          </w:p>
        </w:tc>
      </w:tr>
      <w:tr w14:paraId="78EED1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vMerge w:val="continue"/>
            <w:tcBorders>
              <w:tl2br w:val="nil"/>
              <w:tr2bl w:val="nil"/>
            </w:tcBorders>
            <w:noWrap w:val="0"/>
            <w:vAlign w:val="center"/>
          </w:tcPr>
          <w:p w14:paraId="7421A0A3">
            <w:pPr>
              <w:widowControl/>
              <w:spacing w:line="240" w:lineRule="auto"/>
              <w:ind w:firstLine="0" w:firstLineChars="0"/>
              <w:jc w:val="center"/>
              <w:rPr>
                <w:rFonts w:hint="default" w:ascii="Times New Roman" w:hAnsi="Times New Roman" w:eastAsia="宋体" w:cs="Times New Roman"/>
                <w:b/>
                <w:bCs/>
                <w:color w:val="auto"/>
                <w:sz w:val="21"/>
                <w:szCs w:val="21"/>
              </w:rPr>
            </w:pPr>
          </w:p>
        </w:tc>
        <w:tc>
          <w:tcPr>
            <w:tcW w:w="478" w:type="pct"/>
            <w:vMerge w:val="continue"/>
            <w:tcBorders>
              <w:tl2br w:val="nil"/>
              <w:tr2bl w:val="nil"/>
            </w:tcBorders>
            <w:shd w:val="clear" w:color="auto" w:fill="auto"/>
            <w:noWrap w:val="0"/>
            <w:vAlign w:val="center"/>
          </w:tcPr>
          <w:p w14:paraId="158A171A">
            <w:pPr>
              <w:widowControl/>
              <w:spacing w:line="240" w:lineRule="auto"/>
              <w:ind w:firstLine="0" w:firstLineChars="0"/>
              <w:jc w:val="center"/>
              <w:rPr>
                <w:rFonts w:hint="eastAsia" w:ascii="Times New Roman" w:hAnsi="Times New Roman" w:eastAsia="宋体" w:cs="Times New Roman"/>
                <w:b/>
                <w:bCs/>
                <w:color w:val="auto"/>
                <w:sz w:val="21"/>
                <w:szCs w:val="21"/>
                <w:lang w:val="en-US" w:eastAsia="zh-CN"/>
              </w:rPr>
            </w:pPr>
          </w:p>
        </w:tc>
        <w:tc>
          <w:tcPr>
            <w:tcW w:w="591" w:type="pct"/>
            <w:tcBorders>
              <w:tl2br w:val="nil"/>
              <w:tr2bl w:val="nil"/>
            </w:tcBorders>
            <w:shd w:val="clear" w:color="auto" w:fill="auto"/>
            <w:noWrap w:val="0"/>
            <w:vAlign w:val="center"/>
          </w:tcPr>
          <w:p w14:paraId="16F0E5F0">
            <w:pPr>
              <w:widowControl/>
              <w:spacing w:line="240" w:lineRule="auto"/>
              <w:ind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cs="Times New Roman"/>
                <w:color w:val="auto"/>
                <w:sz w:val="24"/>
                <w:szCs w:val="24"/>
              </w:rPr>
              <w:t>C</w:t>
            </w:r>
            <w:r>
              <w:rPr>
                <w:rFonts w:hint="default" w:ascii="Times New Roman" w:hAnsi="Times New Roman" w:cs="Times New Roman"/>
                <w:color w:val="auto"/>
                <w:sz w:val="24"/>
                <w:szCs w:val="24"/>
                <w:vertAlign w:val="subscript"/>
              </w:rPr>
              <w:t>i</w:t>
            </w:r>
          </w:p>
        </w:tc>
        <w:tc>
          <w:tcPr>
            <w:tcW w:w="595" w:type="pct"/>
            <w:tcBorders>
              <w:tl2br w:val="nil"/>
              <w:tr2bl w:val="nil"/>
            </w:tcBorders>
            <w:noWrap w:val="0"/>
            <w:vAlign w:val="center"/>
          </w:tcPr>
          <w:p w14:paraId="63FFC8EF">
            <w:pPr>
              <w:widowControl/>
              <w:spacing w:line="240" w:lineRule="auto"/>
              <w:ind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cs="Times New Roman"/>
                <w:color w:val="auto"/>
                <w:sz w:val="24"/>
                <w:szCs w:val="24"/>
              </w:rPr>
              <w:t>S</w:t>
            </w:r>
            <w:r>
              <w:rPr>
                <w:rFonts w:hint="default" w:ascii="Times New Roman" w:hAnsi="Times New Roman" w:cs="Times New Roman"/>
                <w:color w:val="auto"/>
                <w:sz w:val="24"/>
                <w:szCs w:val="24"/>
                <w:vertAlign w:val="subscript"/>
              </w:rPr>
              <w:t>i</w:t>
            </w:r>
          </w:p>
        </w:tc>
        <w:tc>
          <w:tcPr>
            <w:tcW w:w="591" w:type="pct"/>
            <w:tcBorders>
              <w:tl2br w:val="nil"/>
              <w:tr2bl w:val="nil"/>
            </w:tcBorders>
            <w:noWrap w:val="0"/>
            <w:vAlign w:val="center"/>
          </w:tcPr>
          <w:p w14:paraId="19D4641B">
            <w:pPr>
              <w:widowControl/>
              <w:spacing w:line="240" w:lineRule="auto"/>
              <w:ind w:firstLine="0" w:firstLineChars="0"/>
              <w:jc w:val="center"/>
              <w:rPr>
                <w:rFonts w:hint="eastAsia" w:ascii="Times New Roman" w:hAnsi="Times New Roman" w:eastAsia="宋体" w:cs="Times New Roman"/>
                <w:b/>
                <w:bCs/>
                <w:color w:val="auto"/>
                <w:sz w:val="21"/>
                <w:szCs w:val="21"/>
                <w:lang w:val="en-US" w:eastAsia="zh-CN"/>
              </w:rPr>
            </w:pPr>
            <w:r>
              <w:rPr>
                <w:rFonts w:hint="default" w:ascii="Times New Roman" w:hAnsi="Times New Roman" w:cs="Times New Roman"/>
                <w:color w:val="auto"/>
                <w:sz w:val="24"/>
                <w:szCs w:val="24"/>
              </w:rPr>
              <w:t>C</w:t>
            </w:r>
            <w:r>
              <w:rPr>
                <w:rFonts w:hint="default" w:ascii="Times New Roman" w:hAnsi="Times New Roman" w:cs="Times New Roman"/>
                <w:color w:val="auto"/>
                <w:sz w:val="24"/>
                <w:szCs w:val="24"/>
                <w:vertAlign w:val="subscript"/>
              </w:rPr>
              <w:t>i</w:t>
            </w:r>
          </w:p>
        </w:tc>
        <w:tc>
          <w:tcPr>
            <w:tcW w:w="595" w:type="pct"/>
            <w:tcBorders>
              <w:tl2br w:val="nil"/>
              <w:tr2bl w:val="nil"/>
            </w:tcBorders>
            <w:noWrap w:val="0"/>
            <w:vAlign w:val="center"/>
          </w:tcPr>
          <w:p w14:paraId="628E7EA3">
            <w:pPr>
              <w:widowControl/>
              <w:spacing w:line="240" w:lineRule="auto"/>
              <w:ind w:firstLine="0" w:firstLineChars="0"/>
              <w:jc w:val="center"/>
              <w:rPr>
                <w:rFonts w:hint="eastAsia" w:ascii="Times New Roman" w:hAnsi="Times New Roman" w:eastAsia="宋体" w:cs="Times New Roman"/>
                <w:b/>
                <w:bCs/>
                <w:color w:val="auto"/>
                <w:sz w:val="21"/>
                <w:szCs w:val="21"/>
                <w:lang w:val="en-US" w:eastAsia="zh-CN"/>
              </w:rPr>
            </w:pPr>
            <w:r>
              <w:rPr>
                <w:rFonts w:hint="default" w:ascii="Times New Roman" w:hAnsi="Times New Roman" w:cs="Times New Roman"/>
                <w:color w:val="auto"/>
                <w:sz w:val="24"/>
                <w:szCs w:val="24"/>
              </w:rPr>
              <w:t>S</w:t>
            </w:r>
            <w:r>
              <w:rPr>
                <w:rFonts w:hint="default" w:ascii="Times New Roman" w:hAnsi="Times New Roman" w:cs="Times New Roman"/>
                <w:color w:val="auto"/>
                <w:sz w:val="24"/>
                <w:szCs w:val="24"/>
                <w:vertAlign w:val="subscript"/>
              </w:rPr>
              <w:t>i</w:t>
            </w:r>
          </w:p>
        </w:tc>
        <w:tc>
          <w:tcPr>
            <w:tcW w:w="591" w:type="pct"/>
            <w:tcBorders>
              <w:tl2br w:val="nil"/>
              <w:tr2bl w:val="nil"/>
            </w:tcBorders>
            <w:noWrap w:val="0"/>
            <w:vAlign w:val="center"/>
          </w:tcPr>
          <w:p w14:paraId="2DA7E970">
            <w:pPr>
              <w:widowControl/>
              <w:spacing w:line="240" w:lineRule="auto"/>
              <w:ind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cs="Times New Roman"/>
                <w:color w:val="auto"/>
                <w:sz w:val="24"/>
                <w:szCs w:val="24"/>
              </w:rPr>
              <w:t>C</w:t>
            </w:r>
            <w:r>
              <w:rPr>
                <w:rFonts w:hint="default" w:ascii="Times New Roman" w:hAnsi="Times New Roman" w:cs="Times New Roman"/>
                <w:color w:val="auto"/>
                <w:sz w:val="24"/>
                <w:szCs w:val="24"/>
                <w:vertAlign w:val="subscript"/>
              </w:rPr>
              <w:t>i</w:t>
            </w:r>
          </w:p>
        </w:tc>
        <w:tc>
          <w:tcPr>
            <w:tcW w:w="596" w:type="pct"/>
            <w:tcBorders>
              <w:tl2br w:val="nil"/>
              <w:tr2bl w:val="nil"/>
            </w:tcBorders>
            <w:noWrap w:val="0"/>
            <w:vAlign w:val="center"/>
          </w:tcPr>
          <w:p w14:paraId="7C71C616">
            <w:pPr>
              <w:widowControl/>
              <w:spacing w:line="240" w:lineRule="auto"/>
              <w:ind w:firstLine="0" w:firstLineChars="0"/>
              <w:jc w:val="center"/>
              <w:rPr>
                <w:rFonts w:hint="default" w:ascii="Times New Roman" w:hAnsi="Times New Roman" w:eastAsia="宋体" w:cs="Times New Roman"/>
                <w:b/>
                <w:bCs/>
                <w:color w:val="auto"/>
                <w:sz w:val="21"/>
                <w:szCs w:val="21"/>
              </w:rPr>
            </w:pPr>
            <w:r>
              <w:rPr>
                <w:rFonts w:hint="default" w:ascii="Times New Roman" w:hAnsi="Times New Roman" w:cs="Times New Roman"/>
                <w:color w:val="auto"/>
                <w:sz w:val="24"/>
                <w:szCs w:val="24"/>
              </w:rPr>
              <w:t>S</w:t>
            </w:r>
            <w:r>
              <w:rPr>
                <w:rFonts w:hint="default" w:ascii="Times New Roman" w:hAnsi="Times New Roman" w:cs="Times New Roman"/>
                <w:color w:val="auto"/>
                <w:sz w:val="24"/>
                <w:szCs w:val="24"/>
                <w:vertAlign w:val="subscript"/>
              </w:rPr>
              <w:t>i</w:t>
            </w:r>
          </w:p>
        </w:tc>
      </w:tr>
      <w:tr w14:paraId="44FA22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08124DC">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pH（无量纲）</w:t>
            </w:r>
          </w:p>
        </w:tc>
        <w:tc>
          <w:tcPr>
            <w:tcW w:w="478" w:type="pct"/>
            <w:tcBorders>
              <w:tl2br w:val="nil"/>
              <w:tr2bl w:val="nil"/>
            </w:tcBorders>
            <w:shd w:val="clear" w:color="auto" w:fill="auto"/>
            <w:noWrap w:val="0"/>
            <w:vAlign w:val="center"/>
          </w:tcPr>
          <w:p w14:paraId="170A9CA3">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6.5~8.5</w:t>
            </w:r>
          </w:p>
        </w:tc>
        <w:tc>
          <w:tcPr>
            <w:tcW w:w="591" w:type="pct"/>
            <w:tcBorders>
              <w:tl2br w:val="nil"/>
              <w:tr2bl w:val="nil"/>
            </w:tcBorders>
            <w:shd w:val="clear" w:color="auto" w:fill="auto"/>
            <w:noWrap w:val="0"/>
            <w:vAlign w:val="center"/>
          </w:tcPr>
          <w:p w14:paraId="5BCF798D">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7.6</w:t>
            </w:r>
          </w:p>
        </w:tc>
        <w:tc>
          <w:tcPr>
            <w:tcW w:w="595" w:type="pct"/>
            <w:tcBorders>
              <w:tl2br w:val="nil"/>
              <w:tr2bl w:val="nil"/>
            </w:tcBorders>
            <w:noWrap w:val="0"/>
            <w:vAlign w:val="center"/>
          </w:tcPr>
          <w:p w14:paraId="27EC21AA">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0.4</w:t>
            </w:r>
          </w:p>
        </w:tc>
        <w:tc>
          <w:tcPr>
            <w:tcW w:w="591" w:type="pct"/>
            <w:tcBorders>
              <w:tl2br w:val="nil"/>
              <w:tr2bl w:val="nil"/>
            </w:tcBorders>
            <w:noWrap w:val="0"/>
            <w:vAlign w:val="center"/>
          </w:tcPr>
          <w:p w14:paraId="147E4A7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7.3</w:t>
            </w:r>
          </w:p>
        </w:tc>
        <w:tc>
          <w:tcPr>
            <w:tcW w:w="595" w:type="pct"/>
            <w:tcBorders>
              <w:tl2br w:val="nil"/>
              <w:tr2bl w:val="nil"/>
            </w:tcBorders>
            <w:noWrap w:val="0"/>
            <w:vAlign w:val="center"/>
          </w:tcPr>
          <w:p w14:paraId="54B74A37">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w:t>
            </w:r>
          </w:p>
        </w:tc>
        <w:tc>
          <w:tcPr>
            <w:tcW w:w="591" w:type="pct"/>
            <w:tcBorders>
              <w:tl2br w:val="nil"/>
              <w:tr2bl w:val="nil"/>
            </w:tcBorders>
            <w:noWrap w:val="0"/>
            <w:vAlign w:val="center"/>
          </w:tcPr>
          <w:p w14:paraId="4E15EF42">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7.4</w:t>
            </w:r>
          </w:p>
        </w:tc>
        <w:tc>
          <w:tcPr>
            <w:tcW w:w="596" w:type="pct"/>
            <w:tcBorders>
              <w:tl2br w:val="nil"/>
              <w:tr2bl w:val="nil"/>
            </w:tcBorders>
            <w:noWrap w:val="0"/>
            <w:vAlign w:val="center"/>
          </w:tcPr>
          <w:p w14:paraId="4F284787">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w:t>
            </w:r>
          </w:p>
        </w:tc>
      </w:tr>
      <w:tr w14:paraId="31D899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3" w:hRule="atLeast"/>
          <w:jc w:val="center"/>
        </w:trPr>
        <w:tc>
          <w:tcPr>
            <w:tcW w:w="961" w:type="pct"/>
            <w:tcBorders>
              <w:tl2br w:val="nil"/>
              <w:tr2bl w:val="nil"/>
            </w:tcBorders>
            <w:noWrap w:val="0"/>
            <w:vAlign w:val="center"/>
          </w:tcPr>
          <w:p w14:paraId="3747376C">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氨氮（mg/L）</w:t>
            </w:r>
          </w:p>
        </w:tc>
        <w:tc>
          <w:tcPr>
            <w:tcW w:w="478" w:type="pct"/>
            <w:tcBorders>
              <w:tl2br w:val="nil"/>
              <w:tr2bl w:val="nil"/>
            </w:tcBorders>
            <w:shd w:val="clear" w:color="auto" w:fill="auto"/>
            <w:noWrap w:val="0"/>
            <w:vAlign w:val="center"/>
          </w:tcPr>
          <w:p w14:paraId="1C1952B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0.5</w:t>
            </w:r>
          </w:p>
        </w:tc>
        <w:tc>
          <w:tcPr>
            <w:tcW w:w="591" w:type="pct"/>
            <w:tcBorders>
              <w:tl2br w:val="nil"/>
              <w:tr2bl w:val="nil"/>
            </w:tcBorders>
            <w:shd w:val="clear" w:color="auto" w:fill="auto"/>
            <w:noWrap w:val="0"/>
            <w:vAlign w:val="center"/>
          </w:tcPr>
          <w:p w14:paraId="38F393E7">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0.941</w:t>
            </w:r>
          </w:p>
        </w:tc>
        <w:tc>
          <w:tcPr>
            <w:tcW w:w="595" w:type="pct"/>
            <w:tcBorders>
              <w:tl2br w:val="nil"/>
              <w:tr2bl w:val="nil"/>
            </w:tcBorders>
            <w:noWrap w:val="0"/>
            <w:vAlign w:val="center"/>
          </w:tcPr>
          <w:p w14:paraId="6D90844F">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1.88</w:t>
            </w:r>
          </w:p>
        </w:tc>
        <w:tc>
          <w:tcPr>
            <w:tcW w:w="591" w:type="pct"/>
            <w:tcBorders>
              <w:tl2br w:val="nil"/>
              <w:tr2bl w:val="nil"/>
            </w:tcBorders>
            <w:noWrap w:val="0"/>
            <w:vAlign w:val="center"/>
          </w:tcPr>
          <w:p w14:paraId="1321A875">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0.401</w:t>
            </w:r>
          </w:p>
        </w:tc>
        <w:tc>
          <w:tcPr>
            <w:tcW w:w="595" w:type="pct"/>
            <w:tcBorders>
              <w:tl2br w:val="nil"/>
              <w:tr2bl w:val="nil"/>
            </w:tcBorders>
            <w:noWrap w:val="0"/>
            <w:vAlign w:val="center"/>
          </w:tcPr>
          <w:p w14:paraId="513BEB55">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0.8</w:t>
            </w:r>
          </w:p>
        </w:tc>
        <w:tc>
          <w:tcPr>
            <w:tcW w:w="591" w:type="pct"/>
            <w:tcBorders>
              <w:tl2br w:val="nil"/>
              <w:tr2bl w:val="nil"/>
            </w:tcBorders>
            <w:noWrap w:val="0"/>
            <w:vAlign w:val="center"/>
          </w:tcPr>
          <w:p w14:paraId="2355E1AA">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0.676</w:t>
            </w:r>
          </w:p>
        </w:tc>
        <w:tc>
          <w:tcPr>
            <w:tcW w:w="596" w:type="pct"/>
            <w:tcBorders>
              <w:tl2br w:val="nil"/>
              <w:tr2bl w:val="nil"/>
            </w:tcBorders>
            <w:noWrap w:val="0"/>
            <w:vAlign w:val="center"/>
          </w:tcPr>
          <w:p w14:paraId="6AB0A9A0">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1.35</w:t>
            </w:r>
          </w:p>
        </w:tc>
      </w:tr>
      <w:tr w14:paraId="42EFA9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6B92B562">
            <w:pPr>
              <w:widowControl/>
              <w:spacing w:line="240" w:lineRule="auto"/>
              <w:ind w:firstLine="0" w:firstLineChars="0"/>
              <w:jc w:val="center"/>
              <w:rPr>
                <w:rFonts w:hint="default" w:ascii="Times New Roman" w:hAnsi="Times New Roman" w:eastAsia="宋体" w:cs="Times New Roman"/>
                <w:color w:val="auto"/>
                <w:kern w:val="1"/>
                <w:sz w:val="21"/>
                <w:szCs w:val="21"/>
              </w:rPr>
            </w:pPr>
            <w:r>
              <w:rPr>
                <w:rFonts w:hint="default" w:ascii="Times New Roman" w:hAnsi="Times New Roman" w:eastAsia="宋体" w:cs="Times New Roman"/>
                <w:color w:val="auto"/>
                <w:sz w:val="21"/>
                <w:szCs w:val="21"/>
              </w:rPr>
              <w:t>硝酸盐</w:t>
            </w:r>
            <w:r>
              <w:rPr>
                <w:rFonts w:hint="default" w:ascii="Times New Roman" w:hAnsi="Times New Roman" w:eastAsia="宋体" w:cs="Times New Roman"/>
                <w:color w:val="auto"/>
                <w:kern w:val="1"/>
                <w:sz w:val="21"/>
                <w:szCs w:val="21"/>
              </w:rPr>
              <w:t>（以N计）</w:t>
            </w:r>
          </w:p>
          <w:p w14:paraId="163F9D88">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（mg/L）</w:t>
            </w:r>
          </w:p>
        </w:tc>
        <w:tc>
          <w:tcPr>
            <w:tcW w:w="478" w:type="pct"/>
            <w:tcBorders>
              <w:tl2br w:val="nil"/>
              <w:tr2bl w:val="nil"/>
            </w:tcBorders>
            <w:shd w:val="clear" w:color="auto" w:fill="auto"/>
            <w:noWrap w:val="0"/>
            <w:vAlign w:val="center"/>
          </w:tcPr>
          <w:p w14:paraId="146CA31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591" w:type="pct"/>
            <w:tcBorders>
              <w:tl2br w:val="nil"/>
              <w:tr2bl w:val="nil"/>
            </w:tcBorders>
            <w:shd w:val="clear" w:color="auto" w:fill="auto"/>
            <w:noWrap w:val="0"/>
            <w:vAlign w:val="center"/>
          </w:tcPr>
          <w:p w14:paraId="3C11E4DB">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1.38</w:t>
            </w:r>
          </w:p>
        </w:tc>
        <w:tc>
          <w:tcPr>
            <w:tcW w:w="595" w:type="pct"/>
            <w:tcBorders>
              <w:tl2br w:val="nil"/>
              <w:tr2bl w:val="nil"/>
            </w:tcBorders>
            <w:noWrap w:val="0"/>
            <w:vAlign w:val="center"/>
          </w:tcPr>
          <w:p w14:paraId="33472BA4">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0.069</w:t>
            </w:r>
          </w:p>
        </w:tc>
        <w:tc>
          <w:tcPr>
            <w:tcW w:w="591" w:type="pct"/>
            <w:tcBorders>
              <w:tl2br w:val="nil"/>
              <w:tr2bl w:val="nil"/>
            </w:tcBorders>
            <w:noWrap w:val="0"/>
            <w:vAlign w:val="center"/>
          </w:tcPr>
          <w:p w14:paraId="376B14C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2.16</w:t>
            </w:r>
          </w:p>
        </w:tc>
        <w:tc>
          <w:tcPr>
            <w:tcW w:w="595" w:type="pct"/>
            <w:tcBorders>
              <w:tl2br w:val="nil"/>
              <w:tr2bl w:val="nil"/>
            </w:tcBorders>
            <w:noWrap w:val="0"/>
            <w:vAlign w:val="center"/>
          </w:tcPr>
          <w:p w14:paraId="6860CC0D">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0.11</w:t>
            </w:r>
          </w:p>
        </w:tc>
        <w:tc>
          <w:tcPr>
            <w:tcW w:w="591" w:type="pct"/>
            <w:tcBorders>
              <w:tl2br w:val="nil"/>
              <w:tr2bl w:val="nil"/>
            </w:tcBorders>
            <w:noWrap w:val="0"/>
            <w:vAlign w:val="center"/>
          </w:tcPr>
          <w:p w14:paraId="31AD00D9">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1.56</w:t>
            </w:r>
          </w:p>
        </w:tc>
        <w:tc>
          <w:tcPr>
            <w:tcW w:w="596" w:type="pct"/>
            <w:tcBorders>
              <w:tl2br w:val="nil"/>
              <w:tr2bl w:val="nil"/>
            </w:tcBorders>
            <w:noWrap w:val="0"/>
            <w:vAlign w:val="center"/>
          </w:tcPr>
          <w:p w14:paraId="413A1DF4">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0.078</w:t>
            </w:r>
          </w:p>
        </w:tc>
      </w:tr>
      <w:tr w14:paraId="409642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0A8048D8">
            <w:pPr>
              <w:widowControl/>
              <w:spacing w:line="240" w:lineRule="auto"/>
              <w:ind w:firstLine="0" w:firstLineChars="0"/>
              <w:jc w:val="center"/>
              <w:rPr>
                <w:rFonts w:hint="default" w:ascii="Times New Roman" w:hAnsi="Times New Roman" w:eastAsia="宋体" w:cs="Times New Roman"/>
                <w:color w:val="auto"/>
                <w:kern w:val="1"/>
                <w:sz w:val="21"/>
                <w:szCs w:val="21"/>
              </w:rPr>
            </w:pPr>
            <w:r>
              <w:rPr>
                <w:rFonts w:hint="default" w:ascii="Times New Roman" w:hAnsi="Times New Roman" w:eastAsia="宋体" w:cs="Times New Roman"/>
                <w:color w:val="auto"/>
                <w:sz w:val="21"/>
                <w:szCs w:val="21"/>
              </w:rPr>
              <w:t>亚硝酸盐</w:t>
            </w:r>
            <w:r>
              <w:rPr>
                <w:rFonts w:hint="default" w:ascii="Times New Roman" w:hAnsi="Times New Roman" w:eastAsia="宋体" w:cs="Times New Roman"/>
                <w:color w:val="auto"/>
                <w:kern w:val="1"/>
                <w:sz w:val="21"/>
                <w:szCs w:val="21"/>
              </w:rPr>
              <w:t>（以N计）</w:t>
            </w:r>
          </w:p>
          <w:p w14:paraId="59EC7F9D">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（mg/L）</w:t>
            </w:r>
          </w:p>
        </w:tc>
        <w:tc>
          <w:tcPr>
            <w:tcW w:w="478" w:type="pct"/>
            <w:tcBorders>
              <w:tl2br w:val="nil"/>
              <w:tr2bl w:val="nil"/>
            </w:tcBorders>
            <w:shd w:val="clear" w:color="auto" w:fill="auto"/>
            <w:noWrap w:val="0"/>
            <w:vAlign w:val="center"/>
          </w:tcPr>
          <w:p w14:paraId="14115695">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591" w:type="pct"/>
            <w:tcBorders>
              <w:tl2br w:val="nil"/>
              <w:tr2bl w:val="nil"/>
            </w:tcBorders>
            <w:shd w:val="clear" w:color="auto" w:fill="auto"/>
            <w:noWrap w:val="0"/>
            <w:vAlign w:val="center"/>
          </w:tcPr>
          <w:p w14:paraId="76E71803">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0.721</w:t>
            </w:r>
          </w:p>
        </w:tc>
        <w:tc>
          <w:tcPr>
            <w:tcW w:w="595" w:type="pct"/>
            <w:tcBorders>
              <w:tl2br w:val="nil"/>
              <w:tr2bl w:val="nil"/>
            </w:tcBorders>
            <w:noWrap w:val="0"/>
            <w:vAlign w:val="center"/>
          </w:tcPr>
          <w:p w14:paraId="7F9D7A62">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0.72</w:t>
            </w:r>
          </w:p>
        </w:tc>
        <w:tc>
          <w:tcPr>
            <w:tcW w:w="591" w:type="pct"/>
            <w:tcBorders>
              <w:tl2br w:val="nil"/>
              <w:tr2bl w:val="nil"/>
            </w:tcBorders>
            <w:noWrap w:val="0"/>
            <w:vAlign w:val="center"/>
          </w:tcPr>
          <w:p w14:paraId="71AE461E">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0.791</w:t>
            </w:r>
          </w:p>
        </w:tc>
        <w:tc>
          <w:tcPr>
            <w:tcW w:w="595" w:type="pct"/>
            <w:tcBorders>
              <w:tl2br w:val="nil"/>
              <w:tr2bl w:val="nil"/>
            </w:tcBorders>
            <w:noWrap w:val="0"/>
            <w:vAlign w:val="center"/>
          </w:tcPr>
          <w:p w14:paraId="73B5850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0.79</w:t>
            </w:r>
          </w:p>
        </w:tc>
        <w:tc>
          <w:tcPr>
            <w:tcW w:w="591" w:type="pct"/>
            <w:tcBorders>
              <w:tl2br w:val="nil"/>
              <w:tr2bl w:val="nil"/>
            </w:tcBorders>
            <w:noWrap w:val="0"/>
            <w:vAlign w:val="center"/>
          </w:tcPr>
          <w:p w14:paraId="677D7338">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0.663</w:t>
            </w:r>
          </w:p>
        </w:tc>
        <w:tc>
          <w:tcPr>
            <w:tcW w:w="596" w:type="pct"/>
            <w:tcBorders>
              <w:tl2br w:val="nil"/>
              <w:tr2bl w:val="nil"/>
            </w:tcBorders>
            <w:noWrap w:val="0"/>
            <w:vAlign w:val="center"/>
          </w:tcPr>
          <w:p w14:paraId="30E5CB20">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0.66</w:t>
            </w:r>
          </w:p>
        </w:tc>
      </w:tr>
      <w:tr w14:paraId="5D7E82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13B52E30">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挥发酚（mg/L）</w:t>
            </w:r>
          </w:p>
        </w:tc>
        <w:tc>
          <w:tcPr>
            <w:tcW w:w="478" w:type="pct"/>
            <w:tcBorders>
              <w:tl2br w:val="nil"/>
              <w:tr2bl w:val="nil"/>
            </w:tcBorders>
            <w:shd w:val="clear" w:color="auto" w:fill="auto"/>
            <w:noWrap w:val="0"/>
            <w:vAlign w:val="center"/>
          </w:tcPr>
          <w:p w14:paraId="4760EDF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0.02</w:t>
            </w:r>
          </w:p>
        </w:tc>
        <w:tc>
          <w:tcPr>
            <w:tcW w:w="591" w:type="pct"/>
            <w:tcBorders>
              <w:tl2br w:val="nil"/>
              <w:tr2bl w:val="nil"/>
            </w:tcBorders>
            <w:shd w:val="clear" w:color="auto" w:fill="auto"/>
            <w:noWrap w:val="0"/>
            <w:vAlign w:val="center"/>
          </w:tcPr>
          <w:p w14:paraId="7886C2EC">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518A23CE">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2C638FC6">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76834007">
            <w:pPr>
              <w:widowControl/>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7FF281D7">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6E746475">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6ADBE5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1C60D06">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氰化物（mg/L）</w:t>
            </w:r>
          </w:p>
        </w:tc>
        <w:tc>
          <w:tcPr>
            <w:tcW w:w="478" w:type="pct"/>
            <w:tcBorders>
              <w:tl2br w:val="nil"/>
              <w:tr2bl w:val="nil"/>
            </w:tcBorders>
            <w:shd w:val="clear" w:color="auto" w:fill="auto"/>
            <w:noWrap w:val="0"/>
            <w:vAlign w:val="center"/>
          </w:tcPr>
          <w:p w14:paraId="028C71E9">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0.05</w:t>
            </w:r>
          </w:p>
        </w:tc>
        <w:tc>
          <w:tcPr>
            <w:tcW w:w="591" w:type="pct"/>
            <w:tcBorders>
              <w:tl2br w:val="nil"/>
              <w:tr2bl w:val="nil"/>
            </w:tcBorders>
            <w:shd w:val="clear" w:color="auto" w:fill="auto"/>
            <w:noWrap w:val="0"/>
            <w:vAlign w:val="center"/>
          </w:tcPr>
          <w:p w14:paraId="79D8EB21">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0C9614B8">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26179603">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02B2D179">
            <w:pPr>
              <w:widowControl/>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185CC682">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7537DCEC">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08B4D4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DCA32C4">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六价铬（mg/L）</w:t>
            </w:r>
          </w:p>
        </w:tc>
        <w:tc>
          <w:tcPr>
            <w:tcW w:w="478" w:type="pct"/>
            <w:tcBorders>
              <w:tl2br w:val="nil"/>
              <w:tr2bl w:val="nil"/>
            </w:tcBorders>
            <w:shd w:val="clear" w:color="auto" w:fill="auto"/>
            <w:noWrap w:val="0"/>
            <w:vAlign w:val="center"/>
          </w:tcPr>
          <w:p w14:paraId="19B9E16F">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0.05</w:t>
            </w:r>
          </w:p>
        </w:tc>
        <w:tc>
          <w:tcPr>
            <w:tcW w:w="591" w:type="pct"/>
            <w:tcBorders>
              <w:tl2br w:val="nil"/>
              <w:tr2bl w:val="nil"/>
            </w:tcBorders>
            <w:shd w:val="clear" w:color="auto" w:fill="auto"/>
            <w:noWrap w:val="0"/>
            <w:vAlign w:val="center"/>
          </w:tcPr>
          <w:p w14:paraId="2D768060">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590ACDAF">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29CE4F49">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072925F2">
            <w:pPr>
              <w:widowControl/>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7B1426F3">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51A22CD3">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771690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2575DF39">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总硬度（mg/L）</w:t>
            </w:r>
          </w:p>
        </w:tc>
        <w:tc>
          <w:tcPr>
            <w:tcW w:w="478" w:type="pct"/>
            <w:tcBorders>
              <w:tl2br w:val="nil"/>
              <w:tr2bl w:val="nil"/>
            </w:tcBorders>
            <w:shd w:val="clear" w:color="auto" w:fill="auto"/>
            <w:noWrap w:val="0"/>
            <w:vAlign w:val="center"/>
          </w:tcPr>
          <w:p w14:paraId="52E73DD3">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450</w:t>
            </w:r>
          </w:p>
        </w:tc>
        <w:tc>
          <w:tcPr>
            <w:tcW w:w="591" w:type="pct"/>
            <w:tcBorders>
              <w:tl2br w:val="nil"/>
              <w:tr2bl w:val="nil"/>
            </w:tcBorders>
            <w:shd w:val="clear" w:color="auto" w:fill="auto"/>
            <w:noWrap w:val="0"/>
            <w:vAlign w:val="center"/>
          </w:tcPr>
          <w:p w14:paraId="54DF9867">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164</w:t>
            </w:r>
          </w:p>
        </w:tc>
        <w:tc>
          <w:tcPr>
            <w:tcW w:w="595" w:type="pct"/>
            <w:tcBorders>
              <w:tl2br w:val="nil"/>
              <w:tr2bl w:val="nil"/>
            </w:tcBorders>
            <w:noWrap w:val="0"/>
            <w:vAlign w:val="center"/>
          </w:tcPr>
          <w:p w14:paraId="7A22961D">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0.36</w:t>
            </w:r>
          </w:p>
        </w:tc>
        <w:tc>
          <w:tcPr>
            <w:tcW w:w="591" w:type="pct"/>
            <w:tcBorders>
              <w:tl2br w:val="nil"/>
              <w:tr2bl w:val="nil"/>
            </w:tcBorders>
            <w:noWrap w:val="0"/>
            <w:vAlign w:val="center"/>
          </w:tcPr>
          <w:p w14:paraId="45E03D3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77</w:t>
            </w:r>
          </w:p>
        </w:tc>
        <w:tc>
          <w:tcPr>
            <w:tcW w:w="595" w:type="pct"/>
            <w:tcBorders>
              <w:tl2br w:val="nil"/>
              <w:tr2bl w:val="nil"/>
            </w:tcBorders>
            <w:noWrap w:val="0"/>
            <w:vAlign w:val="center"/>
          </w:tcPr>
          <w:p w14:paraId="3796464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0.17</w:t>
            </w:r>
          </w:p>
        </w:tc>
        <w:tc>
          <w:tcPr>
            <w:tcW w:w="591" w:type="pct"/>
            <w:tcBorders>
              <w:tl2br w:val="nil"/>
              <w:tr2bl w:val="nil"/>
            </w:tcBorders>
            <w:noWrap w:val="0"/>
            <w:vAlign w:val="center"/>
          </w:tcPr>
          <w:p w14:paraId="6D2E24A9">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258</w:t>
            </w:r>
          </w:p>
        </w:tc>
        <w:tc>
          <w:tcPr>
            <w:tcW w:w="596" w:type="pct"/>
            <w:tcBorders>
              <w:tl2br w:val="nil"/>
              <w:tr2bl w:val="nil"/>
            </w:tcBorders>
            <w:noWrap w:val="0"/>
            <w:vAlign w:val="center"/>
          </w:tcPr>
          <w:p w14:paraId="3A1EC7CF">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0.57</w:t>
            </w:r>
          </w:p>
        </w:tc>
      </w:tr>
      <w:tr w14:paraId="0911AD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2B7A051E">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溶解性总固体（mg/L）</w:t>
            </w:r>
          </w:p>
        </w:tc>
        <w:tc>
          <w:tcPr>
            <w:tcW w:w="478" w:type="pct"/>
            <w:tcBorders>
              <w:tl2br w:val="nil"/>
              <w:tr2bl w:val="nil"/>
            </w:tcBorders>
            <w:shd w:val="clear" w:color="auto" w:fill="auto"/>
            <w:noWrap w:val="0"/>
            <w:vAlign w:val="center"/>
          </w:tcPr>
          <w:p w14:paraId="66B3ABEF">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1000</w:t>
            </w:r>
          </w:p>
        </w:tc>
        <w:tc>
          <w:tcPr>
            <w:tcW w:w="591" w:type="pct"/>
            <w:tcBorders>
              <w:tl2br w:val="nil"/>
              <w:tr2bl w:val="nil"/>
            </w:tcBorders>
            <w:shd w:val="clear" w:color="auto" w:fill="auto"/>
            <w:noWrap w:val="0"/>
            <w:vAlign w:val="center"/>
          </w:tcPr>
          <w:p w14:paraId="760444D9">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419</w:t>
            </w:r>
          </w:p>
        </w:tc>
        <w:tc>
          <w:tcPr>
            <w:tcW w:w="595" w:type="pct"/>
            <w:tcBorders>
              <w:tl2br w:val="nil"/>
              <w:tr2bl w:val="nil"/>
            </w:tcBorders>
            <w:noWrap w:val="0"/>
            <w:vAlign w:val="center"/>
          </w:tcPr>
          <w:p w14:paraId="09D41E45">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0.42</w:t>
            </w:r>
          </w:p>
        </w:tc>
        <w:tc>
          <w:tcPr>
            <w:tcW w:w="591" w:type="pct"/>
            <w:tcBorders>
              <w:tl2br w:val="nil"/>
              <w:tr2bl w:val="nil"/>
            </w:tcBorders>
            <w:noWrap w:val="0"/>
            <w:vAlign w:val="center"/>
          </w:tcPr>
          <w:p w14:paraId="0BAD57DD">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554</w:t>
            </w:r>
          </w:p>
        </w:tc>
        <w:tc>
          <w:tcPr>
            <w:tcW w:w="595" w:type="pct"/>
            <w:tcBorders>
              <w:tl2br w:val="nil"/>
              <w:tr2bl w:val="nil"/>
            </w:tcBorders>
            <w:noWrap w:val="0"/>
            <w:vAlign w:val="center"/>
          </w:tcPr>
          <w:p w14:paraId="5F6D9BB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0.55</w:t>
            </w:r>
          </w:p>
        </w:tc>
        <w:tc>
          <w:tcPr>
            <w:tcW w:w="591" w:type="pct"/>
            <w:tcBorders>
              <w:tl2br w:val="nil"/>
              <w:tr2bl w:val="nil"/>
            </w:tcBorders>
            <w:noWrap w:val="0"/>
            <w:vAlign w:val="center"/>
          </w:tcPr>
          <w:p w14:paraId="7E8B6734">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424</w:t>
            </w:r>
          </w:p>
        </w:tc>
        <w:tc>
          <w:tcPr>
            <w:tcW w:w="596" w:type="pct"/>
            <w:tcBorders>
              <w:tl2br w:val="nil"/>
              <w:tr2bl w:val="nil"/>
            </w:tcBorders>
            <w:noWrap w:val="0"/>
            <w:vAlign w:val="center"/>
          </w:tcPr>
          <w:p w14:paraId="6C76A3BD">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0.42</w:t>
            </w:r>
          </w:p>
        </w:tc>
      </w:tr>
      <w:tr w14:paraId="34EF34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15F60AA0">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耗氧量（mg/L）</w:t>
            </w:r>
          </w:p>
        </w:tc>
        <w:tc>
          <w:tcPr>
            <w:tcW w:w="478" w:type="pct"/>
            <w:tcBorders>
              <w:tl2br w:val="nil"/>
              <w:tr2bl w:val="nil"/>
            </w:tcBorders>
            <w:shd w:val="clear" w:color="auto" w:fill="auto"/>
            <w:noWrap w:val="0"/>
            <w:vAlign w:val="center"/>
          </w:tcPr>
          <w:p w14:paraId="5DAFF56A">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591" w:type="pct"/>
            <w:tcBorders>
              <w:tl2br w:val="nil"/>
              <w:tr2bl w:val="nil"/>
            </w:tcBorders>
            <w:shd w:val="clear" w:color="auto" w:fill="auto"/>
            <w:noWrap w:val="0"/>
            <w:vAlign w:val="center"/>
          </w:tcPr>
          <w:p w14:paraId="1F7E29B1">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2.5</w:t>
            </w:r>
          </w:p>
        </w:tc>
        <w:tc>
          <w:tcPr>
            <w:tcW w:w="595" w:type="pct"/>
            <w:tcBorders>
              <w:tl2br w:val="nil"/>
              <w:tr2bl w:val="nil"/>
            </w:tcBorders>
            <w:noWrap w:val="0"/>
            <w:vAlign w:val="center"/>
          </w:tcPr>
          <w:p w14:paraId="423FD4A8">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0.83</w:t>
            </w:r>
          </w:p>
        </w:tc>
        <w:tc>
          <w:tcPr>
            <w:tcW w:w="591" w:type="pct"/>
            <w:tcBorders>
              <w:tl2br w:val="nil"/>
              <w:tr2bl w:val="nil"/>
            </w:tcBorders>
            <w:noWrap w:val="0"/>
            <w:vAlign w:val="center"/>
          </w:tcPr>
          <w:p w14:paraId="56B4CF70">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2.9</w:t>
            </w:r>
          </w:p>
        </w:tc>
        <w:tc>
          <w:tcPr>
            <w:tcW w:w="595" w:type="pct"/>
            <w:tcBorders>
              <w:tl2br w:val="nil"/>
              <w:tr2bl w:val="nil"/>
            </w:tcBorders>
            <w:noWrap w:val="0"/>
            <w:vAlign w:val="center"/>
          </w:tcPr>
          <w:p w14:paraId="33C3D476">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0.97</w:t>
            </w:r>
          </w:p>
        </w:tc>
        <w:tc>
          <w:tcPr>
            <w:tcW w:w="591" w:type="pct"/>
            <w:tcBorders>
              <w:tl2br w:val="nil"/>
              <w:tr2bl w:val="nil"/>
            </w:tcBorders>
            <w:noWrap w:val="0"/>
            <w:vAlign w:val="center"/>
          </w:tcPr>
          <w:p w14:paraId="1DAD8E69">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w:t>
            </w:r>
          </w:p>
        </w:tc>
        <w:tc>
          <w:tcPr>
            <w:tcW w:w="596" w:type="pct"/>
            <w:tcBorders>
              <w:tl2br w:val="nil"/>
              <w:tr2bl w:val="nil"/>
            </w:tcBorders>
            <w:noWrap w:val="0"/>
            <w:vAlign w:val="center"/>
          </w:tcPr>
          <w:p w14:paraId="1C6D8F2F">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0.93</w:t>
            </w:r>
          </w:p>
        </w:tc>
      </w:tr>
      <w:tr w14:paraId="78BE65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96B5435">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氯化物（mg/L）</w:t>
            </w:r>
          </w:p>
        </w:tc>
        <w:tc>
          <w:tcPr>
            <w:tcW w:w="478" w:type="pct"/>
            <w:tcBorders>
              <w:tl2br w:val="nil"/>
              <w:tr2bl w:val="nil"/>
            </w:tcBorders>
            <w:shd w:val="clear" w:color="auto" w:fill="auto"/>
            <w:noWrap w:val="0"/>
            <w:vAlign w:val="center"/>
          </w:tcPr>
          <w:p w14:paraId="64D358C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250</w:t>
            </w:r>
          </w:p>
        </w:tc>
        <w:tc>
          <w:tcPr>
            <w:tcW w:w="591" w:type="pct"/>
            <w:tcBorders>
              <w:tl2br w:val="nil"/>
              <w:tr2bl w:val="nil"/>
            </w:tcBorders>
            <w:shd w:val="clear" w:color="auto" w:fill="auto"/>
            <w:noWrap w:val="0"/>
            <w:vAlign w:val="center"/>
          </w:tcPr>
          <w:p w14:paraId="7BADD7ED">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51.2</w:t>
            </w:r>
          </w:p>
        </w:tc>
        <w:tc>
          <w:tcPr>
            <w:tcW w:w="595" w:type="pct"/>
            <w:tcBorders>
              <w:tl2br w:val="nil"/>
              <w:tr2bl w:val="nil"/>
            </w:tcBorders>
            <w:noWrap w:val="0"/>
            <w:vAlign w:val="center"/>
          </w:tcPr>
          <w:p w14:paraId="10CA3481">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0.20</w:t>
            </w:r>
          </w:p>
        </w:tc>
        <w:tc>
          <w:tcPr>
            <w:tcW w:w="591" w:type="pct"/>
            <w:tcBorders>
              <w:tl2br w:val="nil"/>
              <w:tr2bl w:val="nil"/>
            </w:tcBorders>
            <w:noWrap w:val="0"/>
            <w:vAlign w:val="center"/>
          </w:tcPr>
          <w:p w14:paraId="42705A78">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95.7</w:t>
            </w:r>
          </w:p>
        </w:tc>
        <w:tc>
          <w:tcPr>
            <w:tcW w:w="595" w:type="pct"/>
            <w:tcBorders>
              <w:tl2br w:val="nil"/>
              <w:tr2bl w:val="nil"/>
            </w:tcBorders>
            <w:noWrap w:val="0"/>
            <w:vAlign w:val="center"/>
          </w:tcPr>
          <w:p w14:paraId="539F3D4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0.38</w:t>
            </w:r>
          </w:p>
        </w:tc>
        <w:tc>
          <w:tcPr>
            <w:tcW w:w="591" w:type="pct"/>
            <w:tcBorders>
              <w:tl2br w:val="nil"/>
              <w:tr2bl w:val="nil"/>
            </w:tcBorders>
            <w:noWrap w:val="0"/>
            <w:vAlign w:val="center"/>
          </w:tcPr>
          <w:p w14:paraId="2068476D">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55.4</w:t>
            </w:r>
          </w:p>
        </w:tc>
        <w:tc>
          <w:tcPr>
            <w:tcW w:w="596" w:type="pct"/>
            <w:tcBorders>
              <w:tl2br w:val="nil"/>
              <w:tr2bl w:val="nil"/>
            </w:tcBorders>
            <w:noWrap w:val="0"/>
            <w:vAlign w:val="center"/>
          </w:tcPr>
          <w:p w14:paraId="5CE25EEF">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0.22</w:t>
            </w:r>
          </w:p>
        </w:tc>
      </w:tr>
      <w:tr w14:paraId="21F037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740AC90B">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硫酸盐（mg/L）</w:t>
            </w:r>
          </w:p>
        </w:tc>
        <w:tc>
          <w:tcPr>
            <w:tcW w:w="478" w:type="pct"/>
            <w:tcBorders>
              <w:tl2br w:val="nil"/>
              <w:tr2bl w:val="nil"/>
            </w:tcBorders>
            <w:shd w:val="clear" w:color="auto" w:fill="auto"/>
            <w:noWrap w:val="0"/>
            <w:vAlign w:val="center"/>
          </w:tcPr>
          <w:p w14:paraId="6F7C5911">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250</w:t>
            </w:r>
          </w:p>
        </w:tc>
        <w:tc>
          <w:tcPr>
            <w:tcW w:w="591" w:type="pct"/>
            <w:tcBorders>
              <w:tl2br w:val="nil"/>
              <w:tr2bl w:val="nil"/>
            </w:tcBorders>
            <w:shd w:val="clear" w:color="auto" w:fill="auto"/>
            <w:noWrap w:val="0"/>
            <w:vAlign w:val="center"/>
          </w:tcPr>
          <w:p w14:paraId="324BC962">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55.3</w:t>
            </w:r>
          </w:p>
        </w:tc>
        <w:tc>
          <w:tcPr>
            <w:tcW w:w="595" w:type="pct"/>
            <w:tcBorders>
              <w:tl2br w:val="nil"/>
              <w:tr2bl w:val="nil"/>
            </w:tcBorders>
            <w:noWrap w:val="0"/>
            <w:vAlign w:val="center"/>
          </w:tcPr>
          <w:p w14:paraId="33DDDE4E">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0.22</w:t>
            </w:r>
          </w:p>
        </w:tc>
        <w:tc>
          <w:tcPr>
            <w:tcW w:w="591" w:type="pct"/>
            <w:tcBorders>
              <w:tl2br w:val="nil"/>
              <w:tr2bl w:val="nil"/>
            </w:tcBorders>
            <w:noWrap w:val="0"/>
            <w:vAlign w:val="center"/>
          </w:tcPr>
          <w:p w14:paraId="123956D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214</w:t>
            </w:r>
          </w:p>
        </w:tc>
        <w:tc>
          <w:tcPr>
            <w:tcW w:w="595" w:type="pct"/>
            <w:tcBorders>
              <w:tl2br w:val="nil"/>
              <w:tr2bl w:val="nil"/>
            </w:tcBorders>
            <w:noWrap w:val="0"/>
            <w:vAlign w:val="center"/>
          </w:tcPr>
          <w:p w14:paraId="6BED9A43">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0.86</w:t>
            </w:r>
          </w:p>
        </w:tc>
        <w:tc>
          <w:tcPr>
            <w:tcW w:w="591" w:type="pct"/>
            <w:tcBorders>
              <w:tl2br w:val="nil"/>
              <w:tr2bl w:val="nil"/>
            </w:tcBorders>
            <w:noWrap w:val="0"/>
            <w:vAlign w:val="center"/>
          </w:tcPr>
          <w:p w14:paraId="6B6D0F34">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60.3</w:t>
            </w:r>
          </w:p>
        </w:tc>
        <w:tc>
          <w:tcPr>
            <w:tcW w:w="596" w:type="pct"/>
            <w:tcBorders>
              <w:tl2br w:val="nil"/>
              <w:tr2bl w:val="nil"/>
            </w:tcBorders>
            <w:noWrap w:val="0"/>
            <w:vAlign w:val="center"/>
          </w:tcPr>
          <w:p w14:paraId="47CAB6CA">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0.21</w:t>
            </w:r>
          </w:p>
        </w:tc>
      </w:tr>
      <w:tr w14:paraId="470F4A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448713EF">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氟化物（mg/L）</w:t>
            </w:r>
          </w:p>
        </w:tc>
        <w:tc>
          <w:tcPr>
            <w:tcW w:w="478" w:type="pct"/>
            <w:tcBorders>
              <w:tl2br w:val="nil"/>
              <w:tr2bl w:val="nil"/>
            </w:tcBorders>
            <w:shd w:val="clear" w:color="auto" w:fill="auto"/>
            <w:noWrap w:val="0"/>
            <w:vAlign w:val="center"/>
          </w:tcPr>
          <w:p w14:paraId="339E2677">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591" w:type="pct"/>
            <w:tcBorders>
              <w:tl2br w:val="nil"/>
              <w:tr2bl w:val="nil"/>
            </w:tcBorders>
            <w:shd w:val="clear" w:color="auto" w:fill="auto"/>
            <w:noWrap w:val="0"/>
            <w:vAlign w:val="center"/>
          </w:tcPr>
          <w:p w14:paraId="7AC6A381">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0.98</w:t>
            </w:r>
          </w:p>
        </w:tc>
        <w:tc>
          <w:tcPr>
            <w:tcW w:w="595" w:type="pct"/>
            <w:tcBorders>
              <w:tl2br w:val="nil"/>
              <w:tr2bl w:val="nil"/>
            </w:tcBorders>
            <w:noWrap w:val="0"/>
            <w:vAlign w:val="center"/>
          </w:tcPr>
          <w:p w14:paraId="0DA4E99A">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0.98</w:t>
            </w:r>
          </w:p>
        </w:tc>
        <w:tc>
          <w:tcPr>
            <w:tcW w:w="591" w:type="pct"/>
            <w:tcBorders>
              <w:tl2br w:val="nil"/>
              <w:tr2bl w:val="nil"/>
            </w:tcBorders>
            <w:noWrap w:val="0"/>
            <w:vAlign w:val="center"/>
          </w:tcPr>
          <w:p w14:paraId="68C85A3F">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0.971</w:t>
            </w:r>
          </w:p>
        </w:tc>
        <w:tc>
          <w:tcPr>
            <w:tcW w:w="595" w:type="pct"/>
            <w:tcBorders>
              <w:tl2br w:val="nil"/>
              <w:tr2bl w:val="nil"/>
            </w:tcBorders>
            <w:noWrap w:val="0"/>
            <w:vAlign w:val="center"/>
          </w:tcPr>
          <w:p w14:paraId="4542BE96">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0.97</w:t>
            </w:r>
          </w:p>
        </w:tc>
        <w:tc>
          <w:tcPr>
            <w:tcW w:w="591" w:type="pct"/>
            <w:tcBorders>
              <w:tl2br w:val="nil"/>
              <w:tr2bl w:val="nil"/>
            </w:tcBorders>
            <w:noWrap w:val="0"/>
            <w:vAlign w:val="center"/>
          </w:tcPr>
          <w:p w14:paraId="13F07AAA">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0.969</w:t>
            </w:r>
          </w:p>
        </w:tc>
        <w:tc>
          <w:tcPr>
            <w:tcW w:w="596" w:type="pct"/>
            <w:tcBorders>
              <w:tl2br w:val="nil"/>
              <w:tr2bl w:val="nil"/>
            </w:tcBorders>
            <w:noWrap w:val="0"/>
            <w:vAlign w:val="center"/>
          </w:tcPr>
          <w:p w14:paraId="2299D4AB">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0.96</w:t>
            </w:r>
          </w:p>
        </w:tc>
      </w:tr>
      <w:tr w14:paraId="17253B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23814884">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铜（µg/L）</w:t>
            </w:r>
          </w:p>
        </w:tc>
        <w:tc>
          <w:tcPr>
            <w:tcW w:w="478" w:type="pct"/>
            <w:tcBorders>
              <w:tl2br w:val="nil"/>
              <w:tr2bl w:val="nil"/>
            </w:tcBorders>
            <w:shd w:val="clear" w:color="auto" w:fill="auto"/>
            <w:noWrap w:val="0"/>
            <w:vAlign w:val="center"/>
          </w:tcPr>
          <w:p w14:paraId="666A9017">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591" w:type="pct"/>
            <w:tcBorders>
              <w:tl2br w:val="nil"/>
              <w:tr2bl w:val="nil"/>
            </w:tcBorders>
            <w:shd w:val="clear" w:color="auto" w:fill="auto"/>
            <w:noWrap w:val="0"/>
            <w:vAlign w:val="center"/>
          </w:tcPr>
          <w:p w14:paraId="49889C9F">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08C7D760">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62DAD89D">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10F6902A">
            <w:pPr>
              <w:widowControl/>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583CC767">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794F9FC4">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69C56A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ADE7C2E">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锌（mg/L）</w:t>
            </w:r>
          </w:p>
        </w:tc>
        <w:tc>
          <w:tcPr>
            <w:tcW w:w="478" w:type="pct"/>
            <w:tcBorders>
              <w:tl2br w:val="nil"/>
              <w:tr2bl w:val="nil"/>
            </w:tcBorders>
            <w:shd w:val="clear" w:color="auto" w:fill="auto"/>
            <w:noWrap w:val="0"/>
            <w:vAlign w:val="center"/>
          </w:tcPr>
          <w:p w14:paraId="7E9D4717">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591" w:type="pct"/>
            <w:tcBorders>
              <w:tl2br w:val="nil"/>
              <w:tr2bl w:val="nil"/>
            </w:tcBorders>
            <w:shd w:val="clear" w:color="auto" w:fill="auto"/>
            <w:noWrap w:val="0"/>
            <w:vAlign w:val="center"/>
          </w:tcPr>
          <w:p w14:paraId="559CAE64">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0E1CE674">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5CC3E583">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2F2ECD54">
            <w:pPr>
              <w:widowControl/>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31B6324A">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65D7C8BC">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47AC2C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2D6D4688">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铁（mg/L）</w:t>
            </w:r>
          </w:p>
        </w:tc>
        <w:tc>
          <w:tcPr>
            <w:tcW w:w="478" w:type="pct"/>
            <w:tcBorders>
              <w:tl2br w:val="nil"/>
              <w:tr2bl w:val="nil"/>
            </w:tcBorders>
            <w:shd w:val="clear" w:color="auto" w:fill="auto"/>
            <w:noWrap w:val="0"/>
            <w:vAlign w:val="center"/>
          </w:tcPr>
          <w:p w14:paraId="7436DD2E">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w:t>
            </w:r>
          </w:p>
        </w:tc>
        <w:tc>
          <w:tcPr>
            <w:tcW w:w="591" w:type="pct"/>
            <w:tcBorders>
              <w:tl2br w:val="nil"/>
              <w:tr2bl w:val="nil"/>
            </w:tcBorders>
            <w:shd w:val="clear" w:color="auto" w:fill="auto"/>
            <w:noWrap w:val="0"/>
            <w:vAlign w:val="center"/>
          </w:tcPr>
          <w:p w14:paraId="5247A188">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388DBD3F">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352AEE2C">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54618F58">
            <w:pPr>
              <w:widowControl/>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20198250">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0.27</w:t>
            </w:r>
          </w:p>
        </w:tc>
        <w:tc>
          <w:tcPr>
            <w:tcW w:w="596" w:type="pct"/>
            <w:tcBorders>
              <w:tl2br w:val="nil"/>
              <w:tr2bl w:val="nil"/>
            </w:tcBorders>
            <w:noWrap w:val="0"/>
            <w:vAlign w:val="center"/>
          </w:tcPr>
          <w:p w14:paraId="15E018FF">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0.9</w:t>
            </w:r>
          </w:p>
        </w:tc>
      </w:tr>
      <w:tr w14:paraId="63BB8E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4AD333E3">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锰（mg/L）</w:t>
            </w:r>
          </w:p>
        </w:tc>
        <w:tc>
          <w:tcPr>
            <w:tcW w:w="478" w:type="pct"/>
            <w:tcBorders>
              <w:tl2br w:val="nil"/>
              <w:tr2bl w:val="nil"/>
            </w:tcBorders>
            <w:shd w:val="clear" w:color="auto" w:fill="auto"/>
            <w:noWrap w:val="0"/>
            <w:vAlign w:val="center"/>
          </w:tcPr>
          <w:p w14:paraId="38F347EA">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w:t>
            </w:r>
          </w:p>
        </w:tc>
        <w:tc>
          <w:tcPr>
            <w:tcW w:w="591" w:type="pct"/>
            <w:tcBorders>
              <w:tl2br w:val="nil"/>
              <w:tr2bl w:val="nil"/>
            </w:tcBorders>
            <w:shd w:val="clear" w:color="auto" w:fill="auto"/>
            <w:noWrap w:val="0"/>
            <w:vAlign w:val="center"/>
          </w:tcPr>
          <w:p w14:paraId="229F3996">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0.03</w:t>
            </w:r>
          </w:p>
        </w:tc>
        <w:tc>
          <w:tcPr>
            <w:tcW w:w="595" w:type="pct"/>
            <w:tcBorders>
              <w:tl2br w:val="nil"/>
              <w:tr2bl w:val="nil"/>
            </w:tcBorders>
            <w:noWrap w:val="0"/>
            <w:vAlign w:val="center"/>
          </w:tcPr>
          <w:p w14:paraId="19FC369B">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0.3</w:t>
            </w:r>
          </w:p>
        </w:tc>
        <w:tc>
          <w:tcPr>
            <w:tcW w:w="591" w:type="pct"/>
            <w:tcBorders>
              <w:tl2br w:val="nil"/>
              <w:tr2bl w:val="nil"/>
            </w:tcBorders>
            <w:noWrap w:val="0"/>
            <w:vAlign w:val="center"/>
          </w:tcPr>
          <w:p w14:paraId="26198EB3">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w:t>
            </w:r>
          </w:p>
        </w:tc>
        <w:tc>
          <w:tcPr>
            <w:tcW w:w="595" w:type="pct"/>
            <w:tcBorders>
              <w:tl2br w:val="nil"/>
              <w:tr2bl w:val="nil"/>
            </w:tcBorders>
            <w:noWrap w:val="0"/>
            <w:vAlign w:val="center"/>
          </w:tcPr>
          <w:p w14:paraId="63431D2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w:t>
            </w:r>
          </w:p>
        </w:tc>
        <w:tc>
          <w:tcPr>
            <w:tcW w:w="591" w:type="pct"/>
            <w:tcBorders>
              <w:tl2br w:val="nil"/>
              <w:tr2bl w:val="nil"/>
            </w:tcBorders>
            <w:noWrap w:val="0"/>
            <w:vAlign w:val="center"/>
          </w:tcPr>
          <w:p w14:paraId="11FE7F07">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0.04</w:t>
            </w:r>
          </w:p>
        </w:tc>
        <w:tc>
          <w:tcPr>
            <w:tcW w:w="596" w:type="pct"/>
            <w:tcBorders>
              <w:tl2br w:val="nil"/>
              <w:tr2bl w:val="nil"/>
            </w:tcBorders>
            <w:noWrap w:val="0"/>
            <w:vAlign w:val="center"/>
          </w:tcPr>
          <w:p w14:paraId="511BA36E">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w:t>
            </w:r>
          </w:p>
        </w:tc>
      </w:tr>
      <w:tr w14:paraId="7CEFCF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6BDD6EA2">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铅（mg/L）</w:t>
            </w:r>
          </w:p>
        </w:tc>
        <w:tc>
          <w:tcPr>
            <w:tcW w:w="478" w:type="pct"/>
            <w:tcBorders>
              <w:tl2br w:val="nil"/>
              <w:tr2bl w:val="nil"/>
            </w:tcBorders>
            <w:shd w:val="clear" w:color="auto" w:fill="auto"/>
            <w:noWrap w:val="0"/>
            <w:vAlign w:val="center"/>
          </w:tcPr>
          <w:p w14:paraId="151449D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0.01</w:t>
            </w:r>
          </w:p>
        </w:tc>
        <w:tc>
          <w:tcPr>
            <w:tcW w:w="591" w:type="pct"/>
            <w:tcBorders>
              <w:tl2br w:val="nil"/>
              <w:tr2bl w:val="nil"/>
            </w:tcBorders>
            <w:shd w:val="clear" w:color="auto" w:fill="auto"/>
            <w:noWrap w:val="0"/>
            <w:vAlign w:val="center"/>
          </w:tcPr>
          <w:p w14:paraId="1C1C9819">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0.00912</w:t>
            </w:r>
          </w:p>
        </w:tc>
        <w:tc>
          <w:tcPr>
            <w:tcW w:w="595" w:type="pct"/>
            <w:tcBorders>
              <w:tl2br w:val="nil"/>
              <w:tr2bl w:val="nil"/>
            </w:tcBorders>
            <w:noWrap w:val="0"/>
            <w:vAlign w:val="center"/>
          </w:tcPr>
          <w:p w14:paraId="76239C28">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0.91</w:t>
            </w:r>
          </w:p>
        </w:tc>
        <w:tc>
          <w:tcPr>
            <w:tcW w:w="591" w:type="pct"/>
            <w:tcBorders>
              <w:tl2br w:val="nil"/>
              <w:tr2bl w:val="nil"/>
            </w:tcBorders>
            <w:noWrap w:val="0"/>
            <w:vAlign w:val="center"/>
          </w:tcPr>
          <w:p w14:paraId="7D4FE66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0.00882</w:t>
            </w:r>
          </w:p>
        </w:tc>
        <w:tc>
          <w:tcPr>
            <w:tcW w:w="595" w:type="pct"/>
            <w:tcBorders>
              <w:tl2br w:val="nil"/>
              <w:tr2bl w:val="nil"/>
            </w:tcBorders>
            <w:noWrap w:val="0"/>
            <w:vAlign w:val="center"/>
          </w:tcPr>
          <w:p w14:paraId="3641F78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0.88</w:t>
            </w:r>
          </w:p>
        </w:tc>
        <w:tc>
          <w:tcPr>
            <w:tcW w:w="591" w:type="pct"/>
            <w:tcBorders>
              <w:tl2br w:val="nil"/>
              <w:tr2bl w:val="nil"/>
            </w:tcBorders>
            <w:noWrap w:val="0"/>
            <w:vAlign w:val="center"/>
          </w:tcPr>
          <w:p w14:paraId="12A28B7B">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0.00873</w:t>
            </w:r>
          </w:p>
        </w:tc>
        <w:tc>
          <w:tcPr>
            <w:tcW w:w="596" w:type="pct"/>
            <w:tcBorders>
              <w:tl2br w:val="nil"/>
              <w:tr2bl w:val="nil"/>
            </w:tcBorders>
            <w:noWrap w:val="0"/>
            <w:vAlign w:val="center"/>
          </w:tcPr>
          <w:p w14:paraId="7B764AB1">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0.87</w:t>
            </w:r>
          </w:p>
        </w:tc>
      </w:tr>
      <w:tr w14:paraId="42A20E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AA6E5F8">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镉（mg/L）</w:t>
            </w:r>
          </w:p>
        </w:tc>
        <w:tc>
          <w:tcPr>
            <w:tcW w:w="478" w:type="pct"/>
            <w:tcBorders>
              <w:tl2br w:val="nil"/>
              <w:tr2bl w:val="nil"/>
            </w:tcBorders>
            <w:shd w:val="clear" w:color="auto" w:fill="auto"/>
            <w:noWrap w:val="0"/>
            <w:vAlign w:val="center"/>
          </w:tcPr>
          <w:p w14:paraId="5F2DC95A">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0.005</w:t>
            </w:r>
          </w:p>
        </w:tc>
        <w:tc>
          <w:tcPr>
            <w:tcW w:w="591" w:type="pct"/>
            <w:tcBorders>
              <w:tl2br w:val="nil"/>
              <w:tr2bl w:val="nil"/>
            </w:tcBorders>
            <w:shd w:val="clear" w:color="auto" w:fill="auto"/>
            <w:noWrap w:val="0"/>
            <w:vAlign w:val="center"/>
          </w:tcPr>
          <w:p w14:paraId="41C014FC">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0.00317</w:t>
            </w:r>
          </w:p>
        </w:tc>
        <w:tc>
          <w:tcPr>
            <w:tcW w:w="595" w:type="pct"/>
            <w:tcBorders>
              <w:tl2br w:val="nil"/>
              <w:tr2bl w:val="nil"/>
            </w:tcBorders>
            <w:noWrap w:val="0"/>
            <w:vAlign w:val="center"/>
          </w:tcPr>
          <w:p w14:paraId="171645C5">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0.63</w:t>
            </w:r>
          </w:p>
        </w:tc>
        <w:tc>
          <w:tcPr>
            <w:tcW w:w="591" w:type="pct"/>
            <w:tcBorders>
              <w:tl2br w:val="nil"/>
              <w:tr2bl w:val="nil"/>
            </w:tcBorders>
            <w:noWrap w:val="0"/>
            <w:vAlign w:val="center"/>
          </w:tcPr>
          <w:p w14:paraId="1DFD627F">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0.00311</w:t>
            </w:r>
          </w:p>
        </w:tc>
        <w:tc>
          <w:tcPr>
            <w:tcW w:w="595" w:type="pct"/>
            <w:tcBorders>
              <w:tl2br w:val="nil"/>
              <w:tr2bl w:val="nil"/>
            </w:tcBorders>
            <w:noWrap w:val="0"/>
            <w:vAlign w:val="center"/>
          </w:tcPr>
          <w:p w14:paraId="4CE9B8F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0.62</w:t>
            </w:r>
          </w:p>
        </w:tc>
        <w:tc>
          <w:tcPr>
            <w:tcW w:w="591" w:type="pct"/>
            <w:tcBorders>
              <w:tl2br w:val="nil"/>
              <w:tr2bl w:val="nil"/>
            </w:tcBorders>
            <w:noWrap w:val="0"/>
            <w:vAlign w:val="center"/>
          </w:tcPr>
          <w:p w14:paraId="0BAB77ED">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0.00356</w:t>
            </w:r>
          </w:p>
        </w:tc>
        <w:tc>
          <w:tcPr>
            <w:tcW w:w="596" w:type="pct"/>
            <w:tcBorders>
              <w:tl2br w:val="nil"/>
              <w:tr2bl w:val="nil"/>
            </w:tcBorders>
            <w:noWrap w:val="0"/>
            <w:vAlign w:val="center"/>
          </w:tcPr>
          <w:p w14:paraId="2BB550BC">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0.71</w:t>
            </w:r>
          </w:p>
        </w:tc>
      </w:tr>
      <w:tr w14:paraId="6DF753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369F3164">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砷（mg/L）</w:t>
            </w:r>
          </w:p>
        </w:tc>
        <w:tc>
          <w:tcPr>
            <w:tcW w:w="478" w:type="pct"/>
            <w:tcBorders>
              <w:tl2br w:val="nil"/>
              <w:tr2bl w:val="nil"/>
            </w:tcBorders>
            <w:shd w:val="clear" w:color="auto" w:fill="auto"/>
            <w:noWrap w:val="0"/>
            <w:vAlign w:val="center"/>
          </w:tcPr>
          <w:p w14:paraId="7530D2DA">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0.01</w:t>
            </w:r>
          </w:p>
        </w:tc>
        <w:tc>
          <w:tcPr>
            <w:tcW w:w="591" w:type="pct"/>
            <w:tcBorders>
              <w:tl2br w:val="nil"/>
              <w:tr2bl w:val="nil"/>
            </w:tcBorders>
            <w:shd w:val="clear" w:color="auto" w:fill="auto"/>
            <w:noWrap w:val="0"/>
            <w:vAlign w:val="center"/>
          </w:tcPr>
          <w:p w14:paraId="17CA4A42">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0.00136</w:t>
            </w:r>
          </w:p>
        </w:tc>
        <w:tc>
          <w:tcPr>
            <w:tcW w:w="595" w:type="pct"/>
            <w:tcBorders>
              <w:tl2br w:val="nil"/>
              <w:tr2bl w:val="nil"/>
            </w:tcBorders>
            <w:noWrap w:val="0"/>
            <w:vAlign w:val="center"/>
          </w:tcPr>
          <w:p w14:paraId="59CC4807">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0.14</w:t>
            </w:r>
          </w:p>
        </w:tc>
        <w:tc>
          <w:tcPr>
            <w:tcW w:w="591" w:type="pct"/>
            <w:tcBorders>
              <w:tl2br w:val="nil"/>
              <w:tr2bl w:val="nil"/>
            </w:tcBorders>
            <w:noWrap w:val="0"/>
            <w:vAlign w:val="center"/>
          </w:tcPr>
          <w:p w14:paraId="0CECF80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0.00134</w:t>
            </w:r>
          </w:p>
        </w:tc>
        <w:tc>
          <w:tcPr>
            <w:tcW w:w="595" w:type="pct"/>
            <w:tcBorders>
              <w:tl2br w:val="nil"/>
              <w:tr2bl w:val="nil"/>
            </w:tcBorders>
            <w:noWrap w:val="0"/>
            <w:vAlign w:val="center"/>
          </w:tcPr>
          <w:p w14:paraId="24AA7A7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0.13</w:t>
            </w:r>
          </w:p>
        </w:tc>
        <w:tc>
          <w:tcPr>
            <w:tcW w:w="591" w:type="pct"/>
            <w:tcBorders>
              <w:tl2br w:val="nil"/>
              <w:tr2bl w:val="nil"/>
            </w:tcBorders>
            <w:noWrap w:val="0"/>
            <w:vAlign w:val="center"/>
          </w:tcPr>
          <w:p w14:paraId="5F4008EA">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0.000333</w:t>
            </w:r>
          </w:p>
        </w:tc>
        <w:tc>
          <w:tcPr>
            <w:tcW w:w="596" w:type="pct"/>
            <w:tcBorders>
              <w:tl2br w:val="nil"/>
              <w:tr2bl w:val="nil"/>
            </w:tcBorders>
            <w:noWrap w:val="0"/>
            <w:vAlign w:val="center"/>
          </w:tcPr>
          <w:p w14:paraId="3816455D">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0.03</w:t>
            </w:r>
          </w:p>
        </w:tc>
      </w:tr>
      <w:tr w14:paraId="723A17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1E711187">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汞（mg/L）</w:t>
            </w:r>
          </w:p>
        </w:tc>
        <w:tc>
          <w:tcPr>
            <w:tcW w:w="478" w:type="pct"/>
            <w:tcBorders>
              <w:tl2br w:val="nil"/>
              <w:tr2bl w:val="nil"/>
            </w:tcBorders>
            <w:shd w:val="clear" w:color="auto" w:fill="auto"/>
            <w:noWrap w:val="0"/>
            <w:vAlign w:val="center"/>
          </w:tcPr>
          <w:p w14:paraId="6ED9C1C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0.001</w:t>
            </w:r>
          </w:p>
        </w:tc>
        <w:tc>
          <w:tcPr>
            <w:tcW w:w="591" w:type="pct"/>
            <w:tcBorders>
              <w:tl2br w:val="nil"/>
              <w:tr2bl w:val="nil"/>
            </w:tcBorders>
            <w:shd w:val="clear" w:color="auto" w:fill="auto"/>
            <w:noWrap w:val="0"/>
            <w:vAlign w:val="center"/>
          </w:tcPr>
          <w:p w14:paraId="4DC5A92D">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53523D74">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4E1DAE2E">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5879603D">
            <w:pPr>
              <w:widowControl/>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32A228AE">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4E55AE01">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4544DA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68FD4182">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总大肠菌群（MPN/100mL）</w:t>
            </w:r>
          </w:p>
        </w:tc>
        <w:tc>
          <w:tcPr>
            <w:tcW w:w="478" w:type="pct"/>
            <w:tcBorders>
              <w:tl2br w:val="nil"/>
              <w:tr2bl w:val="nil"/>
            </w:tcBorders>
            <w:shd w:val="clear" w:color="auto" w:fill="auto"/>
            <w:noWrap w:val="0"/>
            <w:vAlign w:val="center"/>
          </w:tcPr>
          <w:p w14:paraId="581A86D1">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w:t>
            </w:r>
          </w:p>
        </w:tc>
        <w:tc>
          <w:tcPr>
            <w:tcW w:w="591" w:type="pct"/>
            <w:tcBorders>
              <w:tl2br w:val="nil"/>
              <w:tr2bl w:val="nil"/>
            </w:tcBorders>
            <w:shd w:val="clear" w:color="auto" w:fill="auto"/>
            <w:noWrap w:val="0"/>
            <w:vAlign w:val="center"/>
          </w:tcPr>
          <w:p w14:paraId="5013314C">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326729A3">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7688F46C">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700940EF">
            <w:pPr>
              <w:widowControl/>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69E6BB89">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7A613059">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3BA43C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203CD27B">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菌落总数（CFU/mL）</w:t>
            </w:r>
          </w:p>
        </w:tc>
        <w:tc>
          <w:tcPr>
            <w:tcW w:w="478" w:type="pct"/>
            <w:tcBorders>
              <w:tl2br w:val="nil"/>
              <w:tr2bl w:val="nil"/>
            </w:tcBorders>
            <w:shd w:val="clear" w:color="auto" w:fill="auto"/>
            <w:noWrap w:val="0"/>
            <w:vAlign w:val="center"/>
          </w:tcPr>
          <w:p w14:paraId="3919599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w:t>
            </w:r>
          </w:p>
        </w:tc>
        <w:tc>
          <w:tcPr>
            <w:tcW w:w="591" w:type="pct"/>
            <w:tcBorders>
              <w:tl2br w:val="nil"/>
              <w:tr2bl w:val="nil"/>
            </w:tcBorders>
            <w:shd w:val="clear" w:color="auto" w:fill="auto"/>
            <w:noWrap w:val="0"/>
            <w:vAlign w:val="center"/>
          </w:tcPr>
          <w:p w14:paraId="1433F7EB">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2826D21B">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291145D0">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2F6DDE80">
            <w:pPr>
              <w:widowControl/>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56AAA202">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0596C543">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3DDDA7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18B32DBE">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钾（mg/L）</w:t>
            </w:r>
          </w:p>
        </w:tc>
        <w:tc>
          <w:tcPr>
            <w:tcW w:w="478" w:type="pct"/>
            <w:tcBorders>
              <w:tl2br w:val="nil"/>
              <w:tr2bl w:val="nil"/>
            </w:tcBorders>
            <w:shd w:val="clear" w:color="auto" w:fill="auto"/>
            <w:noWrap w:val="0"/>
            <w:vAlign w:val="center"/>
          </w:tcPr>
          <w:p w14:paraId="7385BACC">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shd w:val="clear" w:color="auto" w:fill="auto"/>
            <w:noWrap w:val="0"/>
            <w:vAlign w:val="center"/>
          </w:tcPr>
          <w:p w14:paraId="5A51CDDD">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14.5</w:t>
            </w:r>
          </w:p>
        </w:tc>
        <w:tc>
          <w:tcPr>
            <w:tcW w:w="595" w:type="pct"/>
            <w:tcBorders>
              <w:tl2br w:val="nil"/>
              <w:tr2bl w:val="nil"/>
            </w:tcBorders>
            <w:noWrap w:val="0"/>
            <w:vAlign w:val="center"/>
          </w:tcPr>
          <w:p w14:paraId="6676EA77">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510355B7">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3.66</w:t>
            </w:r>
          </w:p>
        </w:tc>
        <w:tc>
          <w:tcPr>
            <w:tcW w:w="595" w:type="pct"/>
            <w:tcBorders>
              <w:tl2br w:val="nil"/>
              <w:tr2bl w:val="nil"/>
            </w:tcBorders>
            <w:noWrap w:val="0"/>
            <w:vAlign w:val="center"/>
          </w:tcPr>
          <w:p w14:paraId="66A460EF">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6959AD9F">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7.95</w:t>
            </w:r>
          </w:p>
        </w:tc>
        <w:tc>
          <w:tcPr>
            <w:tcW w:w="596" w:type="pct"/>
            <w:tcBorders>
              <w:tl2br w:val="nil"/>
              <w:tr2bl w:val="nil"/>
            </w:tcBorders>
            <w:noWrap w:val="0"/>
            <w:vAlign w:val="center"/>
          </w:tcPr>
          <w:p w14:paraId="74161621">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r>
      <w:tr w14:paraId="534870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7E1671EE">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钠（mg/L）</w:t>
            </w:r>
          </w:p>
        </w:tc>
        <w:tc>
          <w:tcPr>
            <w:tcW w:w="478" w:type="pct"/>
            <w:tcBorders>
              <w:tl2br w:val="nil"/>
              <w:tr2bl w:val="nil"/>
            </w:tcBorders>
            <w:shd w:val="clear" w:color="auto" w:fill="auto"/>
            <w:noWrap w:val="0"/>
            <w:vAlign w:val="center"/>
          </w:tcPr>
          <w:p w14:paraId="1C08B6E0">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shd w:val="clear" w:color="auto" w:fill="auto"/>
            <w:noWrap w:val="0"/>
            <w:vAlign w:val="center"/>
          </w:tcPr>
          <w:p w14:paraId="1F584EEA">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163</w:t>
            </w:r>
          </w:p>
        </w:tc>
        <w:tc>
          <w:tcPr>
            <w:tcW w:w="595" w:type="pct"/>
            <w:tcBorders>
              <w:tl2br w:val="nil"/>
              <w:tr2bl w:val="nil"/>
            </w:tcBorders>
            <w:noWrap w:val="0"/>
            <w:vAlign w:val="center"/>
          </w:tcPr>
          <w:p w14:paraId="470AE019">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6FC71779">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51.8</w:t>
            </w:r>
          </w:p>
        </w:tc>
        <w:tc>
          <w:tcPr>
            <w:tcW w:w="595" w:type="pct"/>
            <w:tcBorders>
              <w:tl2br w:val="nil"/>
              <w:tr2bl w:val="nil"/>
            </w:tcBorders>
            <w:noWrap w:val="0"/>
            <w:vAlign w:val="center"/>
          </w:tcPr>
          <w:p w14:paraId="472AEB56">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0EC9C42B">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157</w:t>
            </w:r>
          </w:p>
        </w:tc>
        <w:tc>
          <w:tcPr>
            <w:tcW w:w="596" w:type="pct"/>
            <w:tcBorders>
              <w:tl2br w:val="nil"/>
              <w:tr2bl w:val="nil"/>
            </w:tcBorders>
            <w:noWrap w:val="0"/>
            <w:vAlign w:val="center"/>
          </w:tcPr>
          <w:p w14:paraId="7A38490E">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r>
      <w:tr w14:paraId="3473B5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2BB7C9E1">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钙（mg/L）</w:t>
            </w:r>
          </w:p>
        </w:tc>
        <w:tc>
          <w:tcPr>
            <w:tcW w:w="478" w:type="pct"/>
            <w:tcBorders>
              <w:tl2br w:val="nil"/>
              <w:tr2bl w:val="nil"/>
            </w:tcBorders>
            <w:shd w:val="clear" w:color="auto" w:fill="auto"/>
            <w:noWrap w:val="0"/>
            <w:vAlign w:val="center"/>
          </w:tcPr>
          <w:p w14:paraId="6942DDA3">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shd w:val="clear" w:color="auto" w:fill="auto"/>
            <w:noWrap w:val="0"/>
            <w:vAlign w:val="center"/>
          </w:tcPr>
          <w:p w14:paraId="134733B4">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11.6</w:t>
            </w:r>
          </w:p>
        </w:tc>
        <w:tc>
          <w:tcPr>
            <w:tcW w:w="595" w:type="pct"/>
            <w:tcBorders>
              <w:tl2br w:val="nil"/>
              <w:tr2bl w:val="nil"/>
            </w:tcBorders>
            <w:noWrap w:val="0"/>
            <w:vAlign w:val="center"/>
          </w:tcPr>
          <w:p w14:paraId="1A7E7A82">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69A67893">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w:t>
            </w:r>
          </w:p>
        </w:tc>
        <w:tc>
          <w:tcPr>
            <w:tcW w:w="595" w:type="pct"/>
            <w:tcBorders>
              <w:tl2br w:val="nil"/>
              <w:tr2bl w:val="nil"/>
            </w:tcBorders>
            <w:noWrap w:val="0"/>
            <w:vAlign w:val="center"/>
          </w:tcPr>
          <w:p w14:paraId="08660302">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04A3F017">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0.81</w:t>
            </w:r>
          </w:p>
        </w:tc>
        <w:tc>
          <w:tcPr>
            <w:tcW w:w="596" w:type="pct"/>
            <w:tcBorders>
              <w:tl2br w:val="nil"/>
              <w:tr2bl w:val="nil"/>
            </w:tcBorders>
            <w:noWrap w:val="0"/>
            <w:vAlign w:val="center"/>
          </w:tcPr>
          <w:p w14:paraId="63DF8B07">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r>
      <w:tr w14:paraId="742948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1133AED">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镁（mg/L）</w:t>
            </w:r>
          </w:p>
        </w:tc>
        <w:tc>
          <w:tcPr>
            <w:tcW w:w="478" w:type="pct"/>
            <w:tcBorders>
              <w:tl2br w:val="nil"/>
              <w:tr2bl w:val="nil"/>
            </w:tcBorders>
            <w:shd w:val="clear" w:color="auto" w:fill="auto"/>
            <w:noWrap w:val="0"/>
            <w:vAlign w:val="center"/>
          </w:tcPr>
          <w:p w14:paraId="66DFE6B8">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shd w:val="clear" w:color="auto" w:fill="auto"/>
            <w:noWrap w:val="0"/>
            <w:vAlign w:val="center"/>
          </w:tcPr>
          <w:p w14:paraId="1490FAF2">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25.3</w:t>
            </w:r>
          </w:p>
        </w:tc>
        <w:tc>
          <w:tcPr>
            <w:tcW w:w="595" w:type="pct"/>
            <w:tcBorders>
              <w:tl2br w:val="nil"/>
              <w:tr2bl w:val="nil"/>
            </w:tcBorders>
            <w:noWrap w:val="0"/>
            <w:vAlign w:val="center"/>
          </w:tcPr>
          <w:p w14:paraId="516CB7F5">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4B410EB8">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38.6</w:t>
            </w:r>
          </w:p>
        </w:tc>
        <w:tc>
          <w:tcPr>
            <w:tcW w:w="595" w:type="pct"/>
            <w:tcBorders>
              <w:tl2br w:val="nil"/>
              <w:tr2bl w:val="nil"/>
            </w:tcBorders>
            <w:noWrap w:val="0"/>
            <w:vAlign w:val="center"/>
          </w:tcPr>
          <w:p w14:paraId="3040FAD4">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006DC470">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31.4</w:t>
            </w:r>
          </w:p>
        </w:tc>
        <w:tc>
          <w:tcPr>
            <w:tcW w:w="596" w:type="pct"/>
            <w:tcBorders>
              <w:tl2br w:val="nil"/>
              <w:tr2bl w:val="nil"/>
            </w:tcBorders>
            <w:noWrap w:val="0"/>
            <w:vAlign w:val="center"/>
          </w:tcPr>
          <w:p w14:paraId="2D1F4F27">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r>
      <w:tr w14:paraId="6803E0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C65FD90">
            <w:pPr>
              <w:widowControl/>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硫化物（mg/L）</w:t>
            </w:r>
          </w:p>
        </w:tc>
        <w:tc>
          <w:tcPr>
            <w:tcW w:w="478" w:type="pct"/>
            <w:tcBorders>
              <w:tl2br w:val="nil"/>
              <w:tr2bl w:val="nil"/>
            </w:tcBorders>
            <w:shd w:val="clear" w:color="auto" w:fill="auto"/>
            <w:noWrap w:val="0"/>
            <w:vAlign w:val="center"/>
          </w:tcPr>
          <w:p w14:paraId="7CFD1A0E">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shd w:val="clear" w:color="auto" w:fill="auto"/>
            <w:noWrap w:val="0"/>
            <w:vAlign w:val="center"/>
          </w:tcPr>
          <w:p w14:paraId="66F43BEC">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61C86EF7">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2FF22A4C">
            <w:pPr>
              <w:widowControl/>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155CC118">
            <w:pPr>
              <w:widowControl/>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58101367">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5C624C22">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7D11CE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585D0A09">
            <w:pPr>
              <w:spacing w:line="240" w:lineRule="auto"/>
              <w:ind w:firstLine="0" w:firstLineChars="0"/>
              <w:jc w:val="center"/>
              <w:rPr>
                <w:rFonts w:hint="default" w:ascii="Times New Roman" w:hAnsi="Times New Roman" w:eastAsia="宋体" w:cs="Times New Roman"/>
                <w:color w:val="auto"/>
                <w:sz w:val="21"/>
                <w:szCs w:val="21"/>
              </w:rPr>
            </w:pPr>
            <w:bookmarkStart w:id="342" w:name="_Hlk128500480"/>
            <w:r>
              <w:rPr>
                <w:rFonts w:hint="default" w:ascii="Times New Roman" w:hAnsi="Times New Roman" w:eastAsia="宋体" w:cs="Times New Roman"/>
                <w:color w:val="auto"/>
                <w:sz w:val="21"/>
                <w:szCs w:val="21"/>
              </w:rPr>
              <w:t>碳酸根（mg/L）</w:t>
            </w:r>
          </w:p>
        </w:tc>
        <w:tc>
          <w:tcPr>
            <w:tcW w:w="478" w:type="pct"/>
            <w:tcBorders>
              <w:tl2br w:val="nil"/>
              <w:tr2bl w:val="nil"/>
            </w:tcBorders>
            <w:shd w:val="clear" w:color="auto" w:fill="auto"/>
            <w:noWrap w:val="0"/>
            <w:vAlign w:val="center"/>
          </w:tcPr>
          <w:p w14:paraId="1ED4A6A7">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shd w:val="clear" w:color="auto" w:fill="auto"/>
            <w:noWrap w:val="0"/>
            <w:vAlign w:val="center"/>
          </w:tcPr>
          <w:p w14:paraId="74F00571">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0F954CCF">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042B5CFE">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5" w:type="pct"/>
            <w:tcBorders>
              <w:tl2br w:val="nil"/>
              <w:tr2bl w:val="nil"/>
            </w:tcBorders>
            <w:noWrap w:val="0"/>
            <w:vAlign w:val="center"/>
          </w:tcPr>
          <w:p w14:paraId="4FEF5ADF">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4BC64055">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ND</w:t>
            </w:r>
          </w:p>
        </w:tc>
        <w:tc>
          <w:tcPr>
            <w:tcW w:w="596" w:type="pct"/>
            <w:tcBorders>
              <w:tl2br w:val="nil"/>
              <w:tr2bl w:val="nil"/>
            </w:tcBorders>
            <w:noWrap w:val="0"/>
            <w:vAlign w:val="center"/>
          </w:tcPr>
          <w:p w14:paraId="2E1CC26F">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r>
      <w:tr w14:paraId="50DBD5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61" w:type="pct"/>
            <w:tcBorders>
              <w:tl2br w:val="nil"/>
              <w:tr2bl w:val="nil"/>
            </w:tcBorders>
            <w:noWrap w:val="0"/>
            <w:vAlign w:val="center"/>
          </w:tcPr>
          <w:p w14:paraId="23C7EB23">
            <w:pPr>
              <w:spacing w:line="240" w:lineRule="auto"/>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碳酸氢根（mg/L）</w:t>
            </w:r>
          </w:p>
        </w:tc>
        <w:tc>
          <w:tcPr>
            <w:tcW w:w="478" w:type="pct"/>
            <w:tcBorders>
              <w:tl2br w:val="nil"/>
              <w:tr2bl w:val="nil"/>
            </w:tcBorders>
            <w:shd w:val="clear" w:color="auto" w:fill="auto"/>
            <w:noWrap w:val="0"/>
            <w:vAlign w:val="center"/>
          </w:tcPr>
          <w:p w14:paraId="64ED63C3">
            <w:pPr>
              <w:spacing w:line="240" w:lineRule="auto"/>
              <w:ind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shd w:val="clear" w:color="auto" w:fill="auto"/>
            <w:noWrap w:val="0"/>
            <w:vAlign w:val="center"/>
          </w:tcPr>
          <w:p w14:paraId="7EDA3D50">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474</w:t>
            </w:r>
          </w:p>
        </w:tc>
        <w:tc>
          <w:tcPr>
            <w:tcW w:w="595" w:type="pct"/>
            <w:tcBorders>
              <w:tl2br w:val="nil"/>
              <w:tr2bl w:val="nil"/>
            </w:tcBorders>
            <w:noWrap w:val="0"/>
            <w:vAlign w:val="center"/>
          </w:tcPr>
          <w:p w14:paraId="2EF8E7BB">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41107257">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639</w:t>
            </w:r>
          </w:p>
        </w:tc>
        <w:tc>
          <w:tcPr>
            <w:tcW w:w="595" w:type="pct"/>
            <w:tcBorders>
              <w:tl2br w:val="nil"/>
              <w:tr2bl w:val="nil"/>
            </w:tcBorders>
            <w:noWrap w:val="0"/>
            <w:vAlign w:val="center"/>
          </w:tcPr>
          <w:p w14:paraId="2AF6DC2C">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c>
          <w:tcPr>
            <w:tcW w:w="591" w:type="pct"/>
            <w:tcBorders>
              <w:tl2br w:val="nil"/>
              <w:tr2bl w:val="nil"/>
            </w:tcBorders>
            <w:noWrap w:val="0"/>
            <w:vAlign w:val="center"/>
          </w:tcPr>
          <w:p w14:paraId="74F3A992">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345</w:t>
            </w:r>
          </w:p>
        </w:tc>
        <w:tc>
          <w:tcPr>
            <w:tcW w:w="596" w:type="pct"/>
            <w:tcBorders>
              <w:tl2br w:val="nil"/>
              <w:tr2bl w:val="nil"/>
            </w:tcBorders>
            <w:noWrap w:val="0"/>
            <w:vAlign w:val="center"/>
          </w:tcPr>
          <w:p w14:paraId="65607504">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2"/>
                <w:sz w:val="21"/>
                <w:szCs w:val="21"/>
                <w:lang w:val="en-US" w:eastAsia="zh-CN" w:bidi="ar-SA"/>
              </w:rPr>
              <w:t>/</w:t>
            </w:r>
          </w:p>
        </w:tc>
      </w:tr>
      <w:bookmarkEnd w:id="342"/>
    </w:tbl>
    <w:p w14:paraId="7B1DEBA4">
      <w:pPr>
        <w:jc w:val="left"/>
        <w:rPr>
          <w:rFonts w:hint="eastAsia" w:ascii="Times New Roman" w:hAnsi="Times New Roman" w:cs="Times New Roman"/>
          <w:b w:val="0"/>
          <w:bCs w:val="0"/>
          <w:color w:val="auto"/>
          <w:sz w:val="24"/>
          <w:szCs w:val="32"/>
          <w:lang w:val="en-US" w:eastAsia="zh-CN"/>
        </w:rPr>
      </w:pPr>
    </w:p>
    <w:p w14:paraId="17399436">
      <w:pPr>
        <w:spacing w:line="360" w:lineRule="auto"/>
        <w:ind w:firstLine="480" w:firstLineChars="200"/>
        <w:jc w:val="left"/>
        <w:rPr>
          <w:color w:val="auto"/>
        </w:rPr>
      </w:pPr>
      <w:r>
        <w:rPr>
          <w:rFonts w:hint="default" w:ascii="Times New Roman" w:hAnsi="Times New Roman" w:cs="Times New Roman"/>
          <w:b w:val="0"/>
          <w:bCs w:val="0"/>
          <w:color w:val="auto"/>
          <w:sz w:val="24"/>
          <w:szCs w:val="32"/>
          <w:lang w:val="en-US" w:eastAsia="zh-CN"/>
        </w:rPr>
        <w:t>根据上表可知，项目所在区域各监测监测因子存在个别超标现象，氨氮超标可能是由于背景浓度超标造成的；其余因子符合《地下水质量标准》（GB/T 14848-2017）中Ⅲ类标准，地下水水质情况一般。</w:t>
      </w:r>
      <w:r>
        <w:rPr>
          <w:color w:val="auto"/>
        </w:rPr>
        <mc:AlternateContent>
          <mc:Choice Requires="wps">
            <w:drawing>
              <wp:anchor distT="0" distB="0" distL="114300" distR="114300" simplePos="0" relativeHeight="251662336" behindDoc="0" locked="0" layoutInCell="1" allowOverlap="1">
                <wp:simplePos x="0" y="0"/>
                <wp:positionH relativeFrom="column">
                  <wp:posOffset>7181215</wp:posOffset>
                </wp:positionH>
                <wp:positionV relativeFrom="paragraph">
                  <wp:posOffset>3931285</wp:posOffset>
                </wp:positionV>
                <wp:extent cx="762000" cy="447675"/>
                <wp:effectExtent l="0" t="0" r="0" b="9525"/>
                <wp:wrapNone/>
                <wp:docPr id="106" name="文本框 106"/>
                <wp:cNvGraphicFramePr/>
                <a:graphic xmlns:a="http://schemas.openxmlformats.org/drawingml/2006/main">
                  <a:graphicData uri="http://schemas.microsoft.com/office/word/2010/wordprocessingShape">
                    <wps:wsp>
                      <wps:cNvSpPr txBox="1"/>
                      <wps:spPr>
                        <a:xfrm>
                          <a:off x="8079740" y="4681855"/>
                          <a:ext cx="762000" cy="4476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58B5D4">
                            <w:pPr>
                              <w:rPr>
                                <w:rFonts w:hint="eastAsia" w:ascii="仿宋" w:hAnsi="仿宋" w:eastAsia="仿宋" w:cs="仿宋"/>
                                <w:color w:val="FFFF00"/>
                              </w:rPr>
                            </w:pPr>
                            <w:r>
                              <w:rPr>
                                <w:rFonts w:hint="eastAsia" w:ascii="仿宋" w:hAnsi="仿宋" w:eastAsia="仿宋" w:cs="仿宋"/>
                                <w:color w:val="FFFF00"/>
                              </w:rPr>
                              <w:t>小湖村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65.45pt;margin-top:309.55pt;height:35.25pt;width:60pt;z-index:251662336;mso-width-relative:page;mso-height-relative:page;" filled="f" stroked="f" coordsize="21600,21600" o:gfxdata="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7iNtI2wAAAA0BAAAPAAAAAAAA&#10;AAEAIAAAACIAAABkcnMvZG93bnJldi54bWxQSwECFAAUAAAACACHTuJAYO/AvUgCAAB1BAAADgAA&#10;AAAAAAABACAAAAAqAQAAZHJzL2Uyb0RvYy54bWxQSwUGAAAAAAYABgBZAQAA5AUAAAAA&#10;">
                <v:fill on="f" focussize="0,0"/>
                <v:stroke on="f" weight="0.5pt"/>
                <v:imagedata o:title=""/>
                <o:lock v:ext="edit" aspectratio="f"/>
                <v:textbox>
                  <w:txbxContent>
                    <w:p w14:paraId="0058B5D4">
                      <w:pPr>
                        <w:rPr>
                          <w:rFonts w:hint="eastAsia" w:ascii="仿宋" w:hAnsi="仿宋" w:eastAsia="仿宋" w:cs="仿宋"/>
                          <w:color w:val="FFFF00"/>
                        </w:rPr>
                      </w:pPr>
                      <w:r>
                        <w:rPr>
                          <w:rFonts w:hint="eastAsia" w:ascii="仿宋" w:hAnsi="仿宋" w:eastAsia="仿宋" w:cs="仿宋"/>
                          <w:color w:val="FFFF00"/>
                        </w:rPr>
                        <w:t>小湖村</w:t>
                      </w:r>
                    </w:p>
                  </w:txbxContent>
                </v:textbox>
              </v:shape>
            </w:pict>
          </mc:Fallback>
        </mc:AlternateContent>
      </w:r>
    </w:p>
    <w:p w14:paraId="0448E2AB">
      <w:pPr>
        <w:spacing w:line="360" w:lineRule="auto"/>
        <w:outlineLvl w:val="2"/>
        <w:rPr>
          <w:b/>
          <w:bCs/>
          <w:color w:val="auto"/>
          <w:sz w:val="24"/>
        </w:rPr>
      </w:pPr>
      <w:r>
        <w:rPr>
          <w:b/>
          <w:bCs/>
          <w:color w:val="auto"/>
          <w:sz w:val="24"/>
        </w:rPr>
        <w:t>4.3.4声环境现状监测与评价</w:t>
      </w:r>
    </w:p>
    <w:p w14:paraId="7B2C78FC">
      <w:pPr>
        <w:spacing w:line="360" w:lineRule="auto"/>
        <w:ind w:firstLine="480" w:firstLineChars="200"/>
        <w:rPr>
          <w:color w:val="auto"/>
          <w:sz w:val="24"/>
        </w:rPr>
      </w:pPr>
      <w:r>
        <w:rPr>
          <w:color w:val="auto"/>
          <w:sz w:val="24"/>
        </w:rPr>
        <w:t>本次后评价声环境现状评价引用</w:t>
      </w:r>
      <w:r>
        <w:rPr>
          <w:rFonts w:hint="eastAsia"/>
          <w:color w:val="auto"/>
          <w:sz w:val="24"/>
        </w:rPr>
        <w:t>公司例行监测报告</w:t>
      </w:r>
      <w:r>
        <w:rPr>
          <w:color w:val="auto"/>
          <w:sz w:val="24"/>
        </w:rPr>
        <w:t>。</w:t>
      </w:r>
    </w:p>
    <w:p w14:paraId="742A4498">
      <w:pPr>
        <w:spacing w:line="360" w:lineRule="auto"/>
        <w:ind w:firstLine="480" w:firstLineChars="200"/>
        <w:rPr>
          <w:color w:val="auto"/>
          <w:sz w:val="24"/>
        </w:rPr>
      </w:pPr>
      <w:bookmarkStart w:id="343" w:name="_Toc32631"/>
      <w:bookmarkStart w:id="344" w:name="_Toc29862"/>
      <w:r>
        <w:rPr>
          <w:color w:val="auto"/>
          <w:sz w:val="24"/>
        </w:rPr>
        <w:t>1、监测时间</w:t>
      </w:r>
      <w:bookmarkEnd w:id="343"/>
      <w:bookmarkEnd w:id="344"/>
    </w:p>
    <w:p w14:paraId="14966E89">
      <w:pPr>
        <w:spacing w:line="360" w:lineRule="auto"/>
        <w:ind w:firstLine="480" w:firstLineChars="200"/>
        <w:rPr>
          <w:color w:val="auto"/>
          <w:sz w:val="24"/>
        </w:rPr>
      </w:pPr>
      <w:r>
        <w:rPr>
          <w:rFonts w:hint="default" w:ascii="Times New Roman" w:hAnsi="Times New Roman" w:cs="Times New Roman"/>
          <w:b w:val="0"/>
          <w:bCs w:val="0"/>
          <w:color w:val="auto"/>
          <w:sz w:val="24"/>
          <w:lang w:val="en-US" w:eastAsia="zh-CN"/>
        </w:rPr>
        <w:t>202</w:t>
      </w:r>
      <w:r>
        <w:rPr>
          <w:rFonts w:hint="eastAsia" w:ascii="Times New Roman" w:hAnsi="Times New Roman" w:cs="Times New Roman"/>
          <w:b w:val="0"/>
          <w:bCs w:val="0"/>
          <w:color w:val="auto"/>
          <w:sz w:val="24"/>
          <w:lang w:val="en-US" w:eastAsia="zh-CN"/>
        </w:rPr>
        <w:t>4</w:t>
      </w:r>
      <w:r>
        <w:rPr>
          <w:rFonts w:hint="default" w:ascii="Times New Roman" w:hAnsi="Times New Roman" w:cs="Times New Roman"/>
          <w:b w:val="0"/>
          <w:bCs w:val="0"/>
          <w:color w:val="auto"/>
          <w:sz w:val="24"/>
          <w:lang w:val="en-US" w:eastAsia="zh-CN"/>
        </w:rPr>
        <w:t>年</w:t>
      </w:r>
      <w:r>
        <w:rPr>
          <w:rFonts w:hint="eastAsia" w:ascii="Times New Roman" w:hAnsi="Times New Roman" w:cs="Times New Roman"/>
          <w:b w:val="0"/>
          <w:bCs w:val="0"/>
          <w:color w:val="auto"/>
          <w:sz w:val="24"/>
          <w:lang w:val="en-US" w:eastAsia="zh-CN"/>
        </w:rPr>
        <w:t>8</w:t>
      </w:r>
      <w:r>
        <w:rPr>
          <w:rFonts w:hint="default" w:ascii="Times New Roman" w:hAnsi="Times New Roman" w:cs="Times New Roman"/>
          <w:b w:val="0"/>
          <w:bCs w:val="0"/>
          <w:color w:val="auto"/>
          <w:sz w:val="24"/>
          <w:lang w:val="en-US" w:eastAsia="zh-CN"/>
        </w:rPr>
        <w:t>月</w:t>
      </w:r>
      <w:r>
        <w:rPr>
          <w:rFonts w:hint="eastAsia" w:ascii="Times New Roman" w:hAnsi="Times New Roman" w:cs="Times New Roman"/>
          <w:b w:val="0"/>
          <w:bCs w:val="0"/>
          <w:color w:val="auto"/>
          <w:sz w:val="24"/>
          <w:lang w:val="en-US" w:eastAsia="zh-CN"/>
        </w:rPr>
        <w:t>27</w:t>
      </w:r>
      <w:r>
        <w:rPr>
          <w:rFonts w:hint="default" w:ascii="Times New Roman" w:hAnsi="Times New Roman" w:cs="Times New Roman"/>
          <w:b w:val="0"/>
          <w:bCs w:val="0"/>
          <w:color w:val="auto"/>
          <w:sz w:val="24"/>
          <w:lang w:val="en-US" w:eastAsia="zh-CN"/>
        </w:rPr>
        <w:t>日</w:t>
      </w:r>
      <w:r>
        <w:rPr>
          <w:color w:val="auto"/>
          <w:sz w:val="24"/>
        </w:rPr>
        <w:t>，</w:t>
      </w:r>
      <w:r>
        <w:rPr>
          <w:rFonts w:hint="eastAsia"/>
          <w:color w:val="auto"/>
          <w:sz w:val="24"/>
          <w:lang w:val="en-US" w:eastAsia="zh-CN"/>
        </w:rPr>
        <w:t>对厂界</w:t>
      </w:r>
      <w:r>
        <w:rPr>
          <w:rFonts w:hint="eastAsia" w:ascii="Times New Roman" w:hAnsi="Times New Roman" w:cs="Times New Roman"/>
          <w:b w:val="0"/>
          <w:bCs w:val="0"/>
          <w:color w:val="auto"/>
          <w:sz w:val="24"/>
          <w:szCs w:val="32"/>
          <w:lang w:val="en-US" w:eastAsia="zh-CN"/>
        </w:rPr>
        <w:t>昼间噪声</w:t>
      </w:r>
      <w:r>
        <w:rPr>
          <w:rFonts w:hint="default" w:ascii="Times New Roman" w:hAnsi="Times New Roman" w:cs="Times New Roman"/>
          <w:b w:val="0"/>
          <w:bCs w:val="0"/>
          <w:color w:val="auto"/>
          <w:sz w:val="24"/>
          <w:szCs w:val="32"/>
        </w:rPr>
        <w:t>进行</w:t>
      </w:r>
      <w:r>
        <w:rPr>
          <w:rFonts w:hint="eastAsia" w:ascii="Times New Roman" w:hAnsi="Times New Roman" w:cs="Times New Roman"/>
          <w:b w:val="0"/>
          <w:bCs w:val="0"/>
          <w:color w:val="auto"/>
          <w:sz w:val="24"/>
          <w:szCs w:val="32"/>
          <w:lang w:val="en-US" w:eastAsia="zh-CN"/>
        </w:rPr>
        <w:t>监测</w:t>
      </w:r>
      <w:r>
        <w:rPr>
          <w:color w:val="auto"/>
          <w:sz w:val="24"/>
        </w:rPr>
        <w:t>。</w:t>
      </w:r>
    </w:p>
    <w:p w14:paraId="6A1B4639">
      <w:pPr>
        <w:spacing w:line="360" w:lineRule="auto"/>
        <w:ind w:firstLine="480" w:firstLineChars="200"/>
        <w:rPr>
          <w:color w:val="auto"/>
          <w:sz w:val="24"/>
        </w:rPr>
      </w:pPr>
      <w:bookmarkStart w:id="345" w:name="_Toc2813"/>
      <w:bookmarkStart w:id="346" w:name="_Toc12"/>
      <w:r>
        <w:rPr>
          <w:color w:val="auto"/>
          <w:sz w:val="24"/>
        </w:rPr>
        <w:t>2、监测方法</w:t>
      </w:r>
      <w:bookmarkEnd w:id="345"/>
      <w:bookmarkEnd w:id="346"/>
    </w:p>
    <w:p w14:paraId="3361EB59">
      <w:pPr>
        <w:spacing w:line="360" w:lineRule="auto"/>
        <w:ind w:firstLine="480" w:firstLineChars="200"/>
        <w:rPr>
          <w:color w:val="auto"/>
          <w:sz w:val="24"/>
        </w:rPr>
      </w:pPr>
      <w:r>
        <w:rPr>
          <w:color w:val="auto"/>
          <w:sz w:val="24"/>
        </w:rPr>
        <w:t>依据《声环境质量标准》（GB3096-2008）有关规定，对厂界噪声水平现状进行了现场监测。</w:t>
      </w:r>
    </w:p>
    <w:p w14:paraId="4E8E8BB9">
      <w:pPr>
        <w:spacing w:line="360" w:lineRule="auto"/>
        <w:ind w:firstLine="480" w:firstLineChars="200"/>
        <w:rPr>
          <w:color w:val="auto"/>
          <w:sz w:val="24"/>
        </w:rPr>
      </w:pPr>
      <w:bookmarkStart w:id="347" w:name="_Toc20759"/>
      <w:bookmarkStart w:id="348" w:name="_Toc28751"/>
      <w:r>
        <w:rPr>
          <w:color w:val="auto"/>
          <w:sz w:val="24"/>
        </w:rPr>
        <w:t>3、监测点位</w:t>
      </w:r>
      <w:bookmarkEnd w:id="347"/>
      <w:bookmarkEnd w:id="348"/>
    </w:p>
    <w:p w14:paraId="4D93229B">
      <w:pPr>
        <w:spacing w:line="360" w:lineRule="auto"/>
        <w:ind w:firstLine="480" w:firstLineChars="200"/>
        <w:rPr>
          <w:color w:val="auto"/>
          <w:sz w:val="24"/>
        </w:rPr>
      </w:pPr>
      <w:r>
        <w:rPr>
          <w:color w:val="auto"/>
          <w:sz w:val="24"/>
        </w:rPr>
        <w:t>厂界四周。</w:t>
      </w:r>
    </w:p>
    <w:p w14:paraId="20A36B74">
      <w:pPr>
        <w:spacing w:line="360" w:lineRule="auto"/>
        <w:ind w:firstLine="480" w:firstLineChars="200"/>
        <w:rPr>
          <w:color w:val="auto"/>
          <w:sz w:val="24"/>
        </w:rPr>
      </w:pPr>
      <w:bookmarkStart w:id="349" w:name="_Toc171"/>
      <w:bookmarkStart w:id="350" w:name="_Toc22106"/>
      <w:r>
        <w:rPr>
          <w:color w:val="auto"/>
          <w:sz w:val="24"/>
        </w:rPr>
        <w:t>4、监测结果</w:t>
      </w:r>
      <w:bookmarkEnd w:id="349"/>
      <w:bookmarkEnd w:id="350"/>
    </w:p>
    <w:p w14:paraId="385DFE22">
      <w:pPr>
        <w:spacing w:line="360" w:lineRule="auto"/>
        <w:ind w:firstLine="480" w:firstLineChars="200"/>
        <w:rPr>
          <w:color w:val="auto"/>
          <w:sz w:val="24"/>
        </w:rPr>
      </w:pPr>
      <w:r>
        <w:rPr>
          <w:color w:val="auto"/>
          <w:sz w:val="24"/>
        </w:rPr>
        <w:t>厂界噪声监测结果见</w:t>
      </w:r>
      <w:r>
        <w:rPr>
          <w:rFonts w:hint="eastAsia"/>
          <w:color w:val="auto"/>
          <w:sz w:val="24"/>
        </w:rPr>
        <w:t>下表：</w:t>
      </w:r>
    </w:p>
    <w:p w14:paraId="08EB32A6">
      <w:pPr>
        <w:spacing w:line="360" w:lineRule="auto"/>
        <w:jc w:val="center"/>
        <w:rPr>
          <w:color w:val="auto"/>
          <w:sz w:val="24"/>
        </w:rPr>
      </w:pPr>
      <w:r>
        <w:rPr>
          <w:b/>
          <w:bCs/>
          <w:color w:val="auto"/>
          <w:sz w:val="24"/>
        </w:rPr>
        <w:t>表4-1</w:t>
      </w:r>
      <w:r>
        <w:rPr>
          <w:rFonts w:hint="eastAsia"/>
          <w:b/>
          <w:bCs/>
          <w:color w:val="auto"/>
          <w:sz w:val="24"/>
          <w:lang w:val="en-US" w:eastAsia="zh-CN"/>
        </w:rPr>
        <w:t>1</w:t>
      </w:r>
      <w:r>
        <w:rPr>
          <w:b/>
          <w:bCs/>
          <w:color w:val="auto"/>
          <w:sz w:val="24"/>
        </w:rPr>
        <w:t xml:space="preserve"> 厂界及环境噪声现状监测结果</w:t>
      </w:r>
    </w:p>
    <w:tbl>
      <w:tblPr>
        <w:tblStyle w:val="31"/>
        <w:tblW w:w="4991"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15" w:type="dxa"/>
          <w:left w:w="15" w:type="dxa"/>
          <w:bottom w:w="15" w:type="dxa"/>
          <w:right w:w="15" w:type="dxa"/>
        </w:tblCellMar>
      </w:tblPr>
      <w:tblGrid>
        <w:gridCol w:w="1618"/>
        <w:gridCol w:w="1622"/>
        <w:gridCol w:w="3259"/>
        <w:gridCol w:w="3259"/>
      </w:tblGrid>
      <w:tr w14:paraId="7D7CD62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vMerge w:val="restart"/>
            <w:tcBorders>
              <w:tl2br w:val="nil"/>
              <w:tr2bl w:val="nil"/>
            </w:tcBorders>
            <w:noWrap/>
            <w:vAlign w:val="center"/>
          </w:tcPr>
          <w:p w14:paraId="336E2A71">
            <w:pPr>
              <w:widowControl/>
              <w:jc w:val="center"/>
              <w:textAlignment w:val="center"/>
              <w:rPr>
                <w:b/>
                <w:bCs/>
                <w:color w:val="auto"/>
                <w:szCs w:val="21"/>
              </w:rPr>
            </w:pPr>
            <w:r>
              <w:rPr>
                <w:b/>
                <w:bCs/>
                <w:color w:val="auto"/>
                <w:kern w:val="0"/>
                <w:szCs w:val="21"/>
                <w:lang w:bidi="ar"/>
              </w:rPr>
              <w:t>测点位置</w:t>
            </w:r>
          </w:p>
        </w:tc>
        <w:tc>
          <w:tcPr>
            <w:tcW w:w="831" w:type="pct"/>
            <w:vMerge w:val="restart"/>
            <w:tcBorders>
              <w:tl2br w:val="nil"/>
              <w:tr2bl w:val="nil"/>
            </w:tcBorders>
            <w:noWrap/>
            <w:vAlign w:val="center"/>
          </w:tcPr>
          <w:p w14:paraId="7DCF6BE5">
            <w:pPr>
              <w:widowControl/>
              <w:jc w:val="center"/>
              <w:textAlignment w:val="center"/>
              <w:rPr>
                <w:b/>
                <w:bCs/>
                <w:color w:val="auto"/>
                <w:szCs w:val="21"/>
              </w:rPr>
            </w:pPr>
            <w:r>
              <w:rPr>
                <w:b/>
                <w:bCs/>
                <w:color w:val="auto"/>
                <w:kern w:val="0"/>
                <w:szCs w:val="21"/>
                <w:lang w:bidi="ar"/>
              </w:rPr>
              <w:t>主要声源</w:t>
            </w:r>
          </w:p>
        </w:tc>
        <w:tc>
          <w:tcPr>
            <w:tcW w:w="3338" w:type="pct"/>
            <w:gridSpan w:val="2"/>
            <w:tcBorders>
              <w:tl2br w:val="nil"/>
              <w:tr2bl w:val="nil"/>
            </w:tcBorders>
            <w:noWrap/>
            <w:vAlign w:val="center"/>
          </w:tcPr>
          <w:p w14:paraId="672C336A">
            <w:pPr>
              <w:widowControl/>
              <w:jc w:val="center"/>
              <w:textAlignment w:val="center"/>
              <w:rPr>
                <w:rFonts w:hint="default" w:eastAsia="宋体"/>
                <w:b/>
                <w:bCs/>
                <w:color w:val="auto"/>
                <w:szCs w:val="21"/>
                <w:lang w:val="en-US" w:eastAsia="zh-CN"/>
              </w:rPr>
            </w:pPr>
            <w:r>
              <w:rPr>
                <w:b/>
                <w:bCs/>
                <w:color w:val="auto"/>
                <w:kern w:val="0"/>
                <w:szCs w:val="21"/>
                <w:lang w:bidi="ar"/>
              </w:rPr>
              <w:t>2024/0</w:t>
            </w:r>
            <w:r>
              <w:rPr>
                <w:rFonts w:hint="eastAsia"/>
                <w:b/>
                <w:bCs/>
                <w:color w:val="auto"/>
                <w:kern w:val="0"/>
                <w:szCs w:val="21"/>
                <w:lang w:val="en-US" w:eastAsia="zh-CN" w:bidi="ar"/>
              </w:rPr>
              <w:t>8</w:t>
            </w:r>
            <w:r>
              <w:rPr>
                <w:b/>
                <w:bCs/>
                <w:color w:val="auto"/>
                <w:kern w:val="0"/>
                <w:szCs w:val="21"/>
                <w:lang w:bidi="ar"/>
              </w:rPr>
              <w:t>/</w:t>
            </w:r>
            <w:r>
              <w:rPr>
                <w:rFonts w:hint="eastAsia"/>
                <w:b/>
                <w:bCs/>
                <w:color w:val="auto"/>
                <w:kern w:val="0"/>
                <w:szCs w:val="21"/>
                <w:lang w:val="en-US" w:eastAsia="zh-CN" w:bidi="ar"/>
              </w:rPr>
              <w:t>27</w:t>
            </w:r>
          </w:p>
        </w:tc>
      </w:tr>
      <w:tr w14:paraId="4BF60FB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vMerge w:val="continue"/>
            <w:tcBorders>
              <w:tl2br w:val="nil"/>
              <w:tr2bl w:val="nil"/>
            </w:tcBorders>
            <w:noWrap/>
            <w:vAlign w:val="center"/>
          </w:tcPr>
          <w:p w14:paraId="1DFF8E82">
            <w:pPr>
              <w:jc w:val="center"/>
              <w:rPr>
                <w:b/>
                <w:bCs/>
                <w:color w:val="auto"/>
                <w:szCs w:val="21"/>
              </w:rPr>
            </w:pPr>
          </w:p>
        </w:tc>
        <w:tc>
          <w:tcPr>
            <w:tcW w:w="831" w:type="pct"/>
            <w:vMerge w:val="continue"/>
            <w:tcBorders>
              <w:tl2br w:val="nil"/>
              <w:tr2bl w:val="nil"/>
            </w:tcBorders>
            <w:noWrap/>
            <w:vAlign w:val="center"/>
          </w:tcPr>
          <w:p w14:paraId="401F3983">
            <w:pPr>
              <w:jc w:val="center"/>
              <w:rPr>
                <w:b/>
                <w:bCs/>
                <w:color w:val="auto"/>
                <w:szCs w:val="21"/>
              </w:rPr>
            </w:pPr>
          </w:p>
        </w:tc>
        <w:tc>
          <w:tcPr>
            <w:tcW w:w="1669" w:type="pct"/>
            <w:tcBorders>
              <w:tl2br w:val="nil"/>
              <w:tr2bl w:val="nil"/>
            </w:tcBorders>
            <w:noWrap/>
            <w:vAlign w:val="center"/>
          </w:tcPr>
          <w:p w14:paraId="24FE5DBE">
            <w:pPr>
              <w:widowControl/>
              <w:jc w:val="center"/>
              <w:textAlignment w:val="center"/>
              <w:rPr>
                <w:b/>
                <w:bCs/>
                <w:color w:val="auto"/>
                <w:szCs w:val="21"/>
              </w:rPr>
            </w:pPr>
            <w:r>
              <w:rPr>
                <w:b/>
                <w:bCs/>
                <w:color w:val="auto"/>
                <w:kern w:val="0"/>
                <w:szCs w:val="21"/>
                <w:lang w:bidi="ar"/>
              </w:rPr>
              <w:t>测量时间</w:t>
            </w:r>
          </w:p>
        </w:tc>
        <w:tc>
          <w:tcPr>
            <w:tcW w:w="1669" w:type="pct"/>
            <w:tcBorders>
              <w:tl2br w:val="nil"/>
              <w:tr2bl w:val="nil"/>
            </w:tcBorders>
            <w:noWrap/>
            <w:vAlign w:val="center"/>
          </w:tcPr>
          <w:p w14:paraId="4B253C07">
            <w:pPr>
              <w:widowControl/>
              <w:jc w:val="center"/>
              <w:textAlignment w:val="center"/>
              <w:rPr>
                <w:b/>
                <w:bCs/>
                <w:color w:val="auto"/>
                <w:szCs w:val="21"/>
              </w:rPr>
            </w:pPr>
            <w:r>
              <w:rPr>
                <w:b/>
                <w:bCs/>
                <w:color w:val="auto"/>
                <w:kern w:val="0"/>
                <w:szCs w:val="21"/>
                <w:lang w:bidi="ar"/>
              </w:rPr>
              <w:t>结果</w:t>
            </w:r>
          </w:p>
        </w:tc>
      </w:tr>
      <w:tr w14:paraId="3FD01C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7F886CFE">
            <w:pPr>
              <w:widowControl/>
              <w:jc w:val="center"/>
              <w:textAlignment w:val="center"/>
              <w:rPr>
                <w:color w:val="auto"/>
                <w:szCs w:val="21"/>
              </w:rPr>
            </w:pPr>
            <w:r>
              <w:rPr>
                <w:color w:val="auto"/>
                <w:kern w:val="0"/>
                <w:szCs w:val="21"/>
                <w:lang w:bidi="ar"/>
              </w:rPr>
              <w:t>东厂界处</w:t>
            </w:r>
          </w:p>
        </w:tc>
        <w:tc>
          <w:tcPr>
            <w:tcW w:w="831" w:type="pct"/>
            <w:vMerge w:val="restart"/>
            <w:tcBorders>
              <w:tl2br w:val="nil"/>
              <w:tr2bl w:val="nil"/>
            </w:tcBorders>
            <w:noWrap/>
            <w:vAlign w:val="center"/>
          </w:tcPr>
          <w:p w14:paraId="523B335D">
            <w:pPr>
              <w:widowControl/>
              <w:jc w:val="center"/>
              <w:textAlignment w:val="center"/>
              <w:rPr>
                <w:color w:val="auto"/>
                <w:szCs w:val="21"/>
              </w:rPr>
            </w:pPr>
            <w:r>
              <w:rPr>
                <w:color w:val="auto"/>
                <w:kern w:val="0"/>
                <w:szCs w:val="21"/>
                <w:lang w:bidi="ar"/>
              </w:rPr>
              <w:t>厂界噪声</w:t>
            </w:r>
          </w:p>
        </w:tc>
        <w:tc>
          <w:tcPr>
            <w:tcW w:w="1669" w:type="pct"/>
            <w:tcBorders>
              <w:tl2br w:val="nil"/>
              <w:tr2bl w:val="nil"/>
            </w:tcBorders>
            <w:noWrap/>
            <w:vAlign w:val="center"/>
          </w:tcPr>
          <w:p w14:paraId="725ED028">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10</w:t>
            </w:r>
            <w:r>
              <w:rPr>
                <w:color w:val="auto"/>
                <w:kern w:val="0"/>
                <w:szCs w:val="21"/>
                <w:lang w:bidi="ar"/>
              </w:rPr>
              <w:t>:</w:t>
            </w:r>
            <w:r>
              <w:rPr>
                <w:rFonts w:hint="eastAsia"/>
                <w:color w:val="auto"/>
                <w:kern w:val="0"/>
                <w:szCs w:val="21"/>
                <w:lang w:val="en-US" w:eastAsia="zh-CN" w:bidi="ar"/>
              </w:rPr>
              <w:t>52</w:t>
            </w:r>
          </w:p>
        </w:tc>
        <w:tc>
          <w:tcPr>
            <w:tcW w:w="1669" w:type="pct"/>
            <w:tcBorders>
              <w:tl2br w:val="nil"/>
              <w:tr2bl w:val="nil"/>
            </w:tcBorders>
            <w:noWrap/>
            <w:vAlign w:val="center"/>
          </w:tcPr>
          <w:p w14:paraId="76541748">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58.3</w:t>
            </w:r>
          </w:p>
        </w:tc>
      </w:tr>
      <w:tr w14:paraId="7B1A56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5685311F">
            <w:pPr>
              <w:widowControl/>
              <w:jc w:val="center"/>
              <w:textAlignment w:val="center"/>
              <w:rPr>
                <w:color w:val="auto"/>
                <w:szCs w:val="21"/>
              </w:rPr>
            </w:pPr>
            <w:r>
              <w:rPr>
                <w:color w:val="auto"/>
                <w:kern w:val="0"/>
                <w:szCs w:val="21"/>
                <w:lang w:bidi="ar"/>
              </w:rPr>
              <w:t>南厂界处</w:t>
            </w:r>
          </w:p>
        </w:tc>
        <w:tc>
          <w:tcPr>
            <w:tcW w:w="831" w:type="pct"/>
            <w:vMerge w:val="continue"/>
            <w:tcBorders>
              <w:tl2br w:val="nil"/>
              <w:tr2bl w:val="nil"/>
            </w:tcBorders>
            <w:noWrap/>
            <w:vAlign w:val="center"/>
          </w:tcPr>
          <w:p w14:paraId="0516F9F9">
            <w:pPr>
              <w:jc w:val="center"/>
              <w:rPr>
                <w:color w:val="auto"/>
                <w:szCs w:val="21"/>
              </w:rPr>
            </w:pPr>
          </w:p>
        </w:tc>
        <w:tc>
          <w:tcPr>
            <w:tcW w:w="1669" w:type="pct"/>
            <w:tcBorders>
              <w:tl2br w:val="nil"/>
              <w:tr2bl w:val="nil"/>
            </w:tcBorders>
            <w:noWrap/>
            <w:vAlign w:val="center"/>
          </w:tcPr>
          <w:p w14:paraId="2A9AC088">
            <w:pPr>
              <w:widowControl/>
              <w:jc w:val="center"/>
              <w:textAlignment w:val="center"/>
              <w:rPr>
                <w:rFonts w:hint="default"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w:t>
            </w:r>
            <w:r>
              <w:rPr>
                <w:rFonts w:hint="eastAsia"/>
                <w:color w:val="auto"/>
                <w:kern w:val="0"/>
                <w:szCs w:val="21"/>
                <w:lang w:val="en-US" w:eastAsia="zh-CN" w:bidi="ar"/>
              </w:rPr>
              <w:t>23</w:t>
            </w:r>
          </w:p>
        </w:tc>
        <w:tc>
          <w:tcPr>
            <w:tcW w:w="1669" w:type="pct"/>
            <w:tcBorders>
              <w:tl2br w:val="nil"/>
              <w:tr2bl w:val="nil"/>
            </w:tcBorders>
            <w:noWrap/>
            <w:vAlign w:val="center"/>
          </w:tcPr>
          <w:p w14:paraId="13D3FFAF">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55.8</w:t>
            </w:r>
          </w:p>
        </w:tc>
      </w:tr>
      <w:tr w14:paraId="7C1EB70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462E4053">
            <w:pPr>
              <w:widowControl/>
              <w:jc w:val="center"/>
              <w:textAlignment w:val="center"/>
              <w:rPr>
                <w:color w:val="auto"/>
                <w:szCs w:val="21"/>
              </w:rPr>
            </w:pPr>
            <w:r>
              <w:rPr>
                <w:color w:val="auto"/>
                <w:kern w:val="0"/>
                <w:szCs w:val="21"/>
                <w:lang w:bidi="ar"/>
              </w:rPr>
              <w:t>西厂界处</w:t>
            </w:r>
          </w:p>
        </w:tc>
        <w:tc>
          <w:tcPr>
            <w:tcW w:w="831" w:type="pct"/>
            <w:vMerge w:val="continue"/>
            <w:tcBorders>
              <w:tl2br w:val="nil"/>
              <w:tr2bl w:val="nil"/>
            </w:tcBorders>
            <w:noWrap/>
            <w:vAlign w:val="center"/>
          </w:tcPr>
          <w:p w14:paraId="75E90218">
            <w:pPr>
              <w:jc w:val="center"/>
              <w:rPr>
                <w:color w:val="auto"/>
                <w:szCs w:val="21"/>
              </w:rPr>
            </w:pPr>
          </w:p>
        </w:tc>
        <w:tc>
          <w:tcPr>
            <w:tcW w:w="1669" w:type="pct"/>
            <w:tcBorders>
              <w:tl2br w:val="nil"/>
              <w:tr2bl w:val="nil"/>
            </w:tcBorders>
            <w:noWrap/>
            <w:vAlign w:val="center"/>
          </w:tcPr>
          <w:p w14:paraId="552F89C5">
            <w:pPr>
              <w:widowControl/>
              <w:jc w:val="center"/>
              <w:textAlignment w:val="center"/>
              <w:rPr>
                <w:rFonts w:hint="default"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w:t>
            </w:r>
            <w:r>
              <w:rPr>
                <w:rFonts w:hint="eastAsia"/>
                <w:color w:val="auto"/>
                <w:kern w:val="0"/>
                <w:szCs w:val="21"/>
                <w:lang w:val="en-US" w:eastAsia="zh-CN" w:bidi="ar"/>
              </w:rPr>
              <w:t>36</w:t>
            </w:r>
          </w:p>
        </w:tc>
        <w:tc>
          <w:tcPr>
            <w:tcW w:w="1669" w:type="pct"/>
            <w:tcBorders>
              <w:tl2br w:val="nil"/>
              <w:tr2bl w:val="nil"/>
            </w:tcBorders>
            <w:noWrap/>
            <w:vAlign w:val="center"/>
          </w:tcPr>
          <w:p w14:paraId="6F80C029">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54.4</w:t>
            </w:r>
          </w:p>
        </w:tc>
      </w:tr>
      <w:tr w14:paraId="125EC5F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00786295">
            <w:pPr>
              <w:widowControl/>
              <w:jc w:val="center"/>
              <w:textAlignment w:val="center"/>
              <w:rPr>
                <w:color w:val="auto"/>
                <w:szCs w:val="21"/>
              </w:rPr>
            </w:pPr>
            <w:r>
              <w:rPr>
                <w:color w:val="auto"/>
                <w:kern w:val="0"/>
                <w:szCs w:val="21"/>
                <w:lang w:bidi="ar"/>
              </w:rPr>
              <w:t>北厂界处</w:t>
            </w:r>
          </w:p>
        </w:tc>
        <w:tc>
          <w:tcPr>
            <w:tcW w:w="831" w:type="pct"/>
            <w:vMerge w:val="continue"/>
            <w:tcBorders>
              <w:tl2br w:val="nil"/>
              <w:tr2bl w:val="nil"/>
            </w:tcBorders>
            <w:noWrap/>
            <w:vAlign w:val="center"/>
          </w:tcPr>
          <w:p w14:paraId="22798F3C">
            <w:pPr>
              <w:jc w:val="center"/>
              <w:rPr>
                <w:color w:val="auto"/>
                <w:szCs w:val="21"/>
              </w:rPr>
            </w:pPr>
          </w:p>
        </w:tc>
        <w:tc>
          <w:tcPr>
            <w:tcW w:w="1669" w:type="pct"/>
            <w:tcBorders>
              <w:tl2br w:val="nil"/>
              <w:tr2bl w:val="nil"/>
            </w:tcBorders>
            <w:noWrap/>
            <w:vAlign w:val="center"/>
          </w:tcPr>
          <w:p w14:paraId="0CE44C75">
            <w:pPr>
              <w:widowControl/>
              <w:jc w:val="center"/>
              <w:textAlignment w:val="center"/>
              <w:rPr>
                <w:rFonts w:hint="eastAsia"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:0</w:t>
            </w:r>
            <w:r>
              <w:rPr>
                <w:rFonts w:hint="eastAsia"/>
                <w:color w:val="auto"/>
                <w:kern w:val="0"/>
                <w:szCs w:val="21"/>
                <w:lang w:val="en-US" w:eastAsia="zh-CN" w:bidi="ar"/>
              </w:rPr>
              <w:t>9</w:t>
            </w:r>
          </w:p>
        </w:tc>
        <w:tc>
          <w:tcPr>
            <w:tcW w:w="1669" w:type="pct"/>
            <w:tcBorders>
              <w:tl2br w:val="nil"/>
              <w:tr2bl w:val="nil"/>
            </w:tcBorders>
            <w:noWrap/>
            <w:vAlign w:val="center"/>
          </w:tcPr>
          <w:p w14:paraId="7BC8EF82">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54.9</w:t>
            </w:r>
          </w:p>
        </w:tc>
      </w:tr>
    </w:tbl>
    <w:p w14:paraId="2FF8977E">
      <w:pPr>
        <w:spacing w:line="360" w:lineRule="auto"/>
        <w:ind w:firstLine="480" w:firstLineChars="200"/>
        <w:rPr>
          <w:color w:val="auto"/>
          <w:sz w:val="24"/>
        </w:rPr>
      </w:pPr>
      <w:r>
        <w:rPr>
          <w:rFonts w:hint="eastAsia"/>
          <w:color w:val="auto"/>
          <w:sz w:val="24"/>
        </w:rPr>
        <w:t>由上表可知，</w:t>
      </w:r>
      <w:r>
        <w:rPr>
          <w:color w:val="auto"/>
          <w:sz w:val="24"/>
        </w:rPr>
        <w:t>厂界四周</w:t>
      </w:r>
      <w:r>
        <w:rPr>
          <w:rFonts w:hint="eastAsia"/>
          <w:color w:val="auto"/>
          <w:sz w:val="24"/>
        </w:rPr>
        <w:t>昼夜</w:t>
      </w:r>
      <w:r>
        <w:rPr>
          <w:color w:val="auto"/>
          <w:sz w:val="24"/>
        </w:rPr>
        <w:t>噪声均符合《声环境质量标准》（GB3096-2008）中3类标准要求。</w:t>
      </w:r>
    </w:p>
    <w:p w14:paraId="6ED8951D">
      <w:pPr>
        <w:spacing w:line="360" w:lineRule="auto"/>
        <w:outlineLvl w:val="2"/>
        <w:rPr>
          <w:b/>
          <w:bCs/>
          <w:color w:val="auto"/>
          <w:sz w:val="24"/>
        </w:rPr>
      </w:pPr>
      <w:r>
        <w:rPr>
          <w:b/>
          <w:bCs/>
          <w:color w:val="auto"/>
          <w:sz w:val="24"/>
        </w:rPr>
        <w:t>4.3.5土壤环境现状监测与评价</w:t>
      </w:r>
    </w:p>
    <w:p w14:paraId="05DD594C">
      <w:pPr>
        <w:spacing w:line="360" w:lineRule="auto"/>
        <w:ind w:firstLine="480" w:firstLineChars="200"/>
        <w:rPr>
          <w:color w:val="auto"/>
          <w:sz w:val="24"/>
          <w:szCs w:val="32"/>
        </w:rPr>
      </w:pPr>
      <w:r>
        <w:rPr>
          <w:color w:val="auto"/>
          <w:sz w:val="24"/>
          <w:szCs w:val="32"/>
        </w:rPr>
        <w:t>本次后环评</w:t>
      </w:r>
      <w:r>
        <w:rPr>
          <w:rFonts w:hint="eastAsia"/>
          <w:color w:val="auto"/>
          <w:sz w:val="24"/>
          <w:szCs w:val="32"/>
          <w:lang w:val="en-US" w:eastAsia="zh-CN"/>
        </w:rPr>
        <w:t>委托合肥圆规监测技术有限公司于2026年3月14日</w:t>
      </w:r>
      <w:r>
        <w:rPr>
          <w:color w:val="auto"/>
          <w:sz w:val="24"/>
          <w:szCs w:val="32"/>
        </w:rPr>
        <w:t>对</w:t>
      </w:r>
      <w:r>
        <w:rPr>
          <w:rFonts w:hint="eastAsia"/>
          <w:color w:val="auto"/>
          <w:sz w:val="24"/>
          <w:szCs w:val="32"/>
          <w:lang w:val="en-US" w:eastAsia="zh-CN"/>
        </w:rPr>
        <w:t>项目</w:t>
      </w:r>
      <w:r>
        <w:rPr>
          <w:color w:val="auto"/>
          <w:sz w:val="24"/>
          <w:szCs w:val="32"/>
        </w:rPr>
        <w:t>所在地土壤进行了取样监测。</w:t>
      </w:r>
    </w:p>
    <w:p w14:paraId="17B7717C">
      <w:pPr>
        <w:spacing w:line="360" w:lineRule="auto"/>
        <w:ind w:firstLine="480" w:firstLineChars="200"/>
        <w:rPr>
          <w:color w:val="auto"/>
          <w:sz w:val="24"/>
          <w:szCs w:val="32"/>
        </w:rPr>
      </w:pPr>
      <w:bookmarkStart w:id="351" w:name="_Toc8023"/>
      <w:bookmarkStart w:id="352" w:name="_Toc7696"/>
      <w:r>
        <w:rPr>
          <w:color w:val="auto"/>
          <w:sz w:val="24"/>
          <w:szCs w:val="32"/>
        </w:rPr>
        <w:t>1、监测点位</w:t>
      </w:r>
      <w:bookmarkEnd w:id="351"/>
      <w:bookmarkEnd w:id="352"/>
    </w:p>
    <w:p w14:paraId="7389505A">
      <w:pPr>
        <w:spacing w:line="360" w:lineRule="auto"/>
        <w:ind w:firstLine="480" w:firstLineChars="200"/>
        <w:rPr>
          <w:color w:val="auto"/>
          <w:sz w:val="24"/>
          <w:szCs w:val="24"/>
        </w:rPr>
      </w:pPr>
      <w:r>
        <w:rPr>
          <w:rFonts w:hint="eastAsia"/>
          <w:color w:val="auto"/>
          <w:sz w:val="24"/>
          <w:szCs w:val="24"/>
          <w:lang w:val="en-US" w:eastAsia="zh-CN"/>
        </w:rPr>
        <w:t>本次共布设三个监测点位，分别为</w:t>
      </w:r>
      <w:r>
        <w:rPr>
          <w:rFonts w:hint="eastAsia" w:ascii="Times New Roman" w:hAnsi="Times New Roman" w:cs="Times New Roman"/>
          <w:color w:val="auto"/>
          <w:sz w:val="24"/>
          <w:szCs w:val="24"/>
          <w:lang w:val="en-US" w:eastAsia="zh-CN"/>
        </w:rPr>
        <w:t>成品库</w:t>
      </w:r>
      <w:r>
        <w:rPr>
          <w:rFonts w:hint="default" w:ascii="Times New Roman" w:hAnsi="Times New Roman" w:cs="Times New Roman"/>
          <w:color w:val="auto"/>
          <w:sz w:val="24"/>
          <w:szCs w:val="24"/>
          <w:lang w:val="en-US" w:eastAsia="zh-CN"/>
        </w:rPr>
        <w:t>（T1）</w:t>
      </w:r>
      <w:r>
        <w:rPr>
          <w:rFonts w:hint="eastAsia" w:ascii="Times New Roman" w:hAnsi="Times New Roman" w:cs="Times New Roman"/>
          <w:color w:val="auto"/>
          <w:sz w:val="24"/>
          <w:szCs w:val="24"/>
          <w:lang w:val="en-US" w:eastAsia="zh-CN"/>
        </w:rPr>
        <w:t>、生产车间（T2）、原料库（T3），具体监测点位布设情况见表4-12及图4-4</w:t>
      </w:r>
      <w:r>
        <w:rPr>
          <w:color w:val="auto"/>
          <w:sz w:val="24"/>
          <w:szCs w:val="24"/>
        </w:rPr>
        <w:t>。</w:t>
      </w:r>
    </w:p>
    <w:p w14:paraId="344B2DCC">
      <w:pPr>
        <w:spacing w:line="360" w:lineRule="auto"/>
        <w:jc w:val="center"/>
        <w:rPr>
          <w:rFonts w:hint="default" w:eastAsia="宋体"/>
          <w:b/>
          <w:bCs/>
          <w:color w:val="auto"/>
          <w:sz w:val="24"/>
          <w:szCs w:val="32"/>
          <w:lang w:val="en-US" w:eastAsia="zh-CN"/>
        </w:rPr>
      </w:pPr>
      <w:bookmarkStart w:id="353" w:name="_Toc18235"/>
      <w:bookmarkStart w:id="354" w:name="_Toc23089"/>
      <w:r>
        <w:rPr>
          <w:rFonts w:hint="eastAsia"/>
          <w:b/>
          <w:bCs/>
          <w:color w:val="auto"/>
          <w:sz w:val="24"/>
          <w:szCs w:val="32"/>
          <w:lang w:val="en-US" w:eastAsia="zh-CN"/>
        </w:rPr>
        <w:t>表4-12 厂区土壤环境质量监测点位一览表</w:t>
      </w:r>
    </w:p>
    <w:tbl>
      <w:tblPr>
        <w:tblStyle w:val="32"/>
        <w:tblW w:w="4971"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43"/>
        <w:gridCol w:w="3914"/>
        <w:gridCol w:w="2334"/>
        <w:gridCol w:w="1625"/>
        <w:gridCol w:w="1288"/>
      </w:tblGrid>
      <w:tr w14:paraId="23EE75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4" w:hRule="atLeast"/>
        </w:trPr>
        <w:tc>
          <w:tcPr>
            <w:tcW w:w="375" w:type="pct"/>
            <w:tcBorders>
              <w:tl2br w:val="nil"/>
              <w:tr2bl w:val="nil"/>
            </w:tcBorders>
            <w:vAlign w:val="center"/>
          </w:tcPr>
          <w:p w14:paraId="3D96A209">
            <w:pPr>
              <w:widowControl w:val="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序号</w:t>
            </w:r>
          </w:p>
        </w:tc>
        <w:tc>
          <w:tcPr>
            <w:tcW w:w="1975" w:type="pct"/>
            <w:tcBorders>
              <w:tl2br w:val="nil"/>
              <w:tr2bl w:val="nil"/>
            </w:tcBorders>
            <w:vAlign w:val="center"/>
          </w:tcPr>
          <w:p w14:paraId="064305B0">
            <w:pPr>
              <w:widowControl w:val="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监测点位</w:t>
            </w:r>
          </w:p>
        </w:tc>
        <w:tc>
          <w:tcPr>
            <w:tcW w:w="1178" w:type="pct"/>
            <w:tcBorders>
              <w:tl2br w:val="nil"/>
              <w:tr2bl w:val="nil"/>
            </w:tcBorders>
            <w:vAlign w:val="center"/>
          </w:tcPr>
          <w:p w14:paraId="0CDE0E03">
            <w:pPr>
              <w:widowControl w:val="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监测因子</w:t>
            </w:r>
          </w:p>
        </w:tc>
        <w:tc>
          <w:tcPr>
            <w:tcW w:w="820" w:type="pct"/>
            <w:tcBorders>
              <w:tl2br w:val="nil"/>
              <w:tr2bl w:val="nil"/>
            </w:tcBorders>
            <w:vAlign w:val="center"/>
          </w:tcPr>
          <w:p w14:paraId="7EE43E6C">
            <w:pPr>
              <w:widowControl w:val="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监测点类别</w:t>
            </w:r>
          </w:p>
        </w:tc>
        <w:tc>
          <w:tcPr>
            <w:tcW w:w="650" w:type="pct"/>
            <w:tcBorders>
              <w:tl2br w:val="nil"/>
              <w:tr2bl w:val="nil"/>
            </w:tcBorders>
            <w:vAlign w:val="center"/>
          </w:tcPr>
          <w:p w14:paraId="14C2BA5B">
            <w:pPr>
              <w:widowControl w:val="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备注</w:t>
            </w:r>
          </w:p>
        </w:tc>
      </w:tr>
      <w:tr w14:paraId="32CC69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375" w:type="pct"/>
            <w:tcBorders>
              <w:tl2br w:val="nil"/>
              <w:tr2bl w:val="nil"/>
            </w:tcBorders>
            <w:vAlign w:val="center"/>
          </w:tcPr>
          <w:p w14:paraId="0F7CB225">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w:t>
            </w:r>
          </w:p>
        </w:tc>
        <w:tc>
          <w:tcPr>
            <w:tcW w:w="1975" w:type="pct"/>
            <w:tcBorders>
              <w:tl2br w:val="nil"/>
              <w:tr2bl w:val="nil"/>
            </w:tcBorders>
            <w:vAlign w:val="center"/>
          </w:tcPr>
          <w:p w14:paraId="1D9957DD">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成品库（T1）</w:t>
            </w:r>
          </w:p>
          <w:p w14:paraId="087CD951">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E:116.712127589，N:33.894830347</w:t>
            </w:r>
          </w:p>
        </w:tc>
        <w:tc>
          <w:tcPr>
            <w:tcW w:w="1178" w:type="pct"/>
            <w:vMerge w:val="restart"/>
            <w:tcBorders>
              <w:tl2br w:val="nil"/>
              <w:tr2bl w:val="nil"/>
            </w:tcBorders>
            <w:vAlign w:val="center"/>
          </w:tcPr>
          <w:p w14:paraId="1ED5BC83">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b w:val="0"/>
                <w:bCs w:val="0"/>
                <w:color w:val="auto"/>
                <w:kern w:val="2"/>
                <w:sz w:val="21"/>
                <w:szCs w:val="21"/>
                <w:vertAlign w:val="baseline"/>
                <w:lang w:val="en-US" w:eastAsia="zh-CN" w:bidi="ar-SA"/>
              </w:rPr>
              <w:t>pH+45项基本因子</w:t>
            </w:r>
          </w:p>
        </w:tc>
        <w:tc>
          <w:tcPr>
            <w:tcW w:w="820" w:type="pct"/>
            <w:tcBorders>
              <w:tl2br w:val="nil"/>
              <w:tr2bl w:val="nil"/>
            </w:tcBorders>
            <w:vAlign w:val="center"/>
          </w:tcPr>
          <w:p w14:paraId="501154DC">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b w:val="0"/>
                <w:bCs w:val="0"/>
                <w:color w:val="auto"/>
                <w:kern w:val="2"/>
                <w:sz w:val="21"/>
                <w:szCs w:val="21"/>
                <w:vertAlign w:val="baseline"/>
                <w:lang w:val="en-US" w:eastAsia="zh-CN" w:bidi="ar-SA"/>
              </w:rPr>
              <w:t>表层样</w:t>
            </w:r>
          </w:p>
        </w:tc>
        <w:tc>
          <w:tcPr>
            <w:tcW w:w="650" w:type="pct"/>
            <w:tcBorders>
              <w:tl2br w:val="nil"/>
              <w:tr2bl w:val="nil"/>
            </w:tcBorders>
            <w:vAlign w:val="center"/>
          </w:tcPr>
          <w:p w14:paraId="2281F5C6">
            <w:pPr>
              <w:widowControl w:val="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cs="Times New Roman"/>
                <w:b w:val="0"/>
                <w:bCs w:val="0"/>
                <w:color w:val="auto"/>
                <w:kern w:val="2"/>
                <w:sz w:val="21"/>
                <w:szCs w:val="21"/>
                <w:vertAlign w:val="baseline"/>
                <w:lang w:val="en-US" w:eastAsia="zh-CN" w:bidi="ar-SA"/>
              </w:rPr>
              <w:t>/</w:t>
            </w:r>
          </w:p>
        </w:tc>
      </w:tr>
      <w:tr w14:paraId="40E018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75" w:type="pct"/>
            <w:tcBorders>
              <w:tl2br w:val="nil"/>
              <w:tr2bl w:val="nil"/>
            </w:tcBorders>
            <w:vAlign w:val="center"/>
          </w:tcPr>
          <w:p w14:paraId="758B3ED2">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w:t>
            </w:r>
          </w:p>
        </w:tc>
        <w:tc>
          <w:tcPr>
            <w:tcW w:w="1975" w:type="pct"/>
            <w:tcBorders>
              <w:tl2br w:val="nil"/>
              <w:tr2bl w:val="nil"/>
            </w:tcBorders>
            <w:vAlign w:val="center"/>
          </w:tcPr>
          <w:p w14:paraId="338634BE">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生产车间（T2）</w:t>
            </w:r>
          </w:p>
          <w:p w14:paraId="1ECE9394">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E:116.712857150，N:33.894787431</w:t>
            </w:r>
          </w:p>
        </w:tc>
        <w:tc>
          <w:tcPr>
            <w:tcW w:w="1178" w:type="pct"/>
            <w:vMerge w:val="continue"/>
            <w:tcBorders>
              <w:tl2br w:val="nil"/>
              <w:tr2bl w:val="nil"/>
            </w:tcBorders>
            <w:vAlign w:val="center"/>
          </w:tcPr>
          <w:p w14:paraId="6E453FDC">
            <w:pPr>
              <w:widowControl w:val="0"/>
              <w:jc w:val="center"/>
              <w:rPr>
                <w:rFonts w:hint="default" w:ascii="Times New Roman" w:hAnsi="Times New Roman" w:cs="Times New Roman"/>
                <w:color w:val="auto"/>
                <w:sz w:val="21"/>
                <w:szCs w:val="21"/>
                <w:lang w:val="en-US" w:eastAsia="zh-CN"/>
              </w:rPr>
            </w:pPr>
          </w:p>
        </w:tc>
        <w:tc>
          <w:tcPr>
            <w:tcW w:w="820" w:type="pct"/>
            <w:tcBorders>
              <w:tl2br w:val="nil"/>
              <w:tr2bl w:val="nil"/>
            </w:tcBorders>
            <w:vAlign w:val="center"/>
          </w:tcPr>
          <w:p w14:paraId="25A3EB5B">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b w:val="0"/>
                <w:bCs w:val="0"/>
                <w:color w:val="auto"/>
                <w:kern w:val="2"/>
                <w:sz w:val="21"/>
                <w:szCs w:val="21"/>
                <w:vertAlign w:val="baseline"/>
                <w:lang w:val="en-US" w:eastAsia="zh-CN" w:bidi="ar-SA"/>
              </w:rPr>
              <w:t>表层样</w:t>
            </w:r>
          </w:p>
        </w:tc>
        <w:tc>
          <w:tcPr>
            <w:tcW w:w="650" w:type="pct"/>
            <w:tcBorders>
              <w:tl2br w:val="nil"/>
              <w:tr2bl w:val="nil"/>
            </w:tcBorders>
            <w:vAlign w:val="center"/>
          </w:tcPr>
          <w:p w14:paraId="68484FE1">
            <w:pPr>
              <w:widowControl w:val="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cs="Times New Roman"/>
                <w:b w:val="0"/>
                <w:bCs w:val="0"/>
                <w:color w:val="auto"/>
                <w:kern w:val="2"/>
                <w:sz w:val="21"/>
                <w:szCs w:val="21"/>
                <w:vertAlign w:val="baseline"/>
                <w:lang w:val="en-US" w:eastAsia="zh-CN" w:bidi="ar-SA"/>
              </w:rPr>
              <w:t>/</w:t>
            </w:r>
          </w:p>
        </w:tc>
      </w:tr>
      <w:tr w14:paraId="7DE9E4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75" w:type="pct"/>
            <w:tcBorders>
              <w:tl2br w:val="nil"/>
              <w:tr2bl w:val="nil"/>
            </w:tcBorders>
            <w:shd w:val="clear" w:color="auto" w:fill="auto"/>
            <w:vAlign w:val="center"/>
          </w:tcPr>
          <w:p w14:paraId="25255B4E">
            <w:pPr>
              <w:widowControl w:val="0"/>
              <w:jc w:val="center"/>
              <w:rPr>
                <w:rFonts w:hint="default" w:ascii="Times New Roman" w:hAnsi="Times New Roman" w:eastAsia="宋体" w:cs="Times New Roman"/>
                <w:snapToGrid w:val="0"/>
                <w:color w:val="auto"/>
                <w:kern w:val="0"/>
                <w:sz w:val="21"/>
                <w:szCs w:val="21"/>
                <w:lang w:val="en-US" w:eastAsia="zh-CN" w:bidi="ar-SA"/>
              </w:rPr>
            </w:pPr>
            <w:r>
              <w:rPr>
                <w:rFonts w:hint="default" w:ascii="Times New Roman" w:hAnsi="Times New Roman" w:cs="Times New Roman"/>
                <w:color w:val="auto"/>
                <w:sz w:val="21"/>
                <w:szCs w:val="21"/>
                <w:lang w:val="en-US" w:eastAsia="zh-CN"/>
              </w:rPr>
              <w:t>3</w:t>
            </w:r>
          </w:p>
        </w:tc>
        <w:tc>
          <w:tcPr>
            <w:tcW w:w="1975" w:type="pct"/>
            <w:tcBorders>
              <w:tl2br w:val="nil"/>
              <w:tr2bl w:val="nil"/>
            </w:tcBorders>
            <w:shd w:val="clear" w:color="auto" w:fill="auto"/>
            <w:vAlign w:val="center"/>
          </w:tcPr>
          <w:p w14:paraId="1F785A13">
            <w:pPr>
              <w:widowControl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原料库（T3）</w:t>
            </w:r>
          </w:p>
          <w:p w14:paraId="394C5035">
            <w:pPr>
              <w:widowControl w:val="0"/>
              <w:jc w:val="center"/>
              <w:rPr>
                <w:rFonts w:hint="default" w:ascii="Times New Roman" w:hAnsi="Times New Roman" w:eastAsia="宋体" w:cs="Times New Roman"/>
                <w:snapToGrid w:val="0"/>
                <w:color w:val="auto"/>
                <w:kern w:val="0"/>
                <w:sz w:val="21"/>
                <w:szCs w:val="21"/>
                <w:lang w:val="en-US" w:eastAsia="zh-CN" w:bidi="ar-SA"/>
              </w:rPr>
            </w:pPr>
            <w:r>
              <w:rPr>
                <w:rFonts w:hint="default" w:ascii="Times New Roman" w:hAnsi="Times New Roman" w:cs="Times New Roman"/>
                <w:color w:val="auto"/>
                <w:sz w:val="21"/>
                <w:szCs w:val="21"/>
                <w:lang w:val="en-US" w:eastAsia="zh-CN"/>
              </w:rPr>
              <w:t>E:116.713699364</w:t>
            </w:r>
            <w:r>
              <w:rPr>
                <w:rFonts w:hint="eastAsia" w:ascii="Times New Roman" w:hAnsi="Times New Roman" w:cs="Times New Roman"/>
                <w:color w:val="auto"/>
                <w:sz w:val="21"/>
                <w:szCs w:val="21"/>
                <w:lang w:val="en-US" w:eastAsia="zh-CN"/>
              </w:rPr>
              <w:t>，</w:t>
            </w:r>
            <w:r>
              <w:rPr>
                <w:rFonts w:hint="default" w:ascii="Times New Roman" w:hAnsi="Times New Roman" w:cs="Times New Roman"/>
                <w:color w:val="auto"/>
                <w:sz w:val="21"/>
                <w:szCs w:val="21"/>
                <w:lang w:val="en-US" w:eastAsia="zh-CN"/>
              </w:rPr>
              <w:t>N:33.894749880</w:t>
            </w:r>
          </w:p>
        </w:tc>
        <w:tc>
          <w:tcPr>
            <w:tcW w:w="1178" w:type="pct"/>
            <w:vMerge w:val="continue"/>
            <w:tcBorders>
              <w:tl2br w:val="nil"/>
              <w:tr2bl w:val="nil"/>
            </w:tcBorders>
            <w:vAlign w:val="center"/>
          </w:tcPr>
          <w:p w14:paraId="3BFFE964">
            <w:pPr>
              <w:widowControl w:val="0"/>
              <w:jc w:val="center"/>
              <w:rPr>
                <w:rFonts w:hint="default" w:ascii="Times New Roman" w:hAnsi="Times New Roman" w:cs="Times New Roman"/>
                <w:color w:val="auto"/>
                <w:sz w:val="21"/>
                <w:szCs w:val="21"/>
                <w:lang w:val="en-US" w:eastAsia="zh-CN"/>
              </w:rPr>
            </w:pPr>
          </w:p>
        </w:tc>
        <w:tc>
          <w:tcPr>
            <w:tcW w:w="820" w:type="pct"/>
            <w:tcBorders>
              <w:tl2br w:val="nil"/>
              <w:tr2bl w:val="nil"/>
            </w:tcBorders>
            <w:vAlign w:val="center"/>
          </w:tcPr>
          <w:p w14:paraId="6ECCABDF">
            <w:pPr>
              <w:widowControl w:val="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cs="Times New Roman"/>
                <w:b w:val="0"/>
                <w:bCs w:val="0"/>
                <w:color w:val="auto"/>
                <w:kern w:val="2"/>
                <w:sz w:val="21"/>
                <w:szCs w:val="21"/>
                <w:vertAlign w:val="baseline"/>
                <w:lang w:val="en-US" w:eastAsia="zh-CN" w:bidi="ar-SA"/>
              </w:rPr>
              <w:t>表层样</w:t>
            </w:r>
          </w:p>
        </w:tc>
        <w:tc>
          <w:tcPr>
            <w:tcW w:w="650" w:type="pct"/>
            <w:tcBorders>
              <w:tl2br w:val="nil"/>
              <w:tr2bl w:val="nil"/>
            </w:tcBorders>
            <w:vAlign w:val="center"/>
          </w:tcPr>
          <w:p w14:paraId="770079B8">
            <w:pPr>
              <w:widowControl w:val="0"/>
              <w:jc w:val="center"/>
              <w:rPr>
                <w:rFonts w:hint="default" w:ascii="Times New Roman" w:hAnsi="Times New Roman" w:eastAsia="宋体" w:cs="Times New Roman"/>
                <w:b w:val="0"/>
                <w:bCs w:val="0"/>
                <w:color w:val="auto"/>
                <w:kern w:val="2"/>
                <w:sz w:val="21"/>
                <w:szCs w:val="21"/>
                <w:vertAlign w:val="baseline"/>
                <w:lang w:val="en-US" w:eastAsia="zh-CN" w:bidi="ar-SA"/>
              </w:rPr>
            </w:pPr>
            <w:r>
              <w:rPr>
                <w:rFonts w:hint="default" w:ascii="Times New Roman" w:hAnsi="Times New Roman" w:cs="Times New Roman"/>
                <w:b w:val="0"/>
                <w:bCs w:val="0"/>
                <w:color w:val="auto"/>
                <w:kern w:val="2"/>
                <w:sz w:val="21"/>
                <w:szCs w:val="21"/>
                <w:vertAlign w:val="baseline"/>
                <w:lang w:val="en-US" w:eastAsia="zh-CN" w:bidi="ar-SA"/>
              </w:rPr>
              <w:t>/</w:t>
            </w:r>
          </w:p>
        </w:tc>
      </w:tr>
    </w:tbl>
    <w:p w14:paraId="45CB0424">
      <w:pPr>
        <w:spacing w:line="360" w:lineRule="auto"/>
        <w:rPr>
          <w:color w:val="auto"/>
          <w:sz w:val="24"/>
          <w:szCs w:val="32"/>
        </w:rPr>
      </w:pPr>
    </w:p>
    <w:p w14:paraId="621AAFB6">
      <w:pPr>
        <w:spacing w:line="360" w:lineRule="auto"/>
        <w:rPr>
          <w:rFonts w:hint="eastAsia" w:eastAsia="宋体"/>
          <w:color w:val="auto"/>
          <w:sz w:val="24"/>
          <w:szCs w:val="32"/>
          <w:lang w:eastAsia="zh-CN"/>
        </w:rPr>
      </w:pPr>
      <w:r>
        <w:rPr>
          <w:color w:val="auto"/>
          <w:sz w:val="24"/>
        </w:rPr>
        <mc:AlternateContent>
          <mc:Choice Requires="wps">
            <w:drawing>
              <wp:anchor distT="0" distB="0" distL="114300" distR="114300" simplePos="0" relativeHeight="251815936" behindDoc="0" locked="0" layoutInCell="1" allowOverlap="1">
                <wp:simplePos x="0" y="0"/>
                <wp:positionH relativeFrom="column">
                  <wp:posOffset>211455</wp:posOffset>
                </wp:positionH>
                <wp:positionV relativeFrom="paragraph">
                  <wp:posOffset>4563110</wp:posOffset>
                </wp:positionV>
                <wp:extent cx="163195" cy="161925"/>
                <wp:effectExtent l="4445" t="4445" r="22860" b="5080"/>
                <wp:wrapNone/>
                <wp:docPr id="184" name="椭圆 184"/>
                <wp:cNvGraphicFramePr/>
                <a:graphic xmlns:a="http://schemas.openxmlformats.org/drawingml/2006/main">
                  <a:graphicData uri="http://schemas.microsoft.com/office/word/2010/wordprocessingShape">
                    <wps:wsp>
                      <wps:cNvSpPr/>
                      <wps:spPr>
                        <a:xfrm>
                          <a:off x="0" y="0"/>
                          <a:ext cx="163195" cy="161925"/>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6.65pt;margin-top:359.3pt;height:12.75pt;width:12.85pt;z-index:251815936;v-text-anchor:middle;mso-width-relative:page;mso-height-relative:page;" fillcolor="#FFFF00" filled="t" stroked="t" coordsize="21600,21600" o:gfxdata="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BMwG/Z1wAAAAkBAAAPAAAAAAAAAAEAIAAAACIA&#10;AABkcnMvZG93bnJldi54bWxQSwECFAAUAAAACACHTuJATdMwfHwCAAAEBQAADgAAAAAAAAABACAA&#10;AAAmAQAAZHJzL2Uyb0RvYy54bWxQSwUGAAAAAAYABgBZAQAAFAYAAAAA&#10;">
                <v:fill on="t" focussize="0,0"/>
                <v:stroke weight="0.25pt" color="#376092 [2404]" joinstyle="round"/>
                <v:imagedata o:title=""/>
                <o:lock v:ext="edit" aspectratio="f"/>
              </v:shape>
            </w:pict>
          </mc:Fallback>
        </mc:AlternateContent>
      </w:r>
      <w:r>
        <w:rPr>
          <w:color w:val="auto"/>
          <w:sz w:val="21"/>
        </w:rPr>
        <mc:AlternateContent>
          <mc:Choice Requires="wps">
            <w:drawing>
              <wp:anchor distT="0" distB="0" distL="114300" distR="114300" simplePos="0" relativeHeight="251814912" behindDoc="0" locked="0" layoutInCell="1" allowOverlap="1">
                <wp:simplePos x="0" y="0"/>
                <wp:positionH relativeFrom="column">
                  <wp:posOffset>167005</wp:posOffset>
                </wp:positionH>
                <wp:positionV relativeFrom="paragraph">
                  <wp:posOffset>4293870</wp:posOffset>
                </wp:positionV>
                <wp:extent cx="265430" cy="163195"/>
                <wp:effectExtent l="6350" t="6350" r="13970" b="20955"/>
                <wp:wrapNone/>
                <wp:docPr id="183" name="矩形 183"/>
                <wp:cNvGraphicFramePr/>
                <a:graphic xmlns:a="http://schemas.openxmlformats.org/drawingml/2006/main">
                  <a:graphicData uri="http://schemas.microsoft.com/office/word/2010/wordprocessingShape">
                    <wps:wsp>
                      <wps:cNvSpPr/>
                      <wps:spPr>
                        <a:xfrm>
                          <a:off x="852805" y="5208270"/>
                          <a:ext cx="265430" cy="163195"/>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3.15pt;margin-top:338.1pt;height:12.85pt;width:20.9pt;z-index:251814912;v-text-anchor:middle;mso-width-relative:page;mso-height-relative:page;" filled="f" stroked="t" coordsize="21600,21600" o:gfxdata="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Eic0Q/WAAAACQEAAA8AAAAAAAAAAQAgAAAAIgAAAGRycy9kb3ducmV2LnhtbFBL&#10;AQIUABQAAAAIAIdO4kDWHrM3agIAAMIEAAAOAAAAAAAAAAEAIAAAACUBAABkcnMvZTJvRG9jLnht&#10;bFBLBQYAAAAABgAGAFkBAAABBgAAAAA=&#10;">
                <v:fill on="f" focussize="0,0"/>
                <v:stroke weight="1pt" color="#FF0000 [2404]" joinstyle="round"/>
                <v:imagedata o:title=""/>
                <o:lock v:ext="edit" aspectratio="f"/>
              </v:rect>
            </w:pict>
          </mc:Fallback>
        </mc:AlternateContent>
      </w:r>
      <w:r>
        <w:rPr>
          <w:color w:val="auto"/>
          <w:sz w:val="21"/>
        </w:rPr>
        <mc:AlternateContent>
          <mc:Choice Requires="wps">
            <w:drawing>
              <wp:anchor distT="0" distB="0" distL="114300" distR="114300" simplePos="0" relativeHeight="251813888" behindDoc="0" locked="0" layoutInCell="1" allowOverlap="1">
                <wp:simplePos x="0" y="0"/>
                <wp:positionH relativeFrom="column">
                  <wp:posOffset>58420</wp:posOffset>
                </wp:positionH>
                <wp:positionV relativeFrom="paragraph">
                  <wp:posOffset>3871595</wp:posOffset>
                </wp:positionV>
                <wp:extent cx="1163320" cy="932180"/>
                <wp:effectExtent l="4445" t="4445" r="13335" b="15875"/>
                <wp:wrapNone/>
                <wp:docPr id="182" name="文本框 182"/>
                <wp:cNvGraphicFramePr/>
                <a:graphic xmlns:a="http://schemas.openxmlformats.org/drawingml/2006/main">
                  <a:graphicData uri="http://schemas.microsoft.com/office/word/2010/wordprocessingShape">
                    <wps:wsp>
                      <wps:cNvSpPr txBox="1"/>
                      <wps:spPr>
                        <a:xfrm>
                          <a:off x="744220" y="5010785"/>
                          <a:ext cx="1163320" cy="93218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6CBF9DA">
                            <w:pPr>
                              <w:spacing w:line="360" w:lineRule="auto"/>
                              <w:jc w:val="center"/>
                              <w:rPr>
                                <w:rFonts w:hint="eastAsia"/>
                                <w:b/>
                                <w:bCs/>
                                <w:lang w:val="en-US" w:eastAsia="zh-CN"/>
                              </w:rPr>
                            </w:pPr>
                            <w:r>
                              <w:rPr>
                                <w:rFonts w:hint="eastAsia"/>
                                <w:b/>
                                <w:bCs/>
                                <w:lang w:val="en-US" w:eastAsia="zh-CN"/>
                              </w:rPr>
                              <w:t>图例</w:t>
                            </w:r>
                          </w:p>
                          <w:p w14:paraId="432EEF24">
                            <w:pPr>
                              <w:spacing w:line="360" w:lineRule="auto"/>
                              <w:jc w:val="right"/>
                              <w:rPr>
                                <w:rFonts w:hint="eastAsia"/>
                                <w:b w:val="0"/>
                                <w:bCs w:val="0"/>
                                <w:lang w:val="en-US" w:eastAsia="zh-CN"/>
                              </w:rPr>
                            </w:pPr>
                            <w:r>
                              <w:rPr>
                                <w:rFonts w:hint="eastAsia"/>
                                <w:b w:val="0"/>
                                <w:bCs w:val="0"/>
                                <w:lang w:val="en-US" w:eastAsia="zh-CN"/>
                              </w:rPr>
                              <w:t>项目厂址</w:t>
                            </w:r>
                          </w:p>
                          <w:p w14:paraId="7122D2DA">
                            <w:pPr>
                              <w:spacing w:line="360" w:lineRule="auto"/>
                              <w:jc w:val="right"/>
                              <w:rPr>
                                <w:rFonts w:hint="default"/>
                                <w:b/>
                                <w:bCs/>
                                <w:lang w:val="en-US" w:eastAsia="zh-CN"/>
                              </w:rPr>
                            </w:pPr>
                            <w:r>
                              <w:rPr>
                                <w:rFonts w:hint="eastAsia"/>
                                <w:b w:val="0"/>
                                <w:bCs w:val="0"/>
                                <w:lang w:val="en-US" w:eastAsia="zh-CN"/>
                              </w:rPr>
                              <w:t>监测点位</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6pt;margin-top:304.85pt;height:73.4pt;width:91.6pt;z-index:251813888;mso-width-relative:page;mso-height-relative:page;" fillcolor="#FFFFFF [3201]" filled="t" stroked="t" coordsize="21600,21600" o:gfxdata="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tL0ji1gAAAAkBAAAPAAAAAAAAAAEAIAAAACIAAABkcnMvZG93bnJldi54bWxQSwECFAAU&#10;AAAACACHTuJAtZ9I8WUCAADGBAAADgAAAAAAAAABACAAAAAlAQAAZHJzL2Uyb0RvYy54bWxQSwUG&#10;AAAAAAYABgBZAQAA/AUAAAAA&#10;">
                <v:fill on="t" focussize="0,0"/>
                <v:stroke weight="0.5pt" color="#000000 [3204]" joinstyle="round"/>
                <v:imagedata o:title=""/>
                <o:lock v:ext="edit" aspectratio="f"/>
                <v:textbox>
                  <w:txbxContent>
                    <w:p w14:paraId="46CBF9DA">
                      <w:pPr>
                        <w:spacing w:line="360" w:lineRule="auto"/>
                        <w:jc w:val="center"/>
                        <w:rPr>
                          <w:rFonts w:hint="eastAsia"/>
                          <w:b/>
                          <w:bCs/>
                          <w:lang w:val="en-US" w:eastAsia="zh-CN"/>
                        </w:rPr>
                      </w:pPr>
                      <w:r>
                        <w:rPr>
                          <w:rFonts w:hint="eastAsia"/>
                          <w:b/>
                          <w:bCs/>
                          <w:lang w:val="en-US" w:eastAsia="zh-CN"/>
                        </w:rPr>
                        <w:t>图例</w:t>
                      </w:r>
                    </w:p>
                    <w:p w14:paraId="432EEF24">
                      <w:pPr>
                        <w:spacing w:line="360" w:lineRule="auto"/>
                        <w:jc w:val="right"/>
                        <w:rPr>
                          <w:rFonts w:hint="eastAsia"/>
                          <w:b w:val="0"/>
                          <w:bCs w:val="0"/>
                          <w:lang w:val="en-US" w:eastAsia="zh-CN"/>
                        </w:rPr>
                      </w:pPr>
                      <w:r>
                        <w:rPr>
                          <w:rFonts w:hint="eastAsia"/>
                          <w:b w:val="0"/>
                          <w:bCs w:val="0"/>
                          <w:lang w:val="en-US" w:eastAsia="zh-CN"/>
                        </w:rPr>
                        <w:t>项目厂址</w:t>
                      </w:r>
                    </w:p>
                    <w:p w14:paraId="7122D2DA">
                      <w:pPr>
                        <w:spacing w:line="360" w:lineRule="auto"/>
                        <w:jc w:val="right"/>
                        <w:rPr>
                          <w:rFonts w:hint="default"/>
                          <w:b/>
                          <w:bCs/>
                          <w:lang w:val="en-US" w:eastAsia="zh-CN"/>
                        </w:rPr>
                      </w:pPr>
                      <w:r>
                        <w:rPr>
                          <w:rFonts w:hint="eastAsia"/>
                          <w:b w:val="0"/>
                          <w:bCs w:val="0"/>
                          <w:lang w:val="en-US" w:eastAsia="zh-CN"/>
                        </w:rPr>
                        <w:t>监测点位</w:t>
                      </w:r>
                    </w:p>
                  </w:txbxContent>
                </v:textbox>
              </v:shape>
            </w:pict>
          </mc:Fallback>
        </mc:AlternateContent>
      </w:r>
      <w:r>
        <w:rPr>
          <w:color w:val="auto"/>
        </w:rPr>
        <w:drawing>
          <wp:anchor distT="0" distB="0" distL="114300" distR="114300" simplePos="0" relativeHeight="251812864" behindDoc="0" locked="0" layoutInCell="1" allowOverlap="1">
            <wp:simplePos x="0" y="0"/>
            <wp:positionH relativeFrom="column">
              <wp:posOffset>5420360</wp:posOffset>
            </wp:positionH>
            <wp:positionV relativeFrom="paragraph">
              <wp:posOffset>31115</wp:posOffset>
            </wp:positionV>
            <wp:extent cx="758190" cy="1022985"/>
            <wp:effectExtent l="0" t="0" r="3810" b="5715"/>
            <wp:wrapNone/>
            <wp:docPr id="175" name="图片 175" descr="风向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风向标"/>
                    <pic:cNvPicPr>
                      <a:picLocks noChangeAspect="1"/>
                    </pic:cNvPicPr>
                  </pic:nvPicPr>
                  <pic:blipFill>
                    <a:blip r:embed="rId18"/>
                    <a:srcRect l="8090" t="1916" r="5231" b="6034"/>
                    <a:stretch>
                      <a:fillRect/>
                    </a:stretch>
                  </pic:blipFill>
                  <pic:spPr>
                    <a:xfrm>
                      <a:off x="0" y="0"/>
                      <a:ext cx="758190" cy="1022985"/>
                    </a:xfrm>
                    <a:prstGeom prst="rect">
                      <a:avLst/>
                    </a:prstGeom>
                  </pic:spPr>
                </pic:pic>
              </a:graphicData>
            </a:graphic>
          </wp:anchor>
        </w:drawing>
      </w:r>
      <w:r>
        <w:rPr>
          <w:color w:val="auto"/>
          <w:sz w:val="24"/>
        </w:rPr>
        <mc:AlternateContent>
          <mc:Choice Requires="wps">
            <w:drawing>
              <wp:anchor distT="0" distB="0" distL="114300" distR="114300" simplePos="0" relativeHeight="251811840" behindDoc="0" locked="0" layoutInCell="1" allowOverlap="1">
                <wp:simplePos x="0" y="0"/>
                <wp:positionH relativeFrom="column">
                  <wp:posOffset>3690620</wp:posOffset>
                </wp:positionH>
                <wp:positionV relativeFrom="paragraph">
                  <wp:posOffset>2618740</wp:posOffset>
                </wp:positionV>
                <wp:extent cx="1026160" cy="259080"/>
                <wp:effectExtent l="0" t="0" r="0" b="0"/>
                <wp:wrapNone/>
                <wp:docPr id="107" name="文本框 107"/>
                <wp:cNvGraphicFramePr/>
                <a:graphic xmlns:a="http://schemas.openxmlformats.org/drawingml/2006/main">
                  <a:graphicData uri="http://schemas.microsoft.com/office/word/2010/wordprocessingShape">
                    <wps:wsp>
                      <wps:cNvSpPr txBox="1"/>
                      <wps:spPr>
                        <a:xfrm>
                          <a:off x="0" y="0"/>
                          <a:ext cx="1026160" cy="2590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1B3C0F">
                            <w:pPr>
                              <w:rPr>
                                <w:rFonts w:hint="default" w:eastAsia="宋体"/>
                                <w:b/>
                                <w:bCs/>
                                <w:color w:val="FFFF00"/>
                                <w:lang w:val="en-US" w:eastAsia="zh-CN"/>
                              </w:rPr>
                            </w:pPr>
                            <w:r>
                              <w:rPr>
                                <w:rFonts w:hint="eastAsia"/>
                                <w:b/>
                                <w:bCs/>
                                <w:color w:val="FFFF00"/>
                                <w:lang w:val="en-US" w:eastAsia="zh-CN"/>
                              </w:rPr>
                              <w:t>T3原料库</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0.6pt;margin-top:206.2pt;height:20.4pt;width:80.8pt;z-index:251811840;mso-width-relative:page;mso-height-relative:page;" filled="f" stroked="f" coordsize="21600,21600" o:gfxdata="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D0HJ/tsAAAALAQAADwAAAAAAAAABACAAAAAiAAAA&#10;ZHJzL2Rvd25yZXYueG1sUEsBAhQAFAAAAAgAh07iQCoY4JQ9AgAAagQAAA4AAAAAAAAAAQAgAAAA&#10;KgEAAGRycy9lMm9Eb2MueG1sUEsFBgAAAAAGAAYAWQEAANkFAAAAAA==&#10;">
                <v:fill on="f" focussize="0,0"/>
                <v:stroke on="f" weight="0.5pt"/>
                <v:imagedata o:title=""/>
                <o:lock v:ext="edit" aspectratio="f"/>
                <v:textbox>
                  <w:txbxContent>
                    <w:p w14:paraId="551B3C0F">
                      <w:pPr>
                        <w:rPr>
                          <w:rFonts w:hint="default" w:eastAsia="宋体"/>
                          <w:b/>
                          <w:bCs/>
                          <w:color w:val="FFFF00"/>
                          <w:lang w:val="en-US" w:eastAsia="zh-CN"/>
                        </w:rPr>
                      </w:pPr>
                      <w:r>
                        <w:rPr>
                          <w:rFonts w:hint="eastAsia"/>
                          <w:b/>
                          <w:bCs/>
                          <w:color w:val="FFFF00"/>
                          <w:lang w:val="en-US" w:eastAsia="zh-CN"/>
                        </w:rPr>
                        <w:t>T3原料库</w:t>
                      </w:r>
                    </w:p>
                  </w:txbxContent>
                </v:textbox>
              </v:shape>
            </w:pict>
          </mc:Fallback>
        </mc:AlternateContent>
      </w:r>
      <w:r>
        <w:rPr>
          <w:color w:val="auto"/>
          <w:sz w:val="24"/>
        </w:rPr>
        <mc:AlternateContent>
          <mc:Choice Requires="wps">
            <w:drawing>
              <wp:anchor distT="0" distB="0" distL="114300" distR="114300" simplePos="0" relativeHeight="251810816" behindDoc="0" locked="0" layoutInCell="1" allowOverlap="1">
                <wp:simplePos x="0" y="0"/>
                <wp:positionH relativeFrom="column">
                  <wp:posOffset>3102610</wp:posOffset>
                </wp:positionH>
                <wp:positionV relativeFrom="paragraph">
                  <wp:posOffset>2901950</wp:posOffset>
                </wp:positionV>
                <wp:extent cx="1026160" cy="259080"/>
                <wp:effectExtent l="0" t="0" r="0" b="0"/>
                <wp:wrapNone/>
                <wp:docPr id="105" name="文本框 105"/>
                <wp:cNvGraphicFramePr/>
                <a:graphic xmlns:a="http://schemas.openxmlformats.org/drawingml/2006/main">
                  <a:graphicData uri="http://schemas.microsoft.com/office/word/2010/wordprocessingShape">
                    <wps:wsp>
                      <wps:cNvSpPr txBox="1"/>
                      <wps:spPr>
                        <a:xfrm>
                          <a:off x="0" y="0"/>
                          <a:ext cx="1026160" cy="2590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FDE3EA">
                            <w:pPr>
                              <w:rPr>
                                <w:rFonts w:hint="default" w:eastAsia="宋体"/>
                                <w:b/>
                                <w:bCs/>
                                <w:color w:val="FFFF00"/>
                                <w:lang w:val="en-US" w:eastAsia="zh-CN"/>
                              </w:rPr>
                            </w:pPr>
                            <w:r>
                              <w:rPr>
                                <w:rFonts w:hint="eastAsia"/>
                                <w:b/>
                                <w:bCs/>
                                <w:color w:val="FFFF00"/>
                                <w:lang w:val="en-US" w:eastAsia="zh-CN"/>
                              </w:rPr>
                              <w:t>T2生产车间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4.3pt;margin-top:228.5pt;height:20.4pt;width:80.8pt;z-index:251810816;mso-width-relative:page;mso-height-relative:page;" filled="f" stroked="f" coordsize="21600,21600" o:gfxdata="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jnIUZtwAAAALAQAADwAAAAAAAAABACAAAAAiAAAA&#10;ZHJzL2Rvd25yZXYueG1sUEsBAhQAFAAAAAgAh07iQE/R7mk8AgAAagQAAA4AAAAAAAAAAQAgAAAA&#10;KwEAAGRycy9lMm9Eb2MueG1sUEsFBgAAAAAGAAYAWQEAANkFAAAAAA==&#10;">
                <v:fill on="f" focussize="0,0"/>
                <v:stroke on="f" weight="0.5pt"/>
                <v:imagedata o:title=""/>
                <o:lock v:ext="edit" aspectratio="f"/>
                <v:textbox>
                  <w:txbxContent>
                    <w:p w14:paraId="34FDE3EA">
                      <w:pPr>
                        <w:rPr>
                          <w:rFonts w:hint="default" w:eastAsia="宋体"/>
                          <w:b/>
                          <w:bCs/>
                          <w:color w:val="FFFF00"/>
                          <w:lang w:val="en-US" w:eastAsia="zh-CN"/>
                        </w:rPr>
                      </w:pPr>
                      <w:r>
                        <w:rPr>
                          <w:rFonts w:hint="eastAsia"/>
                          <w:b/>
                          <w:bCs/>
                          <w:color w:val="FFFF00"/>
                          <w:lang w:val="en-US" w:eastAsia="zh-CN"/>
                        </w:rPr>
                        <w:t>T2生产车间</w:t>
                      </w:r>
                    </w:p>
                  </w:txbxContent>
                </v:textbox>
              </v:shape>
            </w:pict>
          </mc:Fallback>
        </mc:AlternateContent>
      </w:r>
      <w:r>
        <w:rPr>
          <w:color w:val="auto"/>
          <w:sz w:val="24"/>
        </w:rPr>
        <mc:AlternateContent>
          <mc:Choice Requires="wps">
            <w:drawing>
              <wp:anchor distT="0" distB="0" distL="114300" distR="114300" simplePos="0" relativeHeight="251807744" behindDoc="0" locked="0" layoutInCell="1" allowOverlap="1">
                <wp:simplePos x="0" y="0"/>
                <wp:positionH relativeFrom="column">
                  <wp:posOffset>3007995</wp:posOffset>
                </wp:positionH>
                <wp:positionV relativeFrom="paragraph">
                  <wp:posOffset>2902585</wp:posOffset>
                </wp:positionV>
                <wp:extent cx="163195" cy="161925"/>
                <wp:effectExtent l="4445" t="4445" r="22860" b="5080"/>
                <wp:wrapNone/>
                <wp:docPr id="65" name="椭圆 65"/>
                <wp:cNvGraphicFramePr/>
                <a:graphic xmlns:a="http://schemas.openxmlformats.org/drawingml/2006/main">
                  <a:graphicData uri="http://schemas.microsoft.com/office/word/2010/wordprocessingShape">
                    <wps:wsp>
                      <wps:cNvSpPr/>
                      <wps:spPr>
                        <a:xfrm>
                          <a:off x="0" y="0"/>
                          <a:ext cx="163195" cy="161925"/>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36.85pt;margin-top:228.55pt;height:12.75pt;width:12.85pt;z-index:251807744;v-text-anchor:middle;mso-width-relative:page;mso-height-relative:page;" fillcolor="#FFFF00" filled="t" stroked="t" coordsize="21600,21600" o:gfxdata="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IU+hKDZAAAACwEAAA8AAAAAAAAAAQAgAAAA&#10;IgAAAGRycy9kb3ducmV2LnhtbFBLAQIUABQAAAAIAIdO4kDcNf3YfAIAAAIFAAAOAAAAAAAAAAEA&#10;IAAAACgBAABkcnMvZTJvRG9jLnhtbFBLBQYAAAAABgAGAFkBAAAWBgAAAAA=&#1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809792" behindDoc="0" locked="0" layoutInCell="1" allowOverlap="1">
                <wp:simplePos x="0" y="0"/>
                <wp:positionH relativeFrom="column">
                  <wp:posOffset>2473960</wp:posOffset>
                </wp:positionH>
                <wp:positionV relativeFrom="paragraph">
                  <wp:posOffset>2532380</wp:posOffset>
                </wp:positionV>
                <wp:extent cx="869950" cy="259080"/>
                <wp:effectExtent l="0" t="0" r="0" b="0"/>
                <wp:wrapNone/>
                <wp:docPr id="104" name="文本框 104"/>
                <wp:cNvGraphicFramePr/>
                <a:graphic xmlns:a="http://schemas.openxmlformats.org/drawingml/2006/main">
                  <a:graphicData uri="http://schemas.microsoft.com/office/word/2010/wordprocessingShape">
                    <wps:wsp>
                      <wps:cNvSpPr txBox="1"/>
                      <wps:spPr>
                        <a:xfrm>
                          <a:off x="3390900" y="3576320"/>
                          <a:ext cx="869950" cy="2590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809D30">
                            <w:pPr>
                              <w:rPr>
                                <w:rFonts w:hint="default" w:eastAsia="宋体"/>
                                <w:b/>
                                <w:bCs/>
                                <w:color w:val="FFFF00"/>
                                <w:lang w:val="en-US" w:eastAsia="zh-CN"/>
                              </w:rPr>
                            </w:pPr>
                            <w:r>
                              <w:rPr>
                                <w:rFonts w:hint="eastAsia"/>
                                <w:b/>
                                <w:bCs/>
                                <w:color w:val="FFFF00"/>
                                <w:lang w:val="en-US" w:eastAsia="zh-CN"/>
                              </w:rPr>
                              <w:t>T1成品库</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4.8pt;margin-top:199.4pt;height:20.4pt;width:68.5pt;z-index:251809792;mso-width-relative:page;mso-height-relative:page;" filled="f" stroked="f" coordsize="21600,21600" o:gfxdata="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sX8kF9sAAAALAQAADwAAAAAAAAAB&#10;ACAAAAAiAAAAZHJzL2Rvd25yZXYueG1sUEsBAhQAFAAAAAgAh07iQB8/XphGAgAAdQQAAA4AAAAA&#10;AAAAAQAgAAAAKgEAAGRycy9lMm9Eb2MueG1sUEsFBgAAAAAGAAYAWQEAAOIFAAAAAA==&#10;">
                <v:fill on="f" focussize="0,0"/>
                <v:stroke on="f" weight="0.5pt"/>
                <v:imagedata o:title=""/>
                <o:lock v:ext="edit" aspectratio="f"/>
                <v:textbox>
                  <w:txbxContent>
                    <w:p w14:paraId="4D809D30">
                      <w:pPr>
                        <w:rPr>
                          <w:rFonts w:hint="default" w:eastAsia="宋体"/>
                          <w:b/>
                          <w:bCs/>
                          <w:color w:val="FFFF00"/>
                          <w:lang w:val="en-US" w:eastAsia="zh-CN"/>
                        </w:rPr>
                      </w:pPr>
                      <w:r>
                        <w:rPr>
                          <w:rFonts w:hint="eastAsia"/>
                          <w:b/>
                          <w:bCs/>
                          <w:color w:val="FFFF00"/>
                          <w:lang w:val="en-US" w:eastAsia="zh-CN"/>
                        </w:rPr>
                        <w:t>T1成品库</w:t>
                      </w:r>
                    </w:p>
                  </w:txbxContent>
                </v:textbox>
              </v:shape>
            </w:pict>
          </mc:Fallback>
        </mc:AlternateContent>
      </w:r>
      <w:r>
        <w:rPr>
          <w:color w:val="auto"/>
          <w:sz w:val="24"/>
        </w:rPr>
        <mc:AlternateContent>
          <mc:Choice Requires="wps">
            <w:drawing>
              <wp:anchor distT="0" distB="0" distL="114300" distR="114300" simplePos="0" relativeHeight="251806720" behindDoc="0" locked="0" layoutInCell="1" allowOverlap="1">
                <wp:simplePos x="0" y="0"/>
                <wp:positionH relativeFrom="column">
                  <wp:posOffset>2413000</wp:posOffset>
                </wp:positionH>
                <wp:positionV relativeFrom="paragraph">
                  <wp:posOffset>2492375</wp:posOffset>
                </wp:positionV>
                <wp:extent cx="163195" cy="161925"/>
                <wp:effectExtent l="4445" t="4445" r="22860" b="5080"/>
                <wp:wrapNone/>
                <wp:docPr id="64" name="椭圆 64"/>
                <wp:cNvGraphicFramePr/>
                <a:graphic xmlns:a="http://schemas.openxmlformats.org/drawingml/2006/main">
                  <a:graphicData uri="http://schemas.microsoft.com/office/word/2010/wordprocessingShape">
                    <wps:wsp>
                      <wps:cNvSpPr/>
                      <wps:spPr>
                        <a:xfrm>
                          <a:off x="2914650" y="3365500"/>
                          <a:ext cx="163195" cy="161925"/>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90pt;margin-top:196.25pt;height:12.75pt;width:12.85pt;z-index:251806720;v-text-anchor:middle;mso-width-relative:page;mso-height-relative:page;" fillcolor="#FFFF00" filled="t" stroked="t" coordsize="21600,21600" o:gfxdata="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BrZsAW2QAAAAsBAAAPAAAA&#10;AAAAAAEAIAAAACIAAABkcnMvZG93bnJldi54bWxQSwECFAAUAAAACACHTuJAmqjZtoYCAAAOBQAA&#10;DgAAAAAAAAABACAAAAAoAQAAZHJzL2Uyb0RvYy54bWxQSwUGAAAAAAYABgBZAQAAIAYAAAAA&#10;">
                <v:fill on="t" focussize="0,0"/>
                <v:stroke weight="0.25pt" color="#376092 [2404]" joinstyle="round"/>
                <v:imagedata o:title=""/>
                <o:lock v:ext="edit" aspectratio="f"/>
              </v:shape>
            </w:pict>
          </mc:Fallback>
        </mc:AlternateContent>
      </w:r>
      <w:r>
        <w:rPr>
          <w:color w:val="auto"/>
          <w:sz w:val="24"/>
        </w:rPr>
        <mc:AlternateContent>
          <mc:Choice Requires="wps">
            <w:drawing>
              <wp:anchor distT="0" distB="0" distL="114300" distR="114300" simplePos="0" relativeHeight="251808768" behindDoc="0" locked="0" layoutInCell="1" allowOverlap="1">
                <wp:simplePos x="0" y="0"/>
                <wp:positionH relativeFrom="column">
                  <wp:posOffset>3599815</wp:posOffset>
                </wp:positionH>
                <wp:positionV relativeFrom="paragraph">
                  <wp:posOffset>2590165</wp:posOffset>
                </wp:positionV>
                <wp:extent cx="163195" cy="161925"/>
                <wp:effectExtent l="4445" t="4445" r="22860" b="5080"/>
                <wp:wrapNone/>
                <wp:docPr id="74" name="椭圆 74"/>
                <wp:cNvGraphicFramePr/>
                <a:graphic xmlns:a="http://schemas.openxmlformats.org/drawingml/2006/main">
                  <a:graphicData uri="http://schemas.microsoft.com/office/word/2010/wordprocessingShape">
                    <wps:wsp>
                      <wps:cNvSpPr/>
                      <wps:spPr>
                        <a:xfrm>
                          <a:off x="0" y="0"/>
                          <a:ext cx="163195" cy="161925"/>
                        </a:xfrm>
                        <a:prstGeom prst="ellipse">
                          <a:avLst/>
                        </a:prstGeom>
                        <a:solidFill>
                          <a:srgbClr val="FFFF00"/>
                        </a:solidFill>
                        <a:ln w="3175"/>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83.45pt;margin-top:203.95pt;height:12.75pt;width:12.85pt;z-index:251808768;v-text-anchor:middle;mso-width-relative:page;mso-height-relative:page;" fillcolor="#FFFF00" filled="t" stroked="t" coordsize="21600,21600" o:gfxdata="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P7W9qzaAAAACwEAAA8AAAAAAAAAAQAgAAAA&#10;IgAAAGRycy9kb3ducmV2LnhtbFBLAQIUABQAAAAIAIdO4kA0WDHoewIAAAIFAAAOAAAAAAAAAAEA&#10;IAAAACkBAABkcnMvZTJvRG9jLnhtbFBLBQYAAAAABgAGAFkBAAAWBgAAAAA=&#10;">
                <v:fill on="t" focussize="0,0"/>
                <v:stroke weight="0.25pt" color="#376092 [2404]" joinstyle="round"/>
                <v:imagedata o:title=""/>
                <o:lock v:ext="edit" aspectratio="f"/>
              </v:shape>
            </w:pict>
          </mc:Fallback>
        </mc:AlternateContent>
      </w:r>
      <w:r>
        <w:rPr>
          <w:rFonts w:hint="eastAsia" w:eastAsia="宋体"/>
          <w:color w:val="auto"/>
          <w:sz w:val="24"/>
          <w:szCs w:val="32"/>
          <w:lang w:eastAsia="zh-CN"/>
        </w:rPr>
        <w:drawing>
          <wp:inline distT="0" distB="0" distL="114300" distR="114300">
            <wp:extent cx="6184900" cy="5087620"/>
            <wp:effectExtent l="0" t="0" r="6350" b="17780"/>
            <wp:docPr id="55" name="图片 5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1"/>
                    <pic:cNvPicPr>
                      <a:picLocks noChangeAspect="1"/>
                    </pic:cNvPicPr>
                  </pic:nvPicPr>
                  <pic:blipFill>
                    <a:blip r:embed="rId42"/>
                    <a:stretch>
                      <a:fillRect/>
                    </a:stretch>
                  </pic:blipFill>
                  <pic:spPr>
                    <a:xfrm>
                      <a:off x="0" y="0"/>
                      <a:ext cx="6184900" cy="5087620"/>
                    </a:xfrm>
                    <a:prstGeom prst="rect">
                      <a:avLst/>
                    </a:prstGeom>
                  </pic:spPr>
                </pic:pic>
              </a:graphicData>
            </a:graphic>
          </wp:inline>
        </w:drawing>
      </w:r>
    </w:p>
    <w:p w14:paraId="7A42AC50">
      <w:pPr>
        <w:spacing w:line="360" w:lineRule="auto"/>
        <w:jc w:val="center"/>
        <w:rPr>
          <w:rFonts w:hint="default" w:eastAsia="宋体"/>
          <w:color w:val="auto"/>
          <w:sz w:val="24"/>
          <w:szCs w:val="32"/>
          <w:lang w:val="en-US" w:eastAsia="zh-CN"/>
        </w:rPr>
      </w:pPr>
      <w:r>
        <w:rPr>
          <w:rFonts w:hint="eastAsia"/>
          <w:b/>
          <w:bCs/>
          <w:color w:val="auto"/>
          <w:sz w:val="24"/>
          <w:szCs w:val="32"/>
          <w:lang w:val="en-US" w:eastAsia="zh-CN"/>
        </w:rPr>
        <w:t>图4-4 厂区土壤环境质量监测点位示意图</w:t>
      </w:r>
    </w:p>
    <w:p w14:paraId="75DC7046">
      <w:pPr>
        <w:spacing w:line="360" w:lineRule="auto"/>
        <w:ind w:firstLine="480" w:firstLineChars="200"/>
        <w:rPr>
          <w:color w:val="auto"/>
          <w:sz w:val="24"/>
          <w:szCs w:val="32"/>
        </w:rPr>
      </w:pPr>
      <w:r>
        <w:rPr>
          <w:color w:val="auto"/>
          <w:sz w:val="24"/>
          <w:szCs w:val="32"/>
        </w:rPr>
        <w:t>2、监测时间及频率</w:t>
      </w:r>
      <w:bookmarkEnd w:id="353"/>
      <w:bookmarkEnd w:id="354"/>
    </w:p>
    <w:p w14:paraId="24CC16B5">
      <w:pPr>
        <w:spacing w:line="360" w:lineRule="auto"/>
        <w:ind w:firstLine="480" w:firstLineChars="200"/>
        <w:rPr>
          <w:color w:val="auto"/>
          <w:sz w:val="24"/>
          <w:szCs w:val="32"/>
        </w:rPr>
      </w:pPr>
      <w:r>
        <w:rPr>
          <w:color w:val="auto"/>
          <w:sz w:val="24"/>
          <w:szCs w:val="32"/>
        </w:rPr>
        <w:t>监测时间为</w:t>
      </w:r>
      <w:r>
        <w:rPr>
          <w:rFonts w:hint="eastAsia"/>
          <w:color w:val="auto"/>
          <w:sz w:val="24"/>
          <w:szCs w:val="32"/>
          <w:lang w:val="en-US" w:eastAsia="zh-CN"/>
        </w:rPr>
        <w:t>2026年3月14日，监测1次</w:t>
      </w:r>
      <w:r>
        <w:rPr>
          <w:color w:val="auto"/>
          <w:sz w:val="24"/>
          <w:szCs w:val="32"/>
        </w:rPr>
        <w:t>。</w:t>
      </w:r>
    </w:p>
    <w:p w14:paraId="448FD92C">
      <w:pPr>
        <w:spacing w:line="360" w:lineRule="auto"/>
        <w:ind w:firstLine="480" w:firstLineChars="200"/>
        <w:rPr>
          <w:color w:val="auto"/>
          <w:sz w:val="24"/>
          <w:szCs w:val="32"/>
        </w:rPr>
      </w:pPr>
      <w:bookmarkStart w:id="355" w:name="_Toc17396"/>
      <w:bookmarkStart w:id="356" w:name="_Toc28867"/>
      <w:r>
        <w:rPr>
          <w:color w:val="auto"/>
          <w:sz w:val="24"/>
          <w:szCs w:val="32"/>
        </w:rPr>
        <w:t>3、监测项目</w:t>
      </w:r>
      <w:bookmarkEnd w:id="355"/>
      <w:bookmarkEnd w:id="356"/>
    </w:p>
    <w:p w14:paraId="5D8B4865">
      <w:pPr>
        <w:spacing w:line="360" w:lineRule="auto"/>
        <w:ind w:firstLine="480" w:firstLineChars="200"/>
        <w:rPr>
          <w:color w:val="auto"/>
          <w:sz w:val="24"/>
          <w:szCs w:val="32"/>
        </w:rPr>
      </w:pPr>
      <w:r>
        <w:rPr>
          <w:color w:val="auto"/>
          <w:sz w:val="24"/>
          <w:szCs w:val="32"/>
        </w:rPr>
        <w:t>基本因子：</w:t>
      </w:r>
      <w:r>
        <w:rPr>
          <w:rFonts w:hint="eastAsia"/>
          <w:color w:val="auto"/>
          <w:sz w:val="24"/>
          <w:szCs w:val="32"/>
          <w:lang w:val="en-US" w:eastAsia="zh-CN"/>
        </w:rPr>
        <w:t>pH、</w:t>
      </w:r>
      <w:r>
        <w:rPr>
          <w:color w:val="auto"/>
          <w:sz w:val="24"/>
          <w:szCs w:val="32"/>
        </w:rPr>
        <w:t>砷、镉、铬、铜、铅、汞、镍、四氯化碳、氯仿、氯甲烷、1,1-二氯乙烷、1,2-二氯乙烷、1,1-二氯乙烯、顺-1,2-二氯乙烯、反-1,2-二氯乙烯、二氯甲烷、1,2-二氯丙烷、1,1,1,2-四氯乙烷、1,1,2,2-四氯乙烷、四氯乙烯、1,1,1,-三氯乙烷、1,1,2-三氯乙烷、三氯乙烯、1,2,3-三氯丙烷、氯乙烯、苯、氯苯、1,2-二氯苯、1,4-二氯苯、乙苯、苯乙烯、甲苯、间二甲苯+对二甲苯、邻二甲苯、硝基苯、苯胺、2-氯酚、苯并[a]蒽、苯并[a]芘、苯并[b]荧蒽、苯并[k]荧蒽、䓛、二苯并[a,h]蒽、茆并[1，2,3-cd]芘、萘共45项。</w:t>
      </w:r>
    </w:p>
    <w:p w14:paraId="1DAC9F40">
      <w:pPr>
        <w:spacing w:line="360" w:lineRule="auto"/>
        <w:ind w:firstLine="480" w:firstLineChars="200"/>
        <w:rPr>
          <w:color w:val="auto"/>
          <w:sz w:val="24"/>
          <w:szCs w:val="32"/>
        </w:rPr>
      </w:pPr>
      <w:bookmarkStart w:id="357" w:name="_Toc24061"/>
      <w:bookmarkStart w:id="358" w:name="_Toc21481"/>
      <w:r>
        <w:rPr>
          <w:color w:val="auto"/>
          <w:sz w:val="24"/>
          <w:szCs w:val="32"/>
        </w:rPr>
        <w:t>4、监测结果</w:t>
      </w:r>
      <w:bookmarkEnd w:id="357"/>
      <w:bookmarkEnd w:id="358"/>
    </w:p>
    <w:p w14:paraId="026609FC">
      <w:pPr>
        <w:spacing w:line="360" w:lineRule="auto"/>
        <w:ind w:firstLine="480" w:firstLineChars="200"/>
        <w:rPr>
          <w:color w:val="auto"/>
        </w:rPr>
        <w:sectPr>
          <w:headerReference r:id="rId13" w:type="default"/>
          <w:footerReference r:id="rId14" w:type="default"/>
          <w:pgSz w:w="11906" w:h="16838"/>
          <w:pgMar w:top="1440" w:right="1080" w:bottom="144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pPr>
      <w:r>
        <w:rPr>
          <w:color w:val="auto"/>
          <w:sz w:val="24"/>
          <w:szCs w:val="32"/>
        </w:rPr>
        <w:t>项目土壤环境监测结果见下表：</w:t>
      </w:r>
    </w:p>
    <w:p w14:paraId="1F99B0B6">
      <w:pPr>
        <w:spacing w:line="360" w:lineRule="auto"/>
        <w:jc w:val="center"/>
        <w:rPr>
          <w:b/>
          <w:bCs/>
          <w:color w:val="auto"/>
          <w:sz w:val="24"/>
          <w:szCs w:val="32"/>
        </w:rPr>
      </w:pPr>
      <w:r>
        <w:rPr>
          <w:b/>
          <w:bCs/>
          <w:color w:val="auto"/>
          <w:sz w:val="24"/>
          <w:szCs w:val="32"/>
        </w:rPr>
        <w:t>表4-1</w:t>
      </w:r>
      <w:r>
        <w:rPr>
          <w:rFonts w:hint="eastAsia"/>
          <w:b/>
          <w:bCs/>
          <w:color w:val="auto"/>
          <w:sz w:val="24"/>
          <w:szCs w:val="32"/>
          <w:lang w:val="en-US" w:eastAsia="zh-CN"/>
        </w:rPr>
        <w:t>3</w:t>
      </w:r>
      <w:r>
        <w:rPr>
          <w:b/>
          <w:bCs/>
          <w:color w:val="auto"/>
          <w:sz w:val="24"/>
          <w:szCs w:val="32"/>
        </w:rPr>
        <w:t xml:space="preserve"> 土壤监测结果统计表  单位：mg/kg</w:t>
      </w:r>
    </w:p>
    <w:tbl>
      <w:tblPr>
        <w:tblStyle w:val="31"/>
        <w:tblW w:w="4989" w:type="pct"/>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108" w:type="dxa"/>
          <w:bottom w:w="0" w:type="dxa"/>
          <w:right w:w="108" w:type="dxa"/>
        </w:tblCellMar>
      </w:tblPr>
      <w:tblGrid>
        <w:gridCol w:w="1405"/>
        <w:gridCol w:w="753"/>
        <w:gridCol w:w="1558"/>
        <w:gridCol w:w="1558"/>
        <w:gridCol w:w="1559"/>
        <w:gridCol w:w="924"/>
        <w:gridCol w:w="1161"/>
        <w:gridCol w:w="1022"/>
      </w:tblGrid>
      <w:tr w14:paraId="2F97C32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55" w:hRule="atLeast"/>
          <w:jc w:val="center"/>
        </w:trPr>
        <w:tc>
          <w:tcPr>
            <w:tcW w:w="707" w:type="pct"/>
            <w:vMerge w:val="restart"/>
            <w:tcBorders>
              <w:tl2br w:val="nil"/>
              <w:tr2bl w:val="nil"/>
            </w:tcBorders>
            <w:vAlign w:val="center"/>
          </w:tcPr>
          <w:p w14:paraId="38E20BCB">
            <w:pPr>
              <w:spacing w:line="240" w:lineRule="auto"/>
              <w:jc w:val="center"/>
              <w:rPr>
                <w:b/>
                <w:color w:val="auto"/>
                <w:sz w:val="21"/>
                <w:szCs w:val="21"/>
              </w:rPr>
            </w:pPr>
            <w:r>
              <w:rPr>
                <w:b/>
                <w:color w:val="auto"/>
                <w:sz w:val="21"/>
                <w:szCs w:val="21"/>
              </w:rPr>
              <w:t>监测因子</w:t>
            </w:r>
          </w:p>
        </w:tc>
        <w:tc>
          <w:tcPr>
            <w:tcW w:w="378" w:type="pct"/>
            <w:vMerge w:val="restart"/>
            <w:tcBorders>
              <w:tl2br w:val="nil"/>
              <w:tr2bl w:val="nil"/>
            </w:tcBorders>
            <w:vAlign w:val="center"/>
          </w:tcPr>
          <w:p w14:paraId="4C5CB04D">
            <w:pPr>
              <w:spacing w:line="240" w:lineRule="auto"/>
              <w:jc w:val="center"/>
              <w:rPr>
                <w:rFonts w:hint="default" w:eastAsia="宋体"/>
                <w:b/>
                <w:color w:val="auto"/>
                <w:sz w:val="21"/>
                <w:szCs w:val="21"/>
                <w:lang w:val="en-US" w:eastAsia="zh-CN"/>
              </w:rPr>
            </w:pPr>
            <w:r>
              <w:rPr>
                <w:b/>
                <w:color w:val="auto"/>
                <w:sz w:val="21"/>
                <w:szCs w:val="21"/>
              </w:rPr>
              <w:t>单位</w:t>
            </w:r>
          </w:p>
        </w:tc>
        <w:tc>
          <w:tcPr>
            <w:tcW w:w="3913" w:type="pct"/>
            <w:gridSpan w:val="6"/>
            <w:tcBorders>
              <w:tl2br w:val="nil"/>
              <w:tr2bl w:val="nil"/>
            </w:tcBorders>
            <w:vAlign w:val="center"/>
          </w:tcPr>
          <w:p w14:paraId="735AD5E4">
            <w:pPr>
              <w:spacing w:line="240" w:lineRule="auto"/>
              <w:jc w:val="center"/>
              <w:rPr>
                <w:b/>
                <w:color w:val="auto"/>
                <w:sz w:val="21"/>
                <w:szCs w:val="21"/>
              </w:rPr>
            </w:pPr>
            <w:r>
              <w:rPr>
                <w:b/>
                <w:color w:val="auto"/>
                <w:sz w:val="21"/>
                <w:szCs w:val="21"/>
              </w:rPr>
              <w:t>检测结果</w:t>
            </w:r>
          </w:p>
        </w:tc>
      </w:tr>
      <w:tr w14:paraId="7FFFA29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93" w:hRule="atLeast"/>
          <w:jc w:val="center"/>
        </w:trPr>
        <w:tc>
          <w:tcPr>
            <w:tcW w:w="707" w:type="pct"/>
            <w:vMerge w:val="continue"/>
            <w:tcBorders>
              <w:tl2br w:val="nil"/>
              <w:tr2bl w:val="nil"/>
            </w:tcBorders>
            <w:vAlign w:val="center"/>
          </w:tcPr>
          <w:p w14:paraId="4BA7579A">
            <w:pPr>
              <w:spacing w:line="240" w:lineRule="auto"/>
              <w:jc w:val="center"/>
              <w:rPr>
                <w:color w:val="auto"/>
                <w:sz w:val="21"/>
                <w:szCs w:val="21"/>
              </w:rPr>
            </w:pPr>
          </w:p>
        </w:tc>
        <w:tc>
          <w:tcPr>
            <w:tcW w:w="378" w:type="pct"/>
            <w:vMerge w:val="continue"/>
            <w:tcBorders>
              <w:tl2br w:val="nil"/>
              <w:tr2bl w:val="nil"/>
            </w:tcBorders>
            <w:vAlign w:val="center"/>
          </w:tcPr>
          <w:p w14:paraId="57EB8F83">
            <w:pPr>
              <w:spacing w:line="240" w:lineRule="auto"/>
              <w:jc w:val="center"/>
              <w:rPr>
                <w:color w:val="auto"/>
                <w:sz w:val="21"/>
                <w:szCs w:val="21"/>
              </w:rPr>
            </w:pPr>
          </w:p>
        </w:tc>
        <w:tc>
          <w:tcPr>
            <w:tcW w:w="3913" w:type="pct"/>
            <w:gridSpan w:val="6"/>
            <w:tcBorders>
              <w:tl2br w:val="nil"/>
              <w:tr2bl w:val="nil"/>
            </w:tcBorders>
            <w:vAlign w:val="center"/>
          </w:tcPr>
          <w:p w14:paraId="0B76743C">
            <w:pPr>
              <w:spacing w:line="240" w:lineRule="auto"/>
              <w:jc w:val="center"/>
              <w:rPr>
                <w:rFonts w:hint="eastAsia"/>
                <w:color w:val="auto"/>
                <w:sz w:val="21"/>
                <w:szCs w:val="21"/>
                <w:lang w:val="en-US" w:eastAsia="zh-CN"/>
              </w:rPr>
            </w:pPr>
            <w:r>
              <w:rPr>
                <w:rFonts w:hint="eastAsia"/>
                <w:color w:val="auto"/>
                <w:sz w:val="21"/>
                <w:szCs w:val="21"/>
                <w:lang w:val="en-US" w:eastAsia="zh-CN"/>
              </w:rPr>
              <w:t>执行《土壤环境质量 建设用地土壤污染风险管控标准（试行）》第二类用地筛选值</w:t>
            </w:r>
          </w:p>
        </w:tc>
      </w:tr>
      <w:tr w14:paraId="4D3929E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vMerge w:val="continue"/>
            <w:tcBorders>
              <w:tl2br w:val="nil"/>
              <w:tr2bl w:val="nil"/>
            </w:tcBorders>
            <w:vAlign w:val="center"/>
          </w:tcPr>
          <w:p w14:paraId="3595DE9D">
            <w:pPr>
              <w:spacing w:line="240" w:lineRule="auto"/>
              <w:jc w:val="center"/>
              <w:rPr>
                <w:color w:val="auto"/>
                <w:sz w:val="21"/>
                <w:szCs w:val="21"/>
              </w:rPr>
            </w:pPr>
          </w:p>
        </w:tc>
        <w:tc>
          <w:tcPr>
            <w:tcW w:w="378" w:type="pct"/>
            <w:vMerge w:val="continue"/>
            <w:tcBorders>
              <w:tl2br w:val="nil"/>
              <w:tr2bl w:val="nil"/>
            </w:tcBorders>
            <w:vAlign w:val="center"/>
          </w:tcPr>
          <w:p w14:paraId="77BF2F0E">
            <w:pPr>
              <w:spacing w:line="240" w:lineRule="auto"/>
              <w:jc w:val="center"/>
              <w:rPr>
                <w:color w:val="auto"/>
                <w:sz w:val="21"/>
                <w:szCs w:val="21"/>
              </w:rPr>
            </w:pPr>
          </w:p>
        </w:tc>
        <w:tc>
          <w:tcPr>
            <w:tcW w:w="784" w:type="pct"/>
            <w:tcBorders>
              <w:tl2br w:val="nil"/>
              <w:tr2bl w:val="nil"/>
            </w:tcBorders>
            <w:vAlign w:val="center"/>
          </w:tcPr>
          <w:p w14:paraId="2760BBF3">
            <w:pPr>
              <w:spacing w:line="240" w:lineRule="auto"/>
              <w:jc w:val="center"/>
              <w:rPr>
                <w:rFonts w:hint="default"/>
                <w:color w:val="auto"/>
                <w:sz w:val="21"/>
                <w:szCs w:val="21"/>
                <w:lang w:val="en-US"/>
              </w:rPr>
            </w:pPr>
            <w:r>
              <w:rPr>
                <w:color w:val="auto"/>
                <w:sz w:val="21"/>
                <w:szCs w:val="21"/>
              </w:rPr>
              <w:t>T</w:t>
            </w:r>
            <w:r>
              <w:rPr>
                <w:rFonts w:hint="eastAsia"/>
                <w:color w:val="auto"/>
                <w:sz w:val="21"/>
                <w:szCs w:val="21"/>
                <w:lang w:val="en-US" w:eastAsia="zh-CN"/>
              </w:rPr>
              <w:t>1成品库</w:t>
            </w:r>
          </w:p>
        </w:tc>
        <w:tc>
          <w:tcPr>
            <w:tcW w:w="784" w:type="pct"/>
            <w:tcBorders>
              <w:tl2br w:val="nil"/>
              <w:tr2bl w:val="nil"/>
            </w:tcBorders>
            <w:vAlign w:val="center"/>
          </w:tcPr>
          <w:p w14:paraId="211CCE3F">
            <w:pPr>
              <w:spacing w:line="240" w:lineRule="auto"/>
              <w:jc w:val="center"/>
              <w:rPr>
                <w:rFonts w:hint="default"/>
                <w:color w:val="auto"/>
                <w:sz w:val="21"/>
                <w:szCs w:val="21"/>
                <w:lang w:val="en-US"/>
              </w:rPr>
            </w:pPr>
            <w:r>
              <w:rPr>
                <w:color w:val="auto"/>
                <w:sz w:val="21"/>
                <w:szCs w:val="21"/>
              </w:rPr>
              <w:t>T</w:t>
            </w:r>
            <w:r>
              <w:rPr>
                <w:rFonts w:hint="eastAsia"/>
                <w:color w:val="auto"/>
                <w:sz w:val="21"/>
                <w:szCs w:val="21"/>
                <w:lang w:val="en-US" w:eastAsia="zh-CN"/>
              </w:rPr>
              <w:t>2生产车间</w:t>
            </w:r>
          </w:p>
        </w:tc>
        <w:tc>
          <w:tcPr>
            <w:tcW w:w="784" w:type="pct"/>
            <w:tcBorders>
              <w:tl2br w:val="nil"/>
              <w:tr2bl w:val="nil"/>
            </w:tcBorders>
            <w:vAlign w:val="center"/>
          </w:tcPr>
          <w:p w14:paraId="6C6D74F5">
            <w:pPr>
              <w:spacing w:line="240" w:lineRule="auto"/>
              <w:jc w:val="center"/>
              <w:rPr>
                <w:rFonts w:hint="default"/>
                <w:color w:val="auto"/>
                <w:sz w:val="21"/>
                <w:szCs w:val="21"/>
                <w:lang w:val="en-US" w:eastAsia="zh-CN"/>
              </w:rPr>
            </w:pPr>
            <w:r>
              <w:rPr>
                <w:color w:val="auto"/>
                <w:sz w:val="21"/>
                <w:szCs w:val="21"/>
              </w:rPr>
              <w:t>T</w:t>
            </w:r>
            <w:r>
              <w:rPr>
                <w:rFonts w:hint="eastAsia"/>
                <w:color w:val="auto"/>
                <w:sz w:val="21"/>
                <w:szCs w:val="21"/>
                <w:lang w:val="en-US" w:eastAsia="zh-CN"/>
              </w:rPr>
              <w:t>3原料库</w:t>
            </w:r>
          </w:p>
        </w:tc>
        <w:tc>
          <w:tcPr>
            <w:tcW w:w="465" w:type="pct"/>
            <w:tcBorders>
              <w:tl2br w:val="nil"/>
              <w:tr2bl w:val="nil"/>
            </w:tcBorders>
            <w:vAlign w:val="center"/>
          </w:tcPr>
          <w:p w14:paraId="19068045">
            <w:pPr>
              <w:spacing w:line="240" w:lineRule="auto"/>
              <w:jc w:val="center"/>
              <w:rPr>
                <w:rFonts w:hint="default"/>
                <w:color w:val="auto"/>
                <w:sz w:val="21"/>
                <w:szCs w:val="21"/>
                <w:lang w:val="en-US" w:eastAsia="zh-CN"/>
              </w:rPr>
            </w:pPr>
            <w:r>
              <w:rPr>
                <w:rFonts w:hint="eastAsia"/>
                <w:color w:val="auto"/>
                <w:sz w:val="21"/>
                <w:szCs w:val="21"/>
                <w:lang w:val="en-US" w:eastAsia="zh-CN"/>
              </w:rPr>
              <w:t>标准限值</w:t>
            </w:r>
          </w:p>
        </w:tc>
        <w:tc>
          <w:tcPr>
            <w:tcW w:w="584" w:type="pct"/>
            <w:tcBorders>
              <w:tl2br w:val="nil"/>
              <w:tr2bl w:val="nil"/>
            </w:tcBorders>
            <w:vAlign w:val="center"/>
          </w:tcPr>
          <w:p w14:paraId="5046DEE0">
            <w:pPr>
              <w:spacing w:line="240" w:lineRule="auto"/>
              <w:jc w:val="center"/>
              <w:rPr>
                <w:rFonts w:hint="default"/>
                <w:color w:val="auto"/>
                <w:sz w:val="21"/>
                <w:szCs w:val="21"/>
                <w:lang w:val="en-US" w:eastAsia="zh-CN"/>
              </w:rPr>
            </w:pPr>
            <w:r>
              <w:rPr>
                <w:rFonts w:hint="eastAsia"/>
                <w:color w:val="auto"/>
                <w:sz w:val="21"/>
                <w:szCs w:val="21"/>
                <w:lang w:val="en-US" w:eastAsia="zh-CN"/>
              </w:rPr>
              <w:t>最大单因子指数</w:t>
            </w:r>
          </w:p>
        </w:tc>
        <w:tc>
          <w:tcPr>
            <w:tcW w:w="509" w:type="pct"/>
            <w:tcBorders>
              <w:tl2br w:val="nil"/>
              <w:tr2bl w:val="nil"/>
            </w:tcBorders>
            <w:vAlign w:val="center"/>
          </w:tcPr>
          <w:p w14:paraId="406B80D3">
            <w:pPr>
              <w:spacing w:line="240" w:lineRule="auto"/>
              <w:jc w:val="center"/>
              <w:rPr>
                <w:rFonts w:hint="default"/>
                <w:color w:val="auto"/>
                <w:sz w:val="21"/>
                <w:szCs w:val="21"/>
                <w:lang w:val="en-US" w:eastAsia="zh-CN"/>
              </w:rPr>
            </w:pPr>
            <w:r>
              <w:rPr>
                <w:rFonts w:hint="eastAsia"/>
                <w:color w:val="auto"/>
                <w:sz w:val="21"/>
                <w:szCs w:val="21"/>
                <w:lang w:val="en-US" w:eastAsia="zh-CN"/>
              </w:rPr>
              <w:t>是否达标</w:t>
            </w:r>
          </w:p>
        </w:tc>
      </w:tr>
      <w:tr w14:paraId="137A6C6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62419E82">
            <w:pPr>
              <w:spacing w:line="240" w:lineRule="auto"/>
              <w:jc w:val="center"/>
              <w:rPr>
                <w:color w:val="auto"/>
                <w:sz w:val="21"/>
                <w:szCs w:val="21"/>
              </w:rPr>
            </w:pPr>
            <w:r>
              <w:rPr>
                <w:color w:val="auto"/>
                <w:sz w:val="21"/>
                <w:szCs w:val="21"/>
              </w:rPr>
              <w:t>pH</w:t>
            </w:r>
          </w:p>
        </w:tc>
        <w:tc>
          <w:tcPr>
            <w:tcW w:w="378" w:type="pct"/>
            <w:tcBorders>
              <w:tl2br w:val="nil"/>
              <w:tr2bl w:val="nil"/>
            </w:tcBorders>
            <w:vAlign w:val="center"/>
          </w:tcPr>
          <w:p w14:paraId="576E5CFD">
            <w:pPr>
              <w:spacing w:line="240" w:lineRule="auto"/>
              <w:jc w:val="center"/>
              <w:rPr>
                <w:rFonts w:hint="eastAsia" w:eastAsia="宋体"/>
                <w:color w:val="auto"/>
                <w:sz w:val="21"/>
                <w:szCs w:val="21"/>
                <w:lang w:val="en-US" w:eastAsia="zh-CN"/>
              </w:rPr>
            </w:pPr>
            <w:r>
              <w:rPr>
                <w:color w:val="auto"/>
                <w:sz w:val="21"/>
                <w:szCs w:val="21"/>
              </w:rPr>
              <w:t>无量纲</w:t>
            </w:r>
          </w:p>
        </w:tc>
        <w:tc>
          <w:tcPr>
            <w:tcW w:w="784" w:type="pct"/>
            <w:tcBorders>
              <w:tl2br w:val="nil"/>
              <w:tr2bl w:val="nil"/>
            </w:tcBorders>
            <w:vAlign w:val="center"/>
          </w:tcPr>
          <w:p w14:paraId="39B8D0B6">
            <w:pPr>
              <w:spacing w:line="240" w:lineRule="auto"/>
              <w:jc w:val="center"/>
              <w:rPr>
                <w:rFonts w:hint="default" w:eastAsia="宋体"/>
                <w:color w:val="auto"/>
                <w:sz w:val="21"/>
                <w:szCs w:val="21"/>
                <w:lang w:val="en-US" w:eastAsia="zh-CN"/>
              </w:rPr>
            </w:pPr>
            <w:r>
              <w:rPr>
                <w:rFonts w:hint="eastAsia"/>
                <w:color w:val="auto"/>
                <w:sz w:val="21"/>
                <w:szCs w:val="21"/>
                <w:lang w:val="en-US" w:eastAsia="zh-CN"/>
              </w:rPr>
              <w:t>8.31</w:t>
            </w:r>
          </w:p>
        </w:tc>
        <w:tc>
          <w:tcPr>
            <w:tcW w:w="784" w:type="pct"/>
            <w:tcBorders>
              <w:tl2br w:val="nil"/>
              <w:tr2bl w:val="nil"/>
            </w:tcBorders>
            <w:vAlign w:val="center"/>
          </w:tcPr>
          <w:p w14:paraId="5F74BC27">
            <w:pPr>
              <w:spacing w:line="240" w:lineRule="auto"/>
              <w:jc w:val="center"/>
              <w:rPr>
                <w:rFonts w:hint="default" w:eastAsia="宋体"/>
                <w:color w:val="auto"/>
                <w:sz w:val="21"/>
                <w:szCs w:val="21"/>
                <w:lang w:val="en-US" w:eastAsia="zh-CN"/>
              </w:rPr>
            </w:pPr>
            <w:r>
              <w:rPr>
                <w:rFonts w:hint="eastAsia"/>
                <w:color w:val="auto"/>
                <w:sz w:val="21"/>
                <w:szCs w:val="21"/>
                <w:lang w:val="en-US" w:eastAsia="zh-CN"/>
              </w:rPr>
              <w:t>8.55</w:t>
            </w:r>
          </w:p>
        </w:tc>
        <w:tc>
          <w:tcPr>
            <w:tcW w:w="784" w:type="pct"/>
            <w:tcBorders>
              <w:tl2br w:val="nil"/>
              <w:tr2bl w:val="nil"/>
            </w:tcBorders>
            <w:vAlign w:val="center"/>
          </w:tcPr>
          <w:p w14:paraId="04C4E0D9">
            <w:pPr>
              <w:spacing w:line="240" w:lineRule="auto"/>
              <w:jc w:val="center"/>
              <w:rPr>
                <w:rFonts w:hint="default" w:eastAsia="宋体"/>
                <w:color w:val="auto"/>
                <w:sz w:val="21"/>
                <w:szCs w:val="21"/>
                <w:lang w:val="en-US" w:eastAsia="zh-CN"/>
              </w:rPr>
            </w:pPr>
            <w:r>
              <w:rPr>
                <w:rFonts w:hint="eastAsia"/>
                <w:color w:val="auto"/>
                <w:sz w:val="21"/>
                <w:szCs w:val="21"/>
                <w:lang w:val="en-US" w:eastAsia="zh-CN"/>
              </w:rPr>
              <w:t>8.37</w:t>
            </w:r>
          </w:p>
        </w:tc>
        <w:tc>
          <w:tcPr>
            <w:tcW w:w="465" w:type="pct"/>
            <w:tcBorders>
              <w:tl2br w:val="nil"/>
              <w:tr2bl w:val="nil"/>
            </w:tcBorders>
            <w:vAlign w:val="center"/>
          </w:tcPr>
          <w:p w14:paraId="0C848B92">
            <w:pPr>
              <w:spacing w:line="240" w:lineRule="auto"/>
              <w:jc w:val="center"/>
              <w:rPr>
                <w:rFonts w:hint="default"/>
                <w:color w:val="auto"/>
                <w:sz w:val="21"/>
                <w:szCs w:val="21"/>
                <w:lang w:val="en-US" w:eastAsia="zh-CN"/>
              </w:rPr>
            </w:pPr>
            <w:r>
              <w:rPr>
                <w:rFonts w:hint="eastAsia"/>
                <w:color w:val="auto"/>
                <w:sz w:val="21"/>
                <w:szCs w:val="21"/>
                <w:lang w:val="en-US" w:eastAsia="zh-CN"/>
              </w:rPr>
              <w:t>/</w:t>
            </w:r>
          </w:p>
        </w:tc>
        <w:tc>
          <w:tcPr>
            <w:tcW w:w="584" w:type="pct"/>
            <w:tcBorders>
              <w:tl2br w:val="nil"/>
              <w:tr2bl w:val="nil"/>
            </w:tcBorders>
            <w:vAlign w:val="center"/>
          </w:tcPr>
          <w:p w14:paraId="70EFEEEF">
            <w:pPr>
              <w:spacing w:line="240" w:lineRule="auto"/>
              <w:jc w:val="center"/>
              <w:rPr>
                <w:rFonts w:hint="eastAsia"/>
                <w:color w:val="auto"/>
                <w:sz w:val="21"/>
                <w:szCs w:val="21"/>
                <w:lang w:val="en-US" w:eastAsia="zh-CN"/>
              </w:rPr>
            </w:pPr>
            <w:r>
              <w:rPr>
                <w:rFonts w:hint="eastAsia"/>
                <w:color w:val="auto"/>
                <w:sz w:val="21"/>
                <w:szCs w:val="21"/>
                <w:lang w:val="en-US" w:eastAsia="zh-CN"/>
              </w:rPr>
              <w:t>/</w:t>
            </w:r>
          </w:p>
        </w:tc>
        <w:tc>
          <w:tcPr>
            <w:tcW w:w="509" w:type="pct"/>
            <w:tcBorders>
              <w:tl2br w:val="nil"/>
              <w:tr2bl w:val="nil"/>
            </w:tcBorders>
            <w:vAlign w:val="center"/>
          </w:tcPr>
          <w:p w14:paraId="1D6B1445">
            <w:pPr>
              <w:spacing w:line="240" w:lineRule="auto"/>
              <w:jc w:val="center"/>
              <w:rPr>
                <w:rFonts w:hint="eastAsia"/>
                <w:color w:val="auto"/>
                <w:sz w:val="21"/>
                <w:szCs w:val="21"/>
                <w:lang w:val="en-US" w:eastAsia="zh-CN"/>
              </w:rPr>
            </w:pPr>
            <w:r>
              <w:rPr>
                <w:rFonts w:hint="eastAsia"/>
                <w:color w:val="auto"/>
                <w:sz w:val="21"/>
                <w:szCs w:val="21"/>
                <w:lang w:val="en-US" w:eastAsia="zh-CN"/>
              </w:rPr>
              <w:t>/</w:t>
            </w:r>
          </w:p>
        </w:tc>
      </w:tr>
      <w:tr w14:paraId="696D34C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PrEx>
        <w:trPr>
          <w:jc w:val="center"/>
        </w:trPr>
        <w:tc>
          <w:tcPr>
            <w:tcW w:w="707" w:type="pct"/>
            <w:tcBorders>
              <w:tl2br w:val="nil"/>
              <w:tr2bl w:val="nil"/>
            </w:tcBorders>
            <w:vAlign w:val="center"/>
          </w:tcPr>
          <w:p w14:paraId="4C6967C2">
            <w:pPr>
              <w:spacing w:line="240" w:lineRule="auto"/>
              <w:jc w:val="center"/>
              <w:rPr>
                <w:color w:val="auto"/>
                <w:sz w:val="21"/>
                <w:szCs w:val="21"/>
              </w:rPr>
            </w:pPr>
            <w:r>
              <w:rPr>
                <w:color w:val="auto"/>
                <w:sz w:val="21"/>
                <w:szCs w:val="21"/>
              </w:rPr>
              <w:t>铜</w:t>
            </w:r>
          </w:p>
        </w:tc>
        <w:tc>
          <w:tcPr>
            <w:tcW w:w="378" w:type="pct"/>
            <w:tcBorders>
              <w:tl2br w:val="nil"/>
              <w:tr2bl w:val="nil"/>
            </w:tcBorders>
            <w:vAlign w:val="center"/>
          </w:tcPr>
          <w:p w14:paraId="387D94BD">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413A704">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36</w:t>
            </w:r>
          </w:p>
        </w:tc>
        <w:tc>
          <w:tcPr>
            <w:tcW w:w="784" w:type="pct"/>
            <w:tcBorders>
              <w:tl2br w:val="nil"/>
              <w:tr2bl w:val="nil"/>
            </w:tcBorders>
            <w:vAlign w:val="center"/>
          </w:tcPr>
          <w:p w14:paraId="4AECDB67">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24</w:t>
            </w:r>
          </w:p>
        </w:tc>
        <w:tc>
          <w:tcPr>
            <w:tcW w:w="784" w:type="pct"/>
            <w:tcBorders>
              <w:tl2br w:val="nil"/>
              <w:tr2bl w:val="nil"/>
            </w:tcBorders>
            <w:vAlign w:val="center"/>
          </w:tcPr>
          <w:p w14:paraId="375AB2D7">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45</w:t>
            </w:r>
          </w:p>
        </w:tc>
        <w:tc>
          <w:tcPr>
            <w:tcW w:w="465" w:type="pct"/>
            <w:tcBorders>
              <w:tl2br w:val="nil"/>
              <w:tr2bl w:val="nil"/>
            </w:tcBorders>
            <w:vAlign w:val="center"/>
          </w:tcPr>
          <w:p w14:paraId="650EA78E">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18000</w:t>
            </w:r>
          </w:p>
        </w:tc>
        <w:tc>
          <w:tcPr>
            <w:tcW w:w="584" w:type="pct"/>
            <w:tcBorders>
              <w:tl2br w:val="nil"/>
              <w:tr2bl w:val="nil"/>
            </w:tcBorders>
            <w:vAlign w:val="center"/>
          </w:tcPr>
          <w:p w14:paraId="422343CF">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0.002</w:t>
            </w:r>
          </w:p>
        </w:tc>
        <w:tc>
          <w:tcPr>
            <w:tcW w:w="509" w:type="pct"/>
            <w:tcBorders>
              <w:tl2br w:val="nil"/>
              <w:tr2bl w:val="nil"/>
            </w:tcBorders>
            <w:vAlign w:val="center"/>
          </w:tcPr>
          <w:p w14:paraId="67CEA93A">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达标</w:t>
            </w:r>
          </w:p>
        </w:tc>
      </w:tr>
      <w:tr w14:paraId="01A84CC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14164A5E">
            <w:pPr>
              <w:spacing w:line="240" w:lineRule="auto"/>
              <w:jc w:val="center"/>
              <w:rPr>
                <w:color w:val="auto"/>
                <w:sz w:val="21"/>
                <w:szCs w:val="21"/>
              </w:rPr>
            </w:pPr>
            <w:r>
              <w:rPr>
                <w:color w:val="auto"/>
                <w:sz w:val="21"/>
                <w:szCs w:val="21"/>
              </w:rPr>
              <w:t>镍</w:t>
            </w:r>
          </w:p>
        </w:tc>
        <w:tc>
          <w:tcPr>
            <w:tcW w:w="378" w:type="pct"/>
            <w:tcBorders>
              <w:tl2br w:val="nil"/>
              <w:tr2bl w:val="nil"/>
            </w:tcBorders>
            <w:vAlign w:val="center"/>
          </w:tcPr>
          <w:p w14:paraId="63F2A900">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46415EC">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60</w:t>
            </w:r>
          </w:p>
        </w:tc>
        <w:tc>
          <w:tcPr>
            <w:tcW w:w="784" w:type="pct"/>
            <w:tcBorders>
              <w:tl2br w:val="nil"/>
              <w:tr2bl w:val="nil"/>
            </w:tcBorders>
            <w:vAlign w:val="center"/>
          </w:tcPr>
          <w:p w14:paraId="355E24FC">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41</w:t>
            </w:r>
          </w:p>
        </w:tc>
        <w:tc>
          <w:tcPr>
            <w:tcW w:w="784" w:type="pct"/>
            <w:tcBorders>
              <w:tl2br w:val="nil"/>
              <w:tr2bl w:val="nil"/>
            </w:tcBorders>
            <w:vAlign w:val="center"/>
          </w:tcPr>
          <w:p w14:paraId="2D759629">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55</w:t>
            </w:r>
          </w:p>
        </w:tc>
        <w:tc>
          <w:tcPr>
            <w:tcW w:w="465" w:type="pct"/>
            <w:tcBorders>
              <w:tl2br w:val="nil"/>
              <w:tr2bl w:val="nil"/>
            </w:tcBorders>
            <w:vAlign w:val="center"/>
          </w:tcPr>
          <w:p w14:paraId="06E67EE7">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900</w:t>
            </w:r>
          </w:p>
        </w:tc>
        <w:tc>
          <w:tcPr>
            <w:tcW w:w="584" w:type="pct"/>
            <w:tcBorders>
              <w:tl2br w:val="nil"/>
              <w:tr2bl w:val="nil"/>
            </w:tcBorders>
            <w:vAlign w:val="center"/>
          </w:tcPr>
          <w:p w14:paraId="40C2D526">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0.067</w:t>
            </w:r>
          </w:p>
        </w:tc>
        <w:tc>
          <w:tcPr>
            <w:tcW w:w="509" w:type="pct"/>
            <w:tcBorders>
              <w:tl2br w:val="nil"/>
              <w:tr2bl w:val="nil"/>
            </w:tcBorders>
            <w:vAlign w:val="center"/>
          </w:tcPr>
          <w:p w14:paraId="0011C58F">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达标</w:t>
            </w:r>
          </w:p>
        </w:tc>
      </w:tr>
      <w:tr w14:paraId="4D312C3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19C42855">
            <w:pPr>
              <w:spacing w:line="240" w:lineRule="auto"/>
              <w:jc w:val="center"/>
              <w:rPr>
                <w:color w:val="auto"/>
                <w:sz w:val="21"/>
                <w:szCs w:val="21"/>
              </w:rPr>
            </w:pPr>
            <w:r>
              <w:rPr>
                <w:color w:val="auto"/>
                <w:sz w:val="21"/>
                <w:szCs w:val="21"/>
              </w:rPr>
              <w:t>铅</w:t>
            </w:r>
          </w:p>
        </w:tc>
        <w:tc>
          <w:tcPr>
            <w:tcW w:w="378" w:type="pct"/>
            <w:tcBorders>
              <w:tl2br w:val="nil"/>
              <w:tr2bl w:val="nil"/>
            </w:tcBorders>
            <w:vAlign w:val="center"/>
          </w:tcPr>
          <w:p w14:paraId="07DBEC65">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69CFF2E">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24.8</w:t>
            </w:r>
          </w:p>
        </w:tc>
        <w:tc>
          <w:tcPr>
            <w:tcW w:w="784" w:type="pct"/>
            <w:tcBorders>
              <w:tl2br w:val="nil"/>
              <w:tr2bl w:val="nil"/>
            </w:tcBorders>
            <w:vAlign w:val="center"/>
          </w:tcPr>
          <w:p w14:paraId="414D0E8E">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22.3</w:t>
            </w:r>
          </w:p>
        </w:tc>
        <w:tc>
          <w:tcPr>
            <w:tcW w:w="784" w:type="pct"/>
            <w:tcBorders>
              <w:tl2br w:val="nil"/>
              <w:tr2bl w:val="nil"/>
            </w:tcBorders>
            <w:vAlign w:val="center"/>
          </w:tcPr>
          <w:p w14:paraId="61313C8A">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21.7</w:t>
            </w:r>
          </w:p>
        </w:tc>
        <w:tc>
          <w:tcPr>
            <w:tcW w:w="465" w:type="pct"/>
            <w:tcBorders>
              <w:tl2br w:val="nil"/>
              <w:tr2bl w:val="nil"/>
            </w:tcBorders>
            <w:vAlign w:val="center"/>
          </w:tcPr>
          <w:p w14:paraId="0EEAF6A3">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800</w:t>
            </w:r>
          </w:p>
        </w:tc>
        <w:tc>
          <w:tcPr>
            <w:tcW w:w="584" w:type="pct"/>
            <w:tcBorders>
              <w:tl2br w:val="nil"/>
              <w:tr2bl w:val="nil"/>
            </w:tcBorders>
            <w:vAlign w:val="center"/>
          </w:tcPr>
          <w:p w14:paraId="12BBFE3F">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0.031</w:t>
            </w:r>
          </w:p>
        </w:tc>
        <w:tc>
          <w:tcPr>
            <w:tcW w:w="509" w:type="pct"/>
            <w:tcBorders>
              <w:tl2br w:val="nil"/>
              <w:tr2bl w:val="nil"/>
            </w:tcBorders>
            <w:vAlign w:val="center"/>
          </w:tcPr>
          <w:p w14:paraId="3A33BE72">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达标</w:t>
            </w:r>
          </w:p>
        </w:tc>
      </w:tr>
      <w:tr w14:paraId="10FDD4D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169190F5">
            <w:pPr>
              <w:spacing w:line="240" w:lineRule="auto"/>
              <w:jc w:val="center"/>
              <w:rPr>
                <w:color w:val="auto"/>
                <w:sz w:val="21"/>
                <w:szCs w:val="21"/>
              </w:rPr>
            </w:pPr>
            <w:r>
              <w:rPr>
                <w:color w:val="auto"/>
                <w:sz w:val="21"/>
                <w:szCs w:val="21"/>
              </w:rPr>
              <w:t>镉</w:t>
            </w:r>
          </w:p>
        </w:tc>
        <w:tc>
          <w:tcPr>
            <w:tcW w:w="378" w:type="pct"/>
            <w:tcBorders>
              <w:tl2br w:val="nil"/>
              <w:tr2bl w:val="nil"/>
            </w:tcBorders>
            <w:vAlign w:val="center"/>
          </w:tcPr>
          <w:p w14:paraId="446A7879">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2D8DF70A">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0.22</w:t>
            </w:r>
          </w:p>
        </w:tc>
        <w:tc>
          <w:tcPr>
            <w:tcW w:w="784" w:type="pct"/>
            <w:tcBorders>
              <w:tl2br w:val="nil"/>
              <w:tr2bl w:val="nil"/>
            </w:tcBorders>
            <w:vAlign w:val="center"/>
          </w:tcPr>
          <w:p w14:paraId="2BE8146B">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0.23</w:t>
            </w:r>
          </w:p>
        </w:tc>
        <w:tc>
          <w:tcPr>
            <w:tcW w:w="784" w:type="pct"/>
            <w:tcBorders>
              <w:tl2br w:val="nil"/>
              <w:tr2bl w:val="nil"/>
            </w:tcBorders>
            <w:vAlign w:val="center"/>
          </w:tcPr>
          <w:p w14:paraId="01924159">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0.23</w:t>
            </w:r>
          </w:p>
        </w:tc>
        <w:tc>
          <w:tcPr>
            <w:tcW w:w="465" w:type="pct"/>
            <w:tcBorders>
              <w:tl2br w:val="nil"/>
              <w:tr2bl w:val="nil"/>
            </w:tcBorders>
            <w:vAlign w:val="center"/>
          </w:tcPr>
          <w:p w14:paraId="2D79B4E3">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65</w:t>
            </w:r>
          </w:p>
        </w:tc>
        <w:tc>
          <w:tcPr>
            <w:tcW w:w="584" w:type="pct"/>
            <w:tcBorders>
              <w:tl2br w:val="nil"/>
              <w:tr2bl w:val="nil"/>
            </w:tcBorders>
            <w:vAlign w:val="center"/>
          </w:tcPr>
          <w:p w14:paraId="4ADEB772">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0.004</w:t>
            </w:r>
          </w:p>
        </w:tc>
        <w:tc>
          <w:tcPr>
            <w:tcW w:w="509" w:type="pct"/>
            <w:tcBorders>
              <w:tl2br w:val="nil"/>
              <w:tr2bl w:val="nil"/>
            </w:tcBorders>
            <w:vAlign w:val="center"/>
          </w:tcPr>
          <w:p w14:paraId="044F4FD1">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达标</w:t>
            </w:r>
          </w:p>
        </w:tc>
      </w:tr>
      <w:tr w14:paraId="791D90B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15BE86D9">
            <w:pPr>
              <w:spacing w:line="240" w:lineRule="auto"/>
              <w:jc w:val="center"/>
              <w:rPr>
                <w:color w:val="auto"/>
                <w:sz w:val="21"/>
                <w:szCs w:val="21"/>
              </w:rPr>
            </w:pPr>
            <w:r>
              <w:rPr>
                <w:color w:val="auto"/>
                <w:sz w:val="21"/>
                <w:szCs w:val="21"/>
              </w:rPr>
              <w:t>砷</w:t>
            </w:r>
          </w:p>
        </w:tc>
        <w:tc>
          <w:tcPr>
            <w:tcW w:w="378" w:type="pct"/>
            <w:tcBorders>
              <w:tl2br w:val="nil"/>
              <w:tr2bl w:val="nil"/>
            </w:tcBorders>
            <w:vAlign w:val="center"/>
          </w:tcPr>
          <w:p w14:paraId="081BEFEE">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D5B6FD2">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15.6</w:t>
            </w:r>
          </w:p>
        </w:tc>
        <w:tc>
          <w:tcPr>
            <w:tcW w:w="784" w:type="pct"/>
            <w:tcBorders>
              <w:tl2br w:val="nil"/>
              <w:tr2bl w:val="nil"/>
            </w:tcBorders>
            <w:vAlign w:val="center"/>
          </w:tcPr>
          <w:p w14:paraId="2AEED41F">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9.14</w:t>
            </w:r>
          </w:p>
        </w:tc>
        <w:tc>
          <w:tcPr>
            <w:tcW w:w="784" w:type="pct"/>
            <w:tcBorders>
              <w:tl2br w:val="nil"/>
              <w:tr2bl w:val="nil"/>
            </w:tcBorders>
            <w:vAlign w:val="center"/>
          </w:tcPr>
          <w:p w14:paraId="7F5874F2">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14.0</w:t>
            </w:r>
          </w:p>
        </w:tc>
        <w:tc>
          <w:tcPr>
            <w:tcW w:w="465" w:type="pct"/>
            <w:tcBorders>
              <w:tl2br w:val="nil"/>
              <w:tr2bl w:val="nil"/>
            </w:tcBorders>
            <w:vAlign w:val="center"/>
          </w:tcPr>
          <w:p w14:paraId="0932A924">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60</w:t>
            </w:r>
          </w:p>
        </w:tc>
        <w:tc>
          <w:tcPr>
            <w:tcW w:w="584" w:type="pct"/>
            <w:tcBorders>
              <w:tl2br w:val="nil"/>
              <w:tr2bl w:val="nil"/>
            </w:tcBorders>
            <w:vAlign w:val="center"/>
          </w:tcPr>
          <w:p w14:paraId="42BBBEA6">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0.19</w:t>
            </w:r>
          </w:p>
        </w:tc>
        <w:tc>
          <w:tcPr>
            <w:tcW w:w="509" w:type="pct"/>
            <w:tcBorders>
              <w:tl2br w:val="nil"/>
              <w:tr2bl w:val="nil"/>
            </w:tcBorders>
            <w:vAlign w:val="center"/>
          </w:tcPr>
          <w:p w14:paraId="055848ED">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达标</w:t>
            </w:r>
          </w:p>
        </w:tc>
      </w:tr>
      <w:tr w14:paraId="2EEFAF8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585A4AF8">
            <w:pPr>
              <w:spacing w:line="240" w:lineRule="auto"/>
              <w:jc w:val="center"/>
              <w:rPr>
                <w:color w:val="auto"/>
                <w:sz w:val="21"/>
                <w:szCs w:val="21"/>
              </w:rPr>
            </w:pPr>
            <w:r>
              <w:rPr>
                <w:color w:val="auto"/>
                <w:sz w:val="21"/>
                <w:szCs w:val="21"/>
              </w:rPr>
              <w:t>汞</w:t>
            </w:r>
          </w:p>
        </w:tc>
        <w:tc>
          <w:tcPr>
            <w:tcW w:w="378" w:type="pct"/>
            <w:tcBorders>
              <w:tl2br w:val="nil"/>
              <w:tr2bl w:val="nil"/>
            </w:tcBorders>
            <w:vAlign w:val="center"/>
          </w:tcPr>
          <w:p w14:paraId="2AD5DD3C">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0384CCEC">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0.036</w:t>
            </w:r>
          </w:p>
        </w:tc>
        <w:tc>
          <w:tcPr>
            <w:tcW w:w="784" w:type="pct"/>
            <w:tcBorders>
              <w:tl2br w:val="nil"/>
              <w:tr2bl w:val="nil"/>
            </w:tcBorders>
            <w:vAlign w:val="center"/>
          </w:tcPr>
          <w:p w14:paraId="07359D78">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0.029</w:t>
            </w:r>
          </w:p>
        </w:tc>
        <w:tc>
          <w:tcPr>
            <w:tcW w:w="784" w:type="pct"/>
            <w:tcBorders>
              <w:tl2br w:val="nil"/>
              <w:tr2bl w:val="nil"/>
            </w:tcBorders>
            <w:vAlign w:val="center"/>
          </w:tcPr>
          <w:p w14:paraId="144991A9">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0.062</w:t>
            </w:r>
          </w:p>
        </w:tc>
        <w:tc>
          <w:tcPr>
            <w:tcW w:w="465" w:type="pct"/>
            <w:tcBorders>
              <w:tl2br w:val="nil"/>
              <w:tr2bl w:val="nil"/>
            </w:tcBorders>
            <w:vAlign w:val="center"/>
          </w:tcPr>
          <w:p w14:paraId="3EA28474">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38</w:t>
            </w:r>
          </w:p>
        </w:tc>
        <w:tc>
          <w:tcPr>
            <w:tcW w:w="584" w:type="pct"/>
            <w:tcBorders>
              <w:tl2br w:val="nil"/>
              <w:tr2bl w:val="nil"/>
            </w:tcBorders>
            <w:vAlign w:val="center"/>
          </w:tcPr>
          <w:p w14:paraId="13E8F1CB">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0.002</w:t>
            </w:r>
          </w:p>
        </w:tc>
        <w:tc>
          <w:tcPr>
            <w:tcW w:w="509" w:type="pct"/>
            <w:tcBorders>
              <w:tl2br w:val="nil"/>
              <w:tr2bl w:val="nil"/>
            </w:tcBorders>
            <w:vAlign w:val="center"/>
          </w:tcPr>
          <w:p w14:paraId="6E4DE733">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达标</w:t>
            </w:r>
          </w:p>
        </w:tc>
      </w:tr>
      <w:tr w14:paraId="55B9C84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2A59A650">
            <w:pPr>
              <w:spacing w:line="240" w:lineRule="auto"/>
              <w:jc w:val="center"/>
              <w:rPr>
                <w:color w:val="auto"/>
                <w:sz w:val="21"/>
                <w:szCs w:val="21"/>
              </w:rPr>
            </w:pPr>
            <w:r>
              <w:rPr>
                <w:color w:val="auto"/>
                <w:sz w:val="21"/>
                <w:szCs w:val="21"/>
              </w:rPr>
              <w:t>六价铬</w:t>
            </w:r>
          </w:p>
        </w:tc>
        <w:tc>
          <w:tcPr>
            <w:tcW w:w="378" w:type="pct"/>
            <w:tcBorders>
              <w:tl2br w:val="nil"/>
              <w:tr2bl w:val="nil"/>
            </w:tcBorders>
            <w:vAlign w:val="center"/>
          </w:tcPr>
          <w:p w14:paraId="723834FD">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96CCC39">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eastAsia="宋体"/>
                <w:color w:val="auto"/>
                <w:sz w:val="21"/>
                <w:szCs w:val="21"/>
                <w:lang w:val="en-US" w:eastAsia="zh-CN"/>
              </w:rPr>
            </w:pPr>
            <w:r>
              <w:rPr>
                <w:rFonts w:hint="eastAsia"/>
                <w:color w:val="auto"/>
                <w:sz w:val="21"/>
                <w:szCs w:val="21"/>
                <w:lang w:val="en-US" w:eastAsia="zh-CN"/>
              </w:rPr>
              <w:t>ND</w:t>
            </w:r>
          </w:p>
        </w:tc>
        <w:tc>
          <w:tcPr>
            <w:tcW w:w="784" w:type="pct"/>
            <w:tcBorders>
              <w:tl2br w:val="nil"/>
              <w:tr2bl w:val="nil"/>
            </w:tcBorders>
            <w:vAlign w:val="center"/>
          </w:tcPr>
          <w:p w14:paraId="502F5703">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3DC69CB">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0BF1943D">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ascii="Times New Roman" w:hAnsi="Times New Roman" w:eastAsia="宋体" w:cs="Times New Roman"/>
                <w:color w:val="auto"/>
                <w:spacing w:val="7"/>
                <w:sz w:val="21"/>
                <w:szCs w:val="21"/>
                <w:highlight w:val="none"/>
              </w:rPr>
            </w:pPr>
            <w:r>
              <w:rPr>
                <w:rFonts w:hint="default" w:ascii="Times New Roman" w:hAnsi="Times New Roman" w:eastAsia="宋体" w:cs="Times New Roman"/>
                <w:color w:val="auto"/>
                <w:spacing w:val="7"/>
                <w:sz w:val="21"/>
                <w:szCs w:val="21"/>
                <w:highlight w:val="none"/>
              </w:rPr>
              <w:t>5.7</w:t>
            </w:r>
          </w:p>
        </w:tc>
        <w:tc>
          <w:tcPr>
            <w:tcW w:w="584" w:type="pct"/>
            <w:tcBorders>
              <w:tl2br w:val="nil"/>
              <w:tr2bl w:val="nil"/>
            </w:tcBorders>
            <w:vAlign w:val="center"/>
          </w:tcPr>
          <w:p w14:paraId="5E5FC961">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eastAsia" w:ascii="Times New Roman" w:hAnsi="Times New Roman" w:eastAsia="宋体" w:cs="Times New Roman"/>
                <w:color w:val="auto"/>
                <w:spacing w:val="7"/>
                <w:sz w:val="21"/>
                <w:szCs w:val="21"/>
                <w:highlight w:val="none"/>
                <w:lang w:val="en-US" w:eastAsia="zh-CN"/>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5E543451">
            <w:pPr>
              <w:keepNext w:val="0"/>
              <w:keepLines w:val="0"/>
              <w:pageBreakBefore w:val="0"/>
              <w:widowControl w:val="0"/>
              <w:kinsoku/>
              <w:wordWrap/>
              <w:overflowPunct/>
              <w:topLinePunct w:val="0"/>
              <w:autoSpaceDE/>
              <w:autoSpaceDN/>
              <w:bidi w:val="0"/>
              <w:adjustRightInd/>
              <w:snapToGrid/>
              <w:spacing w:line="140" w:lineRule="atLeast"/>
              <w:ind w:left="0" w:leftChars="0"/>
              <w:jc w:val="center"/>
              <w:textAlignment w:val="auto"/>
              <w:rPr>
                <w:rFonts w:hint="default" w:ascii="Times New Roman" w:hAnsi="Times New Roman" w:eastAsia="宋体" w:cs="Times New Roman"/>
                <w:color w:val="auto"/>
                <w:spacing w:val="7"/>
                <w:sz w:val="21"/>
                <w:szCs w:val="21"/>
                <w:highlight w:val="none"/>
              </w:rPr>
            </w:pPr>
            <w:r>
              <w:rPr>
                <w:rFonts w:hint="eastAsia" w:cs="Times New Roman"/>
                <w:color w:val="auto"/>
                <w:kern w:val="2"/>
                <w:sz w:val="21"/>
                <w:szCs w:val="21"/>
                <w:highlight w:val="none"/>
                <w:lang w:val="en-US" w:eastAsia="zh-CN" w:bidi="ar-SA"/>
              </w:rPr>
              <w:t>达标</w:t>
            </w:r>
          </w:p>
        </w:tc>
      </w:tr>
      <w:tr w14:paraId="7A75FEF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5000" w:type="pct"/>
            <w:gridSpan w:val="8"/>
            <w:tcBorders>
              <w:tl2br w:val="nil"/>
              <w:tr2bl w:val="nil"/>
            </w:tcBorders>
            <w:vAlign w:val="center"/>
          </w:tcPr>
          <w:p w14:paraId="09613368">
            <w:pPr>
              <w:spacing w:line="240" w:lineRule="auto"/>
              <w:jc w:val="center"/>
              <w:rPr>
                <w:rFonts w:hint="default" w:eastAsia="宋体"/>
                <w:color w:val="auto"/>
                <w:sz w:val="21"/>
                <w:szCs w:val="21"/>
                <w:lang w:val="en-US" w:eastAsia="zh-CN"/>
              </w:rPr>
            </w:pPr>
            <w:r>
              <w:rPr>
                <w:rFonts w:hint="eastAsia"/>
                <w:color w:val="auto"/>
                <w:sz w:val="21"/>
                <w:szCs w:val="21"/>
                <w:lang w:val="en-US" w:eastAsia="zh-CN"/>
              </w:rPr>
              <w:t>挥发性有机物</w:t>
            </w:r>
          </w:p>
        </w:tc>
      </w:tr>
      <w:tr w14:paraId="7801900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93" w:hRule="atLeast"/>
          <w:jc w:val="center"/>
        </w:trPr>
        <w:tc>
          <w:tcPr>
            <w:tcW w:w="707" w:type="pct"/>
            <w:tcBorders>
              <w:tl2br w:val="nil"/>
              <w:tr2bl w:val="nil"/>
            </w:tcBorders>
            <w:vAlign w:val="center"/>
          </w:tcPr>
          <w:p w14:paraId="252F39E1">
            <w:pPr>
              <w:spacing w:line="240" w:lineRule="auto"/>
              <w:jc w:val="center"/>
              <w:rPr>
                <w:color w:val="auto"/>
                <w:sz w:val="21"/>
                <w:szCs w:val="21"/>
              </w:rPr>
            </w:pPr>
            <w:r>
              <w:rPr>
                <w:color w:val="auto"/>
                <w:sz w:val="21"/>
                <w:szCs w:val="21"/>
              </w:rPr>
              <w:t>四氯化碳</w:t>
            </w:r>
          </w:p>
        </w:tc>
        <w:tc>
          <w:tcPr>
            <w:tcW w:w="378" w:type="pct"/>
            <w:tcBorders>
              <w:tl2br w:val="nil"/>
              <w:tr2bl w:val="nil"/>
            </w:tcBorders>
            <w:vAlign w:val="center"/>
          </w:tcPr>
          <w:p w14:paraId="314BCA93">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0A66125">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7B07E5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14A62A3">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4EB30067">
            <w:pPr>
              <w:jc w:val="center"/>
              <w:rPr>
                <w:rFonts w:hint="eastAsia"/>
                <w:color w:val="auto"/>
                <w:sz w:val="21"/>
                <w:szCs w:val="21"/>
                <w:lang w:val="en-US" w:eastAsia="zh-CN"/>
              </w:rPr>
            </w:pPr>
            <w:r>
              <w:rPr>
                <w:rFonts w:ascii="Times New Roman" w:hAnsi="Times New Roman" w:cs="Times New Roman"/>
                <w:color w:val="auto"/>
                <w:sz w:val="21"/>
                <w:szCs w:val="21"/>
              </w:rPr>
              <w:t>2.8</w:t>
            </w:r>
          </w:p>
        </w:tc>
        <w:tc>
          <w:tcPr>
            <w:tcW w:w="584" w:type="pct"/>
            <w:tcBorders>
              <w:tl2br w:val="nil"/>
              <w:tr2bl w:val="nil"/>
            </w:tcBorders>
            <w:vAlign w:val="center"/>
          </w:tcPr>
          <w:p w14:paraId="65A9C0AE">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7F14A90B">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6736027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655DE720">
            <w:pPr>
              <w:spacing w:line="240" w:lineRule="auto"/>
              <w:jc w:val="center"/>
              <w:rPr>
                <w:color w:val="auto"/>
                <w:sz w:val="21"/>
                <w:szCs w:val="21"/>
              </w:rPr>
            </w:pPr>
            <w:r>
              <w:rPr>
                <w:color w:val="auto"/>
                <w:sz w:val="21"/>
                <w:szCs w:val="21"/>
              </w:rPr>
              <w:t>氯仿</w:t>
            </w:r>
          </w:p>
        </w:tc>
        <w:tc>
          <w:tcPr>
            <w:tcW w:w="378" w:type="pct"/>
            <w:tcBorders>
              <w:tl2br w:val="nil"/>
              <w:tr2bl w:val="nil"/>
            </w:tcBorders>
            <w:vAlign w:val="center"/>
          </w:tcPr>
          <w:p w14:paraId="7AFD872F">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4F79827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4FFA1D6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2A09E7F6">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24D9C17D">
            <w:pPr>
              <w:jc w:val="center"/>
              <w:rPr>
                <w:rFonts w:hint="eastAsia"/>
                <w:color w:val="auto"/>
                <w:sz w:val="21"/>
                <w:szCs w:val="21"/>
                <w:lang w:val="en-US" w:eastAsia="zh-CN"/>
              </w:rPr>
            </w:pPr>
            <w:r>
              <w:rPr>
                <w:rFonts w:ascii="Times New Roman" w:hAnsi="Times New Roman" w:cs="Times New Roman"/>
                <w:color w:val="auto"/>
                <w:sz w:val="21"/>
                <w:szCs w:val="21"/>
              </w:rPr>
              <w:t>0.9</w:t>
            </w:r>
          </w:p>
        </w:tc>
        <w:tc>
          <w:tcPr>
            <w:tcW w:w="584" w:type="pct"/>
            <w:tcBorders>
              <w:tl2br w:val="nil"/>
              <w:tr2bl w:val="nil"/>
            </w:tcBorders>
            <w:vAlign w:val="center"/>
          </w:tcPr>
          <w:p w14:paraId="650DFB30">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65FAEB99">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22D2BAD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07AC75F3">
            <w:pPr>
              <w:spacing w:line="240" w:lineRule="auto"/>
              <w:jc w:val="center"/>
              <w:rPr>
                <w:color w:val="auto"/>
                <w:sz w:val="21"/>
                <w:szCs w:val="21"/>
              </w:rPr>
            </w:pPr>
            <w:r>
              <w:rPr>
                <w:color w:val="auto"/>
                <w:sz w:val="21"/>
                <w:szCs w:val="21"/>
              </w:rPr>
              <w:t>氯甲烷</w:t>
            </w:r>
          </w:p>
        </w:tc>
        <w:tc>
          <w:tcPr>
            <w:tcW w:w="378" w:type="pct"/>
            <w:tcBorders>
              <w:tl2br w:val="nil"/>
              <w:tr2bl w:val="nil"/>
            </w:tcBorders>
            <w:vAlign w:val="center"/>
          </w:tcPr>
          <w:p w14:paraId="79EABB6A">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379C68D2">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5299801">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73BD8F6">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4712B3B">
            <w:pPr>
              <w:jc w:val="center"/>
              <w:rPr>
                <w:rFonts w:hint="eastAsia"/>
                <w:color w:val="auto"/>
                <w:sz w:val="21"/>
                <w:szCs w:val="21"/>
                <w:lang w:val="en-US" w:eastAsia="zh-CN"/>
              </w:rPr>
            </w:pPr>
            <w:r>
              <w:rPr>
                <w:rFonts w:ascii="Times New Roman" w:hAnsi="Times New Roman" w:cs="Times New Roman"/>
                <w:color w:val="auto"/>
                <w:sz w:val="21"/>
                <w:szCs w:val="21"/>
              </w:rPr>
              <w:t>37</w:t>
            </w:r>
          </w:p>
        </w:tc>
        <w:tc>
          <w:tcPr>
            <w:tcW w:w="584" w:type="pct"/>
            <w:tcBorders>
              <w:tl2br w:val="nil"/>
              <w:tr2bl w:val="nil"/>
            </w:tcBorders>
            <w:vAlign w:val="center"/>
          </w:tcPr>
          <w:p w14:paraId="60E83A5E">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7A2F6C00">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2C14579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4215F3ED">
            <w:pPr>
              <w:spacing w:line="240" w:lineRule="auto"/>
              <w:jc w:val="center"/>
              <w:rPr>
                <w:color w:val="auto"/>
                <w:sz w:val="21"/>
                <w:szCs w:val="21"/>
              </w:rPr>
            </w:pPr>
            <w:r>
              <w:rPr>
                <w:color w:val="auto"/>
                <w:sz w:val="21"/>
                <w:szCs w:val="21"/>
              </w:rPr>
              <w:t>1,1-二氯乙烷</w:t>
            </w:r>
          </w:p>
        </w:tc>
        <w:tc>
          <w:tcPr>
            <w:tcW w:w="378" w:type="pct"/>
            <w:tcBorders>
              <w:tl2br w:val="nil"/>
              <w:tr2bl w:val="nil"/>
            </w:tcBorders>
            <w:vAlign w:val="center"/>
          </w:tcPr>
          <w:p w14:paraId="3501F6AD">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6AC7AE36">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67FC529">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AD803AE">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4E0650A8">
            <w:pPr>
              <w:jc w:val="center"/>
              <w:rPr>
                <w:rFonts w:hint="eastAsia"/>
                <w:color w:val="auto"/>
                <w:sz w:val="21"/>
                <w:szCs w:val="21"/>
                <w:lang w:val="en-US" w:eastAsia="zh-CN"/>
              </w:rPr>
            </w:pPr>
            <w:r>
              <w:rPr>
                <w:rFonts w:ascii="Times New Roman" w:hAnsi="Times New Roman" w:cs="Times New Roman"/>
                <w:color w:val="auto"/>
                <w:sz w:val="21"/>
                <w:szCs w:val="21"/>
              </w:rPr>
              <w:t>9</w:t>
            </w:r>
          </w:p>
        </w:tc>
        <w:tc>
          <w:tcPr>
            <w:tcW w:w="584" w:type="pct"/>
            <w:tcBorders>
              <w:tl2br w:val="nil"/>
              <w:tr2bl w:val="nil"/>
            </w:tcBorders>
            <w:vAlign w:val="center"/>
          </w:tcPr>
          <w:p w14:paraId="05646DAA">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1BA98537">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1CD4372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08EA5C34">
            <w:pPr>
              <w:spacing w:line="240" w:lineRule="auto"/>
              <w:jc w:val="center"/>
              <w:rPr>
                <w:color w:val="auto"/>
                <w:sz w:val="21"/>
                <w:szCs w:val="21"/>
              </w:rPr>
            </w:pPr>
            <w:r>
              <w:rPr>
                <w:color w:val="auto"/>
                <w:sz w:val="21"/>
                <w:szCs w:val="21"/>
              </w:rPr>
              <w:t>1,2-二氯乙烷</w:t>
            </w:r>
          </w:p>
        </w:tc>
        <w:tc>
          <w:tcPr>
            <w:tcW w:w="378" w:type="pct"/>
            <w:tcBorders>
              <w:tl2br w:val="nil"/>
              <w:tr2bl w:val="nil"/>
            </w:tcBorders>
            <w:vAlign w:val="center"/>
          </w:tcPr>
          <w:p w14:paraId="2E236787">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2422790D">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3803856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43A10A0E">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3EE0B1B1">
            <w:pPr>
              <w:jc w:val="center"/>
              <w:rPr>
                <w:rFonts w:hint="eastAsia"/>
                <w:color w:val="auto"/>
                <w:sz w:val="21"/>
                <w:szCs w:val="21"/>
                <w:lang w:val="en-US" w:eastAsia="zh-CN"/>
              </w:rPr>
            </w:pPr>
            <w:r>
              <w:rPr>
                <w:rFonts w:ascii="Times New Roman" w:hAnsi="Times New Roman" w:cs="Times New Roman"/>
                <w:color w:val="auto"/>
                <w:sz w:val="21"/>
                <w:szCs w:val="21"/>
              </w:rPr>
              <w:t>5</w:t>
            </w:r>
          </w:p>
        </w:tc>
        <w:tc>
          <w:tcPr>
            <w:tcW w:w="584" w:type="pct"/>
            <w:tcBorders>
              <w:tl2br w:val="nil"/>
              <w:tr2bl w:val="nil"/>
            </w:tcBorders>
            <w:vAlign w:val="center"/>
          </w:tcPr>
          <w:p w14:paraId="148379D7">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0.006</w:t>
            </w:r>
          </w:p>
        </w:tc>
        <w:tc>
          <w:tcPr>
            <w:tcW w:w="509" w:type="pct"/>
            <w:tcBorders>
              <w:tl2br w:val="nil"/>
              <w:tr2bl w:val="nil"/>
            </w:tcBorders>
            <w:vAlign w:val="center"/>
          </w:tcPr>
          <w:p w14:paraId="11232EA0">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23360D5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26557306">
            <w:pPr>
              <w:spacing w:line="240" w:lineRule="auto"/>
              <w:jc w:val="center"/>
              <w:rPr>
                <w:color w:val="auto"/>
                <w:sz w:val="21"/>
                <w:szCs w:val="21"/>
              </w:rPr>
            </w:pPr>
            <w:r>
              <w:rPr>
                <w:color w:val="auto"/>
                <w:sz w:val="21"/>
                <w:szCs w:val="21"/>
              </w:rPr>
              <w:t>1,1-二氯乙烯</w:t>
            </w:r>
          </w:p>
        </w:tc>
        <w:tc>
          <w:tcPr>
            <w:tcW w:w="378" w:type="pct"/>
            <w:tcBorders>
              <w:tl2br w:val="nil"/>
              <w:tr2bl w:val="nil"/>
            </w:tcBorders>
            <w:vAlign w:val="center"/>
          </w:tcPr>
          <w:p w14:paraId="2755C2A1">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4EBCEA24">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488037D2">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391BEC98">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18DCA2AA">
            <w:pPr>
              <w:jc w:val="center"/>
              <w:rPr>
                <w:rFonts w:hint="eastAsia"/>
                <w:color w:val="auto"/>
                <w:sz w:val="21"/>
                <w:szCs w:val="21"/>
                <w:lang w:val="en-US" w:eastAsia="zh-CN"/>
              </w:rPr>
            </w:pPr>
            <w:r>
              <w:rPr>
                <w:rFonts w:ascii="Times New Roman" w:hAnsi="Times New Roman" w:cs="Times New Roman"/>
                <w:color w:val="auto"/>
                <w:sz w:val="21"/>
                <w:szCs w:val="21"/>
              </w:rPr>
              <w:t>66</w:t>
            </w:r>
          </w:p>
        </w:tc>
        <w:tc>
          <w:tcPr>
            <w:tcW w:w="584" w:type="pct"/>
            <w:tcBorders>
              <w:tl2br w:val="nil"/>
              <w:tr2bl w:val="nil"/>
            </w:tcBorders>
            <w:vAlign w:val="center"/>
          </w:tcPr>
          <w:p w14:paraId="0436251D">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7B8A7DE3">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06B605C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PrEx>
        <w:trPr>
          <w:jc w:val="center"/>
        </w:trPr>
        <w:tc>
          <w:tcPr>
            <w:tcW w:w="707" w:type="pct"/>
            <w:tcBorders>
              <w:tl2br w:val="nil"/>
              <w:tr2bl w:val="nil"/>
            </w:tcBorders>
            <w:vAlign w:val="center"/>
          </w:tcPr>
          <w:p w14:paraId="4D379E31">
            <w:pPr>
              <w:spacing w:line="240" w:lineRule="auto"/>
              <w:jc w:val="center"/>
              <w:rPr>
                <w:color w:val="auto"/>
                <w:sz w:val="21"/>
                <w:szCs w:val="21"/>
              </w:rPr>
            </w:pPr>
            <w:r>
              <w:rPr>
                <w:color w:val="auto"/>
                <w:sz w:val="21"/>
                <w:szCs w:val="21"/>
              </w:rPr>
              <w:t>顺</w:t>
            </w:r>
            <w:r>
              <w:rPr>
                <w:rFonts w:hint="eastAsia"/>
                <w:color w:val="auto"/>
                <w:sz w:val="21"/>
                <w:szCs w:val="21"/>
              </w:rPr>
              <w:t>式-</w:t>
            </w:r>
            <w:r>
              <w:rPr>
                <w:color w:val="auto"/>
                <w:sz w:val="21"/>
                <w:szCs w:val="21"/>
              </w:rPr>
              <w:t>1,2-二氯乙烯</w:t>
            </w:r>
          </w:p>
        </w:tc>
        <w:tc>
          <w:tcPr>
            <w:tcW w:w="378" w:type="pct"/>
            <w:tcBorders>
              <w:tl2br w:val="nil"/>
              <w:tr2bl w:val="nil"/>
            </w:tcBorders>
            <w:vAlign w:val="center"/>
          </w:tcPr>
          <w:p w14:paraId="5EAEA705">
            <w:pPr>
              <w:spacing w:line="240" w:lineRule="auto"/>
              <w:jc w:val="center"/>
              <w:rPr>
                <w:rFonts w:hint="default"/>
                <w:color w:val="auto"/>
                <w:sz w:val="21"/>
                <w:szCs w:val="21"/>
                <w:lang w:val="en-US" w:eastAsia="zh-CN"/>
              </w:rPr>
            </w:pPr>
            <w:r>
              <w:rPr>
                <w:color w:val="auto"/>
                <w:sz w:val="21"/>
                <w:szCs w:val="21"/>
              </w:rPr>
              <w:t>mg/kg</w:t>
            </w:r>
          </w:p>
        </w:tc>
        <w:tc>
          <w:tcPr>
            <w:tcW w:w="784" w:type="pct"/>
            <w:tcBorders>
              <w:tl2br w:val="nil"/>
              <w:tr2bl w:val="nil"/>
            </w:tcBorders>
            <w:vAlign w:val="center"/>
          </w:tcPr>
          <w:p w14:paraId="1D4F4284">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6763403">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3E0F7DFF">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6A312A65">
            <w:pPr>
              <w:jc w:val="center"/>
              <w:rPr>
                <w:rFonts w:hint="eastAsia"/>
                <w:color w:val="auto"/>
                <w:sz w:val="21"/>
                <w:szCs w:val="21"/>
                <w:lang w:val="en-US" w:eastAsia="zh-CN"/>
              </w:rPr>
            </w:pPr>
            <w:r>
              <w:rPr>
                <w:rFonts w:ascii="Times New Roman" w:hAnsi="Times New Roman" w:cs="Times New Roman"/>
                <w:color w:val="auto"/>
                <w:sz w:val="21"/>
                <w:szCs w:val="21"/>
              </w:rPr>
              <w:t>596</w:t>
            </w:r>
          </w:p>
        </w:tc>
        <w:tc>
          <w:tcPr>
            <w:tcW w:w="584" w:type="pct"/>
            <w:tcBorders>
              <w:tl2br w:val="nil"/>
              <w:tr2bl w:val="nil"/>
            </w:tcBorders>
            <w:vAlign w:val="center"/>
          </w:tcPr>
          <w:p w14:paraId="55CA0089">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18C36B68">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7F7BA60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092E257D">
            <w:pPr>
              <w:spacing w:line="240" w:lineRule="auto"/>
              <w:jc w:val="center"/>
              <w:rPr>
                <w:color w:val="auto"/>
                <w:sz w:val="21"/>
                <w:szCs w:val="21"/>
              </w:rPr>
            </w:pPr>
            <w:r>
              <w:rPr>
                <w:color w:val="auto"/>
                <w:sz w:val="21"/>
                <w:szCs w:val="21"/>
              </w:rPr>
              <w:t>反</w:t>
            </w:r>
            <w:r>
              <w:rPr>
                <w:rFonts w:hint="eastAsia"/>
                <w:color w:val="auto"/>
                <w:sz w:val="21"/>
                <w:szCs w:val="21"/>
              </w:rPr>
              <w:t>式-</w:t>
            </w:r>
            <w:r>
              <w:rPr>
                <w:color w:val="auto"/>
                <w:sz w:val="21"/>
                <w:szCs w:val="21"/>
              </w:rPr>
              <w:t>1,2-二氯乙烯</w:t>
            </w:r>
          </w:p>
        </w:tc>
        <w:tc>
          <w:tcPr>
            <w:tcW w:w="378" w:type="pct"/>
            <w:tcBorders>
              <w:tl2br w:val="nil"/>
              <w:tr2bl w:val="nil"/>
            </w:tcBorders>
            <w:vAlign w:val="center"/>
          </w:tcPr>
          <w:p w14:paraId="52B3686F">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405B1A5">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4A78CC1">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7621AC0">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DCD9B97">
            <w:pPr>
              <w:jc w:val="center"/>
              <w:rPr>
                <w:rFonts w:hint="eastAsia"/>
                <w:color w:val="auto"/>
                <w:sz w:val="21"/>
                <w:szCs w:val="21"/>
                <w:lang w:val="en-US" w:eastAsia="zh-CN"/>
              </w:rPr>
            </w:pPr>
            <w:r>
              <w:rPr>
                <w:rFonts w:ascii="Times New Roman" w:hAnsi="Times New Roman" w:cs="Times New Roman"/>
                <w:color w:val="auto"/>
                <w:sz w:val="21"/>
                <w:szCs w:val="21"/>
              </w:rPr>
              <w:t>54</w:t>
            </w:r>
          </w:p>
        </w:tc>
        <w:tc>
          <w:tcPr>
            <w:tcW w:w="584" w:type="pct"/>
            <w:tcBorders>
              <w:tl2br w:val="nil"/>
              <w:tr2bl w:val="nil"/>
            </w:tcBorders>
            <w:vAlign w:val="center"/>
          </w:tcPr>
          <w:p w14:paraId="345B04BF">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662DA587">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1473839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7F9725F2">
            <w:pPr>
              <w:spacing w:line="240" w:lineRule="auto"/>
              <w:jc w:val="center"/>
              <w:rPr>
                <w:color w:val="auto"/>
                <w:sz w:val="21"/>
                <w:szCs w:val="21"/>
              </w:rPr>
            </w:pPr>
            <w:r>
              <w:rPr>
                <w:color w:val="auto"/>
                <w:sz w:val="21"/>
                <w:szCs w:val="21"/>
              </w:rPr>
              <w:t>二氯甲烷</w:t>
            </w:r>
          </w:p>
        </w:tc>
        <w:tc>
          <w:tcPr>
            <w:tcW w:w="378" w:type="pct"/>
            <w:tcBorders>
              <w:tl2br w:val="nil"/>
              <w:tr2bl w:val="nil"/>
            </w:tcBorders>
            <w:vAlign w:val="center"/>
          </w:tcPr>
          <w:p w14:paraId="66823204">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7A90A983">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108813A">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12FB726">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6B79A62">
            <w:pPr>
              <w:jc w:val="center"/>
              <w:rPr>
                <w:rFonts w:hint="eastAsia"/>
                <w:color w:val="auto"/>
                <w:sz w:val="21"/>
                <w:szCs w:val="21"/>
                <w:lang w:val="en-US" w:eastAsia="zh-CN"/>
              </w:rPr>
            </w:pPr>
            <w:r>
              <w:rPr>
                <w:rFonts w:ascii="Times New Roman" w:hAnsi="Times New Roman" w:cs="Times New Roman"/>
                <w:color w:val="auto"/>
                <w:sz w:val="21"/>
                <w:szCs w:val="21"/>
              </w:rPr>
              <w:t>616</w:t>
            </w:r>
          </w:p>
        </w:tc>
        <w:tc>
          <w:tcPr>
            <w:tcW w:w="584" w:type="pct"/>
            <w:tcBorders>
              <w:tl2br w:val="nil"/>
              <w:tr2bl w:val="nil"/>
            </w:tcBorders>
            <w:vAlign w:val="center"/>
          </w:tcPr>
          <w:p w14:paraId="6FCB4996">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64D9EC7A">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57B4125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43ED330C">
            <w:pPr>
              <w:spacing w:line="240" w:lineRule="auto"/>
              <w:jc w:val="center"/>
              <w:rPr>
                <w:color w:val="auto"/>
                <w:sz w:val="21"/>
                <w:szCs w:val="21"/>
              </w:rPr>
            </w:pPr>
            <w:r>
              <w:rPr>
                <w:color w:val="auto"/>
                <w:sz w:val="21"/>
                <w:szCs w:val="21"/>
              </w:rPr>
              <w:t>1,2-二氯丙烷</w:t>
            </w:r>
          </w:p>
        </w:tc>
        <w:tc>
          <w:tcPr>
            <w:tcW w:w="378" w:type="pct"/>
            <w:tcBorders>
              <w:tl2br w:val="nil"/>
              <w:tr2bl w:val="nil"/>
            </w:tcBorders>
            <w:vAlign w:val="center"/>
          </w:tcPr>
          <w:p w14:paraId="25FCB3B6">
            <w:pPr>
              <w:spacing w:line="240" w:lineRule="auto"/>
              <w:jc w:val="center"/>
              <w:rPr>
                <w:rFonts w:hint="eastAsia"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3D573343">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D754EF6">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057561D">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460E8545">
            <w:pPr>
              <w:jc w:val="center"/>
              <w:rPr>
                <w:rFonts w:hint="eastAsia"/>
                <w:color w:val="auto"/>
                <w:sz w:val="21"/>
                <w:szCs w:val="21"/>
                <w:lang w:val="en-US" w:eastAsia="zh-CN"/>
              </w:rPr>
            </w:pPr>
            <w:r>
              <w:rPr>
                <w:rFonts w:ascii="Times New Roman" w:hAnsi="Times New Roman" w:cs="Times New Roman"/>
                <w:color w:val="auto"/>
                <w:sz w:val="21"/>
                <w:szCs w:val="21"/>
              </w:rPr>
              <w:t>5</w:t>
            </w:r>
          </w:p>
        </w:tc>
        <w:tc>
          <w:tcPr>
            <w:tcW w:w="584" w:type="pct"/>
            <w:tcBorders>
              <w:tl2br w:val="nil"/>
              <w:tr2bl w:val="nil"/>
            </w:tcBorders>
            <w:vAlign w:val="center"/>
          </w:tcPr>
          <w:p w14:paraId="0C0CB417">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5D2574B2">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7EBFA76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6EAFB41E">
            <w:pPr>
              <w:spacing w:line="240" w:lineRule="auto"/>
              <w:jc w:val="center"/>
              <w:rPr>
                <w:color w:val="auto"/>
                <w:sz w:val="21"/>
                <w:szCs w:val="21"/>
              </w:rPr>
            </w:pPr>
            <w:r>
              <w:rPr>
                <w:color w:val="auto"/>
                <w:sz w:val="21"/>
                <w:szCs w:val="21"/>
              </w:rPr>
              <w:t>1,1,1,2-四氯乙烷</w:t>
            </w:r>
          </w:p>
        </w:tc>
        <w:tc>
          <w:tcPr>
            <w:tcW w:w="378" w:type="pct"/>
            <w:tcBorders>
              <w:tl2br w:val="nil"/>
              <w:tr2bl w:val="nil"/>
            </w:tcBorders>
            <w:vAlign w:val="center"/>
          </w:tcPr>
          <w:p w14:paraId="00CB900E">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3F65BB0">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C9416ED">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B18F2C8">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285C23C7">
            <w:pPr>
              <w:jc w:val="center"/>
              <w:rPr>
                <w:rFonts w:hint="eastAsia"/>
                <w:color w:val="auto"/>
                <w:sz w:val="21"/>
                <w:szCs w:val="21"/>
                <w:lang w:val="en-US" w:eastAsia="zh-CN"/>
              </w:rPr>
            </w:pPr>
            <w:r>
              <w:rPr>
                <w:rFonts w:ascii="Times New Roman" w:hAnsi="Times New Roman" w:cs="Times New Roman"/>
                <w:color w:val="auto"/>
                <w:sz w:val="21"/>
                <w:szCs w:val="21"/>
              </w:rPr>
              <w:t>10</w:t>
            </w:r>
          </w:p>
        </w:tc>
        <w:tc>
          <w:tcPr>
            <w:tcW w:w="584" w:type="pct"/>
            <w:tcBorders>
              <w:tl2br w:val="nil"/>
              <w:tr2bl w:val="nil"/>
            </w:tcBorders>
            <w:vAlign w:val="center"/>
          </w:tcPr>
          <w:p w14:paraId="6F85F6DE">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32E0A676">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3E5325B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47851150">
            <w:pPr>
              <w:spacing w:line="240" w:lineRule="auto"/>
              <w:jc w:val="center"/>
              <w:rPr>
                <w:color w:val="auto"/>
                <w:sz w:val="21"/>
                <w:szCs w:val="21"/>
              </w:rPr>
            </w:pPr>
            <w:r>
              <w:rPr>
                <w:rFonts w:hint="eastAsia"/>
                <w:color w:val="auto"/>
                <w:sz w:val="21"/>
                <w:szCs w:val="21"/>
              </w:rPr>
              <w:t>1,1,2,2-四氯乙烷</w:t>
            </w:r>
          </w:p>
        </w:tc>
        <w:tc>
          <w:tcPr>
            <w:tcW w:w="378" w:type="pct"/>
            <w:tcBorders>
              <w:tl2br w:val="nil"/>
              <w:tr2bl w:val="nil"/>
            </w:tcBorders>
            <w:vAlign w:val="center"/>
          </w:tcPr>
          <w:p w14:paraId="59DA45E4">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0DAA131A">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3E64354">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D65F690">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067A8410">
            <w:pPr>
              <w:jc w:val="center"/>
              <w:rPr>
                <w:rFonts w:hint="eastAsia"/>
                <w:color w:val="auto"/>
                <w:sz w:val="21"/>
                <w:szCs w:val="21"/>
                <w:lang w:val="en-US" w:eastAsia="zh-CN"/>
              </w:rPr>
            </w:pPr>
            <w:r>
              <w:rPr>
                <w:rFonts w:ascii="Times New Roman" w:hAnsi="Times New Roman" w:cs="Times New Roman"/>
                <w:color w:val="auto"/>
                <w:sz w:val="21"/>
                <w:szCs w:val="21"/>
              </w:rPr>
              <w:t>6.8</w:t>
            </w:r>
          </w:p>
        </w:tc>
        <w:tc>
          <w:tcPr>
            <w:tcW w:w="584" w:type="pct"/>
            <w:tcBorders>
              <w:tl2br w:val="nil"/>
              <w:tr2bl w:val="nil"/>
            </w:tcBorders>
            <w:vAlign w:val="center"/>
          </w:tcPr>
          <w:p w14:paraId="34F49B5E">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405B0FE4">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2737E9A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37A5F32D">
            <w:pPr>
              <w:spacing w:line="240" w:lineRule="auto"/>
              <w:jc w:val="center"/>
              <w:rPr>
                <w:color w:val="auto"/>
                <w:sz w:val="21"/>
                <w:szCs w:val="21"/>
              </w:rPr>
            </w:pPr>
            <w:r>
              <w:rPr>
                <w:color w:val="auto"/>
                <w:sz w:val="21"/>
                <w:szCs w:val="21"/>
              </w:rPr>
              <w:t>四氯乙烯</w:t>
            </w:r>
          </w:p>
        </w:tc>
        <w:tc>
          <w:tcPr>
            <w:tcW w:w="378" w:type="pct"/>
            <w:tcBorders>
              <w:tl2br w:val="nil"/>
              <w:tr2bl w:val="nil"/>
            </w:tcBorders>
            <w:vAlign w:val="center"/>
          </w:tcPr>
          <w:p w14:paraId="073CCC3B">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0DE2D93D">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AF5D23D">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040362B">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2341FAB1">
            <w:pPr>
              <w:jc w:val="center"/>
              <w:rPr>
                <w:rFonts w:hint="eastAsia"/>
                <w:color w:val="auto"/>
                <w:sz w:val="21"/>
                <w:szCs w:val="21"/>
                <w:lang w:val="en-US" w:eastAsia="zh-CN"/>
              </w:rPr>
            </w:pPr>
            <w:r>
              <w:rPr>
                <w:rFonts w:ascii="Times New Roman" w:hAnsi="Times New Roman" w:cs="Times New Roman"/>
                <w:color w:val="auto"/>
                <w:sz w:val="21"/>
                <w:szCs w:val="21"/>
              </w:rPr>
              <w:t>53</w:t>
            </w:r>
          </w:p>
        </w:tc>
        <w:tc>
          <w:tcPr>
            <w:tcW w:w="584" w:type="pct"/>
            <w:tcBorders>
              <w:tl2br w:val="nil"/>
              <w:tr2bl w:val="nil"/>
            </w:tcBorders>
            <w:vAlign w:val="center"/>
          </w:tcPr>
          <w:p w14:paraId="778FD423">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03E49A91">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73CC218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PrEx>
        <w:trPr>
          <w:jc w:val="center"/>
        </w:trPr>
        <w:tc>
          <w:tcPr>
            <w:tcW w:w="707" w:type="pct"/>
            <w:tcBorders>
              <w:tl2br w:val="nil"/>
              <w:tr2bl w:val="nil"/>
            </w:tcBorders>
            <w:vAlign w:val="center"/>
          </w:tcPr>
          <w:p w14:paraId="77600D0C">
            <w:pPr>
              <w:spacing w:line="240" w:lineRule="auto"/>
              <w:jc w:val="center"/>
              <w:rPr>
                <w:color w:val="auto"/>
                <w:sz w:val="21"/>
                <w:szCs w:val="21"/>
              </w:rPr>
            </w:pPr>
            <w:r>
              <w:rPr>
                <w:color w:val="auto"/>
                <w:sz w:val="21"/>
                <w:szCs w:val="21"/>
              </w:rPr>
              <w:t>1,1,1-三氯乙烷</w:t>
            </w:r>
          </w:p>
        </w:tc>
        <w:tc>
          <w:tcPr>
            <w:tcW w:w="378" w:type="pct"/>
            <w:tcBorders>
              <w:tl2br w:val="nil"/>
              <w:tr2bl w:val="nil"/>
            </w:tcBorders>
            <w:vAlign w:val="center"/>
          </w:tcPr>
          <w:p w14:paraId="02F5F919">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781C632D">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EECDFC5">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043C6AE">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75CBDA01">
            <w:pPr>
              <w:jc w:val="center"/>
              <w:rPr>
                <w:rFonts w:hint="eastAsia"/>
                <w:color w:val="auto"/>
                <w:sz w:val="21"/>
                <w:szCs w:val="21"/>
                <w:lang w:val="en-US" w:eastAsia="zh-CN"/>
              </w:rPr>
            </w:pPr>
            <w:r>
              <w:rPr>
                <w:rFonts w:ascii="Times New Roman" w:hAnsi="Times New Roman" w:cs="Times New Roman"/>
                <w:color w:val="auto"/>
                <w:sz w:val="21"/>
                <w:szCs w:val="21"/>
              </w:rPr>
              <w:t>840</w:t>
            </w:r>
          </w:p>
        </w:tc>
        <w:tc>
          <w:tcPr>
            <w:tcW w:w="584" w:type="pct"/>
            <w:tcBorders>
              <w:tl2br w:val="nil"/>
              <w:tr2bl w:val="nil"/>
            </w:tcBorders>
            <w:vAlign w:val="center"/>
          </w:tcPr>
          <w:p w14:paraId="29943E17">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1685ACA5">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6D42C1A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3AAD3D14">
            <w:pPr>
              <w:spacing w:line="240" w:lineRule="auto"/>
              <w:jc w:val="center"/>
              <w:rPr>
                <w:color w:val="auto"/>
                <w:sz w:val="21"/>
                <w:szCs w:val="21"/>
              </w:rPr>
            </w:pPr>
            <w:r>
              <w:rPr>
                <w:color w:val="auto"/>
                <w:sz w:val="21"/>
                <w:szCs w:val="21"/>
              </w:rPr>
              <w:t>1,1,2-三氯乙烷</w:t>
            </w:r>
          </w:p>
        </w:tc>
        <w:tc>
          <w:tcPr>
            <w:tcW w:w="378" w:type="pct"/>
            <w:tcBorders>
              <w:tl2br w:val="nil"/>
              <w:tr2bl w:val="nil"/>
            </w:tcBorders>
            <w:vAlign w:val="center"/>
          </w:tcPr>
          <w:p w14:paraId="1BB99FD2">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7D96B2AF">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BE8E0DF">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314B197">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4A6D2F1F">
            <w:pPr>
              <w:jc w:val="center"/>
              <w:rPr>
                <w:rFonts w:hint="eastAsia"/>
                <w:color w:val="auto"/>
                <w:sz w:val="21"/>
                <w:szCs w:val="21"/>
                <w:lang w:val="en-US" w:eastAsia="zh-CN"/>
              </w:rPr>
            </w:pPr>
            <w:r>
              <w:rPr>
                <w:rFonts w:ascii="Times New Roman" w:hAnsi="Times New Roman" w:cs="Times New Roman"/>
                <w:color w:val="auto"/>
                <w:sz w:val="21"/>
                <w:szCs w:val="21"/>
              </w:rPr>
              <w:t>2.8</w:t>
            </w:r>
          </w:p>
        </w:tc>
        <w:tc>
          <w:tcPr>
            <w:tcW w:w="584" w:type="pct"/>
            <w:tcBorders>
              <w:tl2br w:val="nil"/>
              <w:tr2bl w:val="nil"/>
            </w:tcBorders>
            <w:vAlign w:val="center"/>
          </w:tcPr>
          <w:p w14:paraId="4A73E256">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0A31DE83">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429C739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716EF7E5">
            <w:pPr>
              <w:spacing w:line="240" w:lineRule="auto"/>
              <w:jc w:val="center"/>
              <w:rPr>
                <w:color w:val="auto"/>
                <w:sz w:val="21"/>
                <w:szCs w:val="21"/>
              </w:rPr>
            </w:pPr>
            <w:r>
              <w:rPr>
                <w:color w:val="auto"/>
                <w:sz w:val="21"/>
                <w:szCs w:val="21"/>
              </w:rPr>
              <w:t>三氯乙烯</w:t>
            </w:r>
          </w:p>
        </w:tc>
        <w:tc>
          <w:tcPr>
            <w:tcW w:w="378" w:type="pct"/>
            <w:tcBorders>
              <w:tl2br w:val="nil"/>
              <w:tr2bl w:val="nil"/>
            </w:tcBorders>
            <w:vAlign w:val="center"/>
          </w:tcPr>
          <w:p w14:paraId="404FA978">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2573B8C5">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4479DBD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2F5B204B">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6C420B14">
            <w:pPr>
              <w:jc w:val="center"/>
              <w:rPr>
                <w:rFonts w:hint="eastAsia"/>
                <w:color w:val="auto"/>
                <w:sz w:val="21"/>
                <w:szCs w:val="21"/>
                <w:lang w:val="en-US" w:eastAsia="zh-CN"/>
              </w:rPr>
            </w:pPr>
            <w:r>
              <w:rPr>
                <w:rFonts w:ascii="Times New Roman" w:hAnsi="Times New Roman" w:cs="Times New Roman"/>
                <w:color w:val="auto"/>
                <w:sz w:val="21"/>
                <w:szCs w:val="21"/>
              </w:rPr>
              <w:t>2.8</w:t>
            </w:r>
          </w:p>
        </w:tc>
        <w:tc>
          <w:tcPr>
            <w:tcW w:w="584" w:type="pct"/>
            <w:tcBorders>
              <w:tl2br w:val="nil"/>
              <w:tr2bl w:val="nil"/>
            </w:tcBorders>
            <w:vAlign w:val="center"/>
          </w:tcPr>
          <w:p w14:paraId="69995620">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167B5BC2">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2E1575B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18520319">
            <w:pPr>
              <w:spacing w:line="240" w:lineRule="auto"/>
              <w:jc w:val="center"/>
              <w:rPr>
                <w:color w:val="auto"/>
                <w:sz w:val="21"/>
                <w:szCs w:val="21"/>
              </w:rPr>
            </w:pPr>
            <w:r>
              <w:rPr>
                <w:color w:val="auto"/>
                <w:sz w:val="21"/>
                <w:szCs w:val="21"/>
              </w:rPr>
              <w:t>1,2,3-三氯丙烷</w:t>
            </w:r>
          </w:p>
        </w:tc>
        <w:tc>
          <w:tcPr>
            <w:tcW w:w="378" w:type="pct"/>
            <w:tcBorders>
              <w:tl2br w:val="nil"/>
              <w:tr2bl w:val="nil"/>
            </w:tcBorders>
            <w:vAlign w:val="center"/>
          </w:tcPr>
          <w:p w14:paraId="029363D0">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42D53CBC">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EFA810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33B1F1F2">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369DCE28">
            <w:pPr>
              <w:jc w:val="center"/>
              <w:rPr>
                <w:rFonts w:hint="eastAsia"/>
                <w:color w:val="auto"/>
                <w:sz w:val="21"/>
                <w:szCs w:val="21"/>
                <w:lang w:val="en-US" w:eastAsia="zh-CN"/>
              </w:rPr>
            </w:pPr>
            <w:r>
              <w:rPr>
                <w:rFonts w:ascii="Times New Roman" w:hAnsi="Times New Roman" w:cs="Times New Roman"/>
                <w:color w:val="auto"/>
                <w:sz w:val="21"/>
                <w:szCs w:val="21"/>
              </w:rPr>
              <w:t>0.5</w:t>
            </w:r>
          </w:p>
        </w:tc>
        <w:tc>
          <w:tcPr>
            <w:tcW w:w="584" w:type="pct"/>
            <w:tcBorders>
              <w:tl2br w:val="nil"/>
              <w:tr2bl w:val="nil"/>
            </w:tcBorders>
            <w:vAlign w:val="center"/>
          </w:tcPr>
          <w:p w14:paraId="1BBB7796">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4F6C4749">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68B020E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7F533A83">
            <w:pPr>
              <w:spacing w:line="240" w:lineRule="auto"/>
              <w:jc w:val="center"/>
              <w:rPr>
                <w:color w:val="auto"/>
                <w:sz w:val="21"/>
                <w:szCs w:val="21"/>
              </w:rPr>
            </w:pPr>
            <w:r>
              <w:rPr>
                <w:color w:val="auto"/>
                <w:sz w:val="21"/>
                <w:szCs w:val="21"/>
              </w:rPr>
              <w:t>氯乙烯</w:t>
            </w:r>
          </w:p>
        </w:tc>
        <w:tc>
          <w:tcPr>
            <w:tcW w:w="378" w:type="pct"/>
            <w:tcBorders>
              <w:tl2br w:val="nil"/>
              <w:tr2bl w:val="nil"/>
            </w:tcBorders>
            <w:vAlign w:val="center"/>
          </w:tcPr>
          <w:p w14:paraId="63CF0BC3">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6244181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4D64F553">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D9236AB">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6672F470">
            <w:pPr>
              <w:jc w:val="center"/>
              <w:rPr>
                <w:rFonts w:hint="eastAsia"/>
                <w:color w:val="auto"/>
                <w:sz w:val="21"/>
                <w:szCs w:val="21"/>
                <w:lang w:val="en-US" w:eastAsia="zh-CN"/>
              </w:rPr>
            </w:pPr>
            <w:r>
              <w:rPr>
                <w:rFonts w:ascii="Times New Roman" w:hAnsi="Times New Roman" w:cs="Times New Roman"/>
                <w:color w:val="auto"/>
                <w:sz w:val="21"/>
                <w:szCs w:val="21"/>
              </w:rPr>
              <w:t>0.43</w:t>
            </w:r>
          </w:p>
        </w:tc>
        <w:tc>
          <w:tcPr>
            <w:tcW w:w="584" w:type="pct"/>
            <w:tcBorders>
              <w:tl2br w:val="nil"/>
              <w:tr2bl w:val="nil"/>
            </w:tcBorders>
            <w:vAlign w:val="center"/>
          </w:tcPr>
          <w:p w14:paraId="1C96E88E">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44CE2260">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78CAC4D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343A35AB">
            <w:pPr>
              <w:spacing w:line="240" w:lineRule="auto"/>
              <w:jc w:val="center"/>
              <w:rPr>
                <w:color w:val="auto"/>
                <w:sz w:val="21"/>
                <w:szCs w:val="21"/>
              </w:rPr>
            </w:pPr>
            <w:r>
              <w:rPr>
                <w:color w:val="auto"/>
                <w:sz w:val="21"/>
                <w:szCs w:val="21"/>
              </w:rPr>
              <w:t>苯</w:t>
            </w:r>
          </w:p>
        </w:tc>
        <w:tc>
          <w:tcPr>
            <w:tcW w:w="378" w:type="pct"/>
            <w:tcBorders>
              <w:tl2br w:val="nil"/>
              <w:tr2bl w:val="nil"/>
            </w:tcBorders>
            <w:vAlign w:val="center"/>
          </w:tcPr>
          <w:p w14:paraId="6B2A82DC">
            <w:pPr>
              <w:spacing w:line="240" w:lineRule="auto"/>
              <w:jc w:val="center"/>
              <w:rPr>
                <w:rFonts w:hint="eastAsia"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4845238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4A57784">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810E99B">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2C6C28C5">
            <w:pPr>
              <w:jc w:val="center"/>
              <w:rPr>
                <w:rFonts w:hint="eastAsia"/>
                <w:color w:val="auto"/>
                <w:sz w:val="21"/>
                <w:szCs w:val="21"/>
                <w:lang w:val="en-US" w:eastAsia="zh-CN"/>
              </w:rPr>
            </w:pPr>
            <w:r>
              <w:rPr>
                <w:rFonts w:ascii="Times New Roman" w:hAnsi="Times New Roman" w:cs="Times New Roman"/>
                <w:color w:val="auto"/>
                <w:sz w:val="21"/>
                <w:szCs w:val="21"/>
              </w:rPr>
              <w:t>4</w:t>
            </w:r>
          </w:p>
        </w:tc>
        <w:tc>
          <w:tcPr>
            <w:tcW w:w="584" w:type="pct"/>
            <w:tcBorders>
              <w:tl2br w:val="nil"/>
              <w:tr2bl w:val="nil"/>
            </w:tcBorders>
            <w:vAlign w:val="center"/>
          </w:tcPr>
          <w:p w14:paraId="09A51B0F">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1BE2138A">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186C1DA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53E01911">
            <w:pPr>
              <w:spacing w:line="240" w:lineRule="auto"/>
              <w:jc w:val="center"/>
              <w:rPr>
                <w:color w:val="auto"/>
                <w:sz w:val="21"/>
                <w:szCs w:val="21"/>
              </w:rPr>
            </w:pPr>
            <w:r>
              <w:rPr>
                <w:color w:val="auto"/>
                <w:sz w:val="21"/>
                <w:szCs w:val="21"/>
              </w:rPr>
              <w:t>氯苯</w:t>
            </w:r>
          </w:p>
        </w:tc>
        <w:tc>
          <w:tcPr>
            <w:tcW w:w="378" w:type="pct"/>
            <w:tcBorders>
              <w:tl2br w:val="nil"/>
              <w:tr2bl w:val="nil"/>
            </w:tcBorders>
            <w:vAlign w:val="center"/>
          </w:tcPr>
          <w:p w14:paraId="7A056752">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D328D59">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94566E1">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055E200">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204231F">
            <w:pPr>
              <w:jc w:val="center"/>
              <w:rPr>
                <w:rFonts w:hint="eastAsia"/>
                <w:color w:val="auto"/>
                <w:sz w:val="21"/>
                <w:szCs w:val="21"/>
                <w:lang w:val="en-US" w:eastAsia="zh-CN"/>
              </w:rPr>
            </w:pPr>
            <w:r>
              <w:rPr>
                <w:rFonts w:ascii="Times New Roman" w:hAnsi="Times New Roman" w:cs="Times New Roman"/>
                <w:color w:val="auto"/>
                <w:sz w:val="21"/>
                <w:szCs w:val="21"/>
              </w:rPr>
              <w:t>270</w:t>
            </w:r>
          </w:p>
        </w:tc>
        <w:tc>
          <w:tcPr>
            <w:tcW w:w="584" w:type="pct"/>
            <w:tcBorders>
              <w:tl2br w:val="nil"/>
              <w:tr2bl w:val="nil"/>
            </w:tcBorders>
            <w:vAlign w:val="center"/>
          </w:tcPr>
          <w:p w14:paraId="59871F59">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63AE980F">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6133BB0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7279406B">
            <w:pPr>
              <w:spacing w:line="240" w:lineRule="auto"/>
              <w:jc w:val="center"/>
              <w:rPr>
                <w:color w:val="auto"/>
                <w:sz w:val="21"/>
                <w:szCs w:val="21"/>
              </w:rPr>
            </w:pPr>
            <w:r>
              <w:rPr>
                <w:color w:val="auto"/>
                <w:sz w:val="21"/>
                <w:szCs w:val="21"/>
              </w:rPr>
              <w:t>1,2-二氯苯</w:t>
            </w:r>
          </w:p>
        </w:tc>
        <w:tc>
          <w:tcPr>
            <w:tcW w:w="378" w:type="pct"/>
            <w:tcBorders>
              <w:tl2br w:val="nil"/>
              <w:tr2bl w:val="nil"/>
            </w:tcBorders>
            <w:vAlign w:val="center"/>
          </w:tcPr>
          <w:p w14:paraId="271CBFFD">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0F25B3E1">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D11757C">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2F5CDC0">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3770C66E">
            <w:pPr>
              <w:jc w:val="center"/>
              <w:rPr>
                <w:rFonts w:hint="eastAsia"/>
                <w:color w:val="auto"/>
                <w:sz w:val="21"/>
                <w:szCs w:val="21"/>
                <w:lang w:val="en-US" w:eastAsia="zh-CN"/>
              </w:rPr>
            </w:pPr>
            <w:r>
              <w:rPr>
                <w:rFonts w:ascii="Times New Roman" w:hAnsi="Times New Roman" w:cs="Times New Roman"/>
                <w:color w:val="auto"/>
                <w:sz w:val="21"/>
                <w:szCs w:val="21"/>
              </w:rPr>
              <w:t>560</w:t>
            </w:r>
          </w:p>
        </w:tc>
        <w:tc>
          <w:tcPr>
            <w:tcW w:w="584" w:type="pct"/>
            <w:tcBorders>
              <w:tl2br w:val="nil"/>
              <w:tr2bl w:val="nil"/>
            </w:tcBorders>
            <w:vAlign w:val="center"/>
          </w:tcPr>
          <w:p w14:paraId="6D5FF218">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47ED2EA1">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0428151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0860DC9E">
            <w:pPr>
              <w:spacing w:line="240" w:lineRule="auto"/>
              <w:jc w:val="center"/>
              <w:rPr>
                <w:color w:val="auto"/>
                <w:sz w:val="21"/>
                <w:szCs w:val="21"/>
              </w:rPr>
            </w:pPr>
            <w:r>
              <w:rPr>
                <w:color w:val="auto"/>
                <w:sz w:val="21"/>
                <w:szCs w:val="21"/>
              </w:rPr>
              <w:t>1,4-二氯苯</w:t>
            </w:r>
          </w:p>
        </w:tc>
        <w:tc>
          <w:tcPr>
            <w:tcW w:w="378" w:type="pct"/>
            <w:tcBorders>
              <w:tl2br w:val="nil"/>
              <w:tr2bl w:val="nil"/>
            </w:tcBorders>
            <w:vAlign w:val="center"/>
          </w:tcPr>
          <w:p w14:paraId="6CFA2357">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0423FF4">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F9324F3">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2573472E">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42CE7DDB">
            <w:pPr>
              <w:jc w:val="center"/>
              <w:rPr>
                <w:rFonts w:hint="eastAsia"/>
                <w:color w:val="auto"/>
                <w:sz w:val="21"/>
                <w:szCs w:val="21"/>
                <w:lang w:val="en-US" w:eastAsia="zh-CN"/>
              </w:rPr>
            </w:pPr>
            <w:r>
              <w:rPr>
                <w:rFonts w:ascii="Times New Roman" w:hAnsi="Times New Roman" w:cs="Times New Roman"/>
                <w:color w:val="auto"/>
                <w:sz w:val="21"/>
                <w:szCs w:val="21"/>
              </w:rPr>
              <w:t>20</w:t>
            </w:r>
          </w:p>
        </w:tc>
        <w:tc>
          <w:tcPr>
            <w:tcW w:w="584" w:type="pct"/>
            <w:tcBorders>
              <w:tl2br w:val="nil"/>
              <w:tr2bl w:val="nil"/>
            </w:tcBorders>
            <w:vAlign w:val="center"/>
          </w:tcPr>
          <w:p w14:paraId="51703913">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5840FB70">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0F1B981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037F7FED">
            <w:pPr>
              <w:spacing w:line="240" w:lineRule="auto"/>
              <w:jc w:val="center"/>
              <w:rPr>
                <w:color w:val="auto"/>
                <w:sz w:val="21"/>
                <w:szCs w:val="21"/>
              </w:rPr>
            </w:pPr>
            <w:r>
              <w:rPr>
                <w:color w:val="auto"/>
                <w:sz w:val="21"/>
                <w:szCs w:val="21"/>
              </w:rPr>
              <w:t>乙苯</w:t>
            </w:r>
          </w:p>
        </w:tc>
        <w:tc>
          <w:tcPr>
            <w:tcW w:w="378" w:type="pct"/>
            <w:tcBorders>
              <w:tl2br w:val="nil"/>
              <w:tr2bl w:val="nil"/>
            </w:tcBorders>
            <w:vAlign w:val="center"/>
          </w:tcPr>
          <w:p w14:paraId="5779E3C3">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17290C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1E8B90A">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E0BBDBD">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D173B2A">
            <w:pPr>
              <w:jc w:val="center"/>
              <w:rPr>
                <w:rFonts w:hint="eastAsia"/>
                <w:color w:val="auto"/>
                <w:sz w:val="21"/>
                <w:szCs w:val="21"/>
                <w:lang w:val="en-US" w:eastAsia="zh-CN"/>
              </w:rPr>
            </w:pPr>
            <w:r>
              <w:rPr>
                <w:rFonts w:ascii="Times New Roman" w:hAnsi="Times New Roman" w:cs="Times New Roman"/>
                <w:color w:val="auto"/>
                <w:sz w:val="21"/>
                <w:szCs w:val="21"/>
              </w:rPr>
              <w:t>28</w:t>
            </w:r>
          </w:p>
        </w:tc>
        <w:tc>
          <w:tcPr>
            <w:tcW w:w="584" w:type="pct"/>
            <w:tcBorders>
              <w:tl2br w:val="nil"/>
              <w:tr2bl w:val="nil"/>
            </w:tcBorders>
            <w:vAlign w:val="center"/>
          </w:tcPr>
          <w:p w14:paraId="44AB30B9">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544F1072">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36BBA66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4FEF8429">
            <w:pPr>
              <w:spacing w:line="240" w:lineRule="auto"/>
              <w:jc w:val="center"/>
              <w:rPr>
                <w:color w:val="auto"/>
                <w:sz w:val="21"/>
                <w:szCs w:val="21"/>
              </w:rPr>
            </w:pPr>
            <w:r>
              <w:rPr>
                <w:color w:val="auto"/>
                <w:sz w:val="21"/>
                <w:szCs w:val="21"/>
              </w:rPr>
              <w:t>苯乙烯</w:t>
            </w:r>
          </w:p>
        </w:tc>
        <w:tc>
          <w:tcPr>
            <w:tcW w:w="378" w:type="pct"/>
            <w:tcBorders>
              <w:tl2br w:val="nil"/>
              <w:tr2bl w:val="nil"/>
            </w:tcBorders>
            <w:vAlign w:val="center"/>
          </w:tcPr>
          <w:p w14:paraId="091C10C4">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65699E1A">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BA1809C">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37A15A1A">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63B710BB">
            <w:pPr>
              <w:jc w:val="center"/>
              <w:rPr>
                <w:rFonts w:hint="eastAsia"/>
                <w:color w:val="auto"/>
                <w:sz w:val="21"/>
                <w:szCs w:val="21"/>
                <w:lang w:val="en-US" w:eastAsia="zh-CN"/>
              </w:rPr>
            </w:pPr>
            <w:r>
              <w:rPr>
                <w:rFonts w:ascii="Times New Roman" w:hAnsi="Times New Roman" w:cs="Times New Roman"/>
                <w:color w:val="auto"/>
                <w:sz w:val="21"/>
                <w:szCs w:val="21"/>
              </w:rPr>
              <w:t>1290</w:t>
            </w:r>
          </w:p>
        </w:tc>
        <w:tc>
          <w:tcPr>
            <w:tcW w:w="584" w:type="pct"/>
            <w:tcBorders>
              <w:tl2br w:val="nil"/>
              <w:tr2bl w:val="nil"/>
            </w:tcBorders>
            <w:vAlign w:val="center"/>
          </w:tcPr>
          <w:p w14:paraId="5F36126F">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61B5B235">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479A651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71A60073">
            <w:pPr>
              <w:spacing w:line="240" w:lineRule="auto"/>
              <w:jc w:val="center"/>
              <w:rPr>
                <w:color w:val="auto"/>
                <w:sz w:val="21"/>
                <w:szCs w:val="21"/>
              </w:rPr>
            </w:pPr>
            <w:r>
              <w:rPr>
                <w:color w:val="auto"/>
                <w:sz w:val="21"/>
                <w:szCs w:val="21"/>
              </w:rPr>
              <w:t>甲苯</w:t>
            </w:r>
          </w:p>
        </w:tc>
        <w:tc>
          <w:tcPr>
            <w:tcW w:w="378" w:type="pct"/>
            <w:tcBorders>
              <w:tl2br w:val="nil"/>
              <w:tr2bl w:val="nil"/>
            </w:tcBorders>
            <w:vAlign w:val="center"/>
          </w:tcPr>
          <w:p w14:paraId="6635B795">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49D1C13E">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C775C65">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2038E71">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07448A8A">
            <w:pPr>
              <w:jc w:val="center"/>
              <w:rPr>
                <w:rFonts w:hint="eastAsia"/>
                <w:color w:val="auto"/>
                <w:sz w:val="21"/>
                <w:szCs w:val="21"/>
                <w:lang w:val="en-US" w:eastAsia="zh-CN"/>
              </w:rPr>
            </w:pPr>
            <w:r>
              <w:rPr>
                <w:rFonts w:ascii="Times New Roman" w:hAnsi="Times New Roman" w:cs="Times New Roman"/>
                <w:color w:val="auto"/>
                <w:sz w:val="21"/>
                <w:szCs w:val="21"/>
              </w:rPr>
              <w:t>1200</w:t>
            </w:r>
          </w:p>
        </w:tc>
        <w:tc>
          <w:tcPr>
            <w:tcW w:w="584" w:type="pct"/>
            <w:tcBorders>
              <w:tl2br w:val="nil"/>
              <w:tr2bl w:val="nil"/>
            </w:tcBorders>
            <w:vAlign w:val="center"/>
          </w:tcPr>
          <w:p w14:paraId="70F02902">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256DC63D">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4ADC9E1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33F4A767">
            <w:pPr>
              <w:spacing w:line="240" w:lineRule="auto"/>
              <w:jc w:val="center"/>
              <w:rPr>
                <w:color w:val="auto"/>
                <w:sz w:val="21"/>
                <w:szCs w:val="21"/>
              </w:rPr>
            </w:pPr>
            <w:r>
              <w:rPr>
                <w:color w:val="auto"/>
                <w:sz w:val="21"/>
                <w:szCs w:val="21"/>
              </w:rPr>
              <w:t>间、对二甲苯</w:t>
            </w:r>
          </w:p>
        </w:tc>
        <w:tc>
          <w:tcPr>
            <w:tcW w:w="378" w:type="pct"/>
            <w:tcBorders>
              <w:tl2br w:val="nil"/>
              <w:tr2bl w:val="nil"/>
            </w:tcBorders>
            <w:vAlign w:val="center"/>
          </w:tcPr>
          <w:p w14:paraId="2C83AE61">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3E4B522">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F8A1F00">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AF145B3">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074F8195">
            <w:pPr>
              <w:jc w:val="center"/>
              <w:rPr>
                <w:rFonts w:hint="eastAsia"/>
                <w:color w:val="auto"/>
                <w:sz w:val="21"/>
                <w:szCs w:val="21"/>
                <w:lang w:val="en-US" w:eastAsia="zh-CN"/>
              </w:rPr>
            </w:pPr>
            <w:r>
              <w:rPr>
                <w:rFonts w:ascii="Times New Roman" w:hAnsi="Times New Roman" w:cs="Times New Roman"/>
                <w:color w:val="auto"/>
                <w:sz w:val="21"/>
                <w:szCs w:val="21"/>
              </w:rPr>
              <w:t>570</w:t>
            </w:r>
          </w:p>
        </w:tc>
        <w:tc>
          <w:tcPr>
            <w:tcW w:w="584" w:type="pct"/>
            <w:tcBorders>
              <w:tl2br w:val="nil"/>
              <w:tr2bl w:val="nil"/>
            </w:tcBorders>
            <w:vAlign w:val="center"/>
          </w:tcPr>
          <w:p w14:paraId="52134630">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1A7AA7E0">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509DC56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6B41BD58">
            <w:pPr>
              <w:spacing w:line="240" w:lineRule="auto"/>
              <w:jc w:val="center"/>
              <w:rPr>
                <w:color w:val="auto"/>
                <w:sz w:val="21"/>
                <w:szCs w:val="21"/>
              </w:rPr>
            </w:pPr>
            <w:r>
              <w:rPr>
                <w:color w:val="auto"/>
                <w:sz w:val="21"/>
                <w:szCs w:val="21"/>
              </w:rPr>
              <w:t>邻二甲苯</w:t>
            </w:r>
          </w:p>
        </w:tc>
        <w:tc>
          <w:tcPr>
            <w:tcW w:w="378" w:type="pct"/>
            <w:tcBorders>
              <w:tl2br w:val="nil"/>
              <w:tr2bl w:val="nil"/>
            </w:tcBorders>
            <w:vAlign w:val="center"/>
          </w:tcPr>
          <w:p w14:paraId="322AD3D2">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1F9AEC32">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ABC7258">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45DB2C4">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7AE1DB8B">
            <w:pPr>
              <w:jc w:val="center"/>
              <w:rPr>
                <w:rFonts w:hint="eastAsia"/>
                <w:color w:val="auto"/>
                <w:sz w:val="21"/>
                <w:szCs w:val="21"/>
                <w:lang w:val="en-US" w:eastAsia="zh-CN"/>
              </w:rPr>
            </w:pPr>
            <w:r>
              <w:rPr>
                <w:rFonts w:ascii="Times New Roman" w:hAnsi="Times New Roman" w:cs="Times New Roman"/>
                <w:color w:val="auto"/>
                <w:sz w:val="21"/>
                <w:szCs w:val="21"/>
              </w:rPr>
              <w:t>640</w:t>
            </w:r>
          </w:p>
        </w:tc>
        <w:tc>
          <w:tcPr>
            <w:tcW w:w="584" w:type="pct"/>
            <w:tcBorders>
              <w:tl2br w:val="nil"/>
              <w:tr2bl w:val="nil"/>
            </w:tcBorders>
            <w:vAlign w:val="center"/>
          </w:tcPr>
          <w:p w14:paraId="21F027FD">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2B7AAB17">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55C7062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5000" w:type="pct"/>
            <w:gridSpan w:val="8"/>
            <w:tcBorders>
              <w:tl2br w:val="nil"/>
              <w:tr2bl w:val="nil"/>
            </w:tcBorders>
            <w:vAlign w:val="center"/>
          </w:tcPr>
          <w:p w14:paraId="10621ADF">
            <w:pPr>
              <w:spacing w:line="240" w:lineRule="auto"/>
              <w:jc w:val="center"/>
              <w:rPr>
                <w:color w:val="auto"/>
                <w:sz w:val="21"/>
                <w:szCs w:val="21"/>
              </w:rPr>
            </w:pPr>
            <w:r>
              <w:rPr>
                <w:color w:val="auto"/>
                <w:sz w:val="21"/>
                <w:szCs w:val="21"/>
              </w:rPr>
              <w:t>半挥发性有机物（11种）</w:t>
            </w:r>
          </w:p>
        </w:tc>
      </w:tr>
      <w:tr w14:paraId="3E00246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268683E0">
            <w:pPr>
              <w:spacing w:line="240" w:lineRule="auto"/>
              <w:jc w:val="center"/>
              <w:rPr>
                <w:color w:val="auto"/>
                <w:sz w:val="21"/>
                <w:szCs w:val="21"/>
              </w:rPr>
            </w:pPr>
            <w:r>
              <w:rPr>
                <w:color w:val="auto"/>
                <w:sz w:val="21"/>
                <w:szCs w:val="21"/>
              </w:rPr>
              <w:t>硝基苯</w:t>
            </w:r>
          </w:p>
        </w:tc>
        <w:tc>
          <w:tcPr>
            <w:tcW w:w="378" w:type="pct"/>
            <w:tcBorders>
              <w:tl2br w:val="nil"/>
              <w:tr2bl w:val="nil"/>
            </w:tcBorders>
            <w:vAlign w:val="center"/>
          </w:tcPr>
          <w:p w14:paraId="5B4B450B">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61839183">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6894812">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263C0E7C">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3097D96">
            <w:pPr>
              <w:jc w:val="center"/>
              <w:rPr>
                <w:rFonts w:hint="eastAsia"/>
                <w:color w:val="auto"/>
                <w:sz w:val="21"/>
                <w:szCs w:val="21"/>
                <w:lang w:val="en-US" w:eastAsia="zh-CN"/>
              </w:rPr>
            </w:pPr>
            <w:r>
              <w:rPr>
                <w:rFonts w:hint="eastAsia" w:ascii="Times New Roman" w:hAnsi="Times New Roman" w:cs="Times New Roman"/>
                <w:color w:val="auto"/>
                <w:sz w:val="21"/>
                <w:szCs w:val="21"/>
                <w:lang w:eastAsia="zh-CN"/>
              </w:rPr>
              <w:t>76</w:t>
            </w:r>
          </w:p>
        </w:tc>
        <w:tc>
          <w:tcPr>
            <w:tcW w:w="584" w:type="pct"/>
            <w:tcBorders>
              <w:tl2br w:val="nil"/>
              <w:tr2bl w:val="nil"/>
            </w:tcBorders>
            <w:vAlign w:val="center"/>
          </w:tcPr>
          <w:p w14:paraId="1D5E2707">
            <w:pPr>
              <w:jc w:val="center"/>
              <w:rPr>
                <w:rFonts w:hint="eastAsia" w:ascii="Times New Roman" w:hAnsi="Times New Roman" w:cs="Times New Roman"/>
                <w:color w:val="auto"/>
                <w:sz w:val="21"/>
                <w:szCs w:val="21"/>
                <w:lang w:eastAsia="zh-CN"/>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34BA0923">
            <w:pPr>
              <w:jc w:val="center"/>
              <w:rPr>
                <w:rFonts w:hint="eastAsia" w:ascii="Times New Roman" w:hAnsi="Times New Roman" w:cs="Times New Roman"/>
                <w:color w:val="auto"/>
                <w:sz w:val="21"/>
                <w:szCs w:val="21"/>
                <w:lang w:eastAsia="zh-CN"/>
              </w:rPr>
            </w:pPr>
            <w:r>
              <w:rPr>
                <w:rFonts w:hint="eastAsia" w:cs="Times New Roman"/>
                <w:color w:val="auto"/>
                <w:kern w:val="2"/>
                <w:sz w:val="21"/>
                <w:szCs w:val="21"/>
                <w:highlight w:val="none"/>
                <w:lang w:val="en-US" w:eastAsia="zh-CN" w:bidi="ar-SA"/>
              </w:rPr>
              <w:t>达标</w:t>
            </w:r>
          </w:p>
        </w:tc>
      </w:tr>
      <w:tr w14:paraId="6DD6636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3B84F00F">
            <w:pPr>
              <w:spacing w:line="240" w:lineRule="auto"/>
              <w:jc w:val="center"/>
              <w:rPr>
                <w:color w:val="auto"/>
                <w:sz w:val="21"/>
                <w:szCs w:val="21"/>
              </w:rPr>
            </w:pPr>
            <w:r>
              <w:rPr>
                <w:color w:val="auto"/>
                <w:sz w:val="21"/>
                <w:szCs w:val="21"/>
              </w:rPr>
              <w:t>苯胺</w:t>
            </w:r>
          </w:p>
        </w:tc>
        <w:tc>
          <w:tcPr>
            <w:tcW w:w="378" w:type="pct"/>
            <w:tcBorders>
              <w:tl2br w:val="nil"/>
              <w:tr2bl w:val="nil"/>
            </w:tcBorders>
            <w:vAlign w:val="center"/>
          </w:tcPr>
          <w:p w14:paraId="1079B496">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47B1DD96">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4461929">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84252E1">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11E8F3E9">
            <w:pPr>
              <w:jc w:val="center"/>
              <w:rPr>
                <w:rFonts w:hint="eastAsia"/>
                <w:color w:val="auto"/>
                <w:sz w:val="21"/>
                <w:szCs w:val="21"/>
                <w:lang w:val="en-US" w:eastAsia="zh-CN"/>
              </w:rPr>
            </w:pPr>
            <w:r>
              <w:rPr>
                <w:rFonts w:hint="eastAsia" w:ascii="Times New Roman" w:hAnsi="Times New Roman" w:cs="Times New Roman"/>
                <w:color w:val="auto"/>
                <w:sz w:val="21"/>
                <w:szCs w:val="21"/>
                <w:lang w:eastAsia="zh-CN"/>
              </w:rPr>
              <w:t>260</w:t>
            </w:r>
          </w:p>
        </w:tc>
        <w:tc>
          <w:tcPr>
            <w:tcW w:w="584" w:type="pct"/>
            <w:tcBorders>
              <w:tl2br w:val="nil"/>
              <w:tr2bl w:val="nil"/>
            </w:tcBorders>
            <w:vAlign w:val="center"/>
          </w:tcPr>
          <w:p w14:paraId="3A618A6A">
            <w:pPr>
              <w:jc w:val="center"/>
              <w:rPr>
                <w:rFonts w:hint="eastAsia" w:ascii="Times New Roman" w:hAnsi="Times New Roman" w:cs="Times New Roman"/>
                <w:color w:val="auto"/>
                <w:sz w:val="21"/>
                <w:szCs w:val="21"/>
                <w:lang w:eastAsia="zh-CN"/>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52FD37D1">
            <w:pPr>
              <w:jc w:val="center"/>
              <w:rPr>
                <w:rFonts w:hint="eastAsia" w:ascii="Times New Roman" w:hAnsi="Times New Roman" w:cs="Times New Roman"/>
                <w:color w:val="auto"/>
                <w:sz w:val="21"/>
                <w:szCs w:val="21"/>
                <w:lang w:eastAsia="zh-CN"/>
              </w:rPr>
            </w:pPr>
            <w:r>
              <w:rPr>
                <w:rFonts w:hint="eastAsia" w:cs="Times New Roman"/>
                <w:color w:val="auto"/>
                <w:kern w:val="2"/>
                <w:sz w:val="21"/>
                <w:szCs w:val="21"/>
                <w:highlight w:val="none"/>
                <w:lang w:val="en-US" w:eastAsia="zh-CN" w:bidi="ar-SA"/>
              </w:rPr>
              <w:t>达标</w:t>
            </w:r>
          </w:p>
        </w:tc>
      </w:tr>
      <w:tr w14:paraId="38C0521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20FEF7BE">
            <w:pPr>
              <w:spacing w:line="240" w:lineRule="auto"/>
              <w:jc w:val="center"/>
              <w:rPr>
                <w:color w:val="auto"/>
                <w:sz w:val="21"/>
                <w:szCs w:val="21"/>
              </w:rPr>
            </w:pPr>
            <w:r>
              <w:rPr>
                <w:color w:val="auto"/>
                <w:sz w:val="21"/>
                <w:szCs w:val="21"/>
              </w:rPr>
              <w:t>2-氯酚</w:t>
            </w:r>
          </w:p>
        </w:tc>
        <w:tc>
          <w:tcPr>
            <w:tcW w:w="378" w:type="pct"/>
            <w:tcBorders>
              <w:tl2br w:val="nil"/>
              <w:tr2bl w:val="nil"/>
            </w:tcBorders>
            <w:vAlign w:val="center"/>
          </w:tcPr>
          <w:p w14:paraId="1B079B50">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509FE46B">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23DB502">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471ABBD0">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366C6ADA">
            <w:pPr>
              <w:jc w:val="center"/>
              <w:rPr>
                <w:rFonts w:hint="eastAsia"/>
                <w:color w:val="auto"/>
                <w:sz w:val="21"/>
                <w:szCs w:val="21"/>
                <w:lang w:val="en-US" w:eastAsia="zh-CN"/>
              </w:rPr>
            </w:pPr>
            <w:r>
              <w:rPr>
                <w:rFonts w:hint="eastAsia" w:ascii="Times New Roman" w:hAnsi="Times New Roman" w:cs="Times New Roman"/>
                <w:color w:val="auto"/>
                <w:sz w:val="21"/>
                <w:szCs w:val="21"/>
                <w:lang w:eastAsia="zh-CN"/>
              </w:rPr>
              <w:t>2256</w:t>
            </w:r>
          </w:p>
        </w:tc>
        <w:tc>
          <w:tcPr>
            <w:tcW w:w="584" w:type="pct"/>
            <w:tcBorders>
              <w:tl2br w:val="nil"/>
              <w:tr2bl w:val="nil"/>
            </w:tcBorders>
            <w:vAlign w:val="center"/>
          </w:tcPr>
          <w:p w14:paraId="6277ACCF">
            <w:pPr>
              <w:jc w:val="center"/>
              <w:rPr>
                <w:rFonts w:hint="eastAsia" w:ascii="Times New Roman" w:hAnsi="Times New Roman" w:cs="Times New Roman"/>
                <w:color w:val="auto"/>
                <w:sz w:val="21"/>
                <w:szCs w:val="21"/>
                <w:lang w:eastAsia="zh-CN"/>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5DE47C66">
            <w:pPr>
              <w:jc w:val="center"/>
              <w:rPr>
                <w:rFonts w:hint="eastAsia" w:ascii="Times New Roman" w:hAnsi="Times New Roman" w:cs="Times New Roman"/>
                <w:color w:val="auto"/>
                <w:sz w:val="21"/>
                <w:szCs w:val="21"/>
                <w:lang w:eastAsia="zh-CN"/>
              </w:rPr>
            </w:pPr>
            <w:r>
              <w:rPr>
                <w:rFonts w:hint="eastAsia" w:cs="Times New Roman"/>
                <w:color w:val="auto"/>
                <w:kern w:val="2"/>
                <w:sz w:val="21"/>
                <w:szCs w:val="21"/>
                <w:highlight w:val="none"/>
                <w:lang w:val="en-US" w:eastAsia="zh-CN" w:bidi="ar-SA"/>
              </w:rPr>
              <w:t>达标</w:t>
            </w:r>
          </w:p>
        </w:tc>
      </w:tr>
      <w:tr w14:paraId="624E50A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45A81A81">
            <w:pPr>
              <w:spacing w:line="240" w:lineRule="auto"/>
              <w:jc w:val="center"/>
              <w:rPr>
                <w:color w:val="auto"/>
                <w:sz w:val="21"/>
                <w:szCs w:val="21"/>
              </w:rPr>
            </w:pPr>
            <w:r>
              <w:rPr>
                <w:color w:val="auto"/>
                <w:sz w:val="21"/>
                <w:szCs w:val="21"/>
              </w:rPr>
              <w:t>苯并[a]蒽</w:t>
            </w:r>
          </w:p>
        </w:tc>
        <w:tc>
          <w:tcPr>
            <w:tcW w:w="378" w:type="pct"/>
            <w:tcBorders>
              <w:tl2br w:val="nil"/>
              <w:tr2bl w:val="nil"/>
            </w:tcBorders>
            <w:vAlign w:val="center"/>
          </w:tcPr>
          <w:p w14:paraId="77FB8255">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290DC6AB">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0A3DE2A">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45D0A76">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6715DF2D">
            <w:pPr>
              <w:jc w:val="center"/>
              <w:rPr>
                <w:rFonts w:hint="eastAsia"/>
                <w:color w:val="auto"/>
                <w:sz w:val="21"/>
                <w:szCs w:val="21"/>
                <w:lang w:val="en-US" w:eastAsia="zh-CN"/>
              </w:rPr>
            </w:pPr>
            <w:r>
              <w:rPr>
                <w:rFonts w:ascii="Times New Roman" w:hAnsi="Times New Roman" w:cs="Times New Roman"/>
                <w:color w:val="auto"/>
                <w:sz w:val="21"/>
                <w:szCs w:val="21"/>
              </w:rPr>
              <w:t>15</w:t>
            </w:r>
          </w:p>
        </w:tc>
        <w:tc>
          <w:tcPr>
            <w:tcW w:w="584" w:type="pct"/>
            <w:tcBorders>
              <w:tl2br w:val="nil"/>
              <w:tr2bl w:val="nil"/>
            </w:tcBorders>
            <w:vAlign w:val="center"/>
          </w:tcPr>
          <w:p w14:paraId="6697D85B">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2DC71471">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2959927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33A1CCE9">
            <w:pPr>
              <w:spacing w:line="240" w:lineRule="auto"/>
              <w:jc w:val="center"/>
              <w:rPr>
                <w:color w:val="auto"/>
                <w:sz w:val="21"/>
                <w:szCs w:val="21"/>
              </w:rPr>
            </w:pPr>
            <w:r>
              <w:rPr>
                <w:color w:val="auto"/>
                <w:sz w:val="21"/>
                <w:szCs w:val="21"/>
              </w:rPr>
              <w:t>苯并[a]芘</w:t>
            </w:r>
          </w:p>
        </w:tc>
        <w:tc>
          <w:tcPr>
            <w:tcW w:w="378" w:type="pct"/>
            <w:tcBorders>
              <w:tl2br w:val="nil"/>
              <w:tr2bl w:val="nil"/>
            </w:tcBorders>
            <w:vAlign w:val="center"/>
          </w:tcPr>
          <w:p w14:paraId="42DF991A">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1011B877">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E6C0FC8">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375A95E">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006A5D21">
            <w:pPr>
              <w:jc w:val="center"/>
              <w:rPr>
                <w:rFonts w:hint="eastAsia"/>
                <w:color w:val="auto"/>
                <w:sz w:val="21"/>
                <w:szCs w:val="21"/>
                <w:lang w:val="en-US" w:eastAsia="zh-CN"/>
              </w:rPr>
            </w:pPr>
            <w:r>
              <w:rPr>
                <w:rFonts w:ascii="Times New Roman" w:hAnsi="Times New Roman" w:cs="Times New Roman"/>
                <w:color w:val="auto"/>
                <w:sz w:val="21"/>
                <w:szCs w:val="21"/>
              </w:rPr>
              <w:t>1.5</w:t>
            </w:r>
          </w:p>
        </w:tc>
        <w:tc>
          <w:tcPr>
            <w:tcW w:w="584" w:type="pct"/>
            <w:tcBorders>
              <w:tl2br w:val="nil"/>
              <w:tr2bl w:val="nil"/>
            </w:tcBorders>
            <w:vAlign w:val="center"/>
          </w:tcPr>
          <w:p w14:paraId="6542192A">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64A6F9C9">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6779FEC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19CF38DC">
            <w:pPr>
              <w:spacing w:line="240" w:lineRule="auto"/>
              <w:jc w:val="center"/>
              <w:rPr>
                <w:color w:val="auto"/>
                <w:sz w:val="21"/>
                <w:szCs w:val="21"/>
              </w:rPr>
            </w:pPr>
            <w:r>
              <w:rPr>
                <w:color w:val="auto"/>
                <w:sz w:val="21"/>
                <w:szCs w:val="21"/>
              </w:rPr>
              <w:t>苯并[b]荧蒽</w:t>
            </w:r>
          </w:p>
        </w:tc>
        <w:tc>
          <w:tcPr>
            <w:tcW w:w="378" w:type="pct"/>
            <w:tcBorders>
              <w:tl2br w:val="nil"/>
              <w:tr2bl w:val="nil"/>
            </w:tcBorders>
            <w:vAlign w:val="center"/>
          </w:tcPr>
          <w:p w14:paraId="12D4337E">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2C705C86">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490DE9E3">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2E58DF8A">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6AFBC99A">
            <w:pPr>
              <w:jc w:val="center"/>
              <w:rPr>
                <w:rFonts w:hint="eastAsia"/>
                <w:color w:val="auto"/>
                <w:sz w:val="21"/>
                <w:szCs w:val="21"/>
                <w:lang w:val="en-US" w:eastAsia="zh-CN"/>
              </w:rPr>
            </w:pPr>
            <w:r>
              <w:rPr>
                <w:rFonts w:ascii="Times New Roman" w:hAnsi="Times New Roman" w:cs="Times New Roman"/>
                <w:color w:val="auto"/>
                <w:sz w:val="21"/>
                <w:szCs w:val="21"/>
              </w:rPr>
              <w:t>15</w:t>
            </w:r>
          </w:p>
        </w:tc>
        <w:tc>
          <w:tcPr>
            <w:tcW w:w="584" w:type="pct"/>
            <w:tcBorders>
              <w:tl2br w:val="nil"/>
              <w:tr2bl w:val="nil"/>
            </w:tcBorders>
            <w:vAlign w:val="center"/>
          </w:tcPr>
          <w:p w14:paraId="4DC65E23">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560059BA">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06E05AF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224613FE">
            <w:pPr>
              <w:spacing w:line="240" w:lineRule="auto"/>
              <w:jc w:val="center"/>
              <w:rPr>
                <w:color w:val="auto"/>
                <w:sz w:val="21"/>
                <w:szCs w:val="21"/>
              </w:rPr>
            </w:pPr>
            <w:r>
              <w:rPr>
                <w:color w:val="auto"/>
                <w:sz w:val="21"/>
                <w:szCs w:val="21"/>
              </w:rPr>
              <w:t>苯并[k]荧蒽</w:t>
            </w:r>
          </w:p>
        </w:tc>
        <w:tc>
          <w:tcPr>
            <w:tcW w:w="378" w:type="pct"/>
            <w:tcBorders>
              <w:tl2br w:val="nil"/>
              <w:tr2bl w:val="nil"/>
            </w:tcBorders>
            <w:vAlign w:val="center"/>
          </w:tcPr>
          <w:p w14:paraId="34B9CD5D">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4D364BD8">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EF2EE72">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FF2126A">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F6EF244">
            <w:pPr>
              <w:jc w:val="center"/>
              <w:rPr>
                <w:rFonts w:hint="eastAsia"/>
                <w:color w:val="auto"/>
                <w:sz w:val="21"/>
                <w:szCs w:val="21"/>
                <w:lang w:val="en-US" w:eastAsia="zh-CN"/>
              </w:rPr>
            </w:pPr>
            <w:r>
              <w:rPr>
                <w:rFonts w:ascii="Times New Roman" w:hAnsi="Times New Roman" w:cs="Times New Roman"/>
                <w:color w:val="auto"/>
                <w:sz w:val="21"/>
                <w:szCs w:val="21"/>
              </w:rPr>
              <w:t>151</w:t>
            </w:r>
          </w:p>
        </w:tc>
        <w:tc>
          <w:tcPr>
            <w:tcW w:w="584" w:type="pct"/>
            <w:tcBorders>
              <w:tl2br w:val="nil"/>
              <w:tr2bl w:val="nil"/>
            </w:tcBorders>
            <w:vAlign w:val="center"/>
          </w:tcPr>
          <w:p w14:paraId="154AE7F0">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1C73E4A5">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37ED404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0DB165A2">
            <w:pPr>
              <w:spacing w:line="240" w:lineRule="auto"/>
              <w:jc w:val="center"/>
              <w:rPr>
                <w:color w:val="auto"/>
                <w:sz w:val="21"/>
                <w:szCs w:val="21"/>
              </w:rPr>
            </w:pPr>
            <w:r>
              <w:rPr>
                <w:color w:val="auto"/>
                <w:sz w:val="21"/>
                <w:szCs w:val="21"/>
              </w:rPr>
              <w:t>䓛</w:t>
            </w:r>
          </w:p>
        </w:tc>
        <w:tc>
          <w:tcPr>
            <w:tcW w:w="378" w:type="pct"/>
            <w:tcBorders>
              <w:tl2br w:val="nil"/>
              <w:tr2bl w:val="nil"/>
            </w:tcBorders>
            <w:vAlign w:val="center"/>
          </w:tcPr>
          <w:p w14:paraId="1A4F634A">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66CE6B75">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7F26B7E">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6A9D723C">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77F0F7F">
            <w:pPr>
              <w:jc w:val="center"/>
              <w:rPr>
                <w:rFonts w:hint="eastAsia"/>
                <w:color w:val="auto"/>
                <w:sz w:val="21"/>
                <w:szCs w:val="21"/>
                <w:lang w:val="en-US" w:eastAsia="zh-CN"/>
              </w:rPr>
            </w:pPr>
            <w:r>
              <w:rPr>
                <w:rFonts w:ascii="Times New Roman" w:hAnsi="Times New Roman" w:cs="Times New Roman"/>
                <w:color w:val="auto"/>
                <w:sz w:val="21"/>
                <w:szCs w:val="21"/>
              </w:rPr>
              <w:t>1293</w:t>
            </w:r>
          </w:p>
        </w:tc>
        <w:tc>
          <w:tcPr>
            <w:tcW w:w="584" w:type="pct"/>
            <w:tcBorders>
              <w:tl2br w:val="nil"/>
              <w:tr2bl w:val="nil"/>
            </w:tcBorders>
            <w:vAlign w:val="center"/>
          </w:tcPr>
          <w:p w14:paraId="6012B67F">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27444199">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3D38253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07B9A45C">
            <w:pPr>
              <w:spacing w:line="240" w:lineRule="auto"/>
              <w:jc w:val="center"/>
              <w:rPr>
                <w:color w:val="auto"/>
                <w:sz w:val="21"/>
                <w:szCs w:val="21"/>
              </w:rPr>
            </w:pPr>
            <w:r>
              <w:rPr>
                <w:color w:val="auto"/>
                <w:sz w:val="21"/>
                <w:szCs w:val="21"/>
              </w:rPr>
              <w:t>二苯并[a,h]蒽</w:t>
            </w:r>
          </w:p>
        </w:tc>
        <w:tc>
          <w:tcPr>
            <w:tcW w:w="378" w:type="pct"/>
            <w:tcBorders>
              <w:tl2br w:val="nil"/>
              <w:tr2bl w:val="nil"/>
            </w:tcBorders>
            <w:vAlign w:val="center"/>
          </w:tcPr>
          <w:p w14:paraId="61FE36E4">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327E51FA">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F6767E5">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09B7EA0D">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2DF9EE77">
            <w:pPr>
              <w:jc w:val="center"/>
              <w:rPr>
                <w:rFonts w:hint="eastAsia"/>
                <w:color w:val="auto"/>
                <w:sz w:val="21"/>
                <w:szCs w:val="21"/>
                <w:lang w:val="en-US" w:eastAsia="zh-CN"/>
              </w:rPr>
            </w:pPr>
            <w:r>
              <w:rPr>
                <w:rFonts w:ascii="Times New Roman" w:hAnsi="Times New Roman" w:cs="Times New Roman"/>
                <w:color w:val="auto"/>
                <w:sz w:val="21"/>
                <w:szCs w:val="21"/>
              </w:rPr>
              <w:t>1.5</w:t>
            </w:r>
          </w:p>
        </w:tc>
        <w:tc>
          <w:tcPr>
            <w:tcW w:w="584" w:type="pct"/>
            <w:tcBorders>
              <w:tl2br w:val="nil"/>
              <w:tr2bl w:val="nil"/>
            </w:tcBorders>
            <w:vAlign w:val="center"/>
          </w:tcPr>
          <w:p w14:paraId="5D39BD28">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26EADF30">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58E1833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PrEx>
        <w:trPr>
          <w:jc w:val="center"/>
        </w:trPr>
        <w:tc>
          <w:tcPr>
            <w:tcW w:w="707" w:type="pct"/>
            <w:tcBorders>
              <w:tl2br w:val="nil"/>
              <w:tr2bl w:val="nil"/>
            </w:tcBorders>
            <w:vAlign w:val="center"/>
          </w:tcPr>
          <w:p w14:paraId="052A895A">
            <w:pPr>
              <w:spacing w:line="240" w:lineRule="auto"/>
              <w:jc w:val="center"/>
              <w:rPr>
                <w:color w:val="auto"/>
                <w:sz w:val="21"/>
                <w:szCs w:val="21"/>
              </w:rPr>
            </w:pPr>
            <w:r>
              <w:rPr>
                <w:color w:val="auto"/>
                <w:sz w:val="21"/>
                <w:szCs w:val="21"/>
              </w:rPr>
              <w:t>茚并[1,2,3-cd]芘</w:t>
            </w:r>
          </w:p>
        </w:tc>
        <w:tc>
          <w:tcPr>
            <w:tcW w:w="378" w:type="pct"/>
            <w:tcBorders>
              <w:tl2br w:val="nil"/>
              <w:tr2bl w:val="nil"/>
            </w:tcBorders>
            <w:vAlign w:val="center"/>
          </w:tcPr>
          <w:p w14:paraId="36B6ACEA">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1196C6F8">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1DE9519E">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790D7F80">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51408BBD">
            <w:pPr>
              <w:jc w:val="center"/>
              <w:rPr>
                <w:rFonts w:hint="eastAsia"/>
                <w:color w:val="auto"/>
                <w:sz w:val="21"/>
                <w:szCs w:val="21"/>
                <w:lang w:val="en-US" w:eastAsia="zh-CN"/>
              </w:rPr>
            </w:pPr>
            <w:r>
              <w:rPr>
                <w:rFonts w:ascii="Times New Roman" w:hAnsi="Times New Roman" w:cs="Times New Roman"/>
                <w:color w:val="auto"/>
                <w:sz w:val="21"/>
                <w:szCs w:val="21"/>
              </w:rPr>
              <w:t>15</w:t>
            </w:r>
          </w:p>
        </w:tc>
        <w:tc>
          <w:tcPr>
            <w:tcW w:w="584" w:type="pct"/>
            <w:tcBorders>
              <w:tl2br w:val="nil"/>
              <w:tr2bl w:val="nil"/>
            </w:tcBorders>
            <w:vAlign w:val="center"/>
          </w:tcPr>
          <w:p w14:paraId="69DB78ED">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3A002CB5">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7C64218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707" w:type="pct"/>
            <w:tcBorders>
              <w:tl2br w:val="nil"/>
              <w:tr2bl w:val="nil"/>
            </w:tcBorders>
            <w:vAlign w:val="center"/>
          </w:tcPr>
          <w:p w14:paraId="7B92AD63">
            <w:pPr>
              <w:spacing w:line="240" w:lineRule="auto"/>
              <w:jc w:val="center"/>
              <w:rPr>
                <w:color w:val="auto"/>
                <w:sz w:val="21"/>
                <w:szCs w:val="21"/>
              </w:rPr>
            </w:pPr>
            <w:r>
              <w:rPr>
                <w:color w:val="auto"/>
                <w:sz w:val="21"/>
                <w:szCs w:val="21"/>
              </w:rPr>
              <w:t>萘</w:t>
            </w:r>
          </w:p>
        </w:tc>
        <w:tc>
          <w:tcPr>
            <w:tcW w:w="378" w:type="pct"/>
            <w:tcBorders>
              <w:tl2br w:val="nil"/>
              <w:tr2bl w:val="nil"/>
            </w:tcBorders>
            <w:vAlign w:val="center"/>
          </w:tcPr>
          <w:p w14:paraId="298E853C">
            <w:pPr>
              <w:spacing w:line="240" w:lineRule="auto"/>
              <w:jc w:val="center"/>
              <w:rPr>
                <w:rFonts w:hint="default" w:eastAsia="宋体"/>
                <w:color w:val="auto"/>
                <w:sz w:val="21"/>
                <w:szCs w:val="21"/>
                <w:lang w:val="en-US" w:eastAsia="zh-CN"/>
              </w:rPr>
            </w:pPr>
            <w:r>
              <w:rPr>
                <w:color w:val="auto"/>
                <w:sz w:val="21"/>
                <w:szCs w:val="21"/>
              </w:rPr>
              <w:t>mg/kg</w:t>
            </w:r>
          </w:p>
        </w:tc>
        <w:tc>
          <w:tcPr>
            <w:tcW w:w="784" w:type="pct"/>
            <w:tcBorders>
              <w:tl2br w:val="nil"/>
              <w:tr2bl w:val="nil"/>
            </w:tcBorders>
            <w:vAlign w:val="center"/>
          </w:tcPr>
          <w:p w14:paraId="3DED8F8B">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4BB27E1B">
            <w:pPr>
              <w:spacing w:line="240" w:lineRule="auto"/>
              <w:jc w:val="center"/>
              <w:rPr>
                <w:color w:val="auto"/>
                <w:sz w:val="21"/>
                <w:szCs w:val="21"/>
              </w:rPr>
            </w:pPr>
            <w:r>
              <w:rPr>
                <w:rFonts w:hint="eastAsia"/>
                <w:color w:val="auto"/>
                <w:sz w:val="21"/>
                <w:szCs w:val="21"/>
                <w:lang w:val="en-US" w:eastAsia="zh-CN"/>
              </w:rPr>
              <w:t>ND</w:t>
            </w:r>
          </w:p>
        </w:tc>
        <w:tc>
          <w:tcPr>
            <w:tcW w:w="784" w:type="pct"/>
            <w:tcBorders>
              <w:tl2br w:val="nil"/>
              <w:tr2bl w:val="nil"/>
            </w:tcBorders>
            <w:vAlign w:val="center"/>
          </w:tcPr>
          <w:p w14:paraId="5A8E3D32">
            <w:pPr>
              <w:spacing w:line="240" w:lineRule="auto"/>
              <w:jc w:val="center"/>
              <w:rPr>
                <w:color w:val="auto"/>
                <w:sz w:val="21"/>
                <w:szCs w:val="21"/>
              </w:rPr>
            </w:pPr>
            <w:r>
              <w:rPr>
                <w:rFonts w:hint="eastAsia"/>
                <w:color w:val="auto"/>
                <w:sz w:val="21"/>
                <w:szCs w:val="21"/>
                <w:lang w:val="en-US" w:eastAsia="zh-CN"/>
              </w:rPr>
              <w:t>ND</w:t>
            </w:r>
          </w:p>
        </w:tc>
        <w:tc>
          <w:tcPr>
            <w:tcW w:w="465" w:type="pct"/>
            <w:tcBorders>
              <w:tl2br w:val="nil"/>
              <w:tr2bl w:val="nil"/>
            </w:tcBorders>
            <w:vAlign w:val="center"/>
          </w:tcPr>
          <w:p w14:paraId="64E6AA3D">
            <w:pPr>
              <w:jc w:val="center"/>
              <w:rPr>
                <w:rFonts w:hint="eastAsia"/>
                <w:color w:val="auto"/>
                <w:sz w:val="21"/>
                <w:szCs w:val="21"/>
                <w:lang w:val="en-US" w:eastAsia="zh-CN"/>
              </w:rPr>
            </w:pPr>
            <w:r>
              <w:rPr>
                <w:rFonts w:ascii="Times New Roman" w:hAnsi="Times New Roman" w:cs="Times New Roman"/>
                <w:color w:val="auto"/>
                <w:sz w:val="21"/>
                <w:szCs w:val="21"/>
              </w:rPr>
              <w:t>70</w:t>
            </w:r>
          </w:p>
        </w:tc>
        <w:tc>
          <w:tcPr>
            <w:tcW w:w="584" w:type="pct"/>
            <w:tcBorders>
              <w:tl2br w:val="nil"/>
              <w:tr2bl w:val="nil"/>
            </w:tcBorders>
            <w:vAlign w:val="center"/>
          </w:tcPr>
          <w:p w14:paraId="7C61906D">
            <w:pPr>
              <w:jc w:val="center"/>
              <w:rPr>
                <w:rFonts w:ascii="Times New Roman" w:hAnsi="Times New Roman" w:cs="Times New Roman"/>
                <w:color w:val="auto"/>
                <w:sz w:val="21"/>
                <w:szCs w:val="21"/>
              </w:rPr>
            </w:pPr>
            <w:r>
              <w:rPr>
                <w:rFonts w:hint="eastAsia" w:cs="Times New Roman"/>
                <w:color w:val="auto"/>
                <w:spacing w:val="7"/>
                <w:sz w:val="21"/>
                <w:szCs w:val="21"/>
                <w:highlight w:val="none"/>
                <w:lang w:val="en-US" w:eastAsia="zh-CN"/>
              </w:rPr>
              <w:t>/</w:t>
            </w:r>
          </w:p>
        </w:tc>
        <w:tc>
          <w:tcPr>
            <w:tcW w:w="509" w:type="pct"/>
            <w:tcBorders>
              <w:tl2br w:val="nil"/>
              <w:tr2bl w:val="nil"/>
            </w:tcBorders>
            <w:vAlign w:val="center"/>
          </w:tcPr>
          <w:p w14:paraId="711FED4B">
            <w:pPr>
              <w:jc w:val="center"/>
              <w:rPr>
                <w:rFonts w:ascii="Times New Roman" w:hAnsi="Times New Roman" w:cs="Times New Roman"/>
                <w:color w:val="auto"/>
                <w:sz w:val="21"/>
                <w:szCs w:val="21"/>
              </w:rPr>
            </w:pPr>
            <w:r>
              <w:rPr>
                <w:rFonts w:hint="eastAsia" w:cs="Times New Roman"/>
                <w:color w:val="auto"/>
                <w:kern w:val="2"/>
                <w:sz w:val="21"/>
                <w:szCs w:val="21"/>
                <w:highlight w:val="none"/>
                <w:lang w:val="en-US" w:eastAsia="zh-CN" w:bidi="ar-SA"/>
              </w:rPr>
              <w:t>达标</w:t>
            </w:r>
          </w:p>
        </w:tc>
      </w:tr>
      <w:tr w14:paraId="2EFB693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jc w:val="center"/>
        </w:trPr>
        <w:tc>
          <w:tcPr>
            <w:tcW w:w="5000" w:type="pct"/>
            <w:gridSpan w:val="8"/>
            <w:tcBorders>
              <w:tl2br w:val="nil"/>
              <w:tr2bl w:val="nil"/>
            </w:tcBorders>
            <w:vAlign w:val="center"/>
          </w:tcPr>
          <w:p w14:paraId="5219C172">
            <w:pPr>
              <w:spacing w:line="240" w:lineRule="auto"/>
              <w:jc w:val="left"/>
              <w:rPr>
                <w:color w:val="auto"/>
                <w:sz w:val="21"/>
                <w:szCs w:val="21"/>
              </w:rPr>
            </w:pPr>
            <w:r>
              <w:rPr>
                <w:color w:val="auto"/>
                <w:sz w:val="21"/>
                <w:szCs w:val="21"/>
              </w:rPr>
              <w:t>备注： “ND”表示未检出。</w:t>
            </w:r>
          </w:p>
        </w:tc>
      </w:tr>
    </w:tbl>
    <w:p w14:paraId="6B4B5BF4">
      <w:pPr>
        <w:adjustRightInd w:val="0"/>
        <w:snapToGrid w:val="0"/>
        <w:spacing w:line="360" w:lineRule="auto"/>
        <w:ind w:firstLine="480" w:firstLineChars="200"/>
        <w:rPr>
          <w:color w:val="auto"/>
          <w:sz w:val="24"/>
          <w:szCs w:val="32"/>
        </w:rPr>
      </w:pPr>
      <w:bookmarkStart w:id="359" w:name="_Toc1345"/>
      <w:bookmarkStart w:id="360" w:name="_Toc12425"/>
    </w:p>
    <w:p w14:paraId="2BF78B92">
      <w:pPr>
        <w:adjustRightInd w:val="0"/>
        <w:snapToGrid w:val="0"/>
        <w:spacing w:line="360" w:lineRule="auto"/>
        <w:ind w:firstLine="480" w:firstLineChars="200"/>
        <w:rPr>
          <w:color w:val="auto"/>
          <w:sz w:val="24"/>
          <w:szCs w:val="32"/>
        </w:rPr>
      </w:pPr>
      <w:r>
        <w:rPr>
          <w:color w:val="auto"/>
          <w:sz w:val="24"/>
          <w:szCs w:val="32"/>
        </w:rPr>
        <w:t>5、评价结果</w:t>
      </w:r>
      <w:bookmarkEnd w:id="359"/>
      <w:bookmarkEnd w:id="360"/>
    </w:p>
    <w:p w14:paraId="52B2341C">
      <w:pPr>
        <w:adjustRightInd w:val="0"/>
        <w:snapToGrid w:val="0"/>
        <w:spacing w:line="360" w:lineRule="auto"/>
        <w:ind w:firstLine="480" w:firstLineChars="200"/>
        <w:rPr>
          <w:color w:val="auto"/>
          <w:sz w:val="24"/>
          <w:szCs w:val="32"/>
        </w:rPr>
      </w:pPr>
      <w:r>
        <w:rPr>
          <w:color w:val="auto"/>
          <w:sz w:val="24"/>
          <w:szCs w:val="32"/>
        </w:rPr>
        <w:t>根据监测结果可知，现状监测期间，占地范围内监测点位各监测因子监测结果均可以满足《土壤环境质量建设用地土壤污染风险管控标准（试行）》</w:t>
      </w:r>
      <w:r>
        <w:rPr>
          <w:color w:val="auto"/>
          <w:sz w:val="24"/>
          <w:szCs w:val="32"/>
        </w:rPr>
        <w:fldChar w:fldCharType="begin"/>
      </w:r>
      <w:r>
        <w:rPr>
          <w:color w:val="auto"/>
          <w:sz w:val="24"/>
          <w:szCs w:val="32"/>
        </w:rPr>
        <w:instrText xml:space="preserve"> HYPERLINK "http://kjs.mep.gov.cn/hjbhbz/bzwb/trhj/trhjzlbz/201807/t20180703_446027.shtml" </w:instrText>
      </w:r>
      <w:r>
        <w:rPr>
          <w:color w:val="auto"/>
          <w:sz w:val="24"/>
          <w:szCs w:val="32"/>
        </w:rPr>
        <w:fldChar w:fldCharType="separate"/>
      </w:r>
      <w:r>
        <w:rPr>
          <w:color w:val="auto"/>
          <w:sz w:val="24"/>
          <w:szCs w:val="32"/>
        </w:rPr>
        <w:t>（GB36600-2018）</w:t>
      </w:r>
      <w:r>
        <w:rPr>
          <w:color w:val="auto"/>
          <w:sz w:val="24"/>
          <w:szCs w:val="32"/>
        </w:rPr>
        <w:fldChar w:fldCharType="end"/>
      </w:r>
      <w:r>
        <w:rPr>
          <w:color w:val="auto"/>
          <w:sz w:val="24"/>
          <w:szCs w:val="32"/>
        </w:rPr>
        <w:t>第二类用地筛选值。</w:t>
      </w:r>
    </w:p>
    <w:p w14:paraId="1985E85F">
      <w:pPr>
        <w:spacing w:line="360" w:lineRule="auto"/>
        <w:outlineLvl w:val="1"/>
        <w:rPr>
          <w:rFonts w:hint="default"/>
          <w:b/>
          <w:bCs/>
          <w:color w:val="auto"/>
          <w:sz w:val="28"/>
          <w:szCs w:val="36"/>
          <w:lang w:val="en-US"/>
        </w:rPr>
      </w:pPr>
      <w:bookmarkStart w:id="361" w:name="_Toc7249"/>
      <w:r>
        <w:rPr>
          <w:rFonts w:hint="eastAsia"/>
          <w:b/>
          <w:bCs/>
          <w:color w:val="auto"/>
          <w:sz w:val="28"/>
          <w:szCs w:val="36"/>
        </w:rPr>
        <w:t>4.</w:t>
      </w:r>
      <w:r>
        <w:rPr>
          <w:rFonts w:hint="eastAsia"/>
          <w:b/>
          <w:bCs/>
          <w:color w:val="auto"/>
          <w:sz w:val="28"/>
          <w:szCs w:val="36"/>
          <w:lang w:val="en-US" w:eastAsia="zh-CN"/>
        </w:rPr>
        <w:t>4变化趋势</w:t>
      </w:r>
      <w:bookmarkEnd w:id="361"/>
    </w:p>
    <w:p w14:paraId="413041F4">
      <w:pPr>
        <w:spacing w:line="360" w:lineRule="auto"/>
        <w:outlineLvl w:val="2"/>
        <w:rPr>
          <w:rFonts w:hint="eastAsia" w:eastAsia="宋体"/>
          <w:b/>
          <w:bCs/>
          <w:color w:val="auto"/>
          <w:sz w:val="24"/>
          <w:lang w:val="en-US" w:eastAsia="zh-CN"/>
        </w:rPr>
      </w:pPr>
      <w:r>
        <w:rPr>
          <w:rFonts w:hint="eastAsia"/>
          <w:b/>
          <w:bCs/>
          <w:color w:val="auto"/>
          <w:sz w:val="24"/>
        </w:rPr>
        <w:t>4.4.1大气环境质量现状</w:t>
      </w:r>
      <w:r>
        <w:rPr>
          <w:rFonts w:hint="eastAsia"/>
          <w:b/>
          <w:bCs/>
          <w:color w:val="auto"/>
          <w:sz w:val="24"/>
          <w:lang w:val="en-US" w:eastAsia="zh-CN"/>
        </w:rPr>
        <w:t>变化</w:t>
      </w:r>
    </w:p>
    <w:p w14:paraId="7FB0C38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cs="Times New Roman"/>
          <w:color w:val="auto"/>
          <w:sz w:val="24"/>
          <w:szCs w:val="24"/>
          <w:lang w:val="en-US" w:eastAsia="zh-CN"/>
        </w:rPr>
        <w:t>1、基本污染物</w:t>
      </w:r>
    </w:p>
    <w:p w14:paraId="0008A6A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24"/>
        </w:rPr>
      </w:pPr>
      <w:r>
        <w:rPr>
          <w:rFonts w:hint="default" w:ascii="Times New Roman" w:hAnsi="Times New Roman" w:cs="Times New Roman"/>
          <w:color w:val="auto"/>
          <w:sz w:val="24"/>
          <w:szCs w:val="24"/>
        </w:rPr>
        <w:t>根据调查收集，近五年淮北市公布的环境质量公报</w:t>
      </w:r>
      <w:r>
        <w:rPr>
          <w:rFonts w:hint="default" w:ascii="Times New Roman" w:hAnsi="Times New Roman" w:cs="Times New Roman"/>
          <w:color w:val="auto"/>
          <w:sz w:val="24"/>
          <w:szCs w:val="24"/>
          <w:lang w:val="en-US" w:eastAsia="zh-CN"/>
        </w:rPr>
        <w:t>中</w:t>
      </w:r>
      <w:r>
        <w:rPr>
          <w:rFonts w:hint="default" w:ascii="Times New Roman" w:hAnsi="Times New Roman" w:cs="Times New Roman"/>
          <w:color w:val="auto"/>
          <w:sz w:val="24"/>
          <w:szCs w:val="24"/>
        </w:rPr>
        <w:t>数据：</w:t>
      </w:r>
    </w:p>
    <w:p w14:paraId="64C12C9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24"/>
        </w:rPr>
      </w:pPr>
      <w:r>
        <w:rPr>
          <w:rFonts w:hint="default" w:ascii="Times New Roman" w:hAnsi="Times New Roman" w:cs="Times New Roman"/>
          <w:color w:val="auto"/>
          <w:sz w:val="24"/>
          <w:szCs w:val="24"/>
        </w:rPr>
        <w:t>（1）20</w:t>
      </w:r>
      <w:r>
        <w:rPr>
          <w:rFonts w:hint="eastAsia" w:ascii="Times New Roman" w:hAnsi="Times New Roman" w:cs="Times New Roman"/>
          <w:color w:val="auto"/>
          <w:sz w:val="24"/>
          <w:szCs w:val="24"/>
          <w:lang w:val="en-US" w:eastAsia="zh-CN"/>
        </w:rPr>
        <w:t>20</w:t>
      </w:r>
      <w:r>
        <w:rPr>
          <w:rFonts w:hint="default" w:ascii="Times New Roman" w:hAnsi="Times New Roman" w:cs="Times New Roman"/>
          <w:color w:val="auto"/>
          <w:sz w:val="24"/>
          <w:szCs w:val="24"/>
        </w:rPr>
        <w:t>年环境空气质量监测</w:t>
      </w:r>
    </w:p>
    <w:p w14:paraId="332FBA38">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eastAsia" w:ascii="Times New Roman" w:hAnsi="Times New Roman" w:cs="Times New Roman"/>
          <w:color w:val="auto"/>
          <w:lang w:val="en-US" w:eastAsia="zh-CN"/>
        </w:rPr>
      </w:pPr>
      <w:r>
        <w:rPr>
          <w:rFonts w:hint="default" w:ascii="Times New Roman" w:hAnsi="Times New Roman" w:cs="Times New Roman"/>
          <w:color w:val="auto"/>
          <w:lang w:val="en-US" w:eastAsia="zh-CN"/>
        </w:rPr>
        <w:t>根据淮北市生态环境局发布的《2020年度淮北市生态环境状况公报》</w:t>
      </w:r>
      <w:r>
        <w:rPr>
          <w:rFonts w:hint="eastAsia" w:ascii="Times New Roman" w:hAnsi="Times New Roman" w:cs="Times New Roman"/>
          <w:color w:val="auto"/>
          <w:lang w:val="en-US" w:eastAsia="zh-CN"/>
        </w:rPr>
        <w:t>可知，环境空气质量监测评价结果详见下表：</w:t>
      </w:r>
    </w:p>
    <w:p w14:paraId="0DDD8B60">
      <w:pPr>
        <w:spacing w:line="360" w:lineRule="auto"/>
        <w:jc w:val="center"/>
        <w:rPr>
          <w:b/>
          <w:bCs/>
          <w:color w:val="auto"/>
          <w:sz w:val="24"/>
          <w:szCs w:val="32"/>
        </w:rPr>
        <w:sectPr>
          <w:pgSz w:w="11906" w:h="16838"/>
          <w:pgMar w:top="1440" w:right="1080" w:bottom="144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14:paraId="62F5AB47">
      <w:pPr>
        <w:spacing w:line="360" w:lineRule="auto"/>
        <w:jc w:val="center"/>
        <w:rPr>
          <w:rFonts w:hint="eastAsia" w:eastAsia="宋体"/>
          <w:b/>
          <w:bCs/>
          <w:color w:val="auto"/>
          <w:sz w:val="24"/>
          <w:szCs w:val="32"/>
          <w:lang w:eastAsia="zh-CN"/>
        </w:rPr>
      </w:pPr>
      <w:r>
        <w:rPr>
          <w:b/>
          <w:bCs/>
          <w:color w:val="auto"/>
          <w:sz w:val="24"/>
          <w:szCs w:val="32"/>
        </w:rPr>
        <w:t>表4-1</w:t>
      </w:r>
      <w:r>
        <w:rPr>
          <w:rFonts w:hint="eastAsia"/>
          <w:b/>
          <w:bCs/>
          <w:color w:val="auto"/>
          <w:sz w:val="24"/>
          <w:szCs w:val="32"/>
          <w:lang w:val="en-US" w:eastAsia="zh-CN"/>
        </w:rPr>
        <w:t>4</w:t>
      </w:r>
      <w:r>
        <w:rPr>
          <w:b/>
          <w:bCs/>
          <w:color w:val="auto"/>
          <w:sz w:val="24"/>
          <w:szCs w:val="32"/>
        </w:rPr>
        <w:t xml:space="preserve"> 区域空气质量现状评价表</w:t>
      </w:r>
      <w:r>
        <w:rPr>
          <w:rFonts w:hint="eastAsia"/>
          <w:b/>
          <w:bCs/>
          <w:color w:val="auto"/>
          <w:sz w:val="24"/>
          <w:szCs w:val="32"/>
          <w:lang w:eastAsia="zh-CN"/>
        </w:rPr>
        <w:t>（</w:t>
      </w:r>
      <w:r>
        <w:rPr>
          <w:rFonts w:hint="eastAsia"/>
          <w:b/>
          <w:bCs/>
          <w:color w:val="auto"/>
          <w:sz w:val="24"/>
          <w:szCs w:val="32"/>
          <w:lang w:val="en-US" w:eastAsia="zh-CN"/>
        </w:rPr>
        <w:t>2020年</w:t>
      </w:r>
      <w:r>
        <w:rPr>
          <w:rFonts w:hint="eastAsia"/>
          <w:b/>
          <w:bCs/>
          <w:color w:val="auto"/>
          <w:sz w:val="24"/>
          <w:szCs w:val="32"/>
          <w:lang w:eastAsia="zh-CN"/>
        </w:rPr>
        <w:t>）</w:t>
      </w:r>
    </w:p>
    <w:tbl>
      <w:tblPr>
        <w:tblStyle w:val="31"/>
        <w:tblW w:w="935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9"/>
        <w:gridCol w:w="3018"/>
        <w:gridCol w:w="1531"/>
        <w:gridCol w:w="1239"/>
        <w:gridCol w:w="1306"/>
        <w:gridCol w:w="1151"/>
      </w:tblGrid>
      <w:tr w14:paraId="411997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26BB2B1A">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污染物</w:t>
            </w:r>
          </w:p>
        </w:tc>
        <w:tc>
          <w:tcPr>
            <w:tcW w:w="3018" w:type="dxa"/>
            <w:tcBorders>
              <w:tl2br w:val="nil"/>
              <w:tr2bl w:val="nil"/>
            </w:tcBorders>
            <w:vAlign w:val="center"/>
          </w:tcPr>
          <w:p w14:paraId="36DD32FD">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评价指标</w:t>
            </w:r>
          </w:p>
        </w:tc>
        <w:tc>
          <w:tcPr>
            <w:tcW w:w="1531" w:type="dxa"/>
            <w:tcBorders>
              <w:tl2br w:val="nil"/>
              <w:tr2bl w:val="nil"/>
            </w:tcBorders>
            <w:vAlign w:val="center"/>
          </w:tcPr>
          <w:p w14:paraId="01AECE2D">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年均浓度</w:t>
            </w:r>
          </w:p>
        </w:tc>
        <w:tc>
          <w:tcPr>
            <w:tcW w:w="1239" w:type="dxa"/>
            <w:tcBorders>
              <w:tl2br w:val="nil"/>
              <w:tr2bl w:val="nil"/>
            </w:tcBorders>
            <w:vAlign w:val="center"/>
          </w:tcPr>
          <w:p w14:paraId="0CE63978">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标准值</w:t>
            </w:r>
          </w:p>
        </w:tc>
        <w:tc>
          <w:tcPr>
            <w:tcW w:w="1306" w:type="dxa"/>
            <w:tcBorders>
              <w:tl2br w:val="nil"/>
              <w:tr2bl w:val="nil"/>
            </w:tcBorders>
            <w:vAlign w:val="center"/>
          </w:tcPr>
          <w:p w14:paraId="693AA85C">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占标率/%</w:t>
            </w:r>
          </w:p>
        </w:tc>
        <w:tc>
          <w:tcPr>
            <w:tcW w:w="1151" w:type="dxa"/>
            <w:tcBorders>
              <w:tl2br w:val="nil"/>
              <w:tr2bl w:val="nil"/>
            </w:tcBorders>
            <w:vAlign w:val="center"/>
          </w:tcPr>
          <w:p w14:paraId="5DA01693">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达标情况</w:t>
            </w:r>
          </w:p>
        </w:tc>
      </w:tr>
      <w:tr w14:paraId="1F9FBA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3996EB18">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10</w:t>
            </w:r>
          </w:p>
        </w:tc>
        <w:tc>
          <w:tcPr>
            <w:tcW w:w="3018" w:type="dxa"/>
            <w:tcBorders>
              <w:tl2br w:val="nil"/>
              <w:tr2bl w:val="nil"/>
            </w:tcBorders>
            <w:vAlign w:val="center"/>
          </w:tcPr>
          <w:p w14:paraId="5A620978">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2B433FD7">
            <w:pPr>
              <w:pStyle w:val="57"/>
              <w:spacing w:after="0" w:line="240" w:lineRule="auto"/>
              <w:rPr>
                <w:rFonts w:ascii="Times New Roman" w:hAnsi="Times New Roman" w:eastAsia="宋体" w:cs="Times New Roman"/>
                <w:color w:val="auto"/>
                <w:sz w:val="21"/>
              </w:rPr>
            </w:pPr>
            <w:r>
              <w:rPr>
                <w:rFonts w:hint="eastAsia" w:ascii="Times New Roman" w:hAnsi="Times New Roman" w:cs="Times New Roman"/>
                <w:color w:val="auto"/>
                <w:sz w:val="21"/>
                <w:lang w:val="en-US" w:eastAsia="zh-CN"/>
              </w:rPr>
              <w:t>77</w:t>
            </w:r>
            <w:r>
              <w:rPr>
                <w:rFonts w:ascii="Times New Roman" w:hAnsi="Times New Roman" w:cs="Times New Roman"/>
                <w:color w:val="auto"/>
                <w:sz w:val="21"/>
              </w:rPr>
              <w:t>μg/m³</w:t>
            </w:r>
          </w:p>
        </w:tc>
        <w:tc>
          <w:tcPr>
            <w:tcW w:w="1239" w:type="dxa"/>
            <w:tcBorders>
              <w:tl2br w:val="nil"/>
              <w:tr2bl w:val="nil"/>
            </w:tcBorders>
            <w:vAlign w:val="center"/>
          </w:tcPr>
          <w:p w14:paraId="7ED9CC8A">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70μg/m³</w:t>
            </w:r>
          </w:p>
        </w:tc>
        <w:tc>
          <w:tcPr>
            <w:tcW w:w="1306" w:type="dxa"/>
            <w:tcBorders>
              <w:tl2br w:val="nil"/>
              <w:tr2bl w:val="nil"/>
            </w:tcBorders>
            <w:vAlign w:val="center"/>
          </w:tcPr>
          <w:p w14:paraId="1B9F0FD6">
            <w:pPr>
              <w:pStyle w:val="57"/>
              <w:spacing w:after="0" w:line="240" w:lineRule="auto"/>
              <w:rPr>
                <w:rFonts w:hint="default" w:ascii="Times New Roman" w:hAnsi="Times New Roman" w:eastAsia="宋体" w:cs="Times New Roman"/>
                <w:color w:val="auto"/>
                <w:sz w:val="21"/>
                <w:lang w:val="en-US" w:eastAsia="zh-CN"/>
              </w:rPr>
            </w:pPr>
            <w:r>
              <w:rPr>
                <w:rFonts w:hint="eastAsia" w:ascii="Times New Roman" w:hAnsi="Times New Roman" w:eastAsia="宋体" w:cs="Times New Roman"/>
                <w:color w:val="auto"/>
                <w:sz w:val="21"/>
                <w:lang w:val="en-US" w:eastAsia="zh-CN"/>
              </w:rPr>
              <w:t>110</w:t>
            </w:r>
          </w:p>
        </w:tc>
        <w:tc>
          <w:tcPr>
            <w:tcW w:w="1151" w:type="dxa"/>
            <w:tcBorders>
              <w:tl2br w:val="nil"/>
              <w:tr2bl w:val="nil"/>
            </w:tcBorders>
            <w:vAlign w:val="center"/>
          </w:tcPr>
          <w:p w14:paraId="6B46CF23">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r w14:paraId="2E1CD5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68DBC517">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2.5</w:t>
            </w:r>
          </w:p>
        </w:tc>
        <w:tc>
          <w:tcPr>
            <w:tcW w:w="3018" w:type="dxa"/>
            <w:tcBorders>
              <w:tl2br w:val="nil"/>
              <w:tr2bl w:val="nil"/>
            </w:tcBorders>
            <w:vAlign w:val="center"/>
          </w:tcPr>
          <w:p w14:paraId="5EC365A8">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0996834F">
            <w:pPr>
              <w:pStyle w:val="57"/>
              <w:spacing w:after="0" w:line="240" w:lineRule="auto"/>
              <w:rPr>
                <w:rFonts w:ascii="Times New Roman" w:hAnsi="Times New Roman" w:eastAsia="宋体" w:cs="Times New Roman"/>
                <w:color w:val="auto"/>
                <w:sz w:val="21"/>
              </w:rPr>
            </w:pPr>
            <w:r>
              <w:rPr>
                <w:rFonts w:hint="eastAsia" w:ascii="Times New Roman" w:hAnsi="Times New Roman" w:cs="Times New Roman"/>
                <w:color w:val="auto"/>
                <w:sz w:val="21"/>
                <w:lang w:val="en-US" w:eastAsia="zh-CN"/>
              </w:rPr>
              <w:t>48</w:t>
            </w:r>
            <w:r>
              <w:rPr>
                <w:rFonts w:ascii="Times New Roman" w:hAnsi="Times New Roman" w:cs="Times New Roman"/>
                <w:color w:val="auto"/>
                <w:sz w:val="21"/>
              </w:rPr>
              <w:t>μg/m³</w:t>
            </w:r>
          </w:p>
        </w:tc>
        <w:tc>
          <w:tcPr>
            <w:tcW w:w="1239" w:type="dxa"/>
            <w:tcBorders>
              <w:tl2br w:val="nil"/>
              <w:tr2bl w:val="nil"/>
            </w:tcBorders>
            <w:vAlign w:val="center"/>
          </w:tcPr>
          <w:p w14:paraId="3C423B78">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35μg/m³</w:t>
            </w:r>
          </w:p>
        </w:tc>
        <w:tc>
          <w:tcPr>
            <w:tcW w:w="1306" w:type="dxa"/>
            <w:tcBorders>
              <w:tl2br w:val="nil"/>
              <w:tr2bl w:val="nil"/>
            </w:tcBorders>
            <w:vAlign w:val="center"/>
          </w:tcPr>
          <w:p w14:paraId="03FFB336">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137.1</w:t>
            </w:r>
          </w:p>
        </w:tc>
        <w:tc>
          <w:tcPr>
            <w:tcW w:w="1151" w:type="dxa"/>
            <w:tcBorders>
              <w:tl2br w:val="nil"/>
              <w:tr2bl w:val="nil"/>
            </w:tcBorders>
            <w:vAlign w:val="center"/>
          </w:tcPr>
          <w:p w14:paraId="16CD65DA">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r w14:paraId="5FF122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7965EE9A">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SO</w:t>
            </w:r>
            <w:r>
              <w:rPr>
                <w:rFonts w:ascii="Times New Roman" w:hAnsi="Times New Roman" w:cs="Times New Roman"/>
                <w:color w:val="auto"/>
                <w:sz w:val="21"/>
                <w:vertAlign w:val="subscript"/>
              </w:rPr>
              <w:t>2</w:t>
            </w:r>
          </w:p>
        </w:tc>
        <w:tc>
          <w:tcPr>
            <w:tcW w:w="3018" w:type="dxa"/>
            <w:tcBorders>
              <w:tl2br w:val="nil"/>
              <w:tr2bl w:val="nil"/>
            </w:tcBorders>
            <w:vAlign w:val="center"/>
          </w:tcPr>
          <w:p w14:paraId="73BCD6FD">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7A8AEE4B">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8</w:t>
            </w:r>
            <w:r>
              <w:rPr>
                <w:rFonts w:ascii="Times New Roman" w:hAnsi="Times New Roman" w:cs="Times New Roman"/>
                <w:color w:val="auto"/>
                <w:sz w:val="21"/>
              </w:rPr>
              <w:t>μg/m³</w:t>
            </w:r>
          </w:p>
        </w:tc>
        <w:tc>
          <w:tcPr>
            <w:tcW w:w="1239" w:type="dxa"/>
            <w:tcBorders>
              <w:tl2br w:val="nil"/>
              <w:tr2bl w:val="nil"/>
            </w:tcBorders>
            <w:vAlign w:val="center"/>
          </w:tcPr>
          <w:p w14:paraId="227EB30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60μg/m³</w:t>
            </w:r>
          </w:p>
        </w:tc>
        <w:tc>
          <w:tcPr>
            <w:tcW w:w="1306" w:type="dxa"/>
            <w:tcBorders>
              <w:tl2br w:val="nil"/>
              <w:tr2bl w:val="nil"/>
            </w:tcBorders>
            <w:vAlign w:val="center"/>
          </w:tcPr>
          <w:p w14:paraId="44A92682">
            <w:pPr>
              <w:pStyle w:val="57"/>
              <w:spacing w:after="0" w:line="240" w:lineRule="auto"/>
              <w:rPr>
                <w:rFonts w:hint="default" w:ascii="Times New Roman" w:hAnsi="Times New Roman" w:cs="Times New Roman" w:eastAsiaTheme="minorEastAsia"/>
                <w:color w:val="auto"/>
                <w:sz w:val="21"/>
                <w:lang w:val="en-US" w:eastAsia="zh-CN"/>
              </w:rPr>
            </w:pPr>
            <w:r>
              <w:rPr>
                <w:rFonts w:ascii="Times New Roman" w:hAnsi="Times New Roman" w:cs="Times New Roman"/>
                <w:color w:val="auto"/>
                <w:sz w:val="21"/>
              </w:rPr>
              <w:t>1</w:t>
            </w:r>
            <w:r>
              <w:rPr>
                <w:rFonts w:hint="eastAsia" w:ascii="Times New Roman" w:hAnsi="Times New Roman" w:cs="Times New Roman"/>
                <w:color w:val="auto"/>
                <w:sz w:val="21"/>
                <w:lang w:val="en-US" w:eastAsia="zh-CN"/>
              </w:rPr>
              <w:t>3.3</w:t>
            </w:r>
          </w:p>
        </w:tc>
        <w:tc>
          <w:tcPr>
            <w:tcW w:w="1151" w:type="dxa"/>
            <w:tcBorders>
              <w:tl2br w:val="nil"/>
              <w:tr2bl w:val="nil"/>
            </w:tcBorders>
            <w:vAlign w:val="center"/>
          </w:tcPr>
          <w:p w14:paraId="481899DA">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340959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22CDBDE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NO</w:t>
            </w:r>
            <w:r>
              <w:rPr>
                <w:rFonts w:ascii="Times New Roman" w:hAnsi="Times New Roman" w:cs="Times New Roman"/>
                <w:color w:val="auto"/>
                <w:sz w:val="21"/>
                <w:vertAlign w:val="subscript"/>
              </w:rPr>
              <w:t>2</w:t>
            </w:r>
          </w:p>
        </w:tc>
        <w:tc>
          <w:tcPr>
            <w:tcW w:w="3018" w:type="dxa"/>
            <w:tcBorders>
              <w:tl2br w:val="nil"/>
              <w:tr2bl w:val="nil"/>
            </w:tcBorders>
            <w:vAlign w:val="center"/>
          </w:tcPr>
          <w:p w14:paraId="32919D13">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1330731F">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26</w:t>
            </w:r>
            <w:r>
              <w:rPr>
                <w:rFonts w:ascii="Times New Roman" w:hAnsi="Times New Roman" w:cs="Times New Roman"/>
                <w:color w:val="auto"/>
                <w:sz w:val="21"/>
              </w:rPr>
              <w:t>μg/m³</w:t>
            </w:r>
          </w:p>
        </w:tc>
        <w:tc>
          <w:tcPr>
            <w:tcW w:w="1239" w:type="dxa"/>
            <w:tcBorders>
              <w:tl2br w:val="nil"/>
              <w:tr2bl w:val="nil"/>
            </w:tcBorders>
            <w:vAlign w:val="center"/>
          </w:tcPr>
          <w:p w14:paraId="4CC4529A">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40μg/m³</w:t>
            </w:r>
          </w:p>
        </w:tc>
        <w:tc>
          <w:tcPr>
            <w:tcW w:w="1306" w:type="dxa"/>
            <w:tcBorders>
              <w:tl2br w:val="nil"/>
              <w:tr2bl w:val="nil"/>
            </w:tcBorders>
            <w:vAlign w:val="center"/>
          </w:tcPr>
          <w:p w14:paraId="0D8E67D7">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65</w:t>
            </w:r>
          </w:p>
        </w:tc>
        <w:tc>
          <w:tcPr>
            <w:tcW w:w="1151" w:type="dxa"/>
            <w:tcBorders>
              <w:tl2br w:val="nil"/>
              <w:tr2bl w:val="nil"/>
            </w:tcBorders>
            <w:vAlign w:val="center"/>
          </w:tcPr>
          <w:p w14:paraId="5BA397E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75992F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6F6F857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CO</w:t>
            </w:r>
          </w:p>
        </w:tc>
        <w:tc>
          <w:tcPr>
            <w:tcW w:w="3018" w:type="dxa"/>
            <w:tcBorders>
              <w:tl2br w:val="nil"/>
              <w:tr2bl w:val="nil"/>
            </w:tcBorders>
            <w:vAlign w:val="center"/>
          </w:tcPr>
          <w:p w14:paraId="27DCD70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日平均第95百分位质量浓度</w:t>
            </w:r>
          </w:p>
        </w:tc>
        <w:tc>
          <w:tcPr>
            <w:tcW w:w="1531" w:type="dxa"/>
            <w:tcBorders>
              <w:tl2br w:val="nil"/>
              <w:tr2bl w:val="nil"/>
            </w:tcBorders>
            <w:vAlign w:val="center"/>
          </w:tcPr>
          <w:p w14:paraId="73482F33">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w:t>
            </w:r>
            <w:r>
              <w:rPr>
                <w:rFonts w:hint="eastAsia" w:ascii="Times New Roman" w:hAnsi="Times New Roman" w:cs="Times New Roman"/>
                <w:color w:val="auto"/>
                <w:sz w:val="21"/>
                <w:lang w:val="en-US" w:eastAsia="zh-CN"/>
              </w:rPr>
              <w:t>3</w:t>
            </w:r>
            <w:r>
              <w:rPr>
                <w:rFonts w:ascii="Times New Roman" w:hAnsi="Times New Roman" w:cs="Times New Roman"/>
                <w:color w:val="auto"/>
                <w:sz w:val="21"/>
              </w:rPr>
              <w:t>mg/m³</w:t>
            </w:r>
          </w:p>
        </w:tc>
        <w:tc>
          <w:tcPr>
            <w:tcW w:w="1239" w:type="dxa"/>
            <w:tcBorders>
              <w:tl2br w:val="nil"/>
              <w:tr2bl w:val="nil"/>
            </w:tcBorders>
            <w:vAlign w:val="center"/>
          </w:tcPr>
          <w:p w14:paraId="364FA6E3">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4mg/m³</w:t>
            </w:r>
          </w:p>
        </w:tc>
        <w:tc>
          <w:tcPr>
            <w:tcW w:w="1306" w:type="dxa"/>
            <w:tcBorders>
              <w:tl2br w:val="nil"/>
              <w:tr2bl w:val="nil"/>
            </w:tcBorders>
            <w:vAlign w:val="center"/>
          </w:tcPr>
          <w:p w14:paraId="491ED567">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32.5</w:t>
            </w:r>
          </w:p>
        </w:tc>
        <w:tc>
          <w:tcPr>
            <w:tcW w:w="1151" w:type="dxa"/>
            <w:tcBorders>
              <w:tl2br w:val="nil"/>
              <w:tr2bl w:val="nil"/>
            </w:tcBorders>
            <w:vAlign w:val="center"/>
          </w:tcPr>
          <w:p w14:paraId="439213E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22718D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359C5B7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O</w:t>
            </w:r>
            <w:r>
              <w:rPr>
                <w:rFonts w:ascii="Times New Roman" w:hAnsi="Times New Roman" w:cs="Times New Roman"/>
                <w:color w:val="auto"/>
                <w:sz w:val="21"/>
                <w:vertAlign w:val="subscript"/>
              </w:rPr>
              <w:t>3</w:t>
            </w:r>
          </w:p>
        </w:tc>
        <w:tc>
          <w:tcPr>
            <w:tcW w:w="3018" w:type="dxa"/>
            <w:tcBorders>
              <w:tl2br w:val="nil"/>
              <w:tr2bl w:val="nil"/>
            </w:tcBorders>
            <w:vAlign w:val="center"/>
          </w:tcPr>
          <w:p w14:paraId="1B8B4F1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日8小时最大平均第90百分位质量浓度</w:t>
            </w:r>
          </w:p>
        </w:tc>
        <w:tc>
          <w:tcPr>
            <w:tcW w:w="1531" w:type="dxa"/>
            <w:tcBorders>
              <w:tl2br w:val="nil"/>
              <w:tr2bl w:val="nil"/>
            </w:tcBorders>
            <w:vAlign w:val="center"/>
          </w:tcPr>
          <w:p w14:paraId="1CFD3161">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167</w:t>
            </w:r>
            <w:r>
              <w:rPr>
                <w:rFonts w:ascii="Times New Roman" w:hAnsi="Times New Roman" w:cs="Times New Roman"/>
                <w:color w:val="auto"/>
                <w:sz w:val="21"/>
              </w:rPr>
              <w:t>μg/m³</w:t>
            </w:r>
          </w:p>
        </w:tc>
        <w:tc>
          <w:tcPr>
            <w:tcW w:w="1239" w:type="dxa"/>
            <w:tcBorders>
              <w:tl2br w:val="nil"/>
              <w:tr2bl w:val="nil"/>
            </w:tcBorders>
            <w:vAlign w:val="center"/>
          </w:tcPr>
          <w:p w14:paraId="32AA1B83">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160μg/m³</w:t>
            </w:r>
          </w:p>
        </w:tc>
        <w:tc>
          <w:tcPr>
            <w:tcW w:w="1306" w:type="dxa"/>
            <w:tcBorders>
              <w:tl2br w:val="nil"/>
              <w:tr2bl w:val="nil"/>
            </w:tcBorders>
            <w:vAlign w:val="center"/>
          </w:tcPr>
          <w:p w14:paraId="7B044BA2">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104.4</w:t>
            </w:r>
          </w:p>
        </w:tc>
        <w:tc>
          <w:tcPr>
            <w:tcW w:w="1151" w:type="dxa"/>
            <w:tcBorders>
              <w:tl2br w:val="nil"/>
              <w:tr2bl w:val="nil"/>
            </w:tcBorders>
            <w:vAlign w:val="center"/>
          </w:tcPr>
          <w:p w14:paraId="47C5989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bl>
    <w:p w14:paraId="261D862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24"/>
        </w:rPr>
      </w:pPr>
      <w:r>
        <w:rPr>
          <w:rFonts w:hint="eastAsia"/>
          <w:color w:val="auto"/>
          <w:sz w:val="24"/>
          <w:szCs w:val="24"/>
          <w:lang w:eastAsia="zh-CN"/>
        </w:rPr>
        <w:t>（</w:t>
      </w:r>
      <w:r>
        <w:rPr>
          <w:rFonts w:hint="eastAsia"/>
          <w:color w:val="auto"/>
          <w:sz w:val="24"/>
          <w:szCs w:val="24"/>
          <w:lang w:val="en-US" w:eastAsia="zh-CN"/>
        </w:rPr>
        <w:t>2</w:t>
      </w:r>
      <w:r>
        <w:rPr>
          <w:rFonts w:hint="eastAsia"/>
          <w:color w:val="auto"/>
          <w:sz w:val="24"/>
          <w:szCs w:val="24"/>
          <w:lang w:eastAsia="zh-CN"/>
        </w:rPr>
        <w:t>）</w:t>
      </w:r>
      <w:r>
        <w:rPr>
          <w:rFonts w:hint="default" w:ascii="Times New Roman" w:hAnsi="Times New Roman" w:cs="Times New Roman"/>
          <w:color w:val="auto"/>
          <w:sz w:val="24"/>
          <w:szCs w:val="24"/>
        </w:rPr>
        <w:t>20</w:t>
      </w:r>
      <w:r>
        <w:rPr>
          <w:rFonts w:hint="eastAsia" w:ascii="Times New Roman" w:hAnsi="Times New Roman" w:cs="Times New Roman"/>
          <w:color w:val="auto"/>
          <w:sz w:val="24"/>
          <w:szCs w:val="24"/>
          <w:lang w:val="en-US" w:eastAsia="zh-CN"/>
        </w:rPr>
        <w:t>2</w:t>
      </w:r>
      <w:r>
        <w:rPr>
          <w:rFonts w:hint="eastAsia" w:cs="Times New Roman"/>
          <w:color w:val="auto"/>
          <w:sz w:val="24"/>
          <w:szCs w:val="24"/>
          <w:lang w:val="en-US" w:eastAsia="zh-CN"/>
        </w:rPr>
        <w:t>1</w:t>
      </w:r>
      <w:r>
        <w:rPr>
          <w:rFonts w:hint="default" w:ascii="Times New Roman" w:hAnsi="Times New Roman" w:cs="Times New Roman"/>
          <w:color w:val="auto"/>
          <w:sz w:val="24"/>
          <w:szCs w:val="24"/>
        </w:rPr>
        <w:t>年环境空气质量监测</w:t>
      </w:r>
    </w:p>
    <w:p w14:paraId="2D84BC7D">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eastAsia" w:ascii="Times New Roman" w:hAnsi="Times New Roman" w:cs="Times New Roman"/>
          <w:color w:val="auto"/>
          <w:lang w:val="en-US" w:eastAsia="zh-CN"/>
        </w:rPr>
      </w:pPr>
      <w:r>
        <w:rPr>
          <w:rFonts w:hint="default" w:ascii="Times New Roman" w:hAnsi="Times New Roman" w:cs="Times New Roman"/>
          <w:color w:val="auto"/>
          <w:lang w:val="en-US" w:eastAsia="zh-CN"/>
        </w:rPr>
        <w:t>根据淮北市生态环境局发布的《202</w:t>
      </w:r>
      <w:r>
        <w:rPr>
          <w:rFonts w:hint="eastAsia" w:ascii="Times New Roman" w:hAnsi="Times New Roman" w:cs="Times New Roman"/>
          <w:color w:val="auto"/>
          <w:lang w:val="en-US" w:eastAsia="zh-CN"/>
        </w:rPr>
        <w:t>1</w:t>
      </w:r>
      <w:r>
        <w:rPr>
          <w:rFonts w:hint="default" w:ascii="Times New Roman" w:hAnsi="Times New Roman" w:cs="Times New Roman"/>
          <w:color w:val="auto"/>
          <w:lang w:val="en-US" w:eastAsia="zh-CN"/>
        </w:rPr>
        <w:t>年度淮北市生态环境状况公报》</w:t>
      </w:r>
      <w:r>
        <w:rPr>
          <w:rFonts w:hint="eastAsia" w:ascii="Times New Roman" w:hAnsi="Times New Roman" w:cs="Times New Roman"/>
          <w:color w:val="auto"/>
          <w:lang w:val="en-US" w:eastAsia="zh-CN"/>
        </w:rPr>
        <w:t>可知，环境空气质量监测评价结果详见下表：</w:t>
      </w:r>
    </w:p>
    <w:p w14:paraId="74BA9BDD">
      <w:pPr>
        <w:spacing w:line="360" w:lineRule="auto"/>
        <w:jc w:val="center"/>
        <w:rPr>
          <w:rFonts w:hint="eastAsia" w:eastAsia="宋体"/>
          <w:b/>
          <w:bCs/>
          <w:color w:val="auto"/>
          <w:sz w:val="24"/>
          <w:szCs w:val="32"/>
          <w:lang w:eastAsia="zh-CN"/>
        </w:rPr>
      </w:pPr>
      <w:r>
        <w:rPr>
          <w:b/>
          <w:bCs/>
          <w:color w:val="auto"/>
          <w:sz w:val="24"/>
          <w:szCs w:val="32"/>
        </w:rPr>
        <w:t>表4-1</w:t>
      </w:r>
      <w:r>
        <w:rPr>
          <w:rFonts w:hint="eastAsia"/>
          <w:b/>
          <w:bCs/>
          <w:color w:val="auto"/>
          <w:sz w:val="24"/>
          <w:szCs w:val="32"/>
          <w:lang w:val="en-US" w:eastAsia="zh-CN"/>
        </w:rPr>
        <w:t>5</w:t>
      </w:r>
      <w:r>
        <w:rPr>
          <w:b/>
          <w:bCs/>
          <w:color w:val="auto"/>
          <w:sz w:val="24"/>
          <w:szCs w:val="32"/>
        </w:rPr>
        <w:t xml:space="preserve"> 区域空气质量现状评价表</w:t>
      </w:r>
      <w:r>
        <w:rPr>
          <w:rFonts w:hint="eastAsia"/>
          <w:b/>
          <w:bCs/>
          <w:color w:val="auto"/>
          <w:sz w:val="24"/>
          <w:szCs w:val="32"/>
          <w:lang w:eastAsia="zh-CN"/>
        </w:rPr>
        <w:t>（</w:t>
      </w:r>
      <w:r>
        <w:rPr>
          <w:rFonts w:hint="eastAsia"/>
          <w:b/>
          <w:bCs/>
          <w:color w:val="auto"/>
          <w:sz w:val="24"/>
          <w:szCs w:val="32"/>
          <w:lang w:val="en-US" w:eastAsia="zh-CN"/>
        </w:rPr>
        <w:t>2021年</w:t>
      </w:r>
      <w:r>
        <w:rPr>
          <w:rFonts w:hint="eastAsia"/>
          <w:b/>
          <w:bCs/>
          <w:color w:val="auto"/>
          <w:sz w:val="24"/>
          <w:szCs w:val="32"/>
          <w:lang w:eastAsia="zh-CN"/>
        </w:rPr>
        <w:t>）</w:t>
      </w:r>
    </w:p>
    <w:tbl>
      <w:tblPr>
        <w:tblStyle w:val="31"/>
        <w:tblW w:w="935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9"/>
        <w:gridCol w:w="3018"/>
        <w:gridCol w:w="1531"/>
        <w:gridCol w:w="1239"/>
        <w:gridCol w:w="1306"/>
        <w:gridCol w:w="1151"/>
      </w:tblGrid>
      <w:tr w14:paraId="1AFA66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675E1FD7">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污染物</w:t>
            </w:r>
          </w:p>
        </w:tc>
        <w:tc>
          <w:tcPr>
            <w:tcW w:w="3018" w:type="dxa"/>
            <w:tcBorders>
              <w:tl2br w:val="nil"/>
              <w:tr2bl w:val="nil"/>
            </w:tcBorders>
            <w:vAlign w:val="center"/>
          </w:tcPr>
          <w:p w14:paraId="1DB64692">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评价指标</w:t>
            </w:r>
          </w:p>
        </w:tc>
        <w:tc>
          <w:tcPr>
            <w:tcW w:w="1531" w:type="dxa"/>
            <w:tcBorders>
              <w:tl2br w:val="nil"/>
              <w:tr2bl w:val="nil"/>
            </w:tcBorders>
            <w:vAlign w:val="center"/>
          </w:tcPr>
          <w:p w14:paraId="731AAFF7">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年均浓度</w:t>
            </w:r>
          </w:p>
        </w:tc>
        <w:tc>
          <w:tcPr>
            <w:tcW w:w="1239" w:type="dxa"/>
            <w:tcBorders>
              <w:tl2br w:val="nil"/>
              <w:tr2bl w:val="nil"/>
            </w:tcBorders>
            <w:vAlign w:val="center"/>
          </w:tcPr>
          <w:p w14:paraId="7D0165C2">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标准值</w:t>
            </w:r>
          </w:p>
        </w:tc>
        <w:tc>
          <w:tcPr>
            <w:tcW w:w="1306" w:type="dxa"/>
            <w:tcBorders>
              <w:tl2br w:val="nil"/>
              <w:tr2bl w:val="nil"/>
            </w:tcBorders>
            <w:vAlign w:val="center"/>
          </w:tcPr>
          <w:p w14:paraId="19DA2B07">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占标率/%</w:t>
            </w:r>
          </w:p>
        </w:tc>
        <w:tc>
          <w:tcPr>
            <w:tcW w:w="1151" w:type="dxa"/>
            <w:tcBorders>
              <w:tl2br w:val="nil"/>
              <w:tr2bl w:val="nil"/>
            </w:tcBorders>
            <w:vAlign w:val="center"/>
          </w:tcPr>
          <w:p w14:paraId="235A6188">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达标情况</w:t>
            </w:r>
          </w:p>
        </w:tc>
      </w:tr>
      <w:tr w14:paraId="47EE0B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7232CDB5">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10</w:t>
            </w:r>
          </w:p>
        </w:tc>
        <w:tc>
          <w:tcPr>
            <w:tcW w:w="3018" w:type="dxa"/>
            <w:tcBorders>
              <w:tl2br w:val="nil"/>
              <w:tr2bl w:val="nil"/>
            </w:tcBorders>
            <w:vAlign w:val="center"/>
          </w:tcPr>
          <w:p w14:paraId="27B508A4">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36E9A308">
            <w:pPr>
              <w:pStyle w:val="57"/>
              <w:spacing w:after="0" w:line="240" w:lineRule="auto"/>
              <w:rPr>
                <w:rFonts w:ascii="Times New Roman" w:hAnsi="Times New Roman" w:eastAsia="宋体" w:cs="Times New Roman"/>
                <w:color w:val="auto"/>
                <w:sz w:val="21"/>
              </w:rPr>
            </w:pPr>
            <w:r>
              <w:rPr>
                <w:rFonts w:hint="eastAsia" w:ascii="Times New Roman" w:hAnsi="Times New Roman" w:cs="Times New Roman"/>
                <w:color w:val="auto"/>
                <w:sz w:val="21"/>
                <w:lang w:val="en-US" w:eastAsia="zh-CN"/>
              </w:rPr>
              <w:t>73</w:t>
            </w:r>
            <w:r>
              <w:rPr>
                <w:rFonts w:ascii="Times New Roman" w:hAnsi="Times New Roman" w:cs="Times New Roman"/>
                <w:color w:val="auto"/>
                <w:sz w:val="21"/>
              </w:rPr>
              <w:t>μg/m³</w:t>
            </w:r>
          </w:p>
        </w:tc>
        <w:tc>
          <w:tcPr>
            <w:tcW w:w="1239" w:type="dxa"/>
            <w:tcBorders>
              <w:tl2br w:val="nil"/>
              <w:tr2bl w:val="nil"/>
            </w:tcBorders>
            <w:vAlign w:val="center"/>
          </w:tcPr>
          <w:p w14:paraId="480D030D">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70μg/m³</w:t>
            </w:r>
          </w:p>
        </w:tc>
        <w:tc>
          <w:tcPr>
            <w:tcW w:w="1306" w:type="dxa"/>
            <w:tcBorders>
              <w:tl2br w:val="nil"/>
              <w:tr2bl w:val="nil"/>
            </w:tcBorders>
            <w:vAlign w:val="center"/>
          </w:tcPr>
          <w:p w14:paraId="3F1F3971">
            <w:pPr>
              <w:pStyle w:val="57"/>
              <w:spacing w:after="0" w:line="240" w:lineRule="auto"/>
              <w:rPr>
                <w:rFonts w:hint="default" w:ascii="Times New Roman" w:hAnsi="Times New Roman" w:eastAsia="宋体" w:cs="Times New Roman"/>
                <w:color w:val="auto"/>
                <w:sz w:val="21"/>
                <w:lang w:val="en-US" w:eastAsia="zh-CN"/>
              </w:rPr>
            </w:pPr>
            <w:r>
              <w:rPr>
                <w:rFonts w:hint="eastAsia" w:ascii="Times New Roman" w:hAnsi="Times New Roman" w:eastAsia="宋体" w:cs="Times New Roman"/>
                <w:color w:val="auto"/>
                <w:sz w:val="21"/>
                <w:lang w:val="en-US" w:eastAsia="zh-CN"/>
              </w:rPr>
              <w:t>104.3</w:t>
            </w:r>
          </w:p>
        </w:tc>
        <w:tc>
          <w:tcPr>
            <w:tcW w:w="1151" w:type="dxa"/>
            <w:tcBorders>
              <w:tl2br w:val="nil"/>
              <w:tr2bl w:val="nil"/>
            </w:tcBorders>
            <w:vAlign w:val="center"/>
          </w:tcPr>
          <w:p w14:paraId="7DE348C9">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r w14:paraId="7EE6E9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53138F5C">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2.5</w:t>
            </w:r>
          </w:p>
        </w:tc>
        <w:tc>
          <w:tcPr>
            <w:tcW w:w="3018" w:type="dxa"/>
            <w:tcBorders>
              <w:tl2br w:val="nil"/>
              <w:tr2bl w:val="nil"/>
            </w:tcBorders>
            <w:vAlign w:val="center"/>
          </w:tcPr>
          <w:p w14:paraId="434B0725">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525F2CAD">
            <w:pPr>
              <w:pStyle w:val="57"/>
              <w:spacing w:after="0" w:line="240" w:lineRule="auto"/>
              <w:rPr>
                <w:rFonts w:ascii="Times New Roman" w:hAnsi="Times New Roman" w:eastAsia="宋体" w:cs="Times New Roman"/>
                <w:color w:val="auto"/>
                <w:sz w:val="21"/>
              </w:rPr>
            </w:pPr>
            <w:r>
              <w:rPr>
                <w:rFonts w:hint="eastAsia" w:ascii="Times New Roman" w:hAnsi="Times New Roman" w:cs="Times New Roman"/>
                <w:color w:val="auto"/>
                <w:sz w:val="21"/>
                <w:lang w:val="en-US" w:eastAsia="zh-CN"/>
              </w:rPr>
              <w:t>41u</w:t>
            </w:r>
            <w:r>
              <w:rPr>
                <w:rFonts w:ascii="Times New Roman" w:hAnsi="Times New Roman" w:cs="Times New Roman"/>
                <w:color w:val="auto"/>
                <w:sz w:val="21"/>
              </w:rPr>
              <w:t>g/m³</w:t>
            </w:r>
          </w:p>
        </w:tc>
        <w:tc>
          <w:tcPr>
            <w:tcW w:w="1239" w:type="dxa"/>
            <w:tcBorders>
              <w:tl2br w:val="nil"/>
              <w:tr2bl w:val="nil"/>
            </w:tcBorders>
            <w:vAlign w:val="center"/>
          </w:tcPr>
          <w:p w14:paraId="6BD64D4D">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35μg/m³</w:t>
            </w:r>
          </w:p>
        </w:tc>
        <w:tc>
          <w:tcPr>
            <w:tcW w:w="1306" w:type="dxa"/>
            <w:tcBorders>
              <w:tl2br w:val="nil"/>
              <w:tr2bl w:val="nil"/>
            </w:tcBorders>
            <w:vAlign w:val="center"/>
          </w:tcPr>
          <w:p w14:paraId="06E8A1C5">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117.1</w:t>
            </w:r>
          </w:p>
        </w:tc>
        <w:tc>
          <w:tcPr>
            <w:tcW w:w="1151" w:type="dxa"/>
            <w:tcBorders>
              <w:tl2br w:val="nil"/>
              <w:tr2bl w:val="nil"/>
            </w:tcBorders>
            <w:vAlign w:val="center"/>
          </w:tcPr>
          <w:p w14:paraId="5BC51ED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r w14:paraId="0567D1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6E57BB9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SO</w:t>
            </w:r>
            <w:r>
              <w:rPr>
                <w:rFonts w:ascii="Times New Roman" w:hAnsi="Times New Roman" w:cs="Times New Roman"/>
                <w:color w:val="auto"/>
                <w:sz w:val="21"/>
                <w:vertAlign w:val="subscript"/>
              </w:rPr>
              <w:t>2</w:t>
            </w:r>
          </w:p>
        </w:tc>
        <w:tc>
          <w:tcPr>
            <w:tcW w:w="3018" w:type="dxa"/>
            <w:tcBorders>
              <w:tl2br w:val="nil"/>
              <w:tr2bl w:val="nil"/>
            </w:tcBorders>
            <w:vAlign w:val="center"/>
          </w:tcPr>
          <w:p w14:paraId="10F90E2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6EA3F4E6">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7</w:t>
            </w:r>
            <w:r>
              <w:rPr>
                <w:rFonts w:ascii="Times New Roman" w:hAnsi="Times New Roman" w:cs="Times New Roman"/>
                <w:color w:val="auto"/>
                <w:sz w:val="21"/>
              </w:rPr>
              <w:t>μg/m³</w:t>
            </w:r>
          </w:p>
        </w:tc>
        <w:tc>
          <w:tcPr>
            <w:tcW w:w="1239" w:type="dxa"/>
            <w:tcBorders>
              <w:tl2br w:val="nil"/>
              <w:tr2bl w:val="nil"/>
            </w:tcBorders>
            <w:vAlign w:val="center"/>
          </w:tcPr>
          <w:p w14:paraId="3A1062C3">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60μg/m³</w:t>
            </w:r>
          </w:p>
        </w:tc>
        <w:tc>
          <w:tcPr>
            <w:tcW w:w="1306" w:type="dxa"/>
            <w:tcBorders>
              <w:tl2br w:val="nil"/>
              <w:tr2bl w:val="nil"/>
            </w:tcBorders>
            <w:vAlign w:val="center"/>
          </w:tcPr>
          <w:p w14:paraId="2F0AFA13">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11.7</w:t>
            </w:r>
          </w:p>
        </w:tc>
        <w:tc>
          <w:tcPr>
            <w:tcW w:w="1151" w:type="dxa"/>
            <w:tcBorders>
              <w:tl2br w:val="nil"/>
              <w:tr2bl w:val="nil"/>
            </w:tcBorders>
            <w:vAlign w:val="center"/>
          </w:tcPr>
          <w:p w14:paraId="33FD9D5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503868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18A4611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NO</w:t>
            </w:r>
            <w:r>
              <w:rPr>
                <w:rFonts w:ascii="Times New Roman" w:hAnsi="Times New Roman" w:cs="Times New Roman"/>
                <w:color w:val="auto"/>
                <w:sz w:val="21"/>
                <w:vertAlign w:val="subscript"/>
              </w:rPr>
              <w:t>2</w:t>
            </w:r>
          </w:p>
        </w:tc>
        <w:tc>
          <w:tcPr>
            <w:tcW w:w="3018" w:type="dxa"/>
            <w:tcBorders>
              <w:tl2br w:val="nil"/>
              <w:tr2bl w:val="nil"/>
            </w:tcBorders>
            <w:vAlign w:val="center"/>
          </w:tcPr>
          <w:p w14:paraId="5CE1FC4C">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79A7FA88">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23</w:t>
            </w:r>
            <w:r>
              <w:rPr>
                <w:rFonts w:ascii="Times New Roman" w:hAnsi="Times New Roman" w:cs="Times New Roman"/>
                <w:color w:val="auto"/>
                <w:sz w:val="21"/>
              </w:rPr>
              <w:t>μg/m³</w:t>
            </w:r>
          </w:p>
        </w:tc>
        <w:tc>
          <w:tcPr>
            <w:tcW w:w="1239" w:type="dxa"/>
            <w:tcBorders>
              <w:tl2br w:val="nil"/>
              <w:tr2bl w:val="nil"/>
            </w:tcBorders>
            <w:vAlign w:val="center"/>
          </w:tcPr>
          <w:p w14:paraId="715792E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40μg/m³</w:t>
            </w:r>
          </w:p>
        </w:tc>
        <w:tc>
          <w:tcPr>
            <w:tcW w:w="1306" w:type="dxa"/>
            <w:tcBorders>
              <w:tl2br w:val="nil"/>
              <w:tr2bl w:val="nil"/>
            </w:tcBorders>
            <w:vAlign w:val="center"/>
          </w:tcPr>
          <w:p w14:paraId="1D08CBCA">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57.5</w:t>
            </w:r>
          </w:p>
        </w:tc>
        <w:tc>
          <w:tcPr>
            <w:tcW w:w="1151" w:type="dxa"/>
            <w:tcBorders>
              <w:tl2br w:val="nil"/>
              <w:tr2bl w:val="nil"/>
            </w:tcBorders>
            <w:vAlign w:val="center"/>
          </w:tcPr>
          <w:p w14:paraId="6FD489E9">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774F6C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12111C3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CO</w:t>
            </w:r>
          </w:p>
        </w:tc>
        <w:tc>
          <w:tcPr>
            <w:tcW w:w="3018" w:type="dxa"/>
            <w:tcBorders>
              <w:tl2br w:val="nil"/>
              <w:tr2bl w:val="nil"/>
            </w:tcBorders>
            <w:vAlign w:val="center"/>
          </w:tcPr>
          <w:p w14:paraId="2621EBF9">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日平均第95百分位质量浓度</w:t>
            </w:r>
          </w:p>
        </w:tc>
        <w:tc>
          <w:tcPr>
            <w:tcW w:w="1531" w:type="dxa"/>
            <w:tcBorders>
              <w:tl2br w:val="nil"/>
              <w:tr2bl w:val="nil"/>
            </w:tcBorders>
            <w:vAlign w:val="center"/>
          </w:tcPr>
          <w:p w14:paraId="5AD4B8A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1mg/m³</w:t>
            </w:r>
          </w:p>
        </w:tc>
        <w:tc>
          <w:tcPr>
            <w:tcW w:w="1239" w:type="dxa"/>
            <w:tcBorders>
              <w:tl2br w:val="nil"/>
              <w:tr2bl w:val="nil"/>
            </w:tcBorders>
            <w:vAlign w:val="center"/>
          </w:tcPr>
          <w:p w14:paraId="032ECD97">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4mg/m³</w:t>
            </w:r>
          </w:p>
        </w:tc>
        <w:tc>
          <w:tcPr>
            <w:tcW w:w="1306" w:type="dxa"/>
            <w:tcBorders>
              <w:tl2br w:val="nil"/>
              <w:tr2bl w:val="nil"/>
            </w:tcBorders>
            <w:vAlign w:val="center"/>
          </w:tcPr>
          <w:p w14:paraId="1EB7A983">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25</w:t>
            </w:r>
          </w:p>
        </w:tc>
        <w:tc>
          <w:tcPr>
            <w:tcW w:w="1151" w:type="dxa"/>
            <w:tcBorders>
              <w:tl2br w:val="nil"/>
              <w:tr2bl w:val="nil"/>
            </w:tcBorders>
            <w:vAlign w:val="center"/>
          </w:tcPr>
          <w:p w14:paraId="6BEAAEA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0A9B7B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1BF810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O</w:t>
            </w:r>
            <w:r>
              <w:rPr>
                <w:rFonts w:ascii="Times New Roman" w:hAnsi="Times New Roman" w:cs="Times New Roman"/>
                <w:color w:val="auto"/>
                <w:sz w:val="21"/>
                <w:vertAlign w:val="subscript"/>
              </w:rPr>
              <w:t>3</w:t>
            </w:r>
          </w:p>
        </w:tc>
        <w:tc>
          <w:tcPr>
            <w:tcW w:w="3018" w:type="dxa"/>
            <w:tcBorders>
              <w:tl2br w:val="nil"/>
              <w:tr2bl w:val="nil"/>
            </w:tcBorders>
            <w:vAlign w:val="center"/>
          </w:tcPr>
          <w:p w14:paraId="4C0AE4DC">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日8小时最大平均第90百分位质量浓度</w:t>
            </w:r>
          </w:p>
        </w:tc>
        <w:tc>
          <w:tcPr>
            <w:tcW w:w="1531" w:type="dxa"/>
            <w:tcBorders>
              <w:tl2br w:val="nil"/>
              <w:tr2bl w:val="nil"/>
            </w:tcBorders>
            <w:vAlign w:val="center"/>
          </w:tcPr>
          <w:p w14:paraId="6FDF4DD9">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152</w:t>
            </w:r>
            <w:r>
              <w:rPr>
                <w:rFonts w:ascii="Times New Roman" w:hAnsi="Times New Roman" w:cs="Times New Roman"/>
                <w:color w:val="auto"/>
                <w:sz w:val="21"/>
              </w:rPr>
              <w:t>μg/m³</w:t>
            </w:r>
          </w:p>
        </w:tc>
        <w:tc>
          <w:tcPr>
            <w:tcW w:w="1239" w:type="dxa"/>
            <w:tcBorders>
              <w:tl2br w:val="nil"/>
              <w:tr2bl w:val="nil"/>
            </w:tcBorders>
            <w:vAlign w:val="center"/>
          </w:tcPr>
          <w:p w14:paraId="490246D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160μg/m³</w:t>
            </w:r>
          </w:p>
        </w:tc>
        <w:tc>
          <w:tcPr>
            <w:tcW w:w="1306" w:type="dxa"/>
            <w:tcBorders>
              <w:tl2br w:val="nil"/>
              <w:tr2bl w:val="nil"/>
            </w:tcBorders>
            <w:vAlign w:val="center"/>
          </w:tcPr>
          <w:p w14:paraId="504D3AEC">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95</w:t>
            </w:r>
          </w:p>
        </w:tc>
        <w:tc>
          <w:tcPr>
            <w:tcW w:w="1151" w:type="dxa"/>
            <w:tcBorders>
              <w:tl2br w:val="nil"/>
              <w:tr2bl w:val="nil"/>
            </w:tcBorders>
            <w:vAlign w:val="center"/>
          </w:tcPr>
          <w:p w14:paraId="0D8AECC2">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bl>
    <w:p w14:paraId="5998E2E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24"/>
        </w:rPr>
      </w:pPr>
      <w:r>
        <w:rPr>
          <w:rFonts w:hint="eastAsia"/>
          <w:color w:val="auto"/>
          <w:sz w:val="24"/>
          <w:szCs w:val="24"/>
          <w:lang w:eastAsia="zh-CN"/>
        </w:rPr>
        <w:t>（</w:t>
      </w:r>
      <w:r>
        <w:rPr>
          <w:rFonts w:hint="eastAsia"/>
          <w:color w:val="auto"/>
          <w:sz w:val="24"/>
          <w:szCs w:val="24"/>
          <w:lang w:val="en-US" w:eastAsia="zh-CN"/>
        </w:rPr>
        <w:t>3</w:t>
      </w:r>
      <w:r>
        <w:rPr>
          <w:rFonts w:hint="eastAsia"/>
          <w:color w:val="auto"/>
          <w:sz w:val="24"/>
          <w:szCs w:val="24"/>
          <w:lang w:eastAsia="zh-CN"/>
        </w:rPr>
        <w:t>）</w:t>
      </w:r>
      <w:r>
        <w:rPr>
          <w:rFonts w:hint="default" w:ascii="Times New Roman" w:hAnsi="Times New Roman" w:cs="Times New Roman"/>
          <w:color w:val="auto"/>
          <w:sz w:val="24"/>
          <w:szCs w:val="24"/>
        </w:rPr>
        <w:t>20</w:t>
      </w:r>
      <w:r>
        <w:rPr>
          <w:rFonts w:hint="eastAsia" w:ascii="Times New Roman" w:hAnsi="Times New Roman" w:cs="Times New Roman"/>
          <w:color w:val="auto"/>
          <w:sz w:val="24"/>
          <w:szCs w:val="24"/>
          <w:lang w:val="en-US" w:eastAsia="zh-CN"/>
        </w:rPr>
        <w:t>2</w:t>
      </w:r>
      <w:r>
        <w:rPr>
          <w:rFonts w:hint="eastAsia" w:cs="Times New Roman"/>
          <w:color w:val="auto"/>
          <w:sz w:val="24"/>
          <w:szCs w:val="24"/>
          <w:lang w:val="en-US" w:eastAsia="zh-CN"/>
        </w:rPr>
        <w:t>2</w:t>
      </w:r>
      <w:r>
        <w:rPr>
          <w:rFonts w:hint="default" w:ascii="Times New Roman" w:hAnsi="Times New Roman" w:cs="Times New Roman"/>
          <w:color w:val="auto"/>
          <w:sz w:val="24"/>
          <w:szCs w:val="24"/>
        </w:rPr>
        <w:t>年环境空气质量监测</w:t>
      </w:r>
    </w:p>
    <w:p w14:paraId="767D48D2">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eastAsia" w:ascii="Times New Roman" w:hAnsi="Times New Roman" w:cs="Times New Roman"/>
          <w:color w:val="auto"/>
          <w:lang w:val="en-US" w:eastAsia="zh-CN"/>
        </w:rPr>
      </w:pPr>
      <w:r>
        <w:rPr>
          <w:rFonts w:hint="default" w:ascii="Times New Roman" w:hAnsi="Times New Roman" w:cs="Times New Roman"/>
          <w:color w:val="auto"/>
          <w:lang w:val="en-US" w:eastAsia="zh-CN"/>
        </w:rPr>
        <w:t>根据淮北市生态环境局发布的《淮北市生态环境局2022年度生态环境状况公报》</w:t>
      </w:r>
      <w:r>
        <w:rPr>
          <w:rFonts w:hint="eastAsia" w:ascii="Times New Roman" w:hAnsi="Times New Roman" w:cs="Times New Roman"/>
          <w:color w:val="auto"/>
          <w:lang w:val="en-US" w:eastAsia="zh-CN"/>
        </w:rPr>
        <w:t>可知，环境空气质量监测评价结果详见下表：</w:t>
      </w:r>
    </w:p>
    <w:p w14:paraId="7A178BA7">
      <w:pPr>
        <w:spacing w:line="360" w:lineRule="auto"/>
        <w:jc w:val="center"/>
        <w:rPr>
          <w:rFonts w:hint="eastAsia" w:eastAsia="宋体"/>
          <w:b/>
          <w:bCs/>
          <w:color w:val="auto"/>
          <w:sz w:val="24"/>
          <w:szCs w:val="32"/>
          <w:lang w:eastAsia="zh-CN"/>
        </w:rPr>
      </w:pPr>
      <w:r>
        <w:rPr>
          <w:b/>
          <w:bCs/>
          <w:color w:val="auto"/>
          <w:sz w:val="24"/>
          <w:szCs w:val="32"/>
        </w:rPr>
        <w:t>表4-1</w:t>
      </w:r>
      <w:r>
        <w:rPr>
          <w:rFonts w:hint="eastAsia"/>
          <w:b/>
          <w:bCs/>
          <w:color w:val="auto"/>
          <w:sz w:val="24"/>
          <w:szCs w:val="32"/>
          <w:lang w:val="en-US" w:eastAsia="zh-CN"/>
        </w:rPr>
        <w:t>4</w:t>
      </w:r>
      <w:r>
        <w:rPr>
          <w:b/>
          <w:bCs/>
          <w:color w:val="auto"/>
          <w:sz w:val="24"/>
          <w:szCs w:val="32"/>
        </w:rPr>
        <w:t xml:space="preserve"> 区域空气质量现状评价表</w:t>
      </w:r>
      <w:r>
        <w:rPr>
          <w:rFonts w:hint="eastAsia"/>
          <w:b/>
          <w:bCs/>
          <w:color w:val="auto"/>
          <w:sz w:val="24"/>
          <w:szCs w:val="32"/>
          <w:lang w:eastAsia="zh-CN"/>
        </w:rPr>
        <w:t>（</w:t>
      </w:r>
      <w:r>
        <w:rPr>
          <w:rFonts w:hint="eastAsia"/>
          <w:b/>
          <w:bCs/>
          <w:color w:val="auto"/>
          <w:sz w:val="24"/>
          <w:szCs w:val="32"/>
          <w:lang w:val="en-US" w:eastAsia="zh-CN"/>
        </w:rPr>
        <w:t>2022年</w:t>
      </w:r>
      <w:r>
        <w:rPr>
          <w:rFonts w:hint="eastAsia"/>
          <w:b/>
          <w:bCs/>
          <w:color w:val="auto"/>
          <w:sz w:val="24"/>
          <w:szCs w:val="32"/>
          <w:lang w:eastAsia="zh-CN"/>
        </w:rPr>
        <w:t>）</w:t>
      </w:r>
    </w:p>
    <w:tbl>
      <w:tblPr>
        <w:tblStyle w:val="31"/>
        <w:tblW w:w="935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9"/>
        <w:gridCol w:w="3018"/>
        <w:gridCol w:w="1531"/>
        <w:gridCol w:w="1239"/>
        <w:gridCol w:w="1306"/>
        <w:gridCol w:w="1151"/>
      </w:tblGrid>
      <w:tr w14:paraId="106997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7F802CAD">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污染物</w:t>
            </w:r>
          </w:p>
        </w:tc>
        <w:tc>
          <w:tcPr>
            <w:tcW w:w="3018" w:type="dxa"/>
            <w:tcBorders>
              <w:tl2br w:val="nil"/>
              <w:tr2bl w:val="nil"/>
            </w:tcBorders>
            <w:vAlign w:val="center"/>
          </w:tcPr>
          <w:p w14:paraId="17300C61">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评价指标</w:t>
            </w:r>
          </w:p>
        </w:tc>
        <w:tc>
          <w:tcPr>
            <w:tcW w:w="1531" w:type="dxa"/>
            <w:tcBorders>
              <w:tl2br w:val="nil"/>
              <w:tr2bl w:val="nil"/>
            </w:tcBorders>
            <w:vAlign w:val="center"/>
          </w:tcPr>
          <w:p w14:paraId="0AE8E638">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年均浓度</w:t>
            </w:r>
          </w:p>
        </w:tc>
        <w:tc>
          <w:tcPr>
            <w:tcW w:w="1239" w:type="dxa"/>
            <w:tcBorders>
              <w:tl2br w:val="nil"/>
              <w:tr2bl w:val="nil"/>
            </w:tcBorders>
            <w:vAlign w:val="center"/>
          </w:tcPr>
          <w:p w14:paraId="15D913F5">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标准值</w:t>
            </w:r>
          </w:p>
        </w:tc>
        <w:tc>
          <w:tcPr>
            <w:tcW w:w="1306" w:type="dxa"/>
            <w:tcBorders>
              <w:tl2br w:val="nil"/>
              <w:tr2bl w:val="nil"/>
            </w:tcBorders>
            <w:vAlign w:val="center"/>
          </w:tcPr>
          <w:p w14:paraId="69D1629D">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占标率/%</w:t>
            </w:r>
          </w:p>
        </w:tc>
        <w:tc>
          <w:tcPr>
            <w:tcW w:w="1151" w:type="dxa"/>
            <w:tcBorders>
              <w:tl2br w:val="nil"/>
              <w:tr2bl w:val="nil"/>
            </w:tcBorders>
            <w:vAlign w:val="center"/>
          </w:tcPr>
          <w:p w14:paraId="2C728C33">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达标情况</w:t>
            </w:r>
          </w:p>
        </w:tc>
      </w:tr>
      <w:tr w14:paraId="028738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229C0847">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10</w:t>
            </w:r>
          </w:p>
        </w:tc>
        <w:tc>
          <w:tcPr>
            <w:tcW w:w="3018" w:type="dxa"/>
            <w:tcBorders>
              <w:tl2br w:val="nil"/>
              <w:tr2bl w:val="nil"/>
            </w:tcBorders>
            <w:vAlign w:val="center"/>
          </w:tcPr>
          <w:p w14:paraId="79302DFA">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30DBAB00">
            <w:pPr>
              <w:pStyle w:val="57"/>
              <w:spacing w:after="0" w:line="240" w:lineRule="auto"/>
              <w:rPr>
                <w:rFonts w:ascii="Times New Roman" w:hAnsi="Times New Roman" w:eastAsia="宋体" w:cs="Times New Roman"/>
                <w:color w:val="auto"/>
                <w:sz w:val="21"/>
              </w:rPr>
            </w:pPr>
            <w:r>
              <w:rPr>
                <w:rFonts w:hint="eastAsia" w:ascii="Times New Roman" w:hAnsi="Times New Roman" w:cs="Times New Roman"/>
                <w:color w:val="auto"/>
                <w:sz w:val="21"/>
                <w:lang w:val="en-US" w:eastAsia="zh-CN"/>
              </w:rPr>
              <w:t>70</w:t>
            </w:r>
            <w:r>
              <w:rPr>
                <w:rFonts w:ascii="Times New Roman" w:hAnsi="Times New Roman" w:cs="Times New Roman"/>
                <w:color w:val="auto"/>
                <w:sz w:val="21"/>
              </w:rPr>
              <w:t>μg/m³</w:t>
            </w:r>
          </w:p>
        </w:tc>
        <w:tc>
          <w:tcPr>
            <w:tcW w:w="1239" w:type="dxa"/>
            <w:tcBorders>
              <w:tl2br w:val="nil"/>
              <w:tr2bl w:val="nil"/>
            </w:tcBorders>
            <w:vAlign w:val="center"/>
          </w:tcPr>
          <w:p w14:paraId="67F0337F">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70μg/m³</w:t>
            </w:r>
          </w:p>
        </w:tc>
        <w:tc>
          <w:tcPr>
            <w:tcW w:w="1306" w:type="dxa"/>
            <w:tcBorders>
              <w:tl2br w:val="nil"/>
              <w:tr2bl w:val="nil"/>
            </w:tcBorders>
            <w:vAlign w:val="center"/>
          </w:tcPr>
          <w:p w14:paraId="4B611C83">
            <w:pPr>
              <w:pStyle w:val="57"/>
              <w:spacing w:after="0" w:line="240" w:lineRule="auto"/>
              <w:rPr>
                <w:rFonts w:hint="default" w:ascii="Times New Roman" w:hAnsi="Times New Roman" w:eastAsia="宋体" w:cs="Times New Roman"/>
                <w:color w:val="auto"/>
                <w:sz w:val="21"/>
                <w:lang w:val="en-US" w:eastAsia="zh-CN"/>
              </w:rPr>
            </w:pPr>
            <w:r>
              <w:rPr>
                <w:rFonts w:hint="eastAsia" w:ascii="Times New Roman" w:hAnsi="Times New Roman" w:eastAsia="宋体" w:cs="Times New Roman"/>
                <w:color w:val="auto"/>
                <w:sz w:val="21"/>
                <w:lang w:val="en-US" w:eastAsia="zh-CN"/>
              </w:rPr>
              <w:t>100</w:t>
            </w:r>
          </w:p>
        </w:tc>
        <w:tc>
          <w:tcPr>
            <w:tcW w:w="1151" w:type="dxa"/>
            <w:tcBorders>
              <w:tl2br w:val="nil"/>
              <w:tr2bl w:val="nil"/>
            </w:tcBorders>
            <w:vAlign w:val="center"/>
          </w:tcPr>
          <w:p w14:paraId="7E663A8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3CA3BF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356D5A1">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2.5</w:t>
            </w:r>
          </w:p>
        </w:tc>
        <w:tc>
          <w:tcPr>
            <w:tcW w:w="3018" w:type="dxa"/>
            <w:tcBorders>
              <w:tl2br w:val="nil"/>
              <w:tr2bl w:val="nil"/>
            </w:tcBorders>
            <w:vAlign w:val="center"/>
          </w:tcPr>
          <w:p w14:paraId="7F0D8CC1">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151DD71C">
            <w:pPr>
              <w:pStyle w:val="57"/>
              <w:spacing w:after="0" w:line="240" w:lineRule="auto"/>
              <w:rPr>
                <w:rFonts w:ascii="Times New Roman" w:hAnsi="Times New Roman" w:eastAsia="宋体" w:cs="Times New Roman"/>
                <w:color w:val="auto"/>
                <w:sz w:val="21"/>
              </w:rPr>
            </w:pPr>
            <w:r>
              <w:rPr>
                <w:rFonts w:hint="eastAsia" w:ascii="Times New Roman" w:hAnsi="Times New Roman" w:cs="Times New Roman"/>
                <w:color w:val="auto"/>
                <w:sz w:val="21"/>
                <w:lang w:val="en-US" w:eastAsia="zh-CN"/>
              </w:rPr>
              <w:t>42u</w:t>
            </w:r>
            <w:r>
              <w:rPr>
                <w:rFonts w:ascii="Times New Roman" w:hAnsi="Times New Roman" w:cs="Times New Roman"/>
                <w:color w:val="auto"/>
                <w:sz w:val="21"/>
              </w:rPr>
              <w:t>g/m³</w:t>
            </w:r>
          </w:p>
        </w:tc>
        <w:tc>
          <w:tcPr>
            <w:tcW w:w="1239" w:type="dxa"/>
            <w:tcBorders>
              <w:tl2br w:val="nil"/>
              <w:tr2bl w:val="nil"/>
            </w:tcBorders>
            <w:vAlign w:val="center"/>
          </w:tcPr>
          <w:p w14:paraId="3CD57BAB">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35μg/m³</w:t>
            </w:r>
          </w:p>
        </w:tc>
        <w:tc>
          <w:tcPr>
            <w:tcW w:w="1306" w:type="dxa"/>
            <w:tcBorders>
              <w:tl2br w:val="nil"/>
              <w:tr2bl w:val="nil"/>
            </w:tcBorders>
            <w:vAlign w:val="center"/>
          </w:tcPr>
          <w:p w14:paraId="0B1B33A4">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120</w:t>
            </w:r>
          </w:p>
        </w:tc>
        <w:tc>
          <w:tcPr>
            <w:tcW w:w="1151" w:type="dxa"/>
            <w:tcBorders>
              <w:tl2br w:val="nil"/>
              <w:tr2bl w:val="nil"/>
            </w:tcBorders>
            <w:vAlign w:val="center"/>
          </w:tcPr>
          <w:p w14:paraId="22F645D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r w14:paraId="6C7BDD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7E2B49C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SO</w:t>
            </w:r>
            <w:r>
              <w:rPr>
                <w:rFonts w:ascii="Times New Roman" w:hAnsi="Times New Roman" w:cs="Times New Roman"/>
                <w:color w:val="auto"/>
                <w:sz w:val="21"/>
                <w:vertAlign w:val="subscript"/>
              </w:rPr>
              <w:t>2</w:t>
            </w:r>
          </w:p>
        </w:tc>
        <w:tc>
          <w:tcPr>
            <w:tcW w:w="3018" w:type="dxa"/>
            <w:tcBorders>
              <w:tl2br w:val="nil"/>
              <w:tr2bl w:val="nil"/>
            </w:tcBorders>
            <w:vAlign w:val="center"/>
          </w:tcPr>
          <w:p w14:paraId="6D994F27">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29078ABD">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7</w:t>
            </w:r>
            <w:r>
              <w:rPr>
                <w:rFonts w:ascii="Times New Roman" w:hAnsi="Times New Roman" w:cs="Times New Roman"/>
                <w:color w:val="auto"/>
                <w:sz w:val="21"/>
              </w:rPr>
              <w:t>μg/m³</w:t>
            </w:r>
          </w:p>
        </w:tc>
        <w:tc>
          <w:tcPr>
            <w:tcW w:w="1239" w:type="dxa"/>
            <w:tcBorders>
              <w:tl2br w:val="nil"/>
              <w:tr2bl w:val="nil"/>
            </w:tcBorders>
            <w:vAlign w:val="center"/>
          </w:tcPr>
          <w:p w14:paraId="05D3DEF2">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60μg/m³</w:t>
            </w:r>
          </w:p>
        </w:tc>
        <w:tc>
          <w:tcPr>
            <w:tcW w:w="1306" w:type="dxa"/>
            <w:tcBorders>
              <w:tl2br w:val="nil"/>
              <w:tr2bl w:val="nil"/>
            </w:tcBorders>
            <w:vAlign w:val="center"/>
          </w:tcPr>
          <w:p w14:paraId="76E25B2F">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11.7</w:t>
            </w:r>
          </w:p>
        </w:tc>
        <w:tc>
          <w:tcPr>
            <w:tcW w:w="1151" w:type="dxa"/>
            <w:tcBorders>
              <w:tl2br w:val="nil"/>
              <w:tr2bl w:val="nil"/>
            </w:tcBorders>
            <w:vAlign w:val="center"/>
          </w:tcPr>
          <w:p w14:paraId="5C7D7AE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5AE9B2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7F08A58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NO</w:t>
            </w:r>
            <w:r>
              <w:rPr>
                <w:rFonts w:ascii="Times New Roman" w:hAnsi="Times New Roman" w:cs="Times New Roman"/>
                <w:color w:val="auto"/>
                <w:sz w:val="21"/>
                <w:vertAlign w:val="subscript"/>
              </w:rPr>
              <w:t>2</w:t>
            </w:r>
          </w:p>
        </w:tc>
        <w:tc>
          <w:tcPr>
            <w:tcW w:w="3018" w:type="dxa"/>
            <w:tcBorders>
              <w:tl2br w:val="nil"/>
              <w:tr2bl w:val="nil"/>
            </w:tcBorders>
            <w:vAlign w:val="center"/>
          </w:tcPr>
          <w:p w14:paraId="7107FB2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52B65EE3">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21</w:t>
            </w:r>
            <w:r>
              <w:rPr>
                <w:rFonts w:ascii="Times New Roman" w:hAnsi="Times New Roman" w:cs="Times New Roman"/>
                <w:color w:val="auto"/>
                <w:sz w:val="21"/>
              </w:rPr>
              <w:t>μg/m³</w:t>
            </w:r>
          </w:p>
        </w:tc>
        <w:tc>
          <w:tcPr>
            <w:tcW w:w="1239" w:type="dxa"/>
            <w:tcBorders>
              <w:tl2br w:val="nil"/>
              <w:tr2bl w:val="nil"/>
            </w:tcBorders>
            <w:vAlign w:val="center"/>
          </w:tcPr>
          <w:p w14:paraId="06CDC3D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40μg/m³</w:t>
            </w:r>
          </w:p>
        </w:tc>
        <w:tc>
          <w:tcPr>
            <w:tcW w:w="1306" w:type="dxa"/>
            <w:tcBorders>
              <w:tl2br w:val="nil"/>
              <w:tr2bl w:val="nil"/>
            </w:tcBorders>
            <w:vAlign w:val="center"/>
          </w:tcPr>
          <w:p w14:paraId="1F866084">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52.5</w:t>
            </w:r>
          </w:p>
        </w:tc>
        <w:tc>
          <w:tcPr>
            <w:tcW w:w="1151" w:type="dxa"/>
            <w:tcBorders>
              <w:tl2br w:val="nil"/>
              <w:tr2bl w:val="nil"/>
            </w:tcBorders>
            <w:vAlign w:val="center"/>
          </w:tcPr>
          <w:p w14:paraId="669DC402">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5C2586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99B04F8">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CO</w:t>
            </w:r>
          </w:p>
        </w:tc>
        <w:tc>
          <w:tcPr>
            <w:tcW w:w="3018" w:type="dxa"/>
            <w:tcBorders>
              <w:tl2br w:val="nil"/>
              <w:tr2bl w:val="nil"/>
            </w:tcBorders>
            <w:vAlign w:val="center"/>
          </w:tcPr>
          <w:p w14:paraId="40EC06B2">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日平均第95百分位质量浓度</w:t>
            </w:r>
          </w:p>
        </w:tc>
        <w:tc>
          <w:tcPr>
            <w:tcW w:w="1531" w:type="dxa"/>
            <w:tcBorders>
              <w:tl2br w:val="nil"/>
              <w:tr2bl w:val="nil"/>
            </w:tcBorders>
            <w:vAlign w:val="center"/>
          </w:tcPr>
          <w:p w14:paraId="5CDBE1E8">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1mg/m³</w:t>
            </w:r>
          </w:p>
        </w:tc>
        <w:tc>
          <w:tcPr>
            <w:tcW w:w="1239" w:type="dxa"/>
            <w:tcBorders>
              <w:tl2br w:val="nil"/>
              <w:tr2bl w:val="nil"/>
            </w:tcBorders>
            <w:vAlign w:val="center"/>
          </w:tcPr>
          <w:p w14:paraId="16B6E4CA">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4mg/m³</w:t>
            </w:r>
          </w:p>
        </w:tc>
        <w:tc>
          <w:tcPr>
            <w:tcW w:w="1306" w:type="dxa"/>
            <w:tcBorders>
              <w:tl2br w:val="nil"/>
              <w:tr2bl w:val="nil"/>
            </w:tcBorders>
            <w:vAlign w:val="center"/>
          </w:tcPr>
          <w:p w14:paraId="2511EF18">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25</w:t>
            </w:r>
          </w:p>
        </w:tc>
        <w:tc>
          <w:tcPr>
            <w:tcW w:w="1151" w:type="dxa"/>
            <w:tcBorders>
              <w:tl2br w:val="nil"/>
              <w:tr2bl w:val="nil"/>
            </w:tcBorders>
            <w:vAlign w:val="center"/>
          </w:tcPr>
          <w:p w14:paraId="06FEECD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35D0CD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E7626D6">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O</w:t>
            </w:r>
            <w:r>
              <w:rPr>
                <w:rFonts w:ascii="Times New Roman" w:hAnsi="Times New Roman" w:cs="Times New Roman"/>
                <w:color w:val="auto"/>
                <w:sz w:val="21"/>
                <w:vertAlign w:val="subscript"/>
              </w:rPr>
              <w:t>3</w:t>
            </w:r>
          </w:p>
        </w:tc>
        <w:tc>
          <w:tcPr>
            <w:tcW w:w="3018" w:type="dxa"/>
            <w:tcBorders>
              <w:tl2br w:val="nil"/>
              <w:tr2bl w:val="nil"/>
            </w:tcBorders>
            <w:vAlign w:val="center"/>
          </w:tcPr>
          <w:p w14:paraId="06BD902A">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日8小时最大平均第90百分位质量浓度</w:t>
            </w:r>
          </w:p>
        </w:tc>
        <w:tc>
          <w:tcPr>
            <w:tcW w:w="1531" w:type="dxa"/>
            <w:tcBorders>
              <w:tl2br w:val="nil"/>
              <w:tr2bl w:val="nil"/>
            </w:tcBorders>
            <w:vAlign w:val="center"/>
          </w:tcPr>
          <w:p w14:paraId="6A4FB361">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168</w:t>
            </w:r>
            <w:r>
              <w:rPr>
                <w:rFonts w:ascii="Times New Roman" w:hAnsi="Times New Roman" w:cs="Times New Roman"/>
                <w:color w:val="auto"/>
                <w:sz w:val="21"/>
              </w:rPr>
              <w:t>μg/m³</w:t>
            </w:r>
          </w:p>
        </w:tc>
        <w:tc>
          <w:tcPr>
            <w:tcW w:w="1239" w:type="dxa"/>
            <w:tcBorders>
              <w:tl2br w:val="nil"/>
              <w:tr2bl w:val="nil"/>
            </w:tcBorders>
            <w:vAlign w:val="center"/>
          </w:tcPr>
          <w:p w14:paraId="66C78FC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160μg/m³</w:t>
            </w:r>
          </w:p>
        </w:tc>
        <w:tc>
          <w:tcPr>
            <w:tcW w:w="1306" w:type="dxa"/>
            <w:tcBorders>
              <w:tl2br w:val="nil"/>
              <w:tr2bl w:val="nil"/>
            </w:tcBorders>
            <w:vAlign w:val="center"/>
          </w:tcPr>
          <w:p w14:paraId="53E35A84">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105</w:t>
            </w:r>
          </w:p>
        </w:tc>
        <w:tc>
          <w:tcPr>
            <w:tcW w:w="1151" w:type="dxa"/>
            <w:tcBorders>
              <w:tl2br w:val="nil"/>
              <w:tr2bl w:val="nil"/>
            </w:tcBorders>
            <w:vAlign w:val="center"/>
          </w:tcPr>
          <w:p w14:paraId="53736571">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不</w:t>
            </w:r>
            <w:r>
              <w:rPr>
                <w:rFonts w:ascii="Times New Roman" w:hAnsi="Times New Roman" w:cs="Times New Roman"/>
                <w:color w:val="auto"/>
                <w:sz w:val="21"/>
              </w:rPr>
              <w:t>达标</w:t>
            </w:r>
          </w:p>
        </w:tc>
      </w:tr>
    </w:tbl>
    <w:p w14:paraId="27F832A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24"/>
        </w:rPr>
      </w:pPr>
      <w:r>
        <w:rPr>
          <w:rFonts w:hint="eastAsia"/>
          <w:color w:val="auto"/>
          <w:sz w:val="24"/>
          <w:szCs w:val="24"/>
          <w:lang w:eastAsia="zh-CN"/>
        </w:rPr>
        <w:t>（</w:t>
      </w:r>
      <w:r>
        <w:rPr>
          <w:rFonts w:hint="eastAsia"/>
          <w:color w:val="auto"/>
          <w:sz w:val="24"/>
          <w:szCs w:val="24"/>
          <w:lang w:val="en-US" w:eastAsia="zh-CN"/>
        </w:rPr>
        <w:t>4</w:t>
      </w:r>
      <w:r>
        <w:rPr>
          <w:rFonts w:hint="eastAsia"/>
          <w:color w:val="auto"/>
          <w:sz w:val="24"/>
          <w:szCs w:val="24"/>
          <w:lang w:eastAsia="zh-CN"/>
        </w:rPr>
        <w:t>）</w:t>
      </w:r>
      <w:r>
        <w:rPr>
          <w:rFonts w:hint="default" w:ascii="Times New Roman" w:hAnsi="Times New Roman" w:cs="Times New Roman"/>
          <w:color w:val="auto"/>
          <w:sz w:val="24"/>
          <w:szCs w:val="24"/>
        </w:rPr>
        <w:t>20</w:t>
      </w:r>
      <w:r>
        <w:rPr>
          <w:rFonts w:hint="eastAsia" w:ascii="Times New Roman" w:hAnsi="Times New Roman" w:cs="Times New Roman"/>
          <w:color w:val="auto"/>
          <w:sz w:val="24"/>
          <w:szCs w:val="24"/>
          <w:lang w:val="en-US" w:eastAsia="zh-CN"/>
        </w:rPr>
        <w:t>2</w:t>
      </w:r>
      <w:r>
        <w:rPr>
          <w:rFonts w:hint="eastAsia" w:cs="Times New Roman"/>
          <w:color w:val="auto"/>
          <w:sz w:val="24"/>
          <w:szCs w:val="24"/>
          <w:lang w:val="en-US" w:eastAsia="zh-CN"/>
        </w:rPr>
        <w:t>3</w:t>
      </w:r>
      <w:r>
        <w:rPr>
          <w:rFonts w:hint="default" w:ascii="Times New Roman" w:hAnsi="Times New Roman" w:cs="Times New Roman"/>
          <w:color w:val="auto"/>
          <w:sz w:val="24"/>
          <w:szCs w:val="24"/>
        </w:rPr>
        <w:t>年环境空气质量监测</w:t>
      </w:r>
    </w:p>
    <w:p w14:paraId="0772197F">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eastAsia" w:ascii="Times New Roman" w:hAnsi="Times New Roman" w:cs="Times New Roman"/>
          <w:color w:val="auto"/>
          <w:lang w:val="en-US" w:eastAsia="zh-CN"/>
        </w:rPr>
      </w:pPr>
      <w:r>
        <w:rPr>
          <w:rFonts w:hint="default" w:ascii="Times New Roman" w:hAnsi="Times New Roman" w:cs="Times New Roman"/>
          <w:color w:val="auto"/>
          <w:lang w:val="en-US" w:eastAsia="zh-CN"/>
        </w:rPr>
        <w:t>根据淮北市生态环境局发布的《淮北市2023年度生态环境状况公报》</w:t>
      </w:r>
      <w:r>
        <w:rPr>
          <w:rFonts w:hint="eastAsia" w:ascii="Times New Roman" w:hAnsi="Times New Roman" w:cs="Times New Roman"/>
          <w:color w:val="auto"/>
          <w:lang w:val="en-US" w:eastAsia="zh-CN"/>
        </w:rPr>
        <w:t>可知，环境空气质量监测评价结果详见下表：</w:t>
      </w:r>
    </w:p>
    <w:p w14:paraId="2D25A192">
      <w:pPr>
        <w:spacing w:line="360" w:lineRule="auto"/>
        <w:jc w:val="center"/>
        <w:rPr>
          <w:rFonts w:hint="eastAsia" w:eastAsia="宋体"/>
          <w:b/>
          <w:bCs/>
          <w:color w:val="auto"/>
          <w:sz w:val="24"/>
          <w:szCs w:val="32"/>
          <w:lang w:eastAsia="zh-CN"/>
        </w:rPr>
      </w:pPr>
      <w:r>
        <w:rPr>
          <w:b/>
          <w:bCs/>
          <w:color w:val="auto"/>
          <w:sz w:val="24"/>
          <w:szCs w:val="32"/>
        </w:rPr>
        <w:t>表4-1</w:t>
      </w:r>
      <w:r>
        <w:rPr>
          <w:rFonts w:hint="eastAsia"/>
          <w:b/>
          <w:bCs/>
          <w:color w:val="auto"/>
          <w:sz w:val="24"/>
          <w:szCs w:val="32"/>
          <w:lang w:val="en-US" w:eastAsia="zh-CN"/>
        </w:rPr>
        <w:t>5</w:t>
      </w:r>
      <w:r>
        <w:rPr>
          <w:b/>
          <w:bCs/>
          <w:color w:val="auto"/>
          <w:sz w:val="24"/>
          <w:szCs w:val="32"/>
        </w:rPr>
        <w:t xml:space="preserve"> 区域空气质量现状评价表</w:t>
      </w:r>
      <w:r>
        <w:rPr>
          <w:rFonts w:hint="eastAsia"/>
          <w:b/>
          <w:bCs/>
          <w:color w:val="auto"/>
          <w:sz w:val="24"/>
          <w:szCs w:val="32"/>
          <w:lang w:eastAsia="zh-CN"/>
        </w:rPr>
        <w:t>（</w:t>
      </w:r>
      <w:r>
        <w:rPr>
          <w:rFonts w:hint="eastAsia"/>
          <w:b/>
          <w:bCs/>
          <w:color w:val="auto"/>
          <w:sz w:val="24"/>
          <w:szCs w:val="32"/>
          <w:lang w:val="en-US" w:eastAsia="zh-CN"/>
        </w:rPr>
        <w:t>2023年</w:t>
      </w:r>
      <w:r>
        <w:rPr>
          <w:rFonts w:hint="eastAsia"/>
          <w:b/>
          <w:bCs/>
          <w:color w:val="auto"/>
          <w:sz w:val="24"/>
          <w:szCs w:val="32"/>
          <w:lang w:eastAsia="zh-CN"/>
        </w:rPr>
        <w:t>）</w:t>
      </w:r>
    </w:p>
    <w:tbl>
      <w:tblPr>
        <w:tblStyle w:val="31"/>
        <w:tblW w:w="935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9"/>
        <w:gridCol w:w="3018"/>
        <w:gridCol w:w="1531"/>
        <w:gridCol w:w="1239"/>
        <w:gridCol w:w="1306"/>
        <w:gridCol w:w="1151"/>
      </w:tblGrid>
      <w:tr w14:paraId="78DE06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20A0F4C5">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污染物</w:t>
            </w:r>
          </w:p>
        </w:tc>
        <w:tc>
          <w:tcPr>
            <w:tcW w:w="3018" w:type="dxa"/>
            <w:tcBorders>
              <w:tl2br w:val="nil"/>
              <w:tr2bl w:val="nil"/>
            </w:tcBorders>
            <w:vAlign w:val="center"/>
          </w:tcPr>
          <w:p w14:paraId="20E467E0">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评价指标</w:t>
            </w:r>
          </w:p>
        </w:tc>
        <w:tc>
          <w:tcPr>
            <w:tcW w:w="1531" w:type="dxa"/>
            <w:tcBorders>
              <w:tl2br w:val="nil"/>
              <w:tr2bl w:val="nil"/>
            </w:tcBorders>
            <w:vAlign w:val="center"/>
          </w:tcPr>
          <w:p w14:paraId="46E7576D">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年均浓度</w:t>
            </w:r>
          </w:p>
        </w:tc>
        <w:tc>
          <w:tcPr>
            <w:tcW w:w="1239" w:type="dxa"/>
            <w:tcBorders>
              <w:tl2br w:val="nil"/>
              <w:tr2bl w:val="nil"/>
            </w:tcBorders>
            <w:vAlign w:val="center"/>
          </w:tcPr>
          <w:p w14:paraId="36AA9AEF">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标准值</w:t>
            </w:r>
          </w:p>
        </w:tc>
        <w:tc>
          <w:tcPr>
            <w:tcW w:w="1306" w:type="dxa"/>
            <w:tcBorders>
              <w:tl2br w:val="nil"/>
              <w:tr2bl w:val="nil"/>
            </w:tcBorders>
            <w:vAlign w:val="center"/>
          </w:tcPr>
          <w:p w14:paraId="5150E57A">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占标率/%</w:t>
            </w:r>
          </w:p>
        </w:tc>
        <w:tc>
          <w:tcPr>
            <w:tcW w:w="1151" w:type="dxa"/>
            <w:tcBorders>
              <w:tl2br w:val="nil"/>
              <w:tr2bl w:val="nil"/>
            </w:tcBorders>
            <w:vAlign w:val="center"/>
          </w:tcPr>
          <w:p w14:paraId="605B10C5">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达标情况</w:t>
            </w:r>
          </w:p>
        </w:tc>
      </w:tr>
      <w:tr w14:paraId="3C5CB1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26AAE7A3">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10</w:t>
            </w:r>
          </w:p>
        </w:tc>
        <w:tc>
          <w:tcPr>
            <w:tcW w:w="3018" w:type="dxa"/>
            <w:tcBorders>
              <w:tl2br w:val="nil"/>
              <w:tr2bl w:val="nil"/>
            </w:tcBorders>
            <w:vAlign w:val="center"/>
          </w:tcPr>
          <w:p w14:paraId="66A0B30E">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55EEFEF6">
            <w:pPr>
              <w:pStyle w:val="57"/>
              <w:spacing w:after="0" w:line="240" w:lineRule="auto"/>
              <w:rPr>
                <w:rFonts w:ascii="Times New Roman" w:hAnsi="Times New Roman" w:eastAsia="宋体" w:cs="Times New Roman"/>
                <w:color w:val="auto"/>
                <w:sz w:val="21"/>
              </w:rPr>
            </w:pPr>
            <w:r>
              <w:rPr>
                <w:rFonts w:hint="eastAsia" w:ascii="Times New Roman" w:hAnsi="Times New Roman" w:cs="Times New Roman"/>
                <w:color w:val="auto"/>
                <w:sz w:val="21"/>
                <w:lang w:val="en-US" w:eastAsia="zh-CN"/>
              </w:rPr>
              <w:t>70</w:t>
            </w:r>
            <w:r>
              <w:rPr>
                <w:rFonts w:ascii="Times New Roman" w:hAnsi="Times New Roman" w:cs="Times New Roman"/>
                <w:color w:val="auto"/>
                <w:sz w:val="21"/>
              </w:rPr>
              <w:t>μg/m³</w:t>
            </w:r>
          </w:p>
        </w:tc>
        <w:tc>
          <w:tcPr>
            <w:tcW w:w="1239" w:type="dxa"/>
            <w:tcBorders>
              <w:tl2br w:val="nil"/>
              <w:tr2bl w:val="nil"/>
            </w:tcBorders>
            <w:vAlign w:val="center"/>
          </w:tcPr>
          <w:p w14:paraId="44C329CE">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70μg/m³</w:t>
            </w:r>
          </w:p>
        </w:tc>
        <w:tc>
          <w:tcPr>
            <w:tcW w:w="1306" w:type="dxa"/>
            <w:tcBorders>
              <w:tl2br w:val="nil"/>
              <w:tr2bl w:val="nil"/>
            </w:tcBorders>
            <w:vAlign w:val="center"/>
          </w:tcPr>
          <w:p w14:paraId="69600E75">
            <w:pPr>
              <w:pStyle w:val="57"/>
              <w:spacing w:after="0" w:line="240" w:lineRule="auto"/>
              <w:rPr>
                <w:rFonts w:hint="default" w:ascii="Times New Roman" w:hAnsi="Times New Roman" w:eastAsia="宋体" w:cs="Times New Roman"/>
                <w:color w:val="auto"/>
                <w:sz w:val="21"/>
                <w:lang w:val="en-US" w:eastAsia="zh-CN"/>
              </w:rPr>
            </w:pPr>
            <w:r>
              <w:rPr>
                <w:rFonts w:hint="eastAsia" w:ascii="Times New Roman" w:hAnsi="Times New Roman" w:eastAsia="宋体" w:cs="Times New Roman"/>
                <w:color w:val="auto"/>
                <w:sz w:val="21"/>
                <w:lang w:val="en-US" w:eastAsia="zh-CN"/>
              </w:rPr>
              <w:t>100</w:t>
            </w:r>
          </w:p>
        </w:tc>
        <w:tc>
          <w:tcPr>
            <w:tcW w:w="1151" w:type="dxa"/>
            <w:tcBorders>
              <w:tl2br w:val="nil"/>
              <w:tr2bl w:val="nil"/>
            </w:tcBorders>
            <w:vAlign w:val="center"/>
          </w:tcPr>
          <w:p w14:paraId="613B81D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21485E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713B61EA">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2.5</w:t>
            </w:r>
          </w:p>
        </w:tc>
        <w:tc>
          <w:tcPr>
            <w:tcW w:w="3018" w:type="dxa"/>
            <w:tcBorders>
              <w:tl2br w:val="nil"/>
              <w:tr2bl w:val="nil"/>
            </w:tcBorders>
            <w:vAlign w:val="center"/>
          </w:tcPr>
          <w:p w14:paraId="57D5686D">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03629608">
            <w:pPr>
              <w:pStyle w:val="57"/>
              <w:spacing w:after="0" w:line="240" w:lineRule="auto"/>
              <w:rPr>
                <w:rFonts w:ascii="Times New Roman" w:hAnsi="Times New Roman" w:eastAsia="宋体" w:cs="Times New Roman"/>
                <w:color w:val="auto"/>
                <w:sz w:val="21"/>
              </w:rPr>
            </w:pPr>
            <w:r>
              <w:rPr>
                <w:rFonts w:hint="eastAsia" w:ascii="Times New Roman" w:hAnsi="Times New Roman" w:cs="Times New Roman"/>
                <w:color w:val="auto"/>
                <w:sz w:val="21"/>
                <w:lang w:val="en-US" w:eastAsia="zh-CN"/>
              </w:rPr>
              <w:t>42u</w:t>
            </w:r>
            <w:r>
              <w:rPr>
                <w:rFonts w:ascii="Times New Roman" w:hAnsi="Times New Roman" w:cs="Times New Roman"/>
                <w:color w:val="auto"/>
                <w:sz w:val="21"/>
              </w:rPr>
              <w:t>g/m³</w:t>
            </w:r>
          </w:p>
        </w:tc>
        <w:tc>
          <w:tcPr>
            <w:tcW w:w="1239" w:type="dxa"/>
            <w:tcBorders>
              <w:tl2br w:val="nil"/>
              <w:tr2bl w:val="nil"/>
            </w:tcBorders>
            <w:vAlign w:val="center"/>
          </w:tcPr>
          <w:p w14:paraId="1E56D38E">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35μg/m³</w:t>
            </w:r>
          </w:p>
        </w:tc>
        <w:tc>
          <w:tcPr>
            <w:tcW w:w="1306" w:type="dxa"/>
            <w:tcBorders>
              <w:tl2br w:val="nil"/>
              <w:tr2bl w:val="nil"/>
            </w:tcBorders>
            <w:vAlign w:val="center"/>
          </w:tcPr>
          <w:p w14:paraId="5D804405">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120</w:t>
            </w:r>
          </w:p>
        </w:tc>
        <w:tc>
          <w:tcPr>
            <w:tcW w:w="1151" w:type="dxa"/>
            <w:tcBorders>
              <w:tl2br w:val="nil"/>
              <w:tr2bl w:val="nil"/>
            </w:tcBorders>
            <w:vAlign w:val="center"/>
          </w:tcPr>
          <w:p w14:paraId="0FCF333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r w14:paraId="33CB36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636B950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SO</w:t>
            </w:r>
            <w:r>
              <w:rPr>
                <w:rFonts w:ascii="Times New Roman" w:hAnsi="Times New Roman" w:cs="Times New Roman"/>
                <w:color w:val="auto"/>
                <w:sz w:val="21"/>
                <w:vertAlign w:val="subscript"/>
              </w:rPr>
              <w:t>2</w:t>
            </w:r>
          </w:p>
        </w:tc>
        <w:tc>
          <w:tcPr>
            <w:tcW w:w="3018" w:type="dxa"/>
            <w:tcBorders>
              <w:tl2br w:val="nil"/>
              <w:tr2bl w:val="nil"/>
            </w:tcBorders>
            <w:vAlign w:val="center"/>
          </w:tcPr>
          <w:p w14:paraId="149B2FB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2EF5C40C">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7</w:t>
            </w:r>
            <w:r>
              <w:rPr>
                <w:rFonts w:ascii="Times New Roman" w:hAnsi="Times New Roman" w:cs="Times New Roman"/>
                <w:color w:val="auto"/>
                <w:sz w:val="21"/>
              </w:rPr>
              <w:t>μg/m³</w:t>
            </w:r>
          </w:p>
        </w:tc>
        <w:tc>
          <w:tcPr>
            <w:tcW w:w="1239" w:type="dxa"/>
            <w:tcBorders>
              <w:tl2br w:val="nil"/>
              <w:tr2bl w:val="nil"/>
            </w:tcBorders>
            <w:vAlign w:val="center"/>
          </w:tcPr>
          <w:p w14:paraId="1B79B8B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60μg/m³</w:t>
            </w:r>
          </w:p>
        </w:tc>
        <w:tc>
          <w:tcPr>
            <w:tcW w:w="1306" w:type="dxa"/>
            <w:tcBorders>
              <w:tl2br w:val="nil"/>
              <w:tr2bl w:val="nil"/>
            </w:tcBorders>
            <w:vAlign w:val="center"/>
          </w:tcPr>
          <w:p w14:paraId="54078F17">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11.7</w:t>
            </w:r>
          </w:p>
        </w:tc>
        <w:tc>
          <w:tcPr>
            <w:tcW w:w="1151" w:type="dxa"/>
            <w:tcBorders>
              <w:tl2br w:val="nil"/>
              <w:tr2bl w:val="nil"/>
            </w:tcBorders>
            <w:vAlign w:val="center"/>
          </w:tcPr>
          <w:p w14:paraId="499F26A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318838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373A20E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NO</w:t>
            </w:r>
            <w:r>
              <w:rPr>
                <w:rFonts w:ascii="Times New Roman" w:hAnsi="Times New Roman" w:cs="Times New Roman"/>
                <w:color w:val="auto"/>
                <w:sz w:val="21"/>
                <w:vertAlign w:val="subscript"/>
              </w:rPr>
              <w:t>2</w:t>
            </w:r>
          </w:p>
        </w:tc>
        <w:tc>
          <w:tcPr>
            <w:tcW w:w="3018" w:type="dxa"/>
            <w:tcBorders>
              <w:tl2br w:val="nil"/>
              <w:tr2bl w:val="nil"/>
            </w:tcBorders>
            <w:vAlign w:val="center"/>
          </w:tcPr>
          <w:p w14:paraId="08553A5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7D1F4DD4">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23</w:t>
            </w:r>
            <w:r>
              <w:rPr>
                <w:rFonts w:ascii="Times New Roman" w:hAnsi="Times New Roman" w:cs="Times New Roman"/>
                <w:color w:val="auto"/>
                <w:sz w:val="21"/>
              </w:rPr>
              <w:t>μg/m³</w:t>
            </w:r>
          </w:p>
        </w:tc>
        <w:tc>
          <w:tcPr>
            <w:tcW w:w="1239" w:type="dxa"/>
            <w:tcBorders>
              <w:tl2br w:val="nil"/>
              <w:tr2bl w:val="nil"/>
            </w:tcBorders>
            <w:vAlign w:val="center"/>
          </w:tcPr>
          <w:p w14:paraId="53AB8A3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40μg/m³</w:t>
            </w:r>
          </w:p>
        </w:tc>
        <w:tc>
          <w:tcPr>
            <w:tcW w:w="1306" w:type="dxa"/>
            <w:tcBorders>
              <w:tl2br w:val="nil"/>
              <w:tr2bl w:val="nil"/>
            </w:tcBorders>
            <w:vAlign w:val="center"/>
          </w:tcPr>
          <w:p w14:paraId="39F945DD">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57.5</w:t>
            </w:r>
          </w:p>
        </w:tc>
        <w:tc>
          <w:tcPr>
            <w:tcW w:w="1151" w:type="dxa"/>
            <w:tcBorders>
              <w:tl2br w:val="nil"/>
              <w:tr2bl w:val="nil"/>
            </w:tcBorders>
            <w:vAlign w:val="center"/>
          </w:tcPr>
          <w:p w14:paraId="4B7E927F">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194522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2B304B8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CO</w:t>
            </w:r>
          </w:p>
        </w:tc>
        <w:tc>
          <w:tcPr>
            <w:tcW w:w="3018" w:type="dxa"/>
            <w:tcBorders>
              <w:tl2br w:val="nil"/>
              <w:tr2bl w:val="nil"/>
            </w:tcBorders>
            <w:vAlign w:val="center"/>
          </w:tcPr>
          <w:p w14:paraId="1066F12D">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日平均第95百分位质量浓度</w:t>
            </w:r>
          </w:p>
        </w:tc>
        <w:tc>
          <w:tcPr>
            <w:tcW w:w="1531" w:type="dxa"/>
            <w:tcBorders>
              <w:tl2br w:val="nil"/>
              <w:tr2bl w:val="nil"/>
            </w:tcBorders>
            <w:vAlign w:val="center"/>
          </w:tcPr>
          <w:p w14:paraId="04AF3E8D">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0.9</w:t>
            </w:r>
            <w:r>
              <w:rPr>
                <w:rFonts w:ascii="Times New Roman" w:hAnsi="Times New Roman" w:cs="Times New Roman"/>
                <w:color w:val="auto"/>
                <w:sz w:val="21"/>
              </w:rPr>
              <w:t>mg/m³</w:t>
            </w:r>
          </w:p>
        </w:tc>
        <w:tc>
          <w:tcPr>
            <w:tcW w:w="1239" w:type="dxa"/>
            <w:tcBorders>
              <w:tl2br w:val="nil"/>
              <w:tr2bl w:val="nil"/>
            </w:tcBorders>
            <w:vAlign w:val="center"/>
          </w:tcPr>
          <w:p w14:paraId="7E2F5A08">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4mg/m³</w:t>
            </w:r>
          </w:p>
        </w:tc>
        <w:tc>
          <w:tcPr>
            <w:tcW w:w="1306" w:type="dxa"/>
            <w:tcBorders>
              <w:tl2br w:val="nil"/>
              <w:tr2bl w:val="nil"/>
            </w:tcBorders>
            <w:vAlign w:val="center"/>
          </w:tcPr>
          <w:p w14:paraId="7A33E585">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22.5</w:t>
            </w:r>
          </w:p>
        </w:tc>
        <w:tc>
          <w:tcPr>
            <w:tcW w:w="1151" w:type="dxa"/>
            <w:tcBorders>
              <w:tl2br w:val="nil"/>
              <w:tr2bl w:val="nil"/>
            </w:tcBorders>
            <w:vAlign w:val="center"/>
          </w:tcPr>
          <w:p w14:paraId="4696C3E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737D90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57EE7EA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O</w:t>
            </w:r>
            <w:r>
              <w:rPr>
                <w:rFonts w:ascii="Times New Roman" w:hAnsi="Times New Roman" w:cs="Times New Roman"/>
                <w:color w:val="auto"/>
                <w:sz w:val="21"/>
                <w:vertAlign w:val="subscript"/>
              </w:rPr>
              <w:t>3</w:t>
            </w:r>
          </w:p>
        </w:tc>
        <w:tc>
          <w:tcPr>
            <w:tcW w:w="3018" w:type="dxa"/>
            <w:tcBorders>
              <w:tl2br w:val="nil"/>
              <w:tr2bl w:val="nil"/>
            </w:tcBorders>
            <w:vAlign w:val="center"/>
          </w:tcPr>
          <w:p w14:paraId="031E957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日8小时最大平均第90百分位质量浓度</w:t>
            </w:r>
          </w:p>
        </w:tc>
        <w:tc>
          <w:tcPr>
            <w:tcW w:w="1531" w:type="dxa"/>
            <w:tcBorders>
              <w:tl2br w:val="nil"/>
              <w:tr2bl w:val="nil"/>
            </w:tcBorders>
            <w:vAlign w:val="center"/>
          </w:tcPr>
          <w:p w14:paraId="46C71B25">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166</w:t>
            </w:r>
            <w:r>
              <w:rPr>
                <w:rFonts w:ascii="Times New Roman" w:hAnsi="Times New Roman" w:cs="Times New Roman"/>
                <w:color w:val="auto"/>
                <w:sz w:val="21"/>
              </w:rPr>
              <w:t>μg/m³</w:t>
            </w:r>
          </w:p>
        </w:tc>
        <w:tc>
          <w:tcPr>
            <w:tcW w:w="1239" w:type="dxa"/>
            <w:tcBorders>
              <w:tl2br w:val="nil"/>
              <w:tr2bl w:val="nil"/>
            </w:tcBorders>
            <w:vAlign w:val="center"/>
          </w:tcPr>
          <w:p w14:paraId="5C40C5BA">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160μg/m³</w:t>
            </w:r>
          </w:p>
        </w:tc>
        <w:tc>
          <w:tcPr>
            <w:tcW w:w="1306" w:type="dxa"/>
            <w:tcBorders>
              <w:tl2br w:val="nil"/>
              <w:tr2bl w:val="nil"/>
            </w:tcBorders>
            <w:vAlign w:val="center"/>
          </w:tcPr>
          <w:p w14:paraId="508DD6DF">
            <w:pPr>
              <w:pStyle w:val="57"/>
              <w:spacing w:after="0" w:line="240" w:lineRule="auto"/>
              <w:rPr>
                <w:rFonts w:hint="default" w:ascii="Times New Roman" w:hAnsi="Times New Roman" w:cs="Times New Roman" w:eastAsiaTheme="minorEastAsia"/>
                <w:color w:val="auto"/>
                <w:sz w:val="21"/>
                <w:lang w:val="en-US" w:eastAsia="zh-CN"/>
              </w:rPr>
            </w:pPr>
            <w:r>
              <w:rPr>
                <w:rFonts w:hint="eastAsia" w:ascii="Times New Roman" w:hAnsi="Times New Roman" w:cs="Times New Roman"/>
                <w:color w:val="auto"/>
                <w:sz w:val="21"/>
                <w:lang w:val="en-US" w:eastAsia="zh-CN"/>
              </w:rPr>
              <w:t>103.8</w:t>
            </w:r>
          </w:p>
        </w:tc>
        <w:tc>
          <w:tcPr>
            <w:tcW w:w="1151" w:type="dxa"/>
            <w:tcBorders>
              <w:tl2br w:val="nil"/>
              <w:tr2bl w:val="nil"/>
            </w:tcBorders>
            <w:vAlign w:val="center"/>
          </w:tcPr>
          <w:p w14:paraId="5746759A">
            <w:pPr>
              <w:pStyle w:val="57"/>
              <w:spacing w:after="0" w:line="240" w:lineRule="auto"/>
              <w:rPr>
                <w:rFonts w:ascii="Times New Roman" w:hAnsi="Times New Roman" w:cs="Times New Roman"/>
                <w:color w:val="auto"/>
                <w:sz w:val="21"/>
              </w:rPr>
            </w:pPr>
            <w:r>
              <w:rPr>
                <w:rFonts w:hint="eastAsia" w:ascii="Times New Roman" w:hAnsi="Times New Roman" w:cs="Times New Roman"/>
                <w:color w:val="auto"/>
                <w:sz w:val="21"/>
                <w:lang w:val="en-US" w:eastAsia="zh-CN"/>
              </w:rPr>
              <w:t>不</w:t>
            </w:r>
            <w:r>
              <w:rPr>
                <w:rFonts w:ascii="Times New Roman" w:hAnsi="Times New Roman" w:cs="Times New Roman"/>
                <w:color w:val="auto"/>
                <w:sz w:val="21"/>
              </w:rPr>
              <w:t>达标</w:t>
            </w:r>
          </w:p>
        </w:tc>
      </w:tr>
    </w:tbl>
    <w:p w14:paraId="64D79C8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24"/>
        </w:rPr>
      </w:pPr>
      <w:r>
        <w:rPr>
          <w:rFonts w:hint="eastAsia"/>
          <w:color w:val="auto"/>
          <w:sz w:val="24"/>
          <w:szCs w:val="24"/>
          <w:lang w:eastAsia="zh-CN"/>
        </w:rPr>
        <w:t>（</w:t>
      </w:r>
      <w:r>
        <w:rPr>
          <w:rFonts w:hint="eastAsia"/>
          <w:color w:val="auto"/>
          <w:sz w:val="24"/>
          <w:szCs w:val="24"/>
          <w:lang w:val="en-US" w:eastAsia="zh-CN"/>
        </w:rPr>
        <w:t>5</w:t>
      </w:r>
      <w:r>
        <w:rPr>
          <w:rFonts w:hint="eastAsia"/>
          <w:color w:val="auto"/>
          <w:sz w:val="24"/>
          <w:szCs w:val="24"/>
          <w:lang w:eastAsia="zh-CN"/>
        </w:rPr>
        <w:t>）</w:t>
      </w:r>
      <w:r>
        <w:rPr>
          <w:rFonts w:hint="default" w:ascii="Times New Roman" w:hAnsi="Times New Roman" w:cs="Times New Roman"/>
          <w:color w:val="auto"/>
          <w:sz w:val="24"/>
          <w:szCs w:val="24"/>
        </w:rPr>
        <w:t>20</w:t>
      </w:r>
      <w:r>
        <w:rPr>
          <w:rFonts w:hint="eastAsia" w:ascii="Times New Roman" w:hAnsi="Times New Roman" w:cs="Times New Roman"/>
          <w:color w:val="auto"/>
          <w:sz w:val="24"/>
          <w:szCs w:val="24"/>
          <w:lang w:val="en-US" w:eastAsia="zh-CN"/>
        </w:rPr>
        <w:t>2</w:t>
      </w:r>
      <w:r>
        <w:rPr>
          <w:rFonts w:hint="eastAsia" w:cs="Times New Roman"/>
          <w:color w:val="auto"/>
          <w:sz w:val="24"/>
          <w:szCs w:val="24"/>
          <w:lang w:val="en-US" w:eastAsia="zh-CN"/>
        </w:rPr>
        <w:t>4</w:t>
      </w:r>
      <w:r>
        <w:rPr>
          <w:rFonts w:hint="default" w:ascii="Times New Roman" w:hAnsi="Times New Roman" w:cs="Times New Roman"/>
          <w:color w:val="auto"/>
          <w:sz w:val="24"/>
          <w:szCs w:val="24"/>
        </w:rPr>
        <w:t>年环境空气质量监测</w:t>
      </w:r>
    </w:p>
    <w:p w14:paraId="623BBCE1">
      <w:pPr>
        <w:spacing w:line="360" w:lineRule="auto"/>
        <w:ind w:firstLine="480" w:firstLineChars="200"/>
        <w:rPr>
          <w:color w:val="auto"/>
          <w:sz w:val="24"/>
          <w:szCs w:val="32"/>
        </w:rPr>
      </w:pPr>
      <w:r>
        <w:rPr>
          <w:color w:val="auto"/>
          <w:sz w:val="24"/>
          <w:szCs w:val="32"/>
        </w:rPr>
        <w:t>淮北市生态环境局发布的《2024年度淮北市生态环境状况公报》中的数据，对区域达标情况进行判定，具体结果见下表：</w:t>
      </w:r>
    </w:p>
    <w:p w14:paraId="562E3456">
      <w:pPr>
        <w:jc w:val="center"/>
        <w:rPr>
          <w:b/>
          <w:bCs/>
          <w:color w:val="auto"/>
          <w:sz w:val="24"/>
          <w:szCs w:val="32"/>
        </w:rPr>
      </w:pPr>
      <w:r>
        <w:rPr>
          <w:b/>
          <w:bCs/>
          <w:color w:val="auto"/>
          <w:sz w:val="24"/>
          <w:szCs w:val="32"/>
        </w:rPr>
        <w:t>表4-</w:t>
      </w:r>
      <w:r>
        <w:rPr>
          <w:rFonts w:hint="eastAsia"/>
          <w:b/>
          <w:bCs/>
          <w:color w:val="auto"/>
          <w:sz w:val="24"/>
          <w:szCs w:val="32"/>
          <w:lang w:val="en-US" w:eastAsia="zh-CN"/>
        </w:rPr>
        <w:t>16</w:t>
      </w:r>
      <w:r>
        <w:rPr>
          <w:b/>
          <w:bCs/>
          <w:color w:val="auto"/>
          <w:sz w:val="24"/>
          <w:szCs w:val="32"/>
        </w:rPr>
        <w:t xml:space="preserve"> 区域空气质量现状评价表</w:t>
      </w:r>
      <w:r>
        <w:rPr>
          <w:rFonts w:hint="eastAsia"/>
          <w:b/>
          <w:bCs/>
          <w:color w:val="auto"/>
          <w:sz w:val="24"/>
          <w:szCs w:val="32"/>
          <w:lang w:eastAsia="zh-CN"/>
        </w:rPr>
        <w:t>（</w:t>
      </w:r>
      <w:r>
        <w:rPr>
          <w:rFonts w:hint="eastAsia"/>
          <w:b/>
          <w:bCs/>
          <w:color w:val="auto"/>
          <w:sz w:val="24"/>
          <w:szCs w:val="32"/>
          <w:lang w:val="en-US" w:eastAsia="zh-CN"/>
        </w:rPr>
        <w:t>2024年</w:t>
      </w:r>
      <w:r>
        <w:rPr>
          <w:rFonts w:hint="eastAsia"/>
          <w:b/>
          <w:bCs/>
          <w:color w:val="auto"/>
          <w:sz w:val="24"/>
          <w:szCs w:val="32"/>
          <w:lang w:eastAsia="zh-CN"/>
        </w:rPr>
        <w:t>）</w:t>
      </w:r>
    </w:p>
    <w:tbl>
      <w:tblPr>
        <w:tblStyle w:val="31"/>
        <w:tblW w:w="935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9"/>
        <w:gridCol w:w="3018"/>
        <w:gridCol w:w="1531"/>
        <w:gridCol w:w="1239"/>
        <w:gridCol w:w="1306"/>
        <w:gridCol w:w="1151"/>
      </w:tblGrid>
      <w:tr w14:paraId="7F0506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A16D05B">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污染物</w:t>
            </w:r>
          </w:p>
        </w:tc>
        <w:tc>
          <w:tcPr>
            <w:tcW w:w="3018" w:type="dxa"/>
            <w:tcBorders>
              <w:tl2br w:val="nil"/>
              <w:tr2bl w:val="nil"/>
            </w:tcBorders>
            <w:vAlign w:val="center"/>
          </w:tcPr>
          <w:p w14:paraId="7D7D5A53">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评价指标</w:t>
            </w:r>
          </w:p>
        </w:tc>
        <w:tc>
          <w:tcPr>
            <w:tcW w:w="1531" w:type="dxa"/>
            <w:tcBorders>
              <w:tl2br w:val="nil"/>
              <w:tr2bl w:val="nil"/>
            </w:tcBorders>
            <w:vAlign w:val="center"/>
          </w:tcPr>
          <w:p w14:paraId="08E7927A">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年均浓度</w:t>
            </w:r>
          </w:p>
        </w:tc>
        <w:tc>
          <w:tcPr>
            <w:tcW w:w="1239" w:type="dxa"/>
            <w:tcBorders>
              <w:tl2br w:val="nil"/>
              <w:tr2bl w:val="nil"/>
            </w:tcBorders>
            <w:vAlign w:val="center"/>
          </w:tcPr>
          <w:p w14:paraId="74A51271">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标准值</w:t>
            </w:r>
          </w:p>
        </w:tc>
        <w:tc>
          <w:tcPr>
            <w:tcW w:w="1306" w:type="dxa"/>
            <w:tcBorders>
              <w:tl2br w:val="nil"/>
              <w:tr2bl w:val="nil"/>
            </w:tcBorders>
            <w:vAlign w:val="center"/>
          </w:tcPr>
          <w:p w14:paraId="24E9BFE0">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占标率/%</w:t>
            </w:r>
          </w:p>
        </w:tc>
        <w:tc>
          <w:tcPr>
            <w:tcW w:w="1151" w:type="dxa"/>
            <w:tcBorders>
              <w:tl2br w:val="nil"/>
              <w:tr2bl w:val="nil"/>
            </w:tcBorders>
            <w:vAlign w:val="center"/>
          </w:tcPr>
          <w:p w14:paraId="03BDA0F5">
            <w:pPr>
              <w:pStyle w:val="57"/>
              <w:spacing w:after="0" w:line="240" w:lineRule="auto"/>
              <w:rPr>
                <w:rFonts w:ascii="Times New Roman" w:hAnsi="Times New Roman" w:cs="Times New Roman"/>
                <w:b/>
                <w:bCs/>
                <w:color w:val="auto"/>
                <w:sz w:val="21"/>
              </w:rPr>
            </w:pPr>
            <w:r>
              <w:rPr>
                <w:rFonts w:ascii="Times New Roman" w:hAnsi="Times New Roman" w:cs="Times New Roman"/>
                <w:b/>
                <w:bCs/>
                <w:color w:val="auto"/>
                <w:sz w:val="21"/>
              </w:rPr>
              <w:t>达标情况</w:t>
            </w:r>
          </w:p>
        </w:tc>
      </w:tr>
      <w:tr w14:paraId="712BAA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1D43CECF">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10</w:t>
            </w:r>
          </w:p>
        </w:tc>
        <w:tc>
          <w:tcPr>
            <w:tcW w:w="3018" w:type="dxa"/>
            <w:tcBorders>
              <w:tl2br w:val="nil"/>
              <w:tr2bl w:val="nil"/>
            </w:tcBorders>
            <w:vAlign w:val="center"/>
          </w:tcPr>
          <w:p w14:paraId="0EFDC427">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796B416C">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70μg/m³</w:t>
            </w:r>
          </w:p>
        </w:tc>
        <w:tc>
          <w:tcPr>
            <w:tcW w:w="1239" w:type="dxa"/>
            <w:tcBorders>
              <w:tl2br w:val="nil"/>
              <w:tr2bl w:val="nil"/>
            </w:tcBorders>
            <w:vAlign w:val="center"/>
          </w:tcPr>
          <w:p w14:paraId="2CD733BC">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70μg/m³</w:t>
            </w:r>
          </w:p>
        </w:tc>
        <w:tc>
          <w:tcPr>
            <w:tcW w:w="1306" w:type="dxa"/>
            <w:tcBorders>
              <w:tl2br w:val="nil"/>
              <w:tr2bl w:val="nil"/>
            </w:tcBorders>
            <w:vAlign w:val="center"/>
          </w:tcPr>
          <w:p w14:paraId="50EE05C4">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100</w:t>
            </w:r>
          </w:p>
        </w:tc>
        <w:tc>
          <w:tcPr>
            <w:tcW w:w="1151" w:type="dxa"/>
            <w:tcBorders>
              <w:tl2br w:val="nil"/>
              <w:tr2bl w:val="nil"/>
            </w:tcBorders>
            <w:vAlign w:val="center"/>
          </w:tcPr>
          <w:p w14:paraId="20137542">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721E81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56C2E63B">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PM</w:t>
            </w:r>
            <w:r>
              <w:rPr>
                <w:rFonts w:ascii="Times New Roman" w:hAnsi="Times New Roman" w:cs="Times New Roman"/>
                <w:color w:val="auto"/>
                <w:sz w:val="21"/>
                <w:vertAlign w:val="subscript"/>
              </w:rPr>
              <w:t>2.5</w:t>
            </w:r>
          </w:p>
        </w:tc>
        <w:tc>
          <w:tcPr>
            <w:tcW w:w="3018" w:type="dxa"/>
            <w:tcBorders>
              <w:tl2br w:val="nil"/>
              <w:tr2bl w:val="nil"/>
            </w:tcBorders>
            <w:vAlign w:val="center"/>
          </w:tcPr>
          <w:p w14:paraId="096C1371">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5472E183">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43μg/m³</w:t>
            </w:r>
          </w:p>
        </w:tc>
        <w:tc>
          <w:tcPr>
            <w:tcW w:w="1239" w:type="dxa"/>
            <w:tcBorders>
              <w:tl2br w:val="nil"/>
              <w:tr2bl w:val="nil"/>
            </w:tcBorders>
            <w:vAlign w:val="center"/>
          </w:tcPr>
          <w:p w14:paraId="318BDE56">
            <w:pPr>
              <w:pStyle w:val="57"/>
              <w:spacing w:after="0" w:line="240" w:lineRule="auto"/>
              <w:rPr>
                <w:rFonts w:ascii="Times New Roman" w:hAnsi="Times New Roman" w:eastAsia="宋体" w:cs="Times New Roman"/>
                <w:color w:val="auto"/>
                <w:sz w:val="21"/>
              </w:rPr>
            </w:pPr>
            <w:r>
              <w:rPr>
                <w:rFonts w:ascii="Times New Roman" w:hAnsi="Times New Roman" w:cs="Times New Roman"/>
                <w:color w:val="auto"/>
                <w:sz w:val="21"/>
              </w:rPr>
              <w:t>35μg/m³</w:t>
            </w:r>
          </w:p>
        </w:tc>
        <w:tc>
          <w:tcPr>
            <w:tcW w:w="1306" w:type="dxa"/>
            <w:tcBorders>
              <w:tl2br w:val="nil"/>
              <w:tr2bl w:val="nil"/>
            </w:tcBorders>
            <w:vAlign w:val="center"/>
          </w:tcPr>
          <w:p w14:paraId="2C2C0D8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122.9</w:t>
            </w:r>
          </w:p>
        </w:tc>
        <w:tc>
          <w:tcPr>
            <w:tcW w:w="1151" w:type="dxa"/>
            <w:tcBorders>
              <w:tl2br w:val="nil"/>
              <w:tr2bl w:val="nil"/>
            </w:tcBorders>
            <w:vAlign w:val="center"/>
          </w:tcPr>
          <w:p w14:paraId="3848898C">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r w14:paraId="60C8CA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916829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SO</w:t>
            </w:r>
            <w:r>
              <w:rPr>
                <w:rFonts w:ascii="Times New Roman" w:hAnsi="Times New Roman" w:cs="Times New Roman"/>
                <w:color w:val="auto"/>
                <w:sz w:val="21"/>
                <w:vertAlign w:val="subscript"/>
              </w:rPr>
              <w:t>2</w:t>
            </w:r>
          </w:p>
        </w:tc>
        <w:tc>
          <w:tcPr>
            <w:tcW w:w="3018" w:type="dxa"/>
            <w:tcBorders>
              <w:tl2br w:val="nil"/>
              <w:tr2bl w:val="nil"/>
            </w:tcBorders>
            <w:vAlign w:val="center"/>
          </w:tcPr>
          <w:p w14:paraId="674A083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53514C5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6μg/m³</w:t>
            </w:r>
          </w:p>
        </w:tc>
        <w:tc>
          <w:tcPr>
            <w:tcW w:w="1239" w:type="dxa"/>
            <w:tcBorders>
              <w:tl2br w:val="nil"/>
              <w:tr2bl w:val="nil"/>
            </w:tcBorders>
            <w:vAlign w:val="center"/>
          </w:tcPr>
          <w:p w14:paraId="15E6972E">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60μg/m³</w:t>
            </w:r>
          </w:p>
        </w:tc>
        <w:tc>
          <w:tcPr>
            <w:tcW w:w="1306" w:type="dxa"/>
            <w:tcBorders>
              <w:tl2br w:val="nil"/>
              <w:tr2bl w:val="nil"/>
            </w:tcBorders>
            <w:vAlign w:val="center"/>
          </w:tcPr>
          <w:p w14:paraId="1F35C97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10</w:t>
            </w:r>
          </w:p>
        </w:tc>
        <w:tc>
          <w:tcPr>
            <w:tcW w:w="1151" w:type="dxa"/>
            <w:tcBorders>
              <w:tl2br w:val="nil"/>
              <w:tr2bl w:val="nil"/>
            </w:tcBorders>
            <w:vAlign w:val="center"/>
          </w:tcPr>
          <w:p w14:paraId="22761827">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61F537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4761589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NO</w:t>
            </w:r>
            <w:r>
              <w:rPr>
                <w:rFonts w:ascii="Times New Roman" w:hAnsi="Times New Roman" w:cs="Times New Roman"/>
                <w:color w:val="auto"/>
                <w:sz w:val="21"/>
                <w:vertAlign w:val="subscript"/>
              </w:rPr>
              <w:t>2</w:t>
            </w:r>
          </w:p>
        </w:tc>
        <w:tc>
          <w:tcPr>
            <w:tcW w:w="3018" w:type="dxa"/>
            <w:tcBorders>
              <w:tl2br w:val="nil"/>
              <w:tr2bl w:val="nil"/>
            </w:tcBorders>
            <w:vAlign w:val="center"/>
          </w:tcPr>
          <w:p w14:paraId="5BE289E7">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年平均质量浓度</w:t>
            </w:r>
          </w:p>
        </w:tc>
        <w:tc>
          <w:tcPr>
            <w:tcW w:w="1531" w:type="dxa"/>
            <w:tcBorders>
              <w:tl2br w:val="nil"/>
              <w:tr2bl w:val="nil"/>
            </w:tcBorders>
            <w:vAlign w:val="center"/>
          </w:tcPr>
          <w:p w14:paraId="0E9AB41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19μg/m³</w:t>
            </w:r>
          </w:p>
        </w:tc>
        <w:tc>
          <w:tcPr>
            <w:tcW w:w="1239" w:type="dxa"/>
            <w:tcBorders>
              <w:tl2br w:val="nil"/>
              <w:tr2bl w:val="nil"/>
            </w:tcBorders>
            <w:vAlign w:val="center"/>
          </w:tcPr>
          <w:p w14:paraId="162CD4E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40μg/m³</w:t>
            </w:r>
          </w:p>
        </w:tc>
        <w:tc>
          <w:tcPr>
            <w:tcW w:w="1306" w:type="dxa"/>
            <w:tcBorders>
              <w:tl2br w:val="nil"/>
              <w:tr2bl w:val="nil"/>
            </w:tcBorders>
            <w:vAlign w:val="center"/>
          </w:tcPr>
          <w:p w14:paraId="05B1402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47.5</w:t>
            </w:r>
          </w:p>
        </w:tc>
        <w:tc>
          <w:tcPr>
            <w:tcW w:w="1151" w:type="dxa"/>
            <w:tcBorders>
              <w:tl2br w:val="nil"/>
              <w:tr2bl w:val="nil"/>
            </w:tcBorders>
            <w:vAlign w:val="center"/>
          </w:tcPr>
          <w:p w14:paraId="6E5FF72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70F3C2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16283A0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CO</w:t>
            </w:r>
          </w:p>
        </w:tc>
        <w:tc>
          <w:tcPr>
            <w:tcW w:w="3018" w:type="dxa"/>
            <w:tcBorders>
              <w:tl2br w:val="nil"/>
              <w:tr2bl w:val="nil"/>
            </w:tcBorders>
            <w:vAlign w:val="center"/>
          </w:tcPr>
          <w:p w14:paraId="3E452808">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日平均第95百分位质量浓度</w:t>
            </w:r>
          </w:p>
        </w:tc>
        <w:tc>
          <w:tcPr>
            <w:tcW w:w="1531" w:type="dxa"/>
            <w:tcBorders>
              <w:tl2br w:val="nil"/>
              <w:tr2bl w:val="nil"/>
            </w:tcBorders>
            <w:vAlign w:val="center"/>
          </w:tcPr>
          <w:p w14:paraId="4150C4D5">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1.0mg/m³</w:t>
            </w:r>
          </w:p>
        </w:tc>
        <w:tc>
          <w:tcPr>
            <w:tcW w:w="1239" w:type="dxa"/>
            <w:tcBorders>
              <w:tl2br w:val="nil"/>
              <w:tr2bl w:val="nil"/>
            </w:tcBorders>
            <w:vAlign w:val="center"/>
          </w:tcPr>
          <w:p w14:paraId="61C25FD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4mg/m³</w:t>
            </w:r>
          </w:p>
        </w:tc>
        <w:tc>
          <w:tcPr>
            <w:tcW w:w="1306" w:type="dxa"/>
            <w:tcBorders>
              <w:tl2br w:val="nil"/>
              <w:tr2bl w:val="nil"/>
            </w:tcBorders>
            <w:vAlign w:val="center"/>
          </w:tcPr>
          <w:p w14:paraId="1C235EB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25</w:t>
            </w:r>
          </w:p>
        </w:tc>
        <w:tc>
          <w:tcPr>
            <w:tcW w:w="1151" w:type="dxa"/>
            <w:tcBorders>
              <w:tl2br w:val="nil"/>
              <w:tr2bl w:val="nil"/>
            </w:tcBorders>
            <w:vAlign w:val="center"/>
          </w:tcPr>
          <w:p w14:paraId="731748C2">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达标</w:t>
            </w:r>
          </w:p>
        </w:tc>
      </w:tr>
      <w:tr w14:paraId="660B18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9" w:type="dxa"/>
            <w:tcBorders>
              <w:tl2br w:val="nil"/>
              <w:tr2bl w:val="nil"/>
            </w:tcBorders>
            <w:vAlign w:val="center"/>
          </w:tcPr>
          <w:p w14:paraId="2F7894C0">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O</w:t>
            </w:r>
            <w:r>
              <w:rPr>
                <w:rFonts w:ascii="Times New Roman" w:hAnsi="Times New Roman" w:cs="Times New Roman"/>
                <w:color w:val="auto"/>
                <w:sz w:val="21"/>
                <w:vertAlign w:val="subscript"/>
              </w:rPr>
              <w:t>3</w:t>
            </w:r>
          </w:p>
        </w:tc>
        <w:tc>
          <w:tcPr>
            <w:tcW w:w="3018" w:type="dxa"/>
            <w:tcBorders>
              <w:tl2br w:val="nil"/>
              <w:tr2bl w:val="nil"/>
            </w:tcBorders>
            <w:vAlign w:val="center"/>
          </w:tcPr>
          <w:p w14:paraId="6524711B">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日8小时最大平均第90百分位质量浓度</w:t>
            </w:r>
          </w:p>
        </w:tc>
        <w:tc>
          <w:tcPr>
            <w:tcW w:w="1531" w:type="dxa"/>
            <w:tcBorders>
              <w:tl2br w:val="nil"/>
              <w:tr2bl w:val="nil"/>
            </w:tcBorders>
            <w:vAlign w:val="center"/>
          </w:tcPr>
          <w:p w14:paraId="0EFB628A">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175μg/m³</w:t>
            </w:r>
          </w:p>
        </w:tc>
        <w:tc>
          <w:tcPr>
            <w:tcW w:w="1239" w:type="dxa"/>
            <w:tcBorders>
              <w:tl2br w:val="nil"/>
              <w:tr2bl w:val="nil"/>
            </w:tcBorders>
            <w:vAlign w:val="center"/>
          </w:tcPr>
          <w:p w14:paraId="46FD9314">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160μg/m³</w:t>
            </w:r>
          </w:p>
        </w:tc>
        <w:tc>
          <w:tcPr>
            <w:tcW w:w="1306" w:type="dxa"/>
            <w:tcBorders>
              <w:tl2br w:val="nil"/>
              <w:tr2bl w:val="nil"/>
            </w:tcBorders>
            <w:vAlign w:val="center"/>
          </w:tcPr>
          <w:p w14:paraId="790EED71">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109.4</w:t>
            </w:r>
          </w:p>
        </w:tc>
        <w:tc>
          <w:tcPr>
            <w:tcW w:w="1151" w:type="dxa"/>
            <w:tcBorders>
              <w:tl2br w:val="nil"/>
              <w:tr2bl w:val="nil"/>
            </w:tcBorders>
            <w:vAlign w:val="center"/>
          </w:tcPr>
          <w:p w14:paraId="51312ADD">
            <w:pPr>
              <w:pStyle w:val="57"/>
              <w:spacing w:after="0" w:line="240" w:lineRule="auto"/>
              <w:rPr>
                <w:rFonts w:ascii="Times New Roman" w:hAnsi="Times New Roman" w:cs="Times New Roman"/>
                <w:color w:val="auto"/>
                <w:sz w:val="21"/>
              </w:rPr>
            </w:pPr>
            <w:r>
              <w:rPr>
                <w:rFonts w:ascii="Times New Roman" w:hAnsi="Times New Roman" w:cs="Times New Roman"/>
                <w:color w:val="auto"/>
                <w:sz w:val="21"/>
              </w:rPr>
              <w:t>不达标</w:t>
            </w:r>
          </w:p>
        </w:tc>
      </w:tr>
    </w:tbl>
    <w:p w14:paraId="7639311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cs="Times New Roman"/>
          <w:color w:val="auto"/>
          <w:sz w:val="24"/>
          <w:szCs w:val="24"/>
          <w:vertAlign w:val="baseline"/>
          <w:lang w:val="en-US" w:eastAsia="zh-CN"/>
        </w:rPr>
      </w:pPr>
      <w:r>
        <w:rPr>
          <w:rFonts w:hint="eastAsia" w:cs="Times New Roman"/>
          <w:b/>
          <w:bCs/>
          <w:color w:val="auto"/>
          <w:sz w:val="24"/>
          <w:szCs w:val="24"/>
          <w:lang w:val="en-US" w:eastAsia="zh-CN"/>
        </w:rPr>
        <w:t>变化趋势分析：</w:t>
      </w:r>
      <w:r>
        <w:rPr>
          <w:rFonts w:hint="eastAsia" w:cs="Times New Roman"/>
          <w:color w:val="auto"/>
          <w:sz w:val="24"/>
          <w:szCs w:val="24"/>
          <w:lang w:val="en-US" w:eastAsia="zh-CN"/>
        </w:rPr>
        <w:t>各项污染物监测数据中，</w:t>
      </w:r>
      <w:r>
        <w:rPr>
          <w:rFonts w:hint="eastAsia" w:cs="Times New Roman"/>
          <w:color w:val="auto"/>
          <w:sz w:val="24"/>
          <w:szCs w:val="24"/>
          <w:vertAlign w:val="baseline"/>
          <w:lang w:val="en-US" w:eastAsia="zh-CN"/>
        </w:rPr>
        <w:t>臭氧浓度和PM</w:t>
      </w:r>
      <w:r>
        <w:rPr>
          <w:rFonts w:hint="eastAsia" w:cs="Times New Roman"/>
          <w:color w:val="auto"/>
          <w:sz w:val="24"/>
          <w:szCs w:val="24"/>
          <w:vertAlign w:val="subscript"/>
          <w:lang w:val="en-US" w:eastAsia="zh-CN"/>
        </w:rPr>
        <w:t>2.5</w:t>
      </w:r>
      <w:r>
        <w:rPr>
          <w:rFonts w:hint="eastAsia" w:cs="Times New Roman"/>
          <w:color w:val="auto"/>
          <w:sz w:val="24"/>
          <w:szCs w:val="24"/>
          <w:vertAlign w:val="baseline"/>
          <w:lang w:val="en-US" w:eastAsia="zh-CN"/>
        </w:rPr>
        <w:t>略有上升，其它年度的监测数据均是逐年下降。本次评价区域虽为环境空气质量不达标区，但区域大气环境质量总体呈现稳步上升的趋势。</w:t>
      </w:r>
    </w:p>
    <w:p w14:paraId="388AD3A3">
      <w:pPr>
        <w:pStyle w:val="41"/>
        <w:rPr>
          <w:color w:val="auto"/>
        </w:rPr>
      </w:pPr>
      <w:r>
        <w:rPr>
          <w:color w:val="auto"/>
          <w:sz w:val="24"/>
        </w:rPr>
        <mc:AlternateContent>
          <mc:Choice Requires="wps">
            <w:drawing>
              <wp:anchor distT="0" distB="0" distL="114300" distR="114300" simplePos="0" relativeHeight="251667456" behindDoc="0" locked="0" layoutInCell="1" allowOverlap="1">
                <wp:simplePos x="0" y="0"/>
                <wp:positionH relativeFrom="column">
                  <wp:posOffset>5476875</wp:posOffset>
                </wp:positionH>
                <wp:positionV relativeFrom="paragraph">
                  <wp:posOffset>3162935</wp:posOffset>
                </wp:positionV>
                <wp:extent cx="715010" cy="304800"/>
                <wp:effectExtent l="0" t="0" r="8890" b="0"/>
                <wp:wrapNone/>
                <wp:docPr id="14" name="文本框 14"/>
                <wp:cNvGraphicFramePr/>
                <a:graphic xmlns:a="http://schemas.openxmlformats.org/drawingml/2006/main">
                  <a:graphicData uri="http://schemas.microsoft.com/office/word/2010/wordprocessingShape">
                    <wps:wsp>
                      <wps:cNvSpPr txBox="1"/>
                      <wps:spPr>
                        <a:xfrm>
                          <a:off x="0" y="0"/>
                          <a:ext cx="715010"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1A6747">
                            <w:pPr>
                              <w:rPr>
                                <w:rFonts w:hint="default" w:eastAsia="宋体"/>
                                <w:vertAlign w:val="subscript"/>
                                <w:lang w:val="en-US" w:eastAsia="zh-CN"/>
                              </w:rPr>
                            </w:pPr>
                            <w:r>
                              <w:rPr>
                                <w:rFonts w:hint="eastAsia"/>
                                <w:lang w:val="en-US" w:eastAsia="zh-CN"/>
                              </w:rPr>
                              <w:t>CO</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31.25pt;margin-top:249.05pt;height:24pt;width:56.3pt;z-index:251667456;mso-width-relative:page;mso-height-relative:page;" filled="f" stroked="f" coordsize="21600,21600" o:gfxdata="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Hcu8T9wAAAALAQAADwAAAAAAAAABACAAAAAiAAAA&#10;ZHJzL2Rvd25yZXYueG1sUEsBAhQAFAAAAAgAh07iQKqJ4cs8AgAAZwQAAA4AAAAAAAAAAQAgAAAA&#10;KwEAAGRycy9lMm9Eb2MueG1sUEsFBgAAAAAGAAYAWQEAANkFAAAAAA==&#10;">
                <v:fill on="f" focussize="0,0"/>
                <v:stroke on="f" weight="0.5pt"/>
                <v:imagedata o:title=""/>
                <o:lock v:ext="edit" aspectratio="f"/>
                <v:textbox>
                  <w:txbxContent>
                    <w:p w14:paraId="431A6747">
                      <w:pPr>
                        <w:rPr>
                          <w:rFonts w:hint="default" w:eastAsia="宋体"/>
                          <w:vertAlign w:val="subscript"/>
                          <w:lang w:val="en-US" w:eastAsia="zh-CN"/>
                        </w:rPr>
                      </w:pPr>
                      <w:r>
                        <w:rPr>
                          <w:rFonts w:hint="eastAsia"/>
                          <w:lang w:val="en-US" w:eastAsia="zh-CN"/>
                        </w:rPr>
                        <w:t>CO</w:t>
                      </w:r>
                    </w:p>
                  </w:txbxContent>
                </v:textbox>
              </v:shape>
            </w:pict>
          </mc:Fallback>
        </mc:AlternateContent>
      </w:r>
      <w:r>
        <w:rPr>
          <w:color w:val="auto"/>
          <w:sz w:val="24"/>
        </w:rPr>
        <mc:AlternateContent>
          <mc:Choice Requires="wps">
            <w:drawing>
              <wp:anchor distT="0" distB="0" distL="114300" distR="114300" simplePos="0" relativeHeight="251668480" behindDoc="0" locked="0" layoutInCell="1" allowOverlap="1">
                <wp:simplePos x="0" y="0"/>
                <wp:positionH relativeFrom="column">
                  <wp:posOffset>5410200</wp:posOffset>
                </wp:positionH>
                <wp:positionV relativeFrom="paragraph">
                  <wp:posOffset>2943860</wp:posOffset>
                </wp:positionV>
                <wp:extent cx="715010" cy="304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715010"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789543">
                            <w:pPr>
                              <w:rPr>
                                <w:rFonts w:hint="default" w:eastAsia="宋体"/>
                                <w:vertAlign w:val="subscript"/>
                                <w:lang w:val="en-US" w:eastAsia="zh-CN"/>
                              </w:rPr>
                            </w:pPr>
                            <w:r>
                              <w:rPr>
                                <w:rFonts w:hint="eastAsia"/>
                                <w:lang w:val="en-US" w:eastAsia="zh-CN"/>
                              </w:rPr>
                              <w:t>SO</w:t>
                            </w:r>
                            <w:r>
                              <w:rPr>
                                <w:rFonts w:hint="eastAsia"/>
                                <w:vertAlign w:val="subscript"/>
                                <w:lang w:val="en-US" w:eastAsia="zh-CN"/>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6pt;margin-top:231.8pt;height:24pt;width:56.3pt;z-index:251668480;mso-width-relative:page;mso-height-relative:page;" filled="f" stroked="f" coordsize="21600,21600" o:gfxdata="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6eacrcAAAACwEAAA8AAAAAAAAAAQAgAAAAIgAA&#10;AGRycy9kb3ducmV2LnhtbFBLAQIUABQAAAAIAIdO4kBx9hD7PQIAAGcEAAAOAAAAAAAAAAEAIAAA&#10;ACsBAABkcnMvZTJvRG9jLnhtbFBLBQYAAAAABgAGAFkBAADaBQAAAAA=&#10;">
                <v:fill on="f" focussize="0,0"/>
                <v:stroke on="f" weight="0.5pt"/>
                <v:imagedata o:title=""/>
                <o:lock v:ext="edit" aspectratio="f"/>
                <v:textbox>
                  <w:txbxContent>
                    <w:p w14:paraId="09789543">
                      <w:pPr>
                        <w:rPr>
                          <w:rFonts w:hint="default" w:eastAsia="宋体"/>
                          <w:vertAlign w:val="subscript"/>
                          <w:lang w:val="en-US" w:eastAsia="zh-CN"/>
                        </w:rPr>
                      </w:pPr>
                      <w:r>
                        <w:rPr>
                          <w:rFonts w:hint="eastAsia"/>
                          <w:lang w:val="en-US" w:eastAsia="zh-CN"/>
                        </w:rPr>
                        <w:t>SO</w:t>
                      </w:r>
                      <w:r>
                        <w:rPr>
                          <w:rFonts w:hint="eastAsia"/>
                          <w:vertAlign w:val="subscript"/>
                          <w:lang w:val="en-US" w:eastAsia="zh-CN"/>
                        </w:rPr>
                        <w:t>2</w:t>
                      </w:r>
                    </w:p>
                  </w:txbxContent>
                </v:textbox>
              </v:shape>
            </w:pict>
          </mc:Fallback>
        </mc:AlternateContent>
      </w:r>
      <w:r>
        <w:rPr>
          <w:color w:val="auto"/>
          <w:sz w:val="24"/>
        </w:rPr>
        <mc:AlternateContent>
          <mc:Choice Requires="wps">
            <w:drawing>
              <wp:anchor distT="0" distB="0" distL="114300" distR="114300" simplePos="0" relativeHeight="251670528" behindDoc="0" locked="0" layoutInCell="1" allowOverlap="1">
                <wp:simplePos x="0" y="0"/>
                <wp:positionH relativeFrom="column">
                  <wp:posOffset>5419725</wp:posOffset>
                </wp:positionH>
                <wp:positionV relativeFrom="paragraph">
                  <wp:posOffset>2762885</wp:posOffset>
                </wp:positionV>
                <wp:extent cx="715010" cy="304800"/>
                <wp:effectExtent l="0" t="0" r="8890" b="0"/>
                <wp:wrapNone/>
                <wp:docPr id="47" name="文本框 47"/>
                <wp:cNvGraphicFramePr/>
                <a:graphic xmlns:a="http://schemas.openxmlformats.org/drawingml/2006/main">
                  <a:graphicData uri="http://schemas.microsoft.com/office/word/2010/wordprocessingShape">
                    <wps:wsp>
                      <wps:cNvSpPr txBox="1"/>
                      <wps:spPr>
                        <a:xfrm>
                          <a:off x="0" y="0"/>
                          <a:ext cx="715010"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581B5D">
                            <w:pPr>
                              <w:rPr>
                                <w:rFonts w:hint="default" w:eastAsia="宋体"/>
                                <w:vertAlign w:val="subscript"/>
                                <w:lang w:val="en-US" w:eastAsia="zh-CN"/>
                              </w:rPr>
                            </w:pPr>
                            <w:r>
                              <w:rPr>
                                <w:rFonts w:hint="eastAsia"/>
                                <w:lang w:val="en-US" w:eastAsia="zh-CN"/>
                              </w:rPr>
                              <w:t>NO</w:t>
                            </w:r>
                            <w:r>
                              <w:rPr>
                                <w:rFonts w:hint="eastAsia"/>
                                <w:vertAlign w:val="subscript"/>
                                <w:lang w:val="en-US" w:eastAsia="zh-CN"/>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6.75pt;margin-top:217.55pt;height:24pt;width:56.3pt;z-index:251670528;mso-width-relative:page;mso-height-relative:page;" filled="f" stroked="f" coordsize="21600,21600" o:gfxdata="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jH5GF9sAAAALAQAADwAAAAAAAAABACAAAAAiAAAA&#10;ZHJzL2Rvd25yZXYueG1sUEsBAhQAFAAAAAgAh07iQAeRSeI9AgAAZwQAAA4AAAAAAAAAAQAgAAAA&#10;KgEAAGRycy9lMm9Eb2MueG1sUEsFBgAAAAAGAAYAWQEAANkFAAAAAA==&#10;">
                <v:fill on="f" focussize="0,0"/>
                <v:stroke on="f" weight="0.5pt"/>
                <v:imagedata o:title=""/>
                <o:lock v:ext="edit" aspectratio="f"/>
                <v:textbox>
                  <w:txbxContent>
                    <w:p w14:paraId="09581B5D">
                      <w:pPr>
                        <w:rPr>
                          <w:rFonts w:hint="default" w:eastAsia="宋体"/>
                          <w:vertAlign w:val="subscript"/>
                          <w:lang w:val="en-US" w:eastAsia="zh-CN"/>
                        </w:rPr>
                      </w:pPr>
                      <w:r>
                        <w:rPr>
                          <w:rFonts w:hint="eastAsia"/>
                          <w:lang w:val="en-US" w:eastAsia="zh-CN"/>
                        </w:rPr>
                        <w:t>NO</w:t>
                      </w:r>
                      <w:r>
                        <w:rPr>
                          <w:rFonts w:hint="eastAsia"/>
                          <w:vertAlign w:val="subscript"/>
                          <w:lang w:val="en-US" w:eastAsia="zh-CN"/>
                        </w:rPr>
                        <w:t>2</w:t>
                      </w:r>
                    </w:p>
                  </w:txbxContent>
                </v:textbox>
              </v:shape>
            </w:pict>
          </mc:Fallback>
        </mc:AlternateContent>
      </w:r>
      <w:r>
        <w:rPr>
          <w:color w:val="auto"/>
          <w:sz w:val="24"/>
        </w:rPr>
        <mc:AlternateContent>
          <mc:Choice Requires="wps">
            <w:drawing>
              <wp:anchor distT="0" distB="0" distL="114300" distR="114300" simplePos="0" relativeHeight="251666432" behindDoc="0" locked="0" layoutInCell="1" allowOverlap="1">
                <wp:simplePos x="0" y="0"/>
                <wp:positionH relativeFrom="column">
                  <wp:posOffset>5438775</wp:posOffset>
                </wp:positionH>
                <wp:positionV relativeFrom="paragraph">
                  <wp:posOffset>2400935</wp:posOffset>
                </wp:positionV>
                <wp:extent cx="715010" cy="304800"/>
                <wp:effectExtent l="0" t="0" r="8890" b="0"/>
                <wp:wrapNone/>
                <wp:docPr id="8" name="文本框 8"/>
                <wp:cNvGraphicFramePr/>
                <a:graphic xmlns:a="http://schemas.openxmlformats.org/drawingml/2006/main">
                  <a:graphicData uri="http://schemas.microsoft.com/office/word/2010/wordprocessingShape">
                    <wps:wsp>
                      <wps:cNvSpPr txBox="1"/>
                      <wps:spPr>
                        <a:xfrm>
                          <a:off x="0" y="0"/>
                          <a:ext cx="715010"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69673E2">
                            <w:pPr>
                              <w:rPr>
                                <w:rFonts w:hint="default" w:eastAsia="宋体"/>
                                <w:vertAlign w:val="subscript"/>
                                <w:lang w:val="en-US" w:eastAsia="zh-CN"/>
                              </w:rPr>
                            </w:pPr>
                            <w:r>
                              <w:rPr>
                                <w:rFonts w:hint="eastAsia"/>
                                <w:lang w:val="en-US" w:eastAsia="zh-CN"/>
                              </w:rPr>
                              <w:t>PM</w:t>
                            </w:r>
                            <w:r>
                              <w:rPr>
                                <w:rFonts w:hint="eastAsia"/>
                                <w:vertAlign w:val="subscript"/>
                                <w:lang w:val="en-US" w:eastAsia="zh-CN"/>
                              </w:rPr>
                              <w:t>2.5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8.25pt;margin-top:189.05pt;height:24pt;width:56.3pt;z-index:251666432;mso-width-relative:page;mso-height-relative:page;" fillcolor="#FFFFFF [3201]" filled="t" stroked="f" coordsize="21600,21600" o:gfxdata="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JaODRvXAAAACwEAAA8A&#10;AAAAAAAAAQAgAAAAIgAAAGRycy9kb3ducmV2LnhtbFBLAQIUABQAAAAIAIdO4kBhGbRQUQIAAI4E&#10;AAAOAAAAAAAAAAEAIAAAACYBAABkcnMvZTJvRG9jLnhtbFBLBQYAAAAABgAGAFkBAADpBQAAAAA=&#10;">
                <v:fill on="t" focussize="0,0"/>
                <v:stroke on="f" weight="0.5pt"/>
                <v:imagedata o:title=""/>
                <o:lock v:ext="edit" aspectratio="f"/>
                <v:textbox>
                  <w:txbxContent>
                    <w:p w14:paraId="669673E2">
                      <w:pPr>
                        <w:rPr>
                          <w:rFonts w:hint="default" w:eastAsia="宋体"/>
                          <w:vertAlign w:val="subscript"/>
                          <w:lang w:val="en-US" w:eastAsia="zh-CN"/>
                        </w:rPr>
                      </w:pPr>
                      <w:r>
                        <w:rPr>
                          <w:rFonts w:hint="eastAsia"/>
                          <w:lang w:val="en-US" w:eastAsia="zh-CN"/>
                        </w:rPr>
                        <w:t>PM</w:t>
                      </w:r>
                      <w:r>
                        <w:rPr>
                          <w:rFonts w:hint="eastAsia"/>
                          <w:vertAlign w:val="subscript"/>
                          <w:lang w:val="en-US" w:eastAsia="zh-CN"/>
                        </w:rPr>
                        <w:t>2.5</w:t>
                      </w:r>
                    </w:p>
                  </w:txbxContent>
                </v:textbox>
              </v:shape>
            </w:pict>
          </mc:Fallback>
        </mc:AlternateContent>
      </w:r>
      <w:r>
        <w:rPr>
          <w:color w:val="auto"/>
          <w:sz w:val="24"/>
        </w:rPr>
        <mc:AlternateContent>
          <mc:Choice Requires="wps">
            <w:drawing>
              <wp:anchor distT="0" distB="0" distL="114300" distR="114300" simplePos="0" relativeHeight="251669504" behindDoc="0" locked="0" layoutInCell="1" allowOverlap="1">
                <wp:simplePos x="0" y="0"/>
                <wp:positionH relativeFrom="column">
                  <wp:posOffset>5460365</wp:posOffset>
                </wp:positionH>
                <wp:positionV relativeFrom="paragraph">
                  <wp:posOffset>1976120</wp:posOffset>
                </wp:positionV>
                <wp:extent cx="715010" cy="304800"/>
                <wp:effectExtent l="0" t="0" r="8890" b="0"/>
                <wp:wrapNone/>
                <wp:docPr id="45" name="文本框 45"/>
                <wp:cNvGraphicFramePr/>
                <a:graphic xmlns:a="http://schemas.openxmlformats.org/drawingml/2006/main">
                  <a:graphicData uri="http://schemas.microsoft.com/office/word/2010/wordprocessingShape">
                    <wps:wsp>
                      <wps:cNvSpPr txBox="1"/>
                      <wps:spPr>
                        <a:xfrm>
                          <a:off x="0" y="0"/>
                          <a:ext cx="715010"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F1CACDC">
                            <w:pPr>
                              <w:rPr>
                                <w:rFonts w:hint="default" w:eastAsia="宋体"/>
                                <w:vertAlign w:val="subscript"/>
                                <w:lang w:val="en-US" w:eastAsia="zh-CN"/>
                              </w:rPr>
                            </w:pPr>
                            <w:r>
                              <w:rPr>
                                <w:rFonts w:hint="eastAsia"/>
                                <w:lang w:val="en-US" w:eastAsia="zh-CN"/>
                              </w:rPr>
                              <w:t>PM</w:t>
                            </w:r>
                            <w:r>
                              <w:rPr>
                                <w:rFonts w:hint="eastAsia"/>
                                <w:vertAlign w:val="subscript"/>
                                <w:lang w:val="en-US" w:eastAsia="zh-CN"/>
                              </w:rPr>
                              <w:t>10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9.95pt;margin-top:155.6pt;height:24pt;width:56.3pt;z-index:251669504;mso-width-relative:page;mso-height-relative:page;" fillcolor="#FFFFFF [3201]" filled="t" stroked="f" coordsize="21600,21600" o:gfxdata="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NCnm7HWAAAACwEAAA8A&#10;AAAAAAAAAQAgAAAAIgAAAGRycy9kb3ducmV2LnhtbFBLAQIUABQAAAAIAIdO4kD4cCfnUgIAAJAE&#10;AAAOAAAAAAAAAAEAIAAAACUBAABkcnMvZTJvRG9jLnhtbFBLBQYAAAAABgAGAFkBAADpBQAAAAA=&#10;">
                <v:fill on="t" focussize="0,0"/>
                <v:stroke on="f" weight="0.5pt"/>
                <v:imagedata o:title=""/>
                <o:lock v:ext="edit" aspectratio="f"/>
                <v:textbox>
                  <w:txbxContent>
                    <w:p w14:paraId="7F1CACDC">
                      <w:pPr>
                        <w:rPr>
                          <w:rFonts w:hint="default" w:eastAsia="宋体"/>
                          <w:vertAlign w:val="subscript"/>
                          <w:lang w:val="en-US" w:eastAsia="zh-CN"/>
                        </w:rPr>
                      </w:pPr>
                      <w:r>
                        <w:rPr>
                          <w:rFonts w:hint="eastAsia"/>
                          <w:lang w:val="en-US" w:eastAsia="zh-CN"/>
                        </w:rPr>
                        <w:t>PM</w:t>
                      </w:r>
                      <w:r>
                        <w:rPr>
                          <w:rFonts w:hint="eastAsia"/>
                          <w:vertAlign w:val="subscript"/>
                          <w:lang w:val="en-US" w:eastAsia="zh-CN"/>
                        </w:rPr>
                        <w:t>10</w:t>
                      </w:r>
                    </w:p>
                  </w:txbxContent>
                </v:textbox>
              </v:shape>
            </w:pict>
          </mc:Fallback>
        </mc:AlternateContent>
      </w:r>
      <w:r>
        <w:rPr>
          <w:color w:val="auto"/>
          <w:sz w:val="24"/>
        </w:rPr>
        <mc:AlternateContent>
          <mc:Choice Requires="wps">
            <w:drawing>
              <wp:anchor distT="0" distB="0" distL="114300" distR="114300" simplePos="0" relativeHeight="251665408" behindDoc="0" locked="0" layoutInCell="1" allowOverlap="1">
                <wp:simplePos x="0" y="0"/>
                <wp:positionH relativeFrom="column">
                  <wp:posOffset>5267325</wp:posOffset>
                </wp:positionH>
                <wp:positionV relativeFrom="paragraph">
                  <wp:posOffset>105410</wp:posOffset>
                </wp:positionV>
                <wp:extent cx="505460" cy="304800"/>
                <wp:effectExtent l="0" t="0" r="8890" b="0"/>
                <wp:wrapNone/>
                <wp:docPr id="7" name="文本框 7"/>
                <wp:cNvGraphicFramePr/>
                <a:graphic xmlns:a="http://schemas.openxmlformats.org/drawingml/2006/main">
                  <a:graphicData uri="http://schemas.microsoft.com/office/word/2010/wordprocessingShape">
                    <wps:wsp>
                      <wps:cNvSpPr txBox="1"/>
                      <wps:spPr>
                        <a:xfrm>
                          <a:off x="7715250" y="1429385"/>
                          <a:ext cx="505460"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F021C4A">
                            <w:pPr>
                              <w:rPr>
                                <w:rFonts w:hint="default" w:eastAsia="宋体"/>
                                <w:lang w:val="en-US" w:eastAsia="zh-CN"/>
                              </w:rPr>
                            </w:pPr>
                            <w:r>
                              <w:rPr>
                                <w:rFonts w:hint="eastAsia"/>
                                <w:lang w:val="en-US" w:eastAsia="zh-CN"/>
                              </w:rPr>
                              <w:t>O</w:t>
                            </w:r>
                            <w:r>
                              <w:rPr>
                                <w:rFonts w:hint="eastAsia"/>
                                <w:vertAlign w:val="subscript"/>
                                <w:lang w:val="en-US" w:eastAsia="zh-CN"/>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4.75pt;margin-top:8.3pt;height:24pt;width:39.8pt;z-index:251665408;mso-width-relative:page;mso-height-relative:page;" fillcolor="#FFFFFF [3201]" filled="t" stroked="f" coordsize="21600,21600" o:gfxdata="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za6ckdUA&#10;AAAJAQAADwAAAAAAAAABACAAAAAiAAAAZHJzL2Rvd25yZXYueG1sUEsBAhQAFAAAAAgAh07iQI0I&#10;HlFbAgAAmgQAAA4AAAAAAAAAAQAgAAAAJAEAAGRycy9lMm9Eb2MueG1sUEsFBgAAAAAGAAYAWQEA&#10;APEFAAAAAA==&#10;">
                <v:fill on="t" focussize="0,0"/>
                <v:stroke on="f" weight="0.5pt"/>
                <v:imagedata o:title=""/>
                <o:lock v:ext="edit" aspectratio="f"/>
                <v:textbox>
                  <w:txbxContent>
                    <w:p w14:paraId="2F021C4A">
                      <w:pPr>
                        <w:rPr>
                          <w:rFonts w:hint="default" w:eastAsia="宋体"/>
                          <w:lang w:val="en-US" w:eastAsia="zh-CN"/>
                        </w:rPr>
                      </w:pPr>
                      <w:r>
                        <w:rPr>
                          <w:rFonts w:hint="eastAsia"/>
                          <w:lang w:val="en-US" w:eastAsia="zh-CN"/>
                        </w:rPr>
                        <w:t>O</w:t>
                      </w:r>
                      <w:r>
                        <w:rPr>
                          <w:rFonts w:hint="eastAsia"/>
                          <w:vertAlign w:val="subscript"/>
                          <w:lang w:val="en-US" w:eastAsia="zh-CN"/>
                        </w:rPr>
                        <w:t>3</w:t>
                      </w:r>
                    </w:p>
                  </w:txbxContent>
                </v:textbox>
              </v:shape>
            </w:pict>
          </mc:Fallback>
        </mc:AlternateContent>
      </w:r>
      <w:r>
        <w:rPr>
          <w:color w:val="auto"/>
        </w:rPr>
        <w:drawing>
          <wp:inline distT="0" distB="0" distL="114300" distR="114300">
            <wp:extent cx="6178550" cy="3669030"/>
            <wp:effectExtent l="0" t="0" r="12700" b="7620"/>
            <wp:docPr id="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
                    <pic:cNvPicPr>
                      <a:picLocks noChangeAspect="1"/>
                    </pic:cNvPicPr>
                  </pic:nvPicPr>
                  <pic:blipFill>
                    <a:blip r:embed="rId43"/>
                    <a:stretch>
                      <a:fillRect/>
                    </a:stretch>
                  </pic:blipFill>
                  <pic:spPr>
                    <a:xfrm>
                      <a:off x="0" y="0"/>
                      <a:ext cx="6178550" cy="3669030"/>
                    </a:xfrm>
                    <a:prstGeom prst="rect">
                      <a:avLst/>
                    </a:prstGeom>
                    <a:noFill/>
                    <a:ln>
                      <a:noFill/>
                    </a:ln>
                  </pic:spPr>
                </pic:pic>
              </a:graphicData>
            </a:graphic>
          </wp:inline>
        </w:drawing>
      </w:r>
    </w:p>
    <w:p w14:paraId="4F83822F">
      <w:pPr>
        <w:pStyle w:val="41"/>
        <w:jc w:val="center"/>
        <w:rPr>
          <w:rFonts w:hint="default" w:ascii="Times New Roman" w:hAnsi="Times New Roman" w:eastAsia="宋体" w:cs="Times New Roman"/>
          <w:b/>
          <w:bCs/>
          <w:color w:val="auto"/>
          <w:lang w:val="en-US" w:eastAsia="zh-CN"/>
        </w:rPr>
      </w:pPr>
      <w:r>
        <w:rPr>
          <w:rFonts w:hint="default" w:ascii="Times New Roman" w:hAnsi="Times New Roman" w:cs="Times New Roman"/>
          <w:b/>
          <w:bCs/>
          <w:color w:val="auto"/>
          <w:lang w:val="en-US" w:eastAsia="zh-CN"/>
        </w:rPr>
        <w:t>图4-1 基本污染物变化趋势图</w:t>
      </w:r>
    </w:p>
    <w:p w14:paraId="39715A9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ascii="Times New Roman" w:hAnsi="Times New Roman" w:cs="Times New Roman"/>
          <w:color w:val="auto"/>
          <w:sz w:val="24"/>
          <w:szCs w:val="24"/>
          <w:lang w:val="en-US" w:eastAsia="zh-CN"/>
        </w:rPr>
      </w:pPr>
      <w:r>
        <w:rPr>
          <w:rFonts w:hint="eastAsia" w:ascii="Times New Roman" w:hAnsi="Times New Roman" w:eastAsia="宋体" w:cs="Times New Roman"/>
          <w:color w:val="auto"/>
          <w:kern w:val="2"/>
          <w:sz w:val="24"/>
          <w:szCs w:val="24"/>
          <w:lang w:val="en-US" w:eastAsia="zh-CN" w:bidi="ar-SA"/>
        </w:rPr>
        <w:t>2、</w:t>
      </w:r>
      <w:r>
        <w:rPr>
          <w:rFonts w:hint="eastAsia" w:ascii="Times New Roman" w:hAnsi="Times New Roman" w:cs="Times New Roman"/>
          <w:color w:val="auto"/>
          <w:sz w:val="24"/>
          <w:szCs w:val="24"/>
          <w:lang w:val="en-US" w:eastAsia="zh-CN"/>
        </w:rPr>
        <w:t>其他污染物</w:t>
      </w:r>
    </w:p>
    <w:p w14:paraId="6AAF1753">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leftChars="0" w:firstLine="480" w:firstLineChars="200"/>
        <w:jc w:val="both"/>
        <w:textAlignment w:val="auto"/>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项目其他污染物为</w:t>
      </w:r>
      <w:r>
        <w:rPr>
          <w:rFonts w:hint="eastAsia" w:ascii="Times New Roman" w:hAnsi="Times New Roman" w:cs="Times New Roman"/>
          <w:color w:val="auto"/>
          <w:lang w:val="en-US" w:eastAsia="zh-CN"/>
        </w:rPr>
        <w:t>氯化氢、氟化物、二噁英类</w:t>
      </w:r>
      <w:r>
        <w:rPr>
          <w:rFonts w:hint="default" w:ascii="Times New Roman" w:hAnsi="Times New Roman" w:cs="Times New Roman"/>
          <w:color w:val="auto"/>
          <w:lang w:val="en-US" w:eastAsia="zh-CN"/>
        </w:rPr>
        <w:t>。本次评价选取</w:t>
      </w:r>
      <w:r>
        <w:rPr>
          <w:rFonts w:hint="eastAsia" w:ascii="Times New Roman" w:hAnsi="Times New Roman" w:cs="Times New Roman"/>
          <w:color w:val="auto"/>
          <w:lang w:val="en-US" w:eastAsia="zh-CN"/>
        </w:rPr>
        <w:t>环评阶段监测数据与近期监测数据进行对比，</w:t>
      </w:r>
      <w:r>
        <w:rPr>
          <w:rFonts w:hint="default" w:ascii="Times New Roman" w:hAnsi="Times New Roman" w:cs="Times New Roman"/>
          <w:color w:val="auto"/>
          <w:lang w:val="en-US" w:eastAsia="zh-CN"/>
        </w:rPr>
        <w:t>近期数据综合引</w:t>
      </w:r>
      <w:r>
        <w:rPr>
          <w:rFonts w:hint="eastAsia" w:ascii="Times New Roman" w:hAnsi="Times New Roman" w:cs="Times New Roman"/>
          <w:color w:val="auto"/>
          <w:lang w:val="en-US" w:eastAsia="zh-CN"/>
        </w:rPr>
        <w:t>用</w:t>
      </w:r>
      <w:r>
        <w:rPr>
          <w:rFonts w:hint="eastAsia"/>
          <w:color w:val="auto"/>
          <w:sz w:val="24"/>
          <w:szCs w:val="32"/>
          <w:lang w:val="en-US" w:eastAsia="zh-CN"/>
        </w:rPr>
        <w:t>引用《</w:t>
      </w:r>
      <w:r>
        <w:rPr>
          <w:rFonts w:hint="default" w:ascii="Times New Roman" w:hAnsi="Times New Roman" w:cs="Times New Roman"/>
          <w:color w:val="auto"/>
          <w:sz w:val="24"/>
          <w:szCs w:val="32"/>
          <w:lang w:val="en-US" w:eastAsia="zh-CN"/>
        </w:rPr>
        <w:t>安徽濉溪经济开发区总体发展规划（2023～2035）环境影响报告书</w:t>
      </w:r>
      <w:r>
        <w:rPr>
          <w:rFonts w:hint="eastAsia"/>
          <w:color w:val="auto"/>
          <w:sz w:val="24"/>
          <w:szCs w:val="32"/>
          <w:lang w:val="en-US" w:eastAsia="zh-CN"/>
        </w:rPr>
        <w:t>》中的“黄大庄”监测点位数据</w:t>
      </w:r>
      <w:r>
        <w:rPr>
          <w:rFonts w:hint="default" w:ascii="Times New Roman" w:hAnsi="Times New Roman" w:cs="Times New Roman"/>
          <w:color w:val="auto"/>
          <w:lang w:val="en-US" w:eastAsia="zh-CN"/>
        </w:rPr>
        <w:t>。监测结果见下表。</w:t>
      </w:r>
    </w:p>
    <w:p w14:paraId="3DD47454">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leftChars="0" w:firstLine="482" w:firstLineChars="200"/>
        <w:jc w:val="center"/>
        <w:textAlignment w:val="auto"/>
        <w:rPr>
          <w:rFonts w:hint="default" w:ascii="Times New Roman" w:hAnsi="Times New Roman" w:cs="Times New Roman"/>
          <w:color w:val="auto"/>
          <w:lang w:val="en-US" w:eastAsia="zh-CN"/>
        </w:rPr>
      </w:pPr>
      <w:r>
        <w:rPr>
          <w:rFonts w:hint="default" w:ascii="Times New Roman" w:hAnsi="Times New Roman" w:cs="Times New Roman"/>
          <w:b/>
          <w:bCs/>
          <w:color w:val="auto"/>
          <w:sz w:val="24"/>
          <w:szCs w:val="32"/>
        </w:rPr>
        <w:t>表4-</w:t>
      </w:r>
      <w:r>
        <w:rPr>
          <w:rFonts w:hint="default" w:ascii="Times New Roman" w:hAnsi="Times New Roman" w:cs="Times New Roman"/>
          <w:b/>
          <w:bCs/>
          <w:color w:val="auto"/>
          <w:sz w:val="24"/>
          <w:szCs w:val="32"/>
          <w:lang w:val="en-US" w:eastAsia="zh-CN"/>
        </w:rPr>
        <w:t>17 原环评</w:t>
      </w:r>
      <w:r>
        <w:rPr>
          <w:rFonts w:hint="eastAsia" w:ascii="Times New Roman" w:hAnsi="Times New Roman" w:cs="Times New Roman"/>
          <w:b/>
          <w:bCs/>
          <w:color w:val="auto"/>
          <w:sz w:val="24"/>
          <w:szCs w:val="32"/>
          <w:lang w:val="en-US" w:eastAsia="zh-CN"/>
        </w:rPr>
        <w:t>阶段监测数据与近期数据</w:t>
      </w:r>
      <w:r>
        <w:rPr>
          <w:rFonts w:hint="default" w:ascii="Times New Roman" w:hAnsi="Times New Roman" w:cs="Times New Roman"/>
          <w:b/>
          <w:bCs/>
          <w:color w:val="auto"/>
          <w:sz w:val="24"/>
          <w:szCs w:val="32"/>
          <w:lang w:val="en-US" w:eastAsia="zh-CN"/>
        </w:rPr>
        <w:t>大气环境质量监测结果</w:t>
      </w:r>
      <w:r>
        <w:rPr>
          <w:rFonts w:hint="eastAsia" w:ascii="Times New Roman" w:hAnsi="Times New Roman" w:cs="Times New Roman"/>
          <w:b/>
          <w:bCs/>
          <w:color w:val="auto"/>
          <w:sz w:val="24"/>
          <w:szCs w:val="32"/>
          <w:lang w:val="en-US" w:eastAsia="zh-CN"/>
        </w:rPr>
        <w:t>一览表</w:t>
      </w:r>
    </w:p>
    <w:tbl>
      <w:tblPr>
        <w:tblStyle w:val="31"/>
        <w:tblW w:w="4971"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shd w:val="clear" w:color="auto" w:fill="auto"/>
        <w:tblLayout w:type="autofit"/>
        <w:tblCellMar>
          <w:top w:w="0" w:type="dxa"/>
          <w:left w:w="108" w:type="dxa"/>
          <w:bottom w:w="0" w:type="dxa"/>
          <w:right w:w="108" w:type="dxa"/>
        </w:tblCellMar>
      </w:tblPr>
      <w:tblGrid>
        <w:gridCol w:w="1667"/>
        <w:gridCol w:w="1209"/>
        <w:gridCol w:w="1522"/>
        <w:gridCol w:w="1380"/>
        <w:gridCol w:w="1366"/>
        <w:gridCol w:w="1370"/>
        <w:gridCol w:w="1390"/>
      </w:tblGrid>
      <w:tr w14:paraId="66C7398C">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shd w:val="clear" w:color="auto" w:fill="auto"/>
          <w:tblCellMar>
            <w:top w:w="0" w:type="dxa"/>
            <w:left w:w="108" w:type="dxa"/>
            <w:bottom w:w="0" w:type="dxa"/>
            <w:right w:w="108" w:type="dxa"/>
          </w:tblCellMar>
        </w:tblPrEx>
        <w:trPr>
          <w:trHeight w:val="454" w:hRule="atLeast"/>
          <w:jc w:val="center"/>
        </w:trPr>
        <w:tc>
          <w:tcPr>
            <w:tcW w:w="1669" w:type="dxa"/>
            <w:vMerge w:val="restart"/>
            <w:tcBorders>
              <w:tl2br w:val="nil"/>
              <w:tr2bl w:val="nil"/>
            </w:tcBorders>
            <w:shd w:val="clear" w:color="auto" w:fill="auto"/>
            <w:vAlign w:val="center"/>
          </w:tcPr>
          <w:p w14:paraId="3EC9352D">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rPr>
            </w:pPr>
            <w:r>
              <w:rPr>
                <w:rFonts w:hint="default" w:ascii="Times New Roman" w:hAnsi="Times New Roman" w:eastAsia="宋体" w:cs="Times New Roman"/>
                <w:b/>
                <w:bCs/>
                <w:i w:val="0"/>
                <w:iCs w:val="0"/>
                <w:color w:val="auto"/>
                <w:kern w:val="0"/>
                <w:sz w:val="21"/>
                <w:szCs w:val="21"/>
                <w:u w:val="none"/>
                <w:lang w:val="en-US" w:eastAsia="zh-CN" w:bidi="ar"/>
              </w:rPr>
              <w:t>项目</w:t>
            </w:r>
          </w:p>
        </w:tc>
        <w:tc>
          <w:tcPr>
            <w:tcW w:w="4111" w:type="dxa"/>
            <w:gridSpan w:val="3"/>
            <w:tcBorders>
              <w:tl2br w:val="nil"/>
              <w:tr2bl w:val="nil"/>
            </w:tcBorders>
            <w:shd w:val="clear" w:color="auto" w:fill="auto"/>
            <w:vAlign w:val="center"/>
          </w:tcPr>
          <w:p w14:paraId="5BD2EB6E">
            <w:pPr>
              <w:keepNext w:val="0"/>
              <w:keepLines w:val="0"/>
              <w:widowControl/>
              <w:suppressLineNumbers w:val="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cs="Times New Roman"/>
                <w:b/>
                <w:bCs/>
                <w:color w:val="auto"/>
                <w:sz w:val="24"/>
                <w:szCs w:val="32"/>
                <w:lang w:val="en-US" w:eastAsia="zh-CN"/>
              </w:rPr>
              <w:t>环评</w:t>
            </w:r>
            <w:r>
              <w:rPr>
                <w:rFonts w:hint="eastAsia" w:ascii="Times New Roman" w:hAnsi="Times New Roman" w:cs="Times New Roman"/>
                <w:b/>
                <w:bCs/>
                <w:color w:val="auto"/>
                <w:sz w:val="24"/>
                <w:szCs w:val="32"/>
                <w:lang w:val="en-US" w:eastAsia="zh-CN"/>
              </w:rPr>
              <w:t>阶段监测数据</w:t>
            </w:r>
          </w:p>
        </w:tc>
        <w:tc>
          <w:tcPr>
            <w:tcW w:w="4126" w:type="dxa"/>
            <w:gridSpan w:val="3"/>
            <w:tcBorders>
              <w:tl2br w:val="nil"/>
              <w:tr2bl w:val="nil"/>
            </w:tcBorders>
            <w:shd w:val="clear" w:color="auto" w:fill="auto"/>
            <w:vAlign w:val="center"/>
          </w:tcPr>
          <w:p w14:paraId="361CE7D0">
            <w:pPr>
              <w:keepNext w:val="0"/>
              <w:keepLines w:val="0"/>
              <w:widowControl/>
              <w:suppressLineNumbers w:val="0"/>
              <w:jc w:val="center"/>
              <w:textAlignment w:val="top"/>
              <w:rPr>
                <w:rFonts w:hint="default" w:ascii="Times New Roman" w:hAnsi="Times New Roman" w:eastAsia="宋体" w:cs="Times New Roman"/>
                <w:b/>
                <w:bCs/>
                <w:i w:val="0"/>
                <w:iCs w:val="0"/>
                <w:color w:val="auto"/>
                <w:kern w:val="0"/>
                <w:sz w:val="21"/>
                <w:szCs w:val="21"/>
                <w:u w:val="none"/>
                <w:lang w:val="en-US" w:eastAsia="zh-CN" w:bidi="ar"/>
              </w:rPr>
            </w:pPr>
            <w:r>
              <w:rPr>
                <w:rFonts w:hint="eastAsia" w:ascii="Times New Roman" w:hAnsi="Times New Roman" w:cs="Times New Roman"/>
                <w:b/>
                <w:bCs/>
                <w:color w:val="auto"/>
                <w:sz w:val="24"/>
                <w:szCs w:val="32"/>
                <w:lang w:val="en-US" w:eastAsia="zh-CN"/>
              </w:rPr>
              <w:t>近期监测数据</w:t>
            </w:r>
          </w:p>
        </w:tc>
      </w:tr>
      <w:tr w14:paraId="6F058064">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shd w:val="clear" w:color="auto" w:fill="auto"/>
          <w:tblCellMar>
            <w:top w:w="0" w:type="dxa"/>
            <w:left w:w="108" w:type="dxa"/>
            <w:bottom w:w="0" w:type="dxa"/>
            <w:right w:w="108" w:type="dxa"/>
          </w:tblCellMar>
        </w:tblPrEx>
        <w:trPr>
          <w:trHeight w:val="454" w:hRule="atLeast"/>
          <w:jc w:val="center"/>
        </w:trPr>
        <w:tc>
          <w:tcPr>
            <w:tcW w:w="1669" w:type="dxa"/>
            <w:vMerge w:val="continue"/>
            <w:tcBorders>
              <w:tl2br w:val="nil"/>
              <w:tr2bl w:val="nil"/>
            </w:tcBorders>
            <w:shd w:val="clear" w:color="auto" w:fill="auto"/>
            <w:vAlign w:val="center"/>
          </w:tcPr>
          <w:p w14:paraId="355D1C0B">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rPr>
            </w:pPr>
          </w:p>
        </w:tc>
        <w:tc>
          <w:tcPr>
            <w:tcW w:w="1209" w:type="dxa"/>
            <w:tcBorders>
              <w:tl2br w:val="nil"/>
              <w:tr2bl w:val="nil"/>
            </w:tcBorders>
            <w:shd w:val="clear" w:color="auto" w:fill="auto"/>
            <w:vAlign w:val="center"/>
          </w:tcPr>
          <w:p w14:paraId="08A524D3">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lang w:val="en-US" w:eastAsia="zh-CN"/>
              </w:rPr>
            </w:pPr>
            <w:r>
              <w:rPr>
                <w:rFonts w:hint="eastAsia" w:cs="Times New Roman"/>
                <w:b/>
                <w:bCs/>
                <w:i w:val="0"/>
                <w:iCs w:val="0"/>
                <w:color w:val="auto"/>
                <w:sz w:val="21"/>
                <w:szCs w:val="21"/>
                <w:u w:val="none"/>
                <w:lang w:val="en-US" w:eastAsia="zh-CN"/>
              </w:rPr>
              <w:t>监测点位</w:t>
            </w:r>
          </w:p>
        </w:tc>
        <w:tc>
          <w:tcPr>
            <w:tcW w:w="1522" w:type="dxa"/>
            <w:tcBorders>
              <w:tl2br w:val="nil"/>
              <w:tr2bl w:val="nil"/>
            </w:tcBorders>
            <w:shd w:val="clear" w:color="auto" w:fill="auto"/>
            <w:vAlign w:val="center"/>
          </w:tcPr>
          <w:p w14:paraId="025067AB">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lang w:val="en-US"/>
              </w:rPr>
            </w:pPr>
            <w:r>
              <w:rPr>
                <w:rFonts w:hint="eastAsia" w:cs="Times New Roman"/>
                <w:b/>
                <w:bCs/>
                <w:i w:val="0"/>
                <w:iCs w:val="0"/>
                <w:color w:val="auto"/>
                <w:kern w:val="0"/>
                <w:sz w:val="21"/>
                <w:szCs w:val="21"/>
                <w:u w:val="none"/>
                <w:lang w:val="en-US" w:eastAsia="zh-CN" w:bidi="ar"/>
              </w:rPr>
              <w:t>监测时间</w:t>
            </w:r>
          </w:p>
        </w:tc>
        <w:tc>
          <w:tcPr>
            <w:tcW w:w="1380" w:type="dxa"/>
            <w:tcBorders>
              <w:tl2br w:val="nil"/>
              <w:tr2bl w:val="nil"/>
            </w:tcBorders>
            <w:shd w:val="clear" w:color="auto" w:fill="auto"/>
            <w:vAlign w:val="center"/>
          </w:tcPr>
          <w:p w14:paraId="753601CD">
            <w:pPr>
              <w:keepNext w:val="0"/>
              <w:keepLines w:val="0"/>
              <w:widowControl/>
              <w:suppressLineNumbers w:val="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eastAsia="宋体" w:cs="Times New Roman"/>
                <w:b/>
                <w:bCs/>
                <w:i w:val="0"/>
                <w:iCs w:val="0"/>
                <w:color w:val="auto"/>
                <w:kern w:val="0"/>
                <w:sz w:val="21"/>
                <w:szCs w:val="21"/>
                <w:u w:val="none"/>
                <w:lang w:val="en-US" w:eastAsia="zh-CN" w:bidi="ar"/>
              </w:rPr>
              <w:t>最大监测浓度</w:t>
            </w:r>
            <w:r>
              <w:rPr>
                <w:rFonts w:hint="default" w:ascii="Times New Roman" w:hAnsi="Times New Roman" w:cs="Times New Roman"/>
                <w:b/>
                <w:bCs/>
                <w:color w:val="auto"/>
                <w:sz w:val="21"/>
              </w:rPr>
              <w:t>μg/m</w:t>
            </w:r>
            <w:r>
              <w:rPr>
                <w:rFonts w:hint="default" w:ascii="Times New Roman" w:hAnsi="Times New Roman" w:cs="Times New Roman"/>
                <w:b/>
                <w:bCs/>
                <w:color w:val="auto"/>
                <w:sz w:val="21"/>
                <w:vertAlign w:val="superscript"/>
              </w:rPr>
              <w:t>3</w:t>
            </w:r>
          </w:p>
        </w:tc>
        <w:tc>
          <w:tcPr>
            <w:tcW w:w="1366" w:type="dxa"/>
            <w:tcBorders>
              <w:tl2br w:val="nil"/>
              <w:tr2bl w:val="nil"/>
            </w:tcBorders>
            <w:shd w:val="clear" w:color="auto" w:fill="auto"/>
            <w:vAlign w:val="center"/>
          </w:tcPr>
          <w:p w14:paraId="2F7FEB66">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rPr>
            </w:pPr>
            <w:r>
              <w:rPr>
                <w:rFonts w:hint="eastAsia" w:cs="Times New Roman"/>
                <w:b/>
                <w:bCs/>
                <w:i w:val="0"/>
                <w:iCs w:val="0"/>
                <w:color w:val="auto"/>
                <w:sz w:val="21"/>
                <w:szCs w:val="21"/>
                <w:u w:val="none"/>
                <w:lang w:val="en-US" w:eastAsia="zh-CN"/>
              </w:rPr>
              <w:t>监测点位</w:t>
            </w:r>
          </w:p>
        </w:tc>
        <w:tc>
          <w:tcPr>
            <w:tcW w:w="1370" w:type="dxa"/>
            <w:tcBorders>
              <w:tl2br w:val="nil"/>
              <w:tr2bl w:val="nil"/>
            </w:tcBorders>
            <w:shd w:val="clear" w:color="auto" w:fill="auto"/>
            <w:vAlign w:val="center"/>
          </w:tcPr>
          <w:p w14:paraId="5E2CE7C4">
            <w:pPr>
              <w:keepNext w:val="0"/>
              <w:keepLines w:val="0"/>
              <w:widowControl/>
              <w:suppressLineNumbers w:val="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eastAsia" w:cs="Times New Roman"/>
                <w:b/>
                <w:bCs/>
                <w:i w:val="0"/>
                <w:iCs w:val="0"/>
                <w:color w:val="auto"/>
                <w:kern w:val="0"/>
                <w:sz w:val="21"/>
                <w:szCs w:val="21"/>
                <w:u w:val="none"/>
                <w:lang w:val="en-US" w:eastAsia="zh-CN" w:bidi="ar"/>
              </w:rPr>
              <w:t>监测时间</w:t>
            </w:r>
          </w:p>
        </w:tc>
        <w:tc>
          <w:tcPr>
            <w:tcW w:w="1390" w:type="dxa"/>
            <w:tcBorders>
              <w:tl2br w:val="nil"/>
              <w:tr2bl w:val="nil"/>
            </w:tcBorders>
            <w:shd w:val="clear" w:color="auto" w:fill="auto"/>
            <w:vAlign w:val="center"/>
          </w:tcPr>
          <w:p w14:paraId="6E0B22AE">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rPr>
            </w:pPr>
            <w:r>
              <w:rPr>
                <w:rFonts w:hint="default" w:ascii="Times New Roman" w:hAnsi="Times New Roman" w:eastAsia="宋体" w:cs="Times New Roman"/>
                <w:b/>
                <w:bCs/>
                <w:i w:val="0"/>
                <w:iCs w:val="0"/>
                <w:color w:val="auto"/>
                <w:sz w:val="21"/>
                <w:szCs w:val="21"/>
                <w:u w:val="none"/>
                <w:lang w:val="en-US" w:eastAsia="zh-CN"/>
              </w:rPr>
              <w:t>最大监测浓度</w:t>
            </w:r>
            <w:r>
              <w:rPr>
                <w:rFonts w:hint="default" w:ascii="Times New Roman" w:hAnsi="Times New Roman" w:cs="Times New Roman"/>
                <w:b/>
                <w:bCs/>
                <w:color w:val="auto"/>
                <w:sz w:val="21"/>
              </w:rPr>
              <w:t>μg/m</w:t>
            </w:r>
            <w:r>
              <w:rPr>
                <w:rFonts w:hint="default" w:ascii="Times New Roman" w:hAnsi="Times New Roman" w:cs="Times New Roman"/>
                <w:b/>
                <w:bCs/>
                <w:color w:val="auto"/>
                <w:sz w:val="21"/>
                <w:vertAlign w:val="superscript"/>
              </w:rPr>
              <w:t>3</w:t>
            </w:r>
          </w:p>
        </w:tc>
      </w:tr>
      <w:tr w14:paraId="7BFF7C4E">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shd w:val="clear" w:color="auto" w:fill="auto"/>
          <w:tblCellMar>
            <w:top w:w="0" w:type="dxa"/>
            <w:left w:w="108" w:type="dxa"/>
            <w:bottom w:w="0" w:type="dxa"/>
            <w:right w:w="108" w:type="dxa"/>
          </w:tblCellMar>
        </w:tblPrEx>
        <w:trPr>
          <w:trHeight w:val="662" w:hRule="atLeast"/>
          <w:jc w:val="center"/>
        </w:trPr>
        <w:tc>
          <w:tcPr>
            <w:tcW w:w="1669" w:type="dxa"/>
            <w:tcBorders>
              <w:tl2br w:val="nil"/>
              <w:tr2bl w:val="nil"/>
            </w:tcBorders>
            <w:shd w:val="clear" w:color="auto" w:fill="auto"/>
            <w:vAlign w:val="center"/>
          </w:tcPr>
          <w:p w14:paraId="3397FFC5">
            <w:pPr>
              <w:keepNext w:val="0"/>
              <w:keepLines w:val="0"/>
              <w:widowControl/>
              <w:suppressLineNumbers w:val="0"/>
              <w:jc w:val="center"/>
              <w:textAlignment w:val="center"/>
              <w:rPr>
                <w:rFonts w:hint="default" w:ascii="Times New Roman" w:hAnsi="Times New Roman" w:eastAsia="宋体" w:cs="Times New Roman"/>
                <w:i w:val="0"/>
                <w:iCs w:val="0"/>
                <w:color w:val="auto"/>
                <w:sz w:val="21"/>
                <w:szCs w:val="21"/>
                <w:u w:val="none"/>
              </w:rPr>
            </w:pPr>
            <w:r>
              <w:rPr>
                <w:rFonts w:hint="eastAsia" w:cs="Times New Roman"/>
                <w:b w:val="0"/>
                <w:bCs w:val="0"/>
                <w:i w:val="0"/>
                <w:iCs w:val="0"/>
                <w:color w:val="auto"/>
                <w:kern w:val="0"/>
                <w:sz w:val="21"/>
                <w:szCs w:val="21"/>
                <w:u w:val="none"/>
                <w:lang w:val="en-US" w:eastAsia="zh-CN" w:bidi="ar"/>
              </w:rPr>
              <w:t>氯化氢</w:t>
            </w:r>
          </w:p>
        </w:tc>
        <w:tc>
          <w:tcPr>
            <w:tcW w:w="1209" w:type="dxa"/>
            <w:vMerge w:val="restart"/>
            <w:tcBorders>
              <w:tl2br w:val="nil"/>
              <w:tr2bl w:val="nil"/>
            </w:tcBorders>
            <w:shd w:val="clear" w:color="auto" w:fill="auto"/>
            <w:vAlign w:val="center"/>
          </w:tcPr>
          <w:p w14:paraId="183355C0">
            <w:pPr>
              <w:keepNext w:val="0"/>
              <w:keepLines w:val="0"/>
              <w:widowControl/>
              <w:suppressLineNumbers w:val="0"/>
              <w:jc w:val="center"/>
              <w:textAlignment w:val="top"/>
              <w:rPr>
                <w:rFonts w:hint="eastAsia" w:ascii="Times New Roman" w:hAnsi="Times New Roman" w:eastAsia="宋体" w:cs="Times New Roman"/>
                <w:i w:val="0"/>
                <w:iCs w:val="0"/>
                <w:color w:val="auto"/>
                <w:sz w:val="21"/>
                <w:szCs w:val="21"/>
                <w:u w:val="none"/>
                <w:lang w:val="en-US" w:eastAsia="zh-CN"/>
              </w:rPr>
            </w:pPr>
            <w:r>
              <w:rPr>
                <w:rFonts w:hint="eastAsia" w:cs="Times New Roman"/>
                <w:i w:val="0"/>
                <w:iCs w:val="0"/>
                <w:color w:val="auto"/>
                <w:sz w:val="21"/>
                <w:szCs w:val="21"/>
                <w:u w:val="none"/>
                <w:lang w:val="en-US" w:eastAsia="zh-CN"/>
              </w:rPr>
              <w:t>项目地</w:t>
            </w:r>
          </w:p>
        </w:tc>
        <w:tc>
          <w:tcPr>
            <w:tcW w:w="1522" w:type="dxa"/>
            <w:vMerge w:val="restart"/>
            <w:tcBorders>
              <w:tl2br w:val="nil"/>
              <w:tr2bl w:val="nil"/>
            </w:tcBorders>
            <w:shd w:val="clear" w:color="auto" w:fill="auto"/>
            <w:vAlign w:val="center"/>
          </w:tcPr>
          <w:p w14:paraId="13AC901E">
            <w:pPr>
              <w:keepNext w:val="0"/>
              <w:keepLines w:val="0"/>
              <w:widowControl/>
              <w:suppressLineNumbers w:val="0"/>
              <w:jc w:val="center"/>
              <w:textAlignment w:val="top"/>
              <w:rPr>
                <w:rFonts w:hint="eastAsia" w:ascii="Times New Roman" w:hAnsi="Times New Roman" w:eastAsia="宋体" w:cs="Times New Roman"/>
                <w:i w:val="0"/>
                <w:iCs w:val="0"/>
                <w:color w:val="auto"/>
                <w:sz w:val="21"/>
                <w:szCs w:val="21"/>
                <w:u w:val="none"/>
                <w:lang w:val="en-US" w:eastAsia="zh-CN"/>
              </w:rPr>
            </w:pPr>
            <w:r>
              <w:rPr>
                <w:color w:val="auto"/>
                <w:sz w:val="21"/>
                <w:szCs w:val="21"/>
              </w:rPr>
              <w:t>2014</w:t>
            </w:r>
            <w:r>
              <w:rPr>
                <w:rFonts w:hint="eastAsia"/>
                <w:color w:val="auto"/>
                <w:sz w:val="21"/>
                <w:szCs w:val="21"/>
                <w:lang w:val="en-US" w:eastAsia="zh-CN"/>
              </w:rPr>
              <w:t>年</w:t>
            </w:r>
            <w:r>
              <w:rPr>
                <w:color w:val="auto"/>
                <w:sz w:val="21"/>
                <w:szCs w:val="21"/>
              </w:rPr>
              <w:t>7</w:t>
            </w:r>
            <w:r>
              <w:rPr>
                <w:rFonts w:hint="eastAsia"/>
                <w:color w:val="auto"/>
                <w:sz w:val="21"/>
                <w:szCs w:val="21"/>
                <w:lang w:val="en-US" w:eastAsia="zh-CN"/>
              </w:rPr>
              <w:t>月</w:t>
            </w:r>
            <w:r>
              <w:rPr>
                <w:color w:val="auto"/>
                <w:sz w:val="21"/>
                <w:szCs w:val="21"/>
              </w:rPr>
              <w:t>5</w:t>
            </w:r>
            <w:r>
              <w:rPr>
                <w:rFonts w:hint="eastAsia"/>
                <w:color w:val="auto"/>
                <w:sz w:val="21"/>
                <w:szCs w:val="21"/>
                <w:lang w:val="en-US" w:eastAsia="zh-CN"/>
              </w:rPr>
              <w:t>日</w:t>
            </w:r>
            <w:r>
              <w:rPr>
                <w:color w:val="auto"/>
                <w:sz w:val="21"/>
                <w:szCs w:val="21"/>
              </w:rPr>
              <w:t>～7</w:t>
            </w:r>
            <w:r>
              <w:rPr>
                <w:rFonts w:hint="eastAsia"/>
                <w:color w:val="auto"/>
                <w:sz w:val="21"/>
                <w:szCs w:val="21"/>
                <w:lang w:val="en-US" w:eastAsia="zh-CN"/>
              </w:rPr>
              <w:t>月</w:t>
            </w:r>
            <w:r>
              <w:rPr>
                <w:color w:val="auto"/>
                <w:sz w:val="21"/>
                <w:szCs w:val="21"/>
              </w:rPr>
              <w:t>11</w:t>
            </w:r>
            <w:r>
              <w:rPr>
                <w:rFonts w:hint="eastAsia"/>
                <w:color w:val="auto"/>
                <w:sz w:val="21"/>
                <w:szCs w:val="21"/>
                <w:lang w:val="en-US" w:eastAsia="zh-CN"/>
              </w:rPr>
              <w:t>日</w:t>
            </w:r>
          </w:p>
        </w:tc>
        <w:tc>
          <w:tcPr>
            <w:tcW w:w="1380" w:type="dxa"/>
            <w:tcBorders>
              <w:tl2br w:val="nil"/>
              <w:tr2bl w:val="nil"/>
            </w:tcBorders>
            <w:shd w:val="clear" w:color="auto" w:fill="auto"/>
            <w:vAlign w:val="center"/>
          </w:tcPr>
          <w:p w14:paraId="3C92D0E2">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ND</w:t>
            </w:r>
          </w:p>
        </w:tc>
        <w:tc>
          <w:tcPr>
            <w:tcW w:w="1366" w:type="dxa"/>
            <w:vMerge w:val="restart"/>
            <w:tcBorders>
              <w:tl2br w:val="nil"/>
              <w:tr2bl w:val="nil"/>
            </w:tcBorders>
            <w:shd w:val="clear" w:color="auto" w:fill="auto"/>
            <w:vAlign w:val="center"/>
          </w:tcPr>
          <w:p w14:paraId="7E58841D">
            <w:pPr>
              <w:keepNext w:val="0"/>
              <w:keepLines w:val="0"/>
              <w:widowControl/>
              <w:suppressLineNumbers w:val="0"/>
              <w:jc w:val="center"/>
              <w:textAlignment w:val="top"/>
              <w:rPr>
                <w:rFonts w:hint="eastAsia" w:cs="Times New Roman"/>
                <w:i w:val="0"/>
                <w:iCs w:val="0"/>
                <w:color w:val="auto"/>
                <w:sz w:val="21"/>
                <w:szCs w:val="21"/>
                <w:u w:val="none"/>
                <w:lang w:val="en-US" w:eastAsia="zh-CN"/>
              </w:rPr>
            </w:pPr>
            <w:r>
              <w:rPr>
                <w:rFonts w:hint="eastAsia" w:cs="Times New Roman"/>
                <w:i w:val="0"/>
                <w:iCs w:val="0"/>
                <w:color w:val="auto"/>
                <w:sz w:val="21"/>
                <w:szCs w:val="21"/>
                <w:u w:val="none"/>
                <w:lang w:val="en-US" w:eastAsia="zh-CN"/>
              </w:rPr>
              <w:t>黄大庄</w:t>
            </w:r>
          </w:p>
          <w:p w14:paraId="5AACAAFE">
            <w:pPr>
              <w:keepNext w:val="0"/>
              <w:keepLines w:val="0"/>
              <w:widowControl/>
              <w:suppressLineNumbers w:val="0"/>
              <w:jc w:val="center"/>
              <w:textAlignment w:val="top"/>
              <w:rPr>
                <w:rFonts w:hint="eastAsia" w:ascii="Times New Roman" w:hAnsi="Times New Roman" w:eastAsia="宋体" w:cs="Times New Roman"/>
                <w:i w:val="0"/>
                <w:iCs w:val="0"/>
                <w:color w:val="auto"/>
                <w:sz w:val="21"/>
                <w:szCs w:val="21"/>
                <w:u w:val="none"/>
                <w:lang w:val="en-US" w:eastAsia="zh-CN"/>
              </w:rPr>
            </w:pPr>
            <w:r>
              <w:rPr>
                <w:rFonts w:hint="eastAsia" w:cs="Times New Roman"/>
                <w:i w:val="0"/>
                <w:iCs w:val="0"/>
                <w:color w:val="auto"/>
                <w:sz w:val="21"/>
                <w:szCs w:val="21"/>
                <w:u w:val="none"/>
                <w:lang w:val="en-US" w:eastAsia="zh-CN"/>
              </w:rPr>
              <w:t>（位于项目厂址下风向）</w:t>
            </w:r>
          </w:p>
        </w:tc>
        <w:tc>
          <w:tcPr>
            <w:tcW w:w="1370" w:type="dxa"/>
            <w:vMerge w:val="restart"/>
            <w:tcBorders>
              <w:tl2br w:val="nil"/>
              <w:tr2bl w:val="nil"/>
            </w:tcBorders>
            <w:shd w:val="clear" w:color="auto" w:fill="auto"/>
            <w:vAlign w:val="center"/>
          </w:tcPr>
          <w:p w14:paraId="44556D42">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2023年7月6日~12日</w:t>
            </w:r>
          </w:p>
        </w:tc>
        <w:tc>
          <w:tcPr>
            <w:tcW w:w="1390" w:type="dxa"/>
            <w:tcBorders>
              <w:tl2br w:val="nil"/>
              <w:tr2bl w:val="nil"/>
            </w:tcBorders>
            <w:shd w:val="clear" w:color="auto" w:fill="auto"/>
            <w:vAlign w:val="center"/>
          </w:tcPr>
          <w:p w14:paraId="1D0BEEC6">
            <w:pPr>
              <w:keepNext w:val="0"/>
              <w:keepLines w:val="0"/>
              <w:widowControl/>
              <w:suppressLineNumbers w:val="0"/>
              <w:jc w:val="center"/>
              <w:textAlignment w:val="top"/>
              <w:rPr>
                <w:rFonts w:hint="default" w:ascii="Times New Roman" w:hAnsi="Times New Roman" w:eastAsia="宋体" w:cs="Times New Roman"/>
                <w:i w:val="0"/>
                <w:iCs w:val="0"/>
                <w:color w:val="auto"/>
                <w:sz w:val="21"/>
                <w:szCs w:val="21"/>
                <w:u w:val="none"/>
              </w:rPr>
            </w:pPr>
            <w:r>
              <w:rPr>
                <w:rFonts w:hint="eastAsia" w:cs="Times New Roman"/>
                <w:i w:val="0"/>
                <w:iCs w:val="0"/>
                <w:color w:val="auto"/>
                <w:kern w:val="0"/>
                <w:sz w:val="21"/>
                <w:szCs w:val="21"/>
                <w:u w:val="none"/>
                <w:lang w:val="en-US" w:eastAsia="zh-CN" w:bidi="ar"/>
              </w:rPr>
              <w:t>ND</w:t>
            </w:r>
          </w:p>
        </w:tc>
      </w:tr>
      <w:tr w14:paraId="0BE636B0">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shd w:val="clear" w:color="auto" w:fill="auto"/>
          <w:tblCellMar>
            <w:top w:w="0" w:type="dxa"/>
            <w:left w:w="108" w:type="dxa"/>
            <w:bottom w:w="0" w:type="dxa"/>
            <w:right w:w="108" w:type="dxa"/>
          </w:tblCellMar>
        </w:tblPrEx>
        <w:trPr>
          <w:trHeight w:val="454" w:hRule="atLeast"/>
          <w:jc w:val="center"/>
        </w:trPr>
        <w:tc>
          <w:tcPr>
            <w:tcW w:w="1669" w:type="dxa"/>
            <w:tcBorders>
              <w:tl2br w:val="nil"/>
              <w:tr2bl w:val="nil"/>
            </w:tcBorders>
            <w:shd w:val="clear" w:color="auto" w:fill="auto"/>
            <w:vAlign w:val="center"/>
          </w:tcPr>
          <w:p w14:paraId="583C42A6">
            <w:pPr>
              <w:jc w:val="center"/>
              <w:rPr>
                <w:rFonts w:hint="eastAsia" w:ascii="Times New Roman" w:hAnsi="Times New Roman" w:eastAsia="宋体" w:cs="Times New Roman"/>
                <w:i w:val="0"/>
                <w:iCs w:val="0"/>
                <w:color w:val="auto"/>
                <w:sz w:val="21"/>
                <w:szCs w:val="21"/>
                <w:u w:val="none"/>
                <w:lang w:val="en-US" w:eastAsia="zh-CN"/>
              </w:rPr>
            </w:pPr>
            <w:r>
              <w:rPr>
                <w:rFonts w:hint="eastAsia" w:cs="Times New Roman"/>
                <w:i w:val="0"/>
                <w:iCs w:val="0"/>
                <w:color w:val="auto"/>
                <w:sz w:val="21"/>
                <w:szCs w:val="21"/>
                <w:u w:val="none"/>
                <w:lang w:val="en-US" w:eastAsia="zh-CN"/>
              </w:rPr>
              <w:t>氟化物</w:t>
            </w:r>
          </w:p>
        </w:tc>
        <w:tc>
          <w:tcPr>
            <w:tcW w:w="1209" w:type="dxa"/>
            <w:vMerge w:val="continue"/>
            <w:tcBorders>
              <w:tl2br w:val="nil"/>
              <w:tr2bl w:val="nil"/>
            </w:tcBorders>
            <w:shd w:val="clear" w:color="auto" w:fill="auto"/>
            <w:vAlign w:val="center"/>
          </w:tcPr>
          <w:p w14:paraId="6D590852">
            <w:pPr>
              <w:keepNext w:val="0"/>
              <w:keepLines w:val="0"/>
              <w:widowControl/>
              <w:suppressLineNumbers w:val="0"/>
              <w:jc w:val="center"/>
              <w:textAlignment w:val="top"/>
              <w:rPr>
                <w:rFonts w:hint="default" w:ascii="Times New Roman" w:hAnsi="Times New Roman" w:eastAsia="宋体" w:cs="Times New Roman"/>
                <w:i w:val="0"/>
                <w:iCs w:val="0"/>
                <w:color w:val="auto"/>
                <w:sz w:val="21"/>
                <w:szCs w:val="21"/>
                <w:u w:val="none"/>
              </w:rPr>
            </w:pPr>
          </w:p>
        </w:tc>
        <w:tc>
          <w:tcPr>
            <w:tcW w:w="1522" w:type="dxa"/>
            <w:vMerge w:val="continue"/>
            <w:tcBorders>
              <w:tl2br w:val="nil"/>
              <w:tr2bl w:val="nil"/>
            </w:tcBorders>
            <w:shd w:val="clear" w:color="auto" w:fill="auto"/>
            <w:vAlign w:val="center"/>
          </w:tcPr>
          <w:p w14:paraId="54A96F17">
            <w:pPr>
              <w:keepNext w:val="0"/>
              <w:keepLines w:val="0"/>
              <w:widowControl/>
              <w:suppressLineNumbers w:val="0"/>
              <w:jc w:val="center"/>
              <w:textAlignment w:val="top"/>
              <w:rPr>
                <w:rFonts w:hint="default" w:ascii="Times New Roman" w:hAnsi="Times New Roman" w:eastAsia="宋体" w:cs="Times New Roman"/>
                <w:i w:val="0"/>
                <w:iCs w:val="0"/>
                <w:color w:val="auto"/>
                <w:sz w:val="21"/>
                <w:szCs w:val="21"/>
                <w:u w:val="none"/>
              </w:rPr>
            </w:pPr>
          </w:p>
        </w:tc>
        <w:tc>
          <w:tcPr>
            <w:tcW w:w="1380" w:type="dxa"/>
            <w:tcBorders>
              <w:tl2br w:val="nil"/>
              <w:tr2bl w:val="nil"/>
            </w:tcBorders>
            <w:shd w:val="clear" w:color="auto" w:fill="auto"/>
            <w:vAlign w:val="center"/>
          </w:tcPr>
          <w:p w14:paraId="2D6E2DB4">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ND</w:t>
            </w:r>
          </w:p>
        </w:tc>
        <w:tc>
          <w:tcPr>
            <w:tcW w:w="1366" w:type="dxa"/>
            <w:vMerge w:val="continue"/>
            <w:tcBorders>
              <w:tl2br w:val="nil"/>
              <w:tr2bl w:val="nil"/>
            </w:tcBorders>
            <w:shd w:val="clear" w:color="auto" w:fill="auto"/>
            <w:vAlign w:val="center"/>
          </w:tcPr>
          <w:p w14:paraId="4AFCE5D9">
            <w:pPr>
              <w:keepNext w:val="0"/>
              <w:keepLines w:val="0"/>
              <w:widowControl/>
              <w:suppressLineNumbers w:val="0"/>
              <w:jc w:val="center"/>
              <w:textAlignment w:val="top"/>
              <w:rPr>
                <w:rFonts w:hint="default" w:ascii="Times New Roman" w:hAnsi="Times New Roman" w:eastAsia="宋体" w:cs="Times New Roman"/>
                <w:i w:val="0"/>
                <w:iCs w:val="0"/>
                <w:color w:val="auto"/>
                <w:sz w:val="21"/>
                <w:szCs w:val="21"/>
                <w:u w:val="none"/>
              </w:rPr>
            </w:pPr>
          </w:p>
        </w:tc>
        <w:tc>
          <w:tcPr>
            <w:tcW w:w="1370" w:type="dxa"/>
            <w:vMerge w:val="continue"/>
            <w:tcBorders>
              <w:tl2br w:val="nil"/>
              <w:tr2bl w:val="nil"/>
            </w:tcBorders>
            <w:shd w:val="clear" w:color="auto" w:fill="auto"/>
            <w:vAlign w:val="center"/>
          </w:tcPr>
          <w:p w14:paraId="6E1C3C63">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u w:val="none"/>
                <w:lang w:val="en-US" w:eastAsia="zh-CN" w:bidi="ar"/>
              </w:rPr>
            </w:pPr>
          </w:p>
        </w:tc>
        <w:tc>
          <w:tcPr>
            <w:tcW w:w="1390" w:type="dxa"/>
            <w:tcBorders>
              <w:tl2br w:val="nil"/>
              <w:tr2bl w:val="nil"/>
            </w:tcBorders>
            <w:shd w:val="clear" w:color="auto" w:fill="auto"/>
            <w:vAlign w:val="center"/>
          </w:tcPr>
          <w:p w14:paraId="4F4F47F5">
            <w:pPr>
              <w:keepNext w:val="0"/>
              <w:keepLines w:val="0"/>
              <w:widowControl/>
              <w:suppressLineNumbers w:val="0"/>
              <w:jc w:val="center"/>
              <w:textAlignment w:val="center"/>
              <w:rPr>
                <w:rFonts w:hint="default" w:ascii="Times New Roman" w:hAnsi="Times New Roman" w:eastAsia="宋体" w:cs="Times New Roman"/>
                <w:i w:val="0"/>
                <w:iCs w:val="0"/>
                <w:color w:val="auto"/>
                <w:sz w:val="21"/>
                <w:szCs w:val="21"/>
                <w:u w:val="none"/>
                <w:lang w:val="en-US" w:eastAsia="zh-CN"/>
              </w:rPr>
            </w:pPr>
            <w:r>
              <w:rPr>
                <w:rFonts w:hint="eastAsia" w:cs="Times New Roman"/>
                <w:i w:val="0"/>
                <w:iCs w:val="0"/>
                <w:color w:val="auto"/>
                <w:sz w:val="21"/>
                <w:szCs w:val="21"/>
                <w:u w:val="none"/>
                <w:lang w:val="en-US" w:eastAsia="zh-CN"/>
              </w:rPr>
              <w:t>0.79</w:t>
            </w:r>
          </w:p>
        </w:tc>
      </w:tr>
      <w:tr w14:paraId="10599F30">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shd w:val="clear" w:color="auto" w:fill="auto"/>
          <w:tblCellMar>
            <w:top w:w="0" w:type="dxa"/>
            <w:left w:w="108" w:type="dxa"/>
            <w:bottom w:w="0" w:type="dxa"/>
            <w:right w:w="108" w:type="dxa"/>
          </w:tblCellMar>
        </w:tblPrEx>
        <w:trPr>
          <w:trHeight w:val="454" w:hRule="atLeast"/>
          <w:jc w:val="center"/>
        </w:trPr>
        <w:tc>
          <w:tcPr>
            <w:tcW w:w="1669" w:type="dxa"/>
            <w:tcBorders>
              <w:tl2br w:val="nil"/>
              <w:tr2bl w:val="nil"/>
            </w:tcBorders>
            <w:shd w:val="clear" w:color="auto" w:fill="auto"/>
            <w:vAlign w:val="center"/>
          </w:tcPr>
          <w:p w14:paraId="63C87DFF">
            <w:pPr>
              <w:jc w:val="center"/>
              <w:rPr>
                <w:rFonts w:hint="default" w:cs="Times New Roman"/>
                <w:i w:val="0"/>
                <w:iCs w:val="0"/>
                <w:color w:val="auto"/>
                <w:sz w:val="21"/>
                <w:szCs w:val="21"/>
                <w:u w:val="none"/>
                <w:lang w:val="en-US" w:eastAsia="zh-CN"/>
              </w:rPr>
            </w:pPr>
            <w:r>
              <w:rPr>
                <w:rFonts w:hint="eastAsia" w:cs="Times New Roman"/>
                <w:i w:val="0"/>
                <w:iCs w:val="0"/>
                <w:color w:val="auto"/>
                <w:sz w:val="21"/>
                <w:szCs w:val="21"/>
                <w:u w:val="none"/>
                <w:lang w:val="en-US" w:eastAsia="zh-CN"/>
              </w:rPr>
              <w:t>二噁英</w:t>
            </w:r>
          </w:p>
        </w:tc>
        <w:tc>
          <w:tcPr>
            <w:tcW w:w="1209" w:type="dxa"/>
            <w:vMerge w:val="continue"/>
            <w:tcBorders>
              <w:tl2br w:val="nil"/>
              <w:tr2bl w:val="nil"/>
            </w:tcBorders>
            <w:shd w:val="clear" w:color="auto" w:fill="auto"/>
            <w:vAlign w:val="center"/>
          </w:tcPr>
          <w:p w14:paraId="59A6E507">
            <w:pPr>
              <w:keepNext w:val="0"/>
              <w:keepLines w:val="0"/>
              <w:widowControl/>
              <w:suppressLineNumbers w:val="0"/>
              <w:jc w:val="center"/>
              <w:textAlignment w:val="top"/>
              <w:rPr>
                <w:rFonts w:hint="default" w:ascii="Times New Roman" w:hAnsi="Times New Roman" w:eastAsia="宋体" w:cs="Times New Roman"/>
                <w:i w:val="0"/>
                <w:iCs w:val="0"/>
                <w:color w:val="auto"/>
                <w:sz w:val="21"/>
                <w:szCs w:val="21"/>
                <w:u w:val="none"/>
              </w:rPr>
            </w:pPr>
          </w:p>
        </w:tc>
        <w:tc>
          <w:tcPr>
            <w:tcW w:w="1522" w:type="dxa"/>
            <w:tcBorders>
              <w:tl2br w:val="nil"/>
              <w:tr2bl w:val="nil"/>
            </w:tcBorders>
            <w:shd w:val="clear" w:color="auto" w:fill="auto"/>
            <w:vAlign w:val="center"/>
          </w:tcPr>
          <w:p w14:paraId="2D2DE133">
            <w:pPr>
              <w:keepNext w:val="0"/>
              <w:keepLines w:val="0"/>
              <w:widowControl/>
              <w:suppressLineNumbers w:val="0"/>
              <w:jc w:val="center"/>
              <w:textAlignment w:val="top"/>
              <w:rPr>
                <w:color w:val="auto"/>
                <w:sz w:val="21"/>
                <w:szCs w:val="21"/>
              </w:rPr>
            </w:pPr>
            <w:r>
              <w:rPr>
                <w:color w:val="auto"/>
                <w:sz w:val="21"/>
                <w:szCs w:val="21"/>
              </w:rPr>
              <w:t>2014年7月22日～7月23日</w:t>
            </w:r>
          </w:p>
        </w:tc>
        <w:tc>
          <w:tcPr>
            <w:tcW w:w="1380" w:type="dxa"/>
            <w:tcBorders>
              <w:tl2br w:val="nil"/>
              <w:tr2bl w:val="nil"/>
            </w:tcBorders>
            <w:shd w:val="clear" w:color="auto" w:fill="auto"/>
            <w:vAlign w:val="center"/>
          </w:tcPr>
          <w:p w14:paraId="79948B8A">
            <w:pPr>
              <w:keepNext w:val="0"/>
              <w:keepLines w:val="0"/>
              <w:widowControl/>
              <w:suppressLineNumbers w:val="0"/>
              <w:jc w:val="center"/>
              <w:textAlignment w:val="top"/>
              <w:rPr>
                <w:b w:val="0"/>
                <w:bCs w:val="0"/>
                <w:color w:val="auto"/>
              </w:rPr>
            </w:pPr>
            <w:r>
              <w:rPr>
                <w:color w:val="auto"/>
              </w:rPr>
              <w:t>0.03</w:t>
            </w:r>
            <w:r>
              <w:rPr>
                <w:b w:val="0"/>
                <w:bCs w:val="0"/>
                <w:color w:val="auto"/>
              </w:rPr>
              <w:t>5</w:t>
            </w:r>
          </w:p>
          <w:p w14:paraId="58505DB4">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u w:val="none"/>
                <w:lang w:val="en-US" w:eastAsia="zh-CN" w:bidi="ar"/>
              </w:rPr>
            </w:pPr>
            <w:r>
              <w:rPr>
                <w:b w:val="0"/>
                <w:bCs w:val="0"/>
                <w:color w:val="auto"/>
              </w:rPr>
              <w:t>pg-TEQ/Nm</w:t>
            </w:r>
            <w:r>
              <w:rPr>
                <w:b w:val="0"/>
                <w:bCs w:val="0"/>
                <w:color w:val="auto"/>
                <w:vertAlign w:val="superscript"/>
              </w:rPr>
              <w:t>3</w:t>
            </w:r>
          </w:p>
        </w:tc>
        <w:tc>
          <w:tcPr>
            <w:tcW w:w="1366" w:type="dxa"/>
            <w:vMerge w:val="continue"/>
            <w:tcBorders>
              <w:tl2br w:val="nil"/>
              <w:tr2bl w:val="nil"/>
            </w:tcBorders>
            <w:shd w:val="clear" w:color="auto" w:fill="auto"/>
            <w:vAlign w:val="center"/>
          </w:tcPr>
          <w:p w14:paraId="09C42AD1">
            <w:pPr>
              <w:keepNext w:val="0"/>
              <w:keepLines w:val="0"/>
              <w:widowControl/>
              <w:suppressLineNumbers w:val="0"/>
              <w:jc w:val="center"/>
              <w:textAlignment w:val="top"/>
              <w:rPr>
                <w:rFonts w:hint="default" w:ascii="Times New Roman" w:hAnsi="Times New Roman" w:eastAsia="宋体" w:cs="Times New Roman"/>
                <w:i w:val="0"/>
                <w:iCs w:val="0"/>
                <w:color w:val="auto"/>
                <w:sz w:val="21"/>
                <w:szCs w:val="21"/>
                <w:u w:val="none"/>
              </w:rPr>
            </w:pPr>
          </w:p>
        </w:tc>
        <w:tc>
          <w:tcPr>
            <w:tcW w:w="1370" w:type="dxa"/>
            <w:vMerge w:val="continue"/>
            <w:tcBorders>
              <w:tl2br w:val="nil"/>
              <w:tr2bl w:val="nil"/>
            </w:tcBorders>
            <w:shd w:val="clear" w:color="auto" w:fill="auto"/>
            <w:vAlign w:val="center"/>
          </w:tcPr>
          <w:p w14:paraId="63FB7F90">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u w:val="none"/>
                <w:lang w:val="en-US" w:eastAsia="zh-CN" w:bidi="ar"/>
              </w:rPr>
            </w:pPr>
          </w:p>
        </w:tc>
        <w:tc>
          <w:tcPr>
            <w:tcW w:w="1390" w:type="dxa"/>
            <w:tcBorders>
              <w:tl2br w:val="nil"/>
              <w:tr2bl w:val="nil"/>
            </w:tcBorders>
            <w:shd w:val="clear" w:color="auto" w:fill="auto"/>
            <w:vAlign w:val="center"/>
          </w:tcPr>
          <w:p w14:paraId="6D93D2AF">
            <w:pPr>
              <w:keepNext w:val="0"/>
              <w:keepLines w:val="0"/>
              <w:widowControl/>
              <w:suppressLineNumbers w:val="0"/>
              <w:jc w:val="center"/>
              <w:textAlignment w:val="center"/>
              <w:rPr>
                <w:rFonts w:hint="eastAsia" w:cs="Times New Roman"/>
                <w:color w:val="auto"/>
                <w:spacing w:val="-2"/>
                <w:kern w:val="0"/>
                <w:sz w:val="21"/>
                <w:szCs w:val="20"/>
                <w:highlight w:val="none"/>
                <w:lang w:val="en-US" w:eastAsia="zh-CN" w:bidi="ar-SA"/>
              </w:rPr>
            </w:pPr>
            <w:r>
              <w:rPr>
                <w:rFonts w:hint="eastAsia" w:cs="Times New Roman"/>
                <w:color w:val="auto"/>
                <w:spacing w:val="-2"/>
                <w:kern w:val="0"/>
                <w:sz w:val="21"/>
                <w:szCs w:val="20"/>
                <w:highlight w:val="none"/>
                <w:lang w:val="en-US" w:eastAsia="zh-CN" w:bidi="ar-SA"/>
              </w:rPr>
              <w:t>0.015</w:t>
            </w:r>
          </w:p>
          <w:p w14:paraId="4EE899FB">
            <w:pPr>
              <w:keepNext w:val="0"/>
              <w:keepLines w:val="0"/>
              <w:widowControl/>
              <w:suppressLineNumbers w:val="0"/>
              <w:jc w:val="center"/>
              <w:textAlignment w:val="center"/>
              <w:rPr>
                <w:rFonts w:hint="default" w:ascii="Times New Roman" w:hAnsi="Times New Roman" w:eastAsia="宋体" w:cs="Times New Roman"/>
                <w:i w:val="0"/>
                <w:iCs w:val="0"/>
                <w:color w:val="auto"/>
                <w:sz w:val="21"/>
                <w:szCs w:val="21"/>
                <w:u w:val="none"/>
              </w:rPr>
            </w:pPr>
            <w:r>
              <w:rPr>
                <w:b w:val="0"/>
                <w:bCs w:val="0"/>
                <w:color w:val="auto"/>
              </w:rPr>
              <w:t>pg-TEQ/Nm</w:t>
            </w:r>
            <w:r>
              <w:rPr>
                <w:b w:val="0"/>
                <w:bCs w:val="0"/>
                <w:color w:val="auto"/>
                <w:vertAlign w:val="superscript"/>
              </w:rPr>
              <w:t>3</w:t>
            </w:r>
          </w:p>
        </w:tc>
      </w:tr>
    </w:tbl>
    <w:p w14:paraId="5B2E5491">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240" w:lineRule="auto"/>
        <w:ind w:leftChars="0" w:firstLine="420" w:firstLineChars="200"/>
        <w:jc w:val="both"/>
        <w:textAlignment w:val="auto"/>
        <w:rPr>
          <w:rFonts w:hint="default" w:ascii="Times New Roman" w:hAnsi="Times New Roman" w:cs="Times New Roman"/>
          <w:b w:val="0"/>
          <w:bCs w:val="0"/>
          <w:color w:val="auto"/>
          <w:sz w:val="21"/>
          <w:szCs w:val="21"/>
          <w:lang w:val="en-US" w:eastAsia="zh-CN"/>
        </w:rPr>
      </w:pPr>
      <w:r>
        <w:rPr>
          <w:rFonts w:hint="eastAsia" w:ascii="Times New Roman" w:hAnsi="Times New Roman" w:cs="Times New Roman"/>
          <w:b w:val="0"/>
          <w:bCs w:val="0"/>
          <w:color w:val="auto"/>
          <w:sz w:val="21"/>
          <w:szCs w:val="21"/>
          <w:lang w:val="en-US" w:eastAsia="zh-CN"/>
        </w:rPr>
        <w:t>注：ND表示未检出。</w:t>
      </w:r>
    </w:p>
    <w:p w14:paraId="73F9CA2B">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ind w:leftChars="0" w:firstLine="482" w:firstLineChars="200"/>
        <w:jc w:val="both"/>
        <w:textAlignment w:val="auto"/>
        <w:rPr>
          <w:rFonts w:hint="default" w:ascii="Times New Roman" w:hAnsi="Times New Roman" w:cs="Times New Roman"/>
          <w:b w:val="0"/>
          <w:bCs w:val="0"/>
          <w:color w:val="auto"/>
          <w:lang w:val="en-US" w:eastAsia="zh-CN"/>
        </w:rPr>
      </w:pPr>
      <w:r>
        <w:rPr>
          <w:rFonts w:hint="eastAsia" w:ascii="Times New Roman" w:hAnsi="Times New Roman" w:cs="Times New Roman"/>
          <w:b/>
          <w:bCs/>
          <w:color w:val="auto"/>
          <w:lang w:val="en-US" w:eastAsia="zh-CN"/>
        </w:rPr>
        <w:t>变化趋势分析：</w:t>
      </w:r>
      <w:r>
        <w:rPr>
          <w:rFonts w:hint="eastAsia" w:ascii="Times New Roman" w:hAnsi="Times New Roman" w:cs="Times New Roman"/>
          <w:b w:val="0"/>
          <w:bCs w:val="0"/>
          <w:color w:val="auto"/>
          <w:lang w:val="en-US" w:eastAsia="zh-CN"/>
        </w:rPr>
        <w:t>与环评时期对比，氯化氢、氟化物、二噁英类现状监测浓度中，氯化氢监测浓度基本无变化，二噁英类监测浓度略微下降，氟化物监测浓度略微上升，变化比很小。</w:t>
      </w:r>
    </w:p>
    <w:p w14:paraId="569BD71C">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jc w:val="both"/>
        <w:textAlignment w:val="auto"/>
        <w:rPr>
          <w:color w:val="auto"/>
        </w:rPr>
      </w:pPr>
      <w:r>
        <w:rPr>
          <w:color w:val="auto"/>
          <w:sz w:val="24"/>
        </w:rPr>
        <mc:AlternateContent>
          <mc:Choice Requires="wps">
            <w:drawing>
              <wp:anchor distT="0" distB="0" distL="114300" distR="114300" simplePos="0" relativeHeight="251671552" behindDoc="0" locked="0" layoutInCell="1" allowOverlap="1">
                <wp:simplePos x="0" y="0"/>
                <wp:positionH relativeFrom="column">
                  <wp:posOffset>2127885</wp:posOffset>
                </wp:positionH>
                <wp:positionV relativeFrom="paragraph">
                  <wp:posOffset>4069080</wp:posOffset>
                </wp:positionV>
                <wp:extent cx="2152650" cy="314325"/>
                <wp:effectExtent l="0" t="0" r="0" b="0"/>
                <wp:wrapNone/>
                <wp:docPr id="61" name="文本框 61"/>
                <wp:cNvGraphicFramePr/>
                <a:graphic xmlns:a="http://schemas.openxmlformats.org/drawingml/2006/main">
                  <a:graphicData uri="http://schemas.microsoft.com/office/word/2010/wordprocessingShape">
                    <wps:wsp>
                      <wps:cNvSpPr txBox="1"/>
                      <wps:spPr>
                        <a:xfrm>
                          <a:off x="3032760" y="9721850"/>
                          <a:ext cx="2152650" cy="314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A61792">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jc w:val="center"/>
                              <w:textAlignment w:val="auto"/>
                              <w:rPr>
                                <w:rFonts w:hint="default"/>
                                <w:color w:val="000000" w:themeColor="text1"/>
                                <w:lang w:val="en-US" w:eastAsia="zh-CN"/>
                                <w14:textFill>
                                  <w14:solidFill>
                                    <w14:schemeClr w14:val="tx1"/>
                                  </w14:solidFill>
                                </w14:textFill>
                              </w:rPr>
                            </w:pPr>
                            <w:r>
                              <w:rPr>
                                <w:rFonts w:hint="default" w:ascii="Times New Roman" w:hAnsi="Times New Roman" w:cs="Times New Roman"/>
                                <w:b/>
                                <w:bCs/>
                                <w:color w:val="000000" w:themeColor="text1"/>
                                <w:lang w:val="en-US" w:eastAsia="zh-CN"/>
                                <w14:textFill>
                                  <w14:solidFill>
                                    <w14:schemeClr w14:val="tx1"/>
                                  </w14:solidFill>
                                </w14:textFill>
                              </w:rPr>
                              <w:t>图4-</w:t>
                            </w:r>
                            <w:r>
                              <w:rPr>
                                <w:rFonts w:hint="eastAsia" w:ascii="Times New Roman" w:hAnsi="Times New Roman" w:cs="Times New Roman"/>
                                <w:b/>
                                <w:bCs/>
                                <w:color w:val="000000" w:themeColor="text1"/>
                                <w:lang w:val="en-US" w:eastAsia="zh-CN"/>
                                <w14:textFill>
                                  <w14:solidFill>
                                    <w14:schemeClr w14:val="tx1"/>
                                  </w14:solidFill>
                                </w14:textFill>
                              </w:rPr>
                              <w:t>2</w:t>
                            </w:r>
                            <w:r>
                              <w:rPr>
                                <w:rFonts w:hint="default" w:ascii="Times New Roman" w:hAnsi="Times New Roman" w:cs="Times New Roman"/>
                                <w:b/>
                                <w:bCs/>
                                <w:color w:val="000000" w:themeColor="text1"/>
                                <w:lang w:val="en-US" w:eastAsia="zh-CN"/>
                                <w14:textFill>
                                  <w14:solidFill>
                                    <w14:schemeClr w14:val="tx1"/>
                                  </w14:solidFill>
                                </w14:textFill>
                              </w:rPr>
                              <w:t xml:space="preserve"> </w:t>
                            </w:r>
                            <w:r>
                              <w:rPr>
                                <w:rFonts w:hint="eastAsia" w:ascii="Times New Roman" w:hAnsi="Times New Roman" w:cs="Times New Roman"/>
                                <w:b/>
                                <w:bCs/>
                                <w:color w:val="000000" w:themeColor="text1"/>
                                <w:lang w:val="en-US" w:eastAsia="zh-CN"/>
                                <w14:textFill>
                                  <w14:solidFill>
                                    <w14:schemeClr w14:val="tx1"/>
                                  </w14:solidFill>
                                </w14:textFill>
                              </w:rPr>
                              <w:t>其他</w:t>
                            </w:r>
                            <w:r>
                              <w:rPr>
                                <w:rFonts w:hint="default" w:ascii="Times New Roman" w:hAnsi="Times New Roman" w:cs="Times New Roman"/>
                                <w:b/>
                                <w:bCs/>
                                <w:color w:val="000000" w:themeColor="text1"/>
                                <w:lang w:val="en-US" w:eastAsia="zh-CN"/>
                                <w14:textFill>
                                  <w14:solidFill>
                                    <w14:schemeClr w14:val="tx1"/>
                                  </w14:solidFill>
                                </w14:textFill>
                              </w:rPr>
                              <w:t>污染物变化趋势图</w:t>
                            </w:r>
                          </w:p>
                          <w:p w14:paraId="1F47B6B3"/>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7.55pt;margin-top:320.4pt;height:24.75pt;width:169.5pt;z-index:251671552;mso-width-relative:page;mso-height-relative:page;" filled="f" stroked="f" coordsize="21600,21600" o:gfxdata="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3uEC9wAAAALAQAADwAAAAAAAAAB&#10;ACAAAAAiAAAAZHJzL2Rvd25yZXYueG1sUEsBAhQAFAAAAAgAh07iQPF91cBFAgAAdAQAAA4AAAAA&#10;AAAAAQAgAAAAKwEAAGRycy9lMm9Eb2MueG1sUEsFBgAAAAAGAAYAWQEAAOIFAAAAAA==&#10;">
                <v:fill on="f" focussize="0,0"/>
                <v:stroke on="f" weight="0.5pt"/>
                <v:imagedata o:title=""/>
                <o:lock v:ext="edit" aspectratio="f"/>
                <v:textbox>
                  <w:txbxContent>
                    <w:p w14:paraId="27A61792">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jc w:val="center"/>
                        <w:textAlignment w:val="auto"/>
                        <w:rPr>
                          <w:rFonts w:hint="default"/>
                          <w:color w:val="000000" w:themeColor="text1"/>
                          <w:lang w:val="en-US" w:eastAsia="zh-CN"/>
                          <w14:textFill>
                            <w14:solidFill>
                              <w14:schemeClr w14:val="tx1"/>
                            </w14:solidFill>
                          </w14:textFill>
                        </w:rPr>
                      </w:pPr>
                      <w:r>
                        <w:rPr>
                          <w:rFonts w:hint="default" w:ascii="Times New Roman" w:hAnsi="Times New Roman" w:cs="Times New Roman"/>
                          <w:b/>
                          <w:bCs/>
                          <w:color w:val="000000" w:themeColor="text1"/>
                          <w:lang w:val="en-US" w:eastAsia="zh-CN"/>
                          <w14:textFill>
                            <w14:solidFill>
                              <w14:schemeClr w14:val="tx1"/>
                            </w14:solidFill>
                          </w14:textFill>
                        </w:rPr>
                        <w:t>图4-</w:t>
                      </w:r>
                      <w:r>
                        <w:rPr>
                          <w:rFonts w:hint="eastAsia" w:ascii="Times New Roman" w:hAnsi="Times New Roman" w:cs="Times New Roman"/>
                          <w:b/>
                          <w:bCs/>
                          <w:color w:val="000000" w:themeColor="text1"/>
                          <w:lang w:val="en-US" w:eastAsia="zh-CN"/>
                          <w14:textFill>
                            <w14:solidFill>
                              <w14:schemeClr w14:val="tx1"/>
                            </w14:solidFill>
                          </w14:textFill>
                        </w:rPr>
                        <w:t>2</w:t>
                      </w:r>
                      <w:r>
                        <w:rPr>
                          <w:rFonts w:hint="default" w:ascii="Times New Roman" w:hAnsi="Times New Roman" w:cs="Times New Roman"/>
                          <w:b/>
                          <w:bCs/>
                          <w:color w:val="000000" w:themeColor="text1"/>
                          <w:lang w:val="en-US" w:eastAsia="zh-CN"/>
                          <w14:textFill>
                            <w14:solidFill>
                              <w14:schemeClr w14:val="tx1"/>
                            </w14:solidFill>
                          </w14:textFill>
                        </w:rPr>
                        <w:t xml:space="preserve"> </w:t>
                      </w:r>
                      <w:r>
                        <w:rPr>
                          <w:rFonts w:hint="eastAsia" w:ascii="Times New Roman" w:hAnsi="Times New Roman" w:cs="Times New Roman"/>
                          <w:b/>
                          <w:bCs/>
                          <w:color w:val="000000" w:themeColor="text1"/>
                          <w:lang w:val="en-US" w:eastAsia="zh-CN"/>
                          <w14:textFill>
                            <w14:solidFill>
                              <w14:schemeClr w14:val="tx1"/>
                            </w14:solidFill>
                          </w14:textFill>
                        </w:rPr>
                        <w:t>其他</w:t>
                      </w:r>
                      <w:r>
                        <w:rPr>
                          <w:rFonts w:hint="default" w:ascii="Times New Roman" w:hAnsi="Times New Roman" w:cs="Times New Roman"/>
                          <w:b/>
                          <w:bCs/>
                          <w:color w:val="000000" w:themeColor="text1"/>
                          <w:lang w:val="en-US" w:eastAsia="zh-CN"/>
                          <w14:textFill>
                            <w14:solidFill>
                              <w14:schemeClr w14:val="tx1"/>
                            </w14:solidFill>
                          </w14:textFill>
                        </w:rPr>
                        <w:t>污染物变化趋势图</w:t>
                      </w:r>
                    </w:p>
                    <w:p w14:paraId="1F47B6B3"/>
                  </w:txbxContent>
                </v:textbox>
              </v:shape>
            </w:pict>
          </mc:Fallback>
        </mc:AlternateContent>
      </w:r>
    </w:p>
    <w:p w14:paraId="0DD73CAA">
      <w:pPr>
        <w:spacing w:line="360" w:lineRule="auto"/>
        <w:outlineLvl w:val="2"/>
        <w:rPr>
          <w:rFonts w:hint="eastAsia"/>
          <w:b/>
          <w:bCs/>
          <w:color w:val="auto"/>
          <w:sz w:val="24"/>
        </w:rPr>
      </w:pPr>
      <w:r>
        <w:rPr>
          <w:rFonts w:hint="eastAsia"/>
          <w:b/>
          <w:bCs/>
          <w:color w:val="auto"/>
          <w:sz w:val="24"/>
        </w:rPr>
        <w:t>4.4.</w:t>
      </w:r>
      <w:r>
        <w:rPr>
          <w:rFonts w:hint="eastAsia"/>
          <w:b/>
          <w:bCs/>
          <w:color w:val="auto"/>
          <w:sz w:val="24"/>
          <w:lang w:val="en-US" w:eastAsia="zh-CN"/>
        </w:rPr>
        <w:t>2地下水</w:t>
      </w:r>
      <w:r>
        <w:rPr>
          <w:rFonts w:hint="eastAsia"/>
          <w:b/>
          <w:bCs/>
          <w:color w:val="auto"/>
          <w:sz w:val="24"/>
        </w:rPr>
        <w:t>环境质量现状</w:t>
      </w:r>
      <w:r>
        <w:rPr>
          <w:rFonts w:hint="eastAsia"/>
          <w:b/>
          <w:bCs/>
          <w:color w:val="auto"/>
          <w:sz w:val="24"/>
          <w:lang w:val="en-US" w:eastAsia="zh-CN"/>
        </w:rPr>
        <w:t>变化</w:t>
      </w:r>
    </w:p>
    <w:p w14:paraId="3331DF54">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default" w:ascii="Times New Roman" w:hAnsi="Times New Roman" w:cs="Times New Roman"/>
          <w:b w:val="0"/>
          <w:bCs w:val="0"/>
          <w:color w:val="auto"/>
          <w:sz w:val="24"/>
          <w:lang w:val="en-US" w:eastAsia="zh-CN"/>
        </w:rPr>
      </w:pPr>
      <w:r>
        <w:rPr>
          <w:rFonts w:hint="default" w:ascii="Times New Roman" w:hAnsi="Times New Roman" w:cs="Times New Roman"/>
          <w:b w:val="0"/>
          <w:bCs w:val="0"/>
          <w:color w:val="auto"/>
          <w:sz w:val="24"/>
          <w:lang w:val="en-US" w:eastAsia="zh-CN"/>
        </w:rPr>
        <w:t>本次地下水环境质量现状评价选取两期监测数据进行对比。历史数据引</w:t>
      </w:r>
      <w:r>
        <w:rPr>
          <w:rFonts w:hint="eastAsia" w:ascii="Times New Roman" w:hAnsi="Times New Roman" w:cs="Times New Roman"/>
          <w:b w:val="0"/>
          <w:bCs w:val="0"/>
          <w:color w:val="auto"/>
          <w:sz w:val="24"/>
          <w:lang w:val="en-US" w:eastAsia="zh-CN"/>
        </w:rPr>
        <w:t>用环评阶段监测数据，</w:t>
      </w:r>
      <w:r>
        <w:rPr>
          <w:rFonts w:hint="default" w:ascii="Times New Roman" w:hAnsi="Times New Roman" w:cs="Times New Roman"/>
          <w:b w:val="0"/>
          <w:bCs w:val="0"/>
          <w:color w:val="auto"/>
          <w:sz w:val="24"/>
          <w:lang w:val="en-US" w:eastAsia="zh-CN"/>
        </w:rPr>
        <w:t>近期数据引用《安徽濉溪经济开发区总体发展规划（2023～2035）环境影响报告书》中“区内香樟路空地”等监测点位数据，监测时间为2023年7月12日。两期数据监测结果见下表：</w:t>
      </w:r>
    </w:p>
    <w:p w14:paraId="0EEE08C3">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jc w:val="center"/>
        <w:textAlignment w:val="auto"/>
        <w:rPr>
          <w:rFonts w:hint="default"/>
          <w:b/>
          <w:bCs/>
          <w:color w:val="auto"/>
          <w:lang w:val="en-US" w:eastAsia="zh-CN"/>
        </w:rPr>
      </w:pPr>
      <w:r>
        <w:rPr>
          <w:rFonts w:hint="eastAsia" w:ascii="Times New Roman" w:hAnsi="Times New Roman" w:cs="Times New Roman"/>
          <w:b/>
          <w:bCs/>
          <w:color w:val="auto"/>
          <w:sz w:val="24"/>
          <w:lang w:val="en-US" w:eastAsia="zh-CN"/>
        </w:rPr>
        <w:t>表4-18 环评阶段与近期地下水环境质量现状监测结果对比一览表</w:t>
      </w:r>
    </w:p>
    <w:tbl>
      <w:tblPr>
        <w:tblStyle w:val="31"/>
        <w:tblW w:w="4967"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shd w:val="clear" w:color="auto" w:fill="auto"/>
        <w:tblLayout w:type="autofit"/>
        <w:tblCellMar>
          <w:top w:w="0" w:type="dxa"/>
          <w:left w:w="108" w:type="dxa"/>
          <w:bottom w:w="0" w:type="dxa"/>
          <w:right w:w="108" w:type="dxa"/>
        </w:tblCellMar>
      </w:tblPr>
      <w:tblGrid>
        <w:gridCol w:w="1663"/>
        <w:gridCol w:w="1208"/>
        <w:gridCol w:w="1521"/>
        <w:gridCol w:w="1382"/>
        <w:gridCol w:w="1362"/>
        <w:gridCol w:w="1366"/>
        <w:gridCol w:w="1394"/>
      </w:tblGrid>
      <w:tr w14:paraId="52B954C4">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shd w:val="clear" w:color="auto" w:fill="auto"/>
          <w:tblCellMar>
            <w:top w:w="0" w:type="dxa"/>
            <w:left w:w="108" w:type="dxa"/>
            <w:bottom w:w="0" w:type="dxa"/>
            <w:right w:w="108" w:type="dxa"/>
          </w:tblCellMar>
        </w:tblPrEx>
        <w:trPr>
          <w:trHeight w:val="454" w:hRule="atLeast"/>
          <w:jc w:val="center"/>
        </w:trPr>
        <w:tc>
          <w:tcPr>
            <w:tcW w:w="840" w:type="pct"/>
            <w:vMerge w:val="restart"/>
            <w:tcBorders>
              <w:tl2br w:val="nil"/>
              <w:tr2bl w:val="nil"/>
            </w:tcBorders>
            <w:shd w:val="clear" w:color="auto" w:fill="auto"/>
            <w:vAlign w:val="center"/>
          </w:tcPr>
          <w:p w14:paraId="6B5CBA9F">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rPr>
            </w:pPr>
            <w:r>
              <w:rPr>
                <w:rFonts w:hint="default" w:ascii="Times New Roman" w:hAnsi="Times New Roman" w:eastAsia="宋体" w:cs="Times New Roman"/>
                <w:b/>
                <w:bCs/>
                <w:i w:val="0"/>
                <w:iCs w:val="0"/>
                <w:color w:val="auto"/>
                <w:kern w:val="0"/>
                <w:sz w:val="21"/>
                <w:szCs w:val="21"/>
                <w:u w:val="none"/>
                <w:lang w:val="en-US" w:eastAsia="zh-CN" w:bidi="ar"/>
              </w:rPr>
              <w:t>项目</w:t>
            </w:r>
          </w:p>
        </w:tc>
        <w:tc>
          <w:tcPr>
            <w:tcW w:w="2076" w:type="pct"/>
            <w:gridSpan w:val="3"/>
            <w:tcBorders>
              <w:tl2br w:val="nil"/>
              <w:tr2bl w:val="nil"/>
            </w:tcBorders>
            <w:shd w:val="clear" w:color="auto" w:fill="auto"/>
            <w:vAlign w:val="center"/>
          </w:tcPr>
          <w:p w14:paraId="08B21499">
            <w:pPr>
              <w:keepNext w:val="0"/>
              <w:keepLines w:val="0"/>
              <w:widowControl/>
              <w:suppressLineNumbers w:val="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cs="Times New Roman"/>
                <w:b/>
                <w:bCs/>
                <w:color w:val="auto"/>
                <w:sz w:val="24"/>
                <w:szCs w:val="32"/>
                <w:lang w:val="en-US" w:eastAsia="zh-CN"/>
              </w:rPr>
              <w:t>环评</w:t>
            </w:r>
            <w:r>
              <w:rPr>
                <w:rFonts w:hint="eastAsia" w:ascii="Times New Roman" w:hAnsi="Times New Roman" w:cs="Times New Roman"/>
                <w:b/>
                <w:bCs/>
                <w:color w:val="auto"/>
                <w:sz w:val="24"/>
                <w:szCs w:val="32"/>
                <w:lang w:val="en-US" w:eastAsia="zh-CN"/>
              </w:rPr>
              <w:t>阶段监测数据</w:t>
            </w:r>
          </w:p>
        </w:tc>
        <w:tc>
          <w:tcPr>
            <w:tcW w:w="2082" w:type="pct"/>
            <w:gridSpan w:val="3"/>
            <w:tcBorders>
              <w:tl2br w:val="nil"/>
              <w:tr2bl w:val="nil"/>
            </w:tcBorders>
            <w:shd w:val="clear" w:color="auto" w:fill="auto"/>
            <w:vAlign w:val="center"/>
          </w:tcPr>
          <w:p w14:paraId="1E42B257">
            <w:pPr>
              <w:keepNext w:val="0"/>
              <w:keepLines w:val="0"/>
              <w:widowControl/>
              <w:suppressLineNumbers w:val="0"/>
              <w:jc w:val="center"/>
              <w:textAlignment w:val="top"/>
              <w:rPr>
                <w:rFonts w:hint="default" w:ascii="Times New Roman" w:hAnsi="Times New Roman" w:eastAsia="宋体" w:cs="Times New Roman"/>
                <w:b/>
                <w:bCs/>
                <w:i w:val="0"/>
                <w:iCs w:val="0"/>
                <w:color w:val="auto"/>
                <w:kern w:val="0"/>
                <w:sz w:val="21"/>
                <w:szCs w:val="21"/>
                <w:u w:val="none"/>
                <w:lang w:val="en-US" w:eastAsia="zh-CN" w:bidi="ar"/>
              </w:rPr>
            </w:pPr>
            <w:r>
              <w:rPr>
                <w:rFonts w:hint="eastAsia" w:ascii="Times New Roman" w:hAnsi="Times New Roman" w:cs="Times New Roman"/>
                <w:b/>
                <w:bCs/>
                <w:color w:val="auto"/>
                <w:sz w:val="24"/>
                <w:szCs w:val="32"/>
                <w:lang w:val="en-US" w:eastAsia="zh-CN"/>
              </w:rPr>
              <w:t>近期监测数据</w:t>
            </w:r>
          </w:p>
        </w:tc>
      </w:tr>
      <w:tr w14:paraId="3D49256D">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vMerge w:val="continue"/>
            <w:tcBorders>
              <w:tl2br w:val="nil"/>
              <w:tr2bl w:val="nil"/>
            </w:tcBorders>
            <w:shd w:val="clear" w:color="auto" w:fill="auto"/>
            <w:vAlign w:val="center"/>
          </w:tcPr>
          <w:p w14:paraId="55DFD89B">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rPr>
            </w:pPr>
          </w:p>
        </w:tc>
        <w:tc>
          <w:tcPr>
            <w:tcW w:w="610" w:type="pct"/>
            <w:tcBorders>
              <w:tl2br w:val="nil"/>
              <w:tr2bl w:val="nil"/>
            </w:tcBorders>
            <w:shd w:val="clear" w:color="auto" w:fill="auto"/>
            <w:vAlign w:val="center"/>
          </w:tcPr>
          <w:p w14:paraId="6AEC1101">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lang w:val="en-US" w:eastAsia="zh-CN"/>
              </w:rPr>
            </w:pPr>
            <w:r>
              <w:rPr>
                <w:rFonts w:hint="eastAsia" w:cs="Times New Roman"/>
                <w:b/>
                <w:bCs/>
                <w:i w:val="0"/>
                <w:iCs w:val="0"/>
                <w:color w:val="auto"/>
                <w:sz w:val="21"/>
                <w:szCs w:val="21"/>
                <w:u w:val="none"/>
                <w:lang w:val="en-US" w:eastAsia="zh-CN"/>
              </w:rPr>
              <w:t>监测点位</w:t>
            </w:r>
          </w:p>
        </w:tc>
        <w:tc>
          <w:tcPr>
            <w:tcW w:w="768" w:type="pct"/>
            <w:tcBorders>
              <w:tl2br w:val="nil"/>
              <w:tr2bl w:val="nil"/>
            </w:tcBorders>
            <w:shd w:val="clear" w:color="auto" w:fill="auto"/>
            <w:vAlign w:val="center"/>
          </w:tcPr>
          <w:p w14:paraId="6E836709">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lang w:val="en-US"/>
              </w:rPr>
            </w:pPr>
            <w:r>
              <w:rPr>
                <w:rFonts w:hint="eastAsia" w:cs="Times New Roman"/>
                <w:b/>
                <w:bCs/>
                <w:i w:val="0"/>
                <w:iCs w:val="0"/>
                <w:color w:val="auto"/>
                <w:kern w:val="0"/>
                <w:sz w:val="21"/>
                <w:szCs w:val="21"/>
                <w:u w:val="none"/>
                <w:lang w:val="en-US" w:eastAsia="zh-CN" w:bidi="ar"/>
              </w:rPr>
              <w:t>监测时间</w:t>
            </w:r>
          </w:p>
        </w:tc>
        <w:tc>
          <w:tcPr>
            <w:tcW w:w="698" w:type="pct"/>
            <w:tcBorders>
              <w:tl2br w:val="nil"/>
              <w:tr2bl w:val="nil"/>
            </w:tcBorders>
            <w:shd w:val="clear" w:color="auto" w:fill="auto"/>
            <w:vAlign w:val="center"/>
          </w:tcPr>
          <w:p w14:paraId="7BCEC61D">
            <w:pPr>
              <w:keepNext w:val="0"/>
              <w:keepLines w:val="0"/>
              <w:widowControl/>
              <w:suppressLineNumbers w:val="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eastAsia="宋体" w:cs="Times New Roman"/>
                <w:b/>
                <w:bCs/>
                <w:i w:val="0"/>
                <w:iCs w:val="0"/>
                <w:color w:val="auto"/>
                <w:kern w:val="0"/>
                <w:sz w:val="21"/>
                <w:szCs w:val="21"/>
                <w:u w:val="none"/>
                <w:lang w:val="en-US" w:eastAsia="zh-CN" w:bidi="ar"/>
              </w:rPr>
              <w:t>最大监测浓度</w:t>
            </w:r>
            <w:r>
              <w:rPr>
                <w:rFonts w:hint="default" w:ascii="Times New Roman" w:hAnsi="Times New Roman" w:cs="Times New Roman"/>
                <w:b/>
                <w:bCs/>
                <w:color w:val="auto"/>
                <w:sz w:val="21"/>
              </w:rPr>
              <w:t>μg/m</w:t>
            </w:r>
            <w:r>
              <w:rPr>
                <w:rFonts w:hint="default" w:ascii="Times New Roman" w:hAnsi="Times New Roman" w:cs="Times New Roman"/>
                <w:b/>
                <w:bCs/>
                <w:color w:val="auto"/>
                <w:sz w:val="21"/>
                <w:vertAlign w:val="superscript"/>
              </w:rPr>
              <w:t>3</w:t>
            </w:r>
          </w:p>
        </w:tc>
        <w:tc>
          <w:tcPr>
            <w:tcW w:w="688" w:type="pct"/>
            <w:tcBorders>
              <w:tl2br w:val="nil"/>
              <w:tr2bl w:val="nil"/>
            </w:tcBorders>
            <w:shd w:val="clear" w:color="auto" w:fill="auto"/>
            <w:vAlign w:val="center"/>
          </w:tcPr>
          <w:p w14:paraId="43992B60">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rPr>
            </w:pPr>
            <w:r>
              <w:rPr>
                <w:rFonts w:hint="eastAsia" w:cs="Times New Roman"/>
                <w:b/>
                <w:bCs/>
                <w:i w:val="0"/>
                <w:iCs w:val="0"/>
                <w:color w:val="auto"/>
                <w:sz w:val="21"/>
                <w:szCs w:val="21"/>
                <w:u w:val="none"/>
                <w:lang w:val="en-US" w:eastAsia="zh-CN"/>
              </w:rPr>
              <w:t>监测点位</w:t>
            </w:r>
          </w:p>
        </w:tc>
        <w:tc>
          <w:tcPr>
            <w:tcW w:w="690" w:type="pct"/>
            <w:tcBorders>
              <w:tl2br w:val="nil"/>
              <w:tr2bl w:val="nil"/>
            </w:tcBorders>
            <w:shd w:val="clear" w:color="auto" w:fill="auto"/>
            <w:vAlign w:val="center"/>
          </w:tcPr>
          <w:p w14:paraId="75927C16">
            <w:pPr>
              <w:keepNext w:val="0"/>
              <w:keepLines w:val="0"/>
              <w:widowControl/>
              <w:suppressLineNumbers w:val="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eastAsia" w:cs="Times New Roman"/>
                <w:b/>
                <w:bCs/>
                <w:i w:val="0"/>
                <w:iCs w:val="0"/>
                <w:color w:val="auto"/>
                <w:kern w:val="0"/>
                <w:sz w:val="21"/>
                <w:szCs w:val="21"/>
                <w:u w:val="none"/>
                <w:lang w:val="en-US" w:eastAsia="zh-CN" w:bidi="ar"/>
              </w:rPr>
              <w:t>监测时间</w:t>
            </w:r>
          </w:p>
        </w:tc>
        <w:tc>
          <w:tcPr>
            <w:tcW w:w="704" w:type="pct"/>
            <w:tcBorders>
              <w:tl2br w:val="nil"/>
              <w:tr2bl w:val="nil"/>
            </w:tcBorders>
            <w:shd w:val="clear" w:color="auto" w:fill="auto"/>
            <w:vAlign w:val="center"/>
          </w:tcPr>
          <w:p w14:paraId="60BF2B44">
            <w:pPr>
              <w:keepNext w:val="0"/>
              <w:keepLines w:val="0"/>
              <w:widowControl/>
              <w:suppressLineNumbers w:val="0"/>
              <w:jc w:val="center"/>
              <w:textAlignment w:val="center"/>
              <w:rPr>
                <w:rFonts w:hint="default" w:ascii="Times New Roman" w:hAnsi="Times New Roman" w:eastAsia="宋体" w:cs="Times New Roman"/>
                <w:b/>
                <w:bCs/>
                <w:i w:val="0"/>
                <w:iCs w:val="0"/>
                <w:color w:val="auto"/>
                <w:sz w:val="21"/>
                <w:szCs w:val="21"/>
                <w:u w:val="none"/>
              </w:rPr>
            </w:pPr>
            <w:r>
              <w:rPr>
                <w:rFonts w:hint="default" w:ascii="Times New Roman" w:hAnsi="Times New Roman" w:eastAsia="宋体" w:cs="Times New Roman"/>
                <w:b/>
                <w:bCs/>
                <w:i w:val="0"/>
                <w:iCs w:val="0"/>
                <w:color w:val="auto"/>
                <w:sz w:val="21"/>
                <w:szCs w:val="21"/>
                <w:u w:val="none"/>
                <w:lang w:val="en-US" w:eastAsia="zh-CN"/>
              </w:rPr>
              <w:t>最大监测浓度</w:t>
            </w:r>
            <w:r>
              <w:rPr>
                <w:rFonts w:hint="default" w:ascii="Times New Roman" w:hAnsi="Times New Roman" w:cs="Times New Roman"/>
                <w:b/>
                <w:bCs/>
                <w:color w:val="auto"/>
                <w:sz w:val="21"/>
              </w:rPr>
              <w:t>μg/m</w:t>
            </w:r>
            <w:r>
              <w:rPr>
                <w:rFonts w:hint="default" w:ascii="Times New Roman" w:hAnsi="Times New Roman" w:cs="Times New Roman"/>
                <w:b/>
                <w:bCs/>
                <w:color w:val="auto"/>
                <w:sz w:val="21"/>
                <w:vertAlign w:val="superscript"/>
              </w:rPr>
              <w:t>3</w:t>
            </w:r>
          </w:p>
        </w:tc>
      </w:tr>
      <w:tr w14:paraId="696052BC">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74458360">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pH</w:t>
            </w:r>
          </w:p>
        </w:tc>
        <w:tc>
          <w:tcPr>
            <w:tcW w:w="610" w:type="pct"/>
            <w:vMerge w:val="restart"/>
            <w:tcBorders>
              <w:tl2br w:val="nil"/>
              <w:tr2bl w:val="nil"/>
            </w:tcBorders>
            <w:shd w:val="clear" w:color="auto" w:fill="auto"/>
            <w:vAlign w:val="center"/>
          </w:tcPr>
          <w:p w14:paraId="1E1B8B8D">
            <w:pPr>
              <w:spacing w:before="31" w:beforeLines="10" w:line="264" w:lineRule="auto"/>
              <w:jc w:val="center"/>
              <w:rPr>
                <w:color w:val="auto"/>
                <w:szCs w:val="21"/>
              </w:rPr>
            </w:pPr>
            <w:r>
              <w:rPr>
                <w:color w:val="auto"/>
                <w:szCs w:val="21"/>
              </w:rPr>
              <w:t>开发区</w:t>
            </w:r>
          </w:p>
          <w:p w14:paraId="7718E7E1">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r>
              <w:rPr>
                <w:color w:val="auto"/>
                <w:szCs w:val="21"/>
              </w:rPr>
              <w:t>管委会</w:t>
            </w:r>
          </w:p>
        </w:tc>
        <w:tc>
          <w:tcPr>
            <w:tcW w:w="768" w:type="pct"/>
            <w:vMerge w:val="restart"/>
            <w:tcBorders>
              <w:tl2br w:val="nil"/>
              <w:tr2bl w:val="nil"/>
            </w:tcBorders>
            <w:shd w:val="clear" w:color="auto" w:fill="auto"/>
            <w:vAlign w:val="center"/>
          </w:tcPr>
          <w:p w14:paraId="4716AC31">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r>
              <w:rPr>
                <w:rFonts w:hint="eastAsia" w:cs="Times New Roman"/>
                <w:b w:val="0"/>
                <w:bCs w:val="0"/>
                <w:i w:val="0"/>
                <w:iCs w:val="0"/>
                <w:color w:val="auto"/>
                <w:kern w:val="0"/>
                <w:sz w:val="21"/>
                <w:szCs w:val="21"/>
                <w:u w:val="none"/>
                <w:lang w:val="en-US" w:eastAsia="zh-CN" w:bidi="ar"/>
              </w:rPr>
              <w:t>2014年7月7日</w:t>
            </w:r>
          </w:p>
        </w:tc>
        <w:tc>
          <w:tcPr>
            <w:tcW w:w="698" w:type="pct"/>
            <w:tcBorders>
              <w:tl2br w:val="nil"/>
              <w:tr2bl w:val="nil"/>
            </w:tcBorders>
            <w:shd w:val="clear" w:color="auto" w:fill="auto"/>
            <w:vAlign w:val="center"/>
          </w:tcPr>
          <w:p w14:paraId="0EDF3EF9">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7.12</w:t>
            </w:r>
          </w:p>
        </w:tc>
        <w:tc>
          <w:tcPr>
            <w:tcW w:w="688" w:type="pct"/>
            <w:vMerge w:val="restart"/>
            <w:tcBorders>
              <w:tl2br w:val="nil"/>
              <w:tr2bl w:val="nil"/>
            </w:tcBorders>
            <w:shd w:val="clear" w:color="auto" w:fill="auto"/>
            <w:vAlign w:val="center"/>
          </w:tcPr>
          <w:p w14:paraId="68E0871F">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r>
              <w:rPr>
                <w:rFonts w:hint="eastAsia" w:cs="Times New Roman"/>
                <w:b w:val="0"/>
                <w:bCs w:val="0"/>
                <w:i w:val="0"/>
                <w:iCs w:val="0"/>
                <w:color w:val="auto"/>
                <w:sz w:val="21"/>
                <w:szCs w:val="21"/>
                <w:u w:val="none"/>
                <w:lang w:val="en-US" w:eastAsia="zh-CN"/>
              </w:rPr>
              <w:t>区内香樟路空地</w:t>
            </w:r>
          </w:p>
        </w:tc>
        <w:tc>
          <w:tcPr>
            <w:tcW w:w="690" w:type="pct"/>
            <w:vMerge w:val="restart"/>
            <w:tcBorders>
              <w:tl2br w:val="nil"/>
              <w:tr2bl w:val="nil"/>
            </w:tcBorders>
            <w:shd w:val="clear" w:color="auto" w:fill="auto"/>
            <w:vAlign w:val="center"/>
          </w:tcPr>
          <w:p w14:paraId="577D9279">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r>
              <w:rPr>
                <w:rFonts w:hint="eastAsia" w:cs="Times New Roman"/>
                <w:b w:val="0"/>
                <w:bCs w:val="0"/>
                <w:i w:val="0"/>
                <w:iCs w:val="0"/>
                <w:color w:val="auto"/>
                <w:kern w:val="0"/>
                <w:sz w:val="21"/>
                <w:szCs w:val="21"/>
                <w:u w:val="none"/>
                <w:lang w:val="en-US" w:eastAsia="zh-CN" w:bidi="ar"/>
              </w:rPr>
              <w:t>2023年7月12日</w:t>
            </w:r>
          </w:p>
        </w:tc>
        <w:tc>
          <w:tcPr>
            <w:tcW w:w="704" w:type="pct"/>
            <w:tcBorders>
              <w:tl2br w:val="nil"/>
              <w:tr2bl w:val="nil"/>
            </w:tcBorders>
            <w:shd w:val="clear" w:color="auto" w:fill="auto"/>
            <w:vAlign w:val="center"/>
          </w:tcPr>
          <w:p w14:paraId="47300210">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i w:val="0"/>
                <w:iCs w:val="0"/>
                <w:color w:val="auto"/>
                <w:sz w:val="21"/>
                <w:szCs w:val="21"/>
                <w:u w:val="none"/>
                <w:lang w:val="en-US" w:eastAsia="zh-CN"/>
              </w:rPr>
              <w:t>7.4</w:t>
            </w:r>
          </w:p>
        </w:tc>
      </w:tr>
      <w:tr w14:paraId="12739400">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7491FD76">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氟化物</w:t>
            </w:r>
          </w:p>
        </w:tc>
        <w:tc>
          <w:tcPr>
            <w:tcW w:w="610" w:type="pct"/>
            <w:vMerge w:val="continue"/>
            <w:tcBorders>
              <w:tl2br w:val="nil"/>
              <w:tr2bl w:val="nil"/>
            </w:tcBorders>
            <w:shd w:val="clear" w:color="auto" w:fill="auto"/>
            <w:vAlign w:val="center"/>
          </w:tcPr>
          <w:p w14:paraId="3CFF979A">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25BE74F6">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444B472F">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0.36</w:t>
            </w:r>
          </w:p>
        </w:tc>
        <w:tc>
          <w:tcPr>
            <w:tcW w:w="688" w:type="pct"/>
            <w:vMerge w:val="continue"/>
            <w:tcBorders>
              <w:tl2br w:val="nil"/>
              <w:tr2bl w:val="nil"/>
            </w:tcBorders>
            <w:shd w:val="clear" w:color="auto" w:fill="auto"/>
            <w:vAlign w:val="center"/>
          </w:tcPr>
          <w:p w14:paraId="029EF208">
            <w:pPr>
              <w:keepNext w:val="0"/>
              <w:keepLines w:val="0"/>
              <w:widowControl/>
              <w:suppressLineNumbers w:val="0"/>
              <w:jc w:val="center"/>
              <w:textAlignment w:val="center"/>
              <w:rPr>
                <w:rFonts w:hint="eastAsia" w:cs="Times New Roman"/>
                <w:b w:val="0"/>
                <w:bCs w:val="0"/>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50EA6499">
            <w:pPr>
              <w:keepNext w:val="0"/>
              <w:keepLines w:val="0"/>
              <w:widowControl/>
              <w:suppressLineNumbers w:val="0"/>
              <w:jc w:val="center"/>
              <w:textAlignment w:val="center"/>
              <w:rPr>
                <w:rFonts w:hint="eastAsia" w:cs="Times New Roman"/>
                <w:b w:val="0"/>
                <w:bCs w:val="0"/>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044A0165">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i w:val="0"/>
                <w:iCs w:val="0"/>
                <w:color w:val="auto"/>
                <w:sz w:val="21"/>
                <w:szCs w:val="21"/>
                <w:u w:val="none"/>
                <w:lang w:val="en-US" w:eastAsia="zh-CN"/>
              </w:rPr>
              <w:t>0.969</w:t>
            </w:r>
          </w:p>
        </w:tc>
      </w:tr>
      <w:tr w14:paraId="1A6FAC8C">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shd w:val="clear" w:color="auto" w:fill="auto"/>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1919E09D">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氯化物</w:t>
            </w:r>
          </w:p>
        </w:tc>
        <w:tc>
          <w:tcPr>
            <w:tcW w:w="610" w:type="pct"/>
            <w:vMerge w:val="continue"/>
            <w:tcBorders>
              <w:tl2br w:val="nil"/>
              <w:tr2bl w:val="nil"/>
            </w:tcBorders>
            <w:shd w:val="clear" w:color="auto" w:fill="auto"/>
            <w:vAlign w:val="center"/>
          </w:tcPr>
          <w:p w14:paraId="2313A5C4">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66B182C2">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3AE0282B">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63</w:t>
            </w:r>
          </w:p>
        </w:tc>
        <w:tc>
          <w:tcPr>
            <w:tcW w:w="688" w:type="pct"/>
            <w:vMerge w:val="continue"/>
            <w:tcBorders>
              <w:tl2br w:val="nil"/>
              <w:tr2bl w:val="nil"/>
            </w:tcBorders>
            <w:shd w:val="clear" w:color="auto" w:fill="auto"/>
            <w:vAlign w:val="center"/>
          </w:tcPr>
          <w:p w14:paraId="7762DF0D">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3EBBBF7E">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46CA7C97">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i w:val="0"/>
                <w:iCs w:val="0"/>
                <w:color w:val="auto"/>
                <w:sz w:val="21"/>
                <w:szCs w:val="21"/>
                <w:u w:val="none"/>
                <w:lang w:val="en-US" w:eastAsia="zh-CN"/>
              </w:rPr>
              <w:t>55.4</w:t>
            </w:r>
          </w:p>
        </w:tc>
      </w:tr>
      <w:tr w14:paraId="1AA9A6DC">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shd w:val="clear" w:color="auto" w:fill="auto"/>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747FE46E">
            <w:pPr>
              <w:spacing w:before="31" w:beforeLines="10" w:line="264" w:lineRule="auto"/>
              <w:jc w:val="center"/>
              <w:rPr>
                <w:rFonts w:hint="eastAsia" w:ascii="Times New Roman" w:hAnsi="Times New Roman" w:eastAsia="宋体" w:cs="Times New Roman"/>
                <w:b w:val="0"/>
                <w:bCs/>
                <w:i w:val="0"/>
                <w:iCs w:val="0"/>
                <w:color w:val="auto"/>
                <w:sz w:val="21"/>
                <w:szCs w:val="21"/>
                <w:u w:val="none"/>
                <w:lang w:eastAsia="zh-CN"/>
              </w:rPr>
            </w:pPr>
            <w:r>
              <w:rPr>
                <w:rFonts w:hint="eastAsia" w:eastAsia="宋体"/>
                <w:b w:val="0"/>
                <w:bCs/>
                <w:color w:val="auto"/>
                <w:szCs w:val="21"/>
                <w:lang w:val="en-US" w:eastAsia="zh-CN"/>
              </w:rPr>
              <w:t>耗氧量</w:t>
            </w:r>
          </w:p>
        </w:tc>
        <w:tc>
          <w:tcPr>
            <w:tcW w:w="610" w:type="pct"/>
            <w:vMerge w:val="continue"/>
            <w:tcBorders>
              <w:tl2br w:val="nil"/>
              <w:tr2bl w:val="nil"/>
            </w:tcBorders>
            <w:shd w:val="clear" w:color="auto" w:fill="auto"/>
            <w:vAlign w:val="center"/>
          </w:tcPr>
          <w:p w14:paraId="74E7D3FA">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6E98D435">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4B0F90EC">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0.83</w:t>
            </w:r>
          </w:p>
        </w:tc>
        <w:tc>
          <w:tcPr>
            <w:tcW w:w="688" w:type="pct"/>
            <w:vMerge w:val="continue"/>
            <w:tcBorders>
              <w:tl2br w:val="nil"/>
              <w:tr2bl w:val="nil"/>
            </w:tcBorders>
            <w:shd w:val="clear" w:color="auto" w:fill="auto"/>
            <w:vAlign w:val="center"/>
          </w:tcPr>
          <w:p w14:paraId="6C6492DD">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20B0C5BF">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036C8092">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i w:val="0"/>
                <w:iCs w:val="0"/>
                <w:color w:val="auto"/>
                <w:sz w:val="21"/>
                <w:szCs w:val="21"/>
                <w:u w:val="none"/>
                <w:lang w:val="en-US" w:eastAsia="zh-CN"/>
              </w:rPr>
              <w:t>2.8</w:t>
            </w:r>
          </w:p>
        </w:tc>
      </w:tr>
      <w:tr w14:paraId="0B567EAF">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419CE3C5">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总硬度</w:t>
            </w:r>
          </w:p>
        </w:tc>
        <w:tc>
          <w:tcPr>
            <w:tcW w:w="610" w:type="pct"/>
            <w:vMerge w:val="continue"/>
            <w:tcBorders>
              <w:tl2br w:val="nil"/>
              <w:tr2bl w:val="nil"/>
            </w:tcBorders>
            <w:shd w:val="clear" w:color="auto" w:fill="auto"/>
            <w:vAlign w:val="center"/>
          </w:tcPr>
          <w:p w14:paraId="03F622D4">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641BFB1A">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4C2D34E3">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257</w:t>
            </w:r>
          </w:p>
        </w:tc>
        <w:tc>
          <w:tcPr>
            <w:tcW w:w="688" w:type="pct"/>
            <w:vMerge w:val="continue"/>
            <w:tcBorders>
              <w:tl2br w:val="nil"/>
              <w:tr2bl w:val="nil"/>
            </w:tcBorders>
            <w:shd w:val="clear" w:color="auto" w:fill="auto"/>
            <w:vAlign w:val="center"/>
          </w:tcPr>
          <w:p w14:paraId="616E8DD3">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31BD0A22">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0EE5EF36">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i w:val="0"/>
                <w:iCs w:val="0"/>
                <w:color w:val="auto"/>
                <w:sz w:val="21"/>
                <w:szCs w:val="21"/>
                <w:u w:val="none"/>
                <w:lang w:val="en-US" w:eastAsia="zh-CN"/>
              </w:rPr>
              <w:t>258</w:t>
            </w:r>
          </w:p>
        </w:tc>
      </w:tr>
      <w:tr w14:paraId="35A5F650">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754D201F">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溶解性总固体</w:t>
            </w:r>
          </w:p>
        </w:tc>
        <w:tc>
          <w:tcPr>
            <w:tcW w:w="610" w:type="pct"/>
            <w:vMerge w:val="continue"/>
            <w:tcBorders>
              <w:tl2br w:val="nil"/>
              <w:tr2bl w:val="nil"/>
            </w:tcBorders>
            <w:shd w:val="clear" w:color="auto" w:fill="auto"/>
            <w:vAlign w:val="center"/>
          </w:tcPr>
          <w:p w14:paraId="7D262CC1">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43612A47">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4F3AACFB">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689</w:t>
            </w:r>
          </w:p>
        </w:tc>
        <w:tc>
          <w:tcPr>
            <w:tcW w:w="688" w:type="pct"/>
            <w:vMerge w:val="continue"/>
            <w:tcBorders>
              <w:tl2br w:val="nil"/>
              <w:tr2bl w:val="nil"/>
            </w:tcBorders>
            <w:shd w:val="clear" w:color="auto" w:fill="auto"/>
            <w:vAlign w:val="center"/>
          </w:tcPr>
          <w:p w14:paraId="0135AA7E">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7DA7AA23">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6E914ED1">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i w:val="0"/>
                <w:iCs w:val="0"/>
                <w:color w:val="auto"/>
                <w:sz w:val="21"/>
                <w:szCs w:val="21"/>
                <w:u w:val="none"/>
                <w:lang w:val="en-US" w:eastAsia="zh-CN"/>
              </w:rPr>
              <w:t>424</w:t>
            </w:r>
          </w:p>
        </w:tc>
      </w:tr>
      <w:tr w14:paraId="488AD131">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shd w:val="clear" w:color="auto" w:fill="auto"/>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5F39B7E3">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铅</w:t>
            </w:r>
          </w:p>
        </w:tc>
        <w:tc>
          <w:tcPr>
            <w:tcW w:w="610" w:type="pct"/>
            <w:vMerge w:val="continue"/>
            <w:tcBorders>
              <w:tl2br w:val="nil"/>
              <w:tr2bl w:val="nil"/>
            </w:tcBorders>
            <w:shd w:val="clear" w:color="auto" w:fill="auto"/>
            <w:vAlign w:val="center"/>
          </w:tcPr>
          <w:p w14:paraId="3E74956F">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3BF33AF7">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7B2E41FE">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ND</w:t>
            </w:r>
          </w:p>
        </w:tc>
        <w:tc>
          <w:tcPr>
            <w:tcW w:w="688" w:type="pct"/>
            <w:vMerge w:val="continue"/>
            <w:tcBorders>
              <w:tl2br w:val="nil"/>
              <w:tr2bl w:val="nil"/>
            </w:tcBorders>
            <w:shd w:val="clear" w:color="auto" w:fill="auto"/>
            <w:vAlign w:val="center"/>
          </w:tcPr>
          <w:p w14:paraId="6A87D7B3">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18FBBB0A">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584D8D19">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color w:val="auto"/>
                <w:sz w:val="21"/>
                <w:szCs w:val="21"/>
                <w:lang w:val="en-US" w:eastAsia="zh-CN"/>
              </w:rPr>
              <w:t>0.00873</w:t>
            </w:r>
          </w:p>
        </w:tc>
      </w:tr>
      <w:tr w14:paraId="348F9BA5">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25961EE3">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铬</w:t>
            </w:r>
          </w:p>
        </w:tc>
        <w:tc>
          <w:tcPr>
            <w:tcW w:w="610" w:type="pct"/>
            <w:vMerge w:val="continue"/>
            <w:tcBorders>
              <w:tl2br w:val="nil"/>
              <w:tr2bl w:val="nil"/>
            </w:tcBorders>
            <w:shd w:val="clear" w:color="auto" w:fill="auto"/>
            <w:vAlign w:val="center"/>
          </w:tcPr>
          <w:p w14:paraId="26AFC50F">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016AF5EA">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096C6A6E">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ND</w:t>
            </w:r>
          </w:p>
        </w:tc>
        <w:tc>
          <w:tcPr>
            <w:tcW w:w="688" w:type="pct"/>
            <w:vMerge w:val="continue"/>
            <w:tcBorders>
              <w:tl2br w:val="nil"/>
              <w:tr2bl w:val="nil"/>
            </w:tcBorders>
            <w:shd w:val="clear" w:color="auto" w:fill="auto"/>
            <w:vAlign w:val="center"/>
          </w:tcPr>
          <w:p w14:paraId="01C9E52D">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40301634">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7D2C2B4F">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i w:val="0"/>
                <w:iCs w:val="0"/>
                <w:color w:val="auto"/>
                <w:kern w:val="0"/>
                <w:sz w:val="21"/>
                <w:szCs w:val="21"/>
                <w:u w:val="none"/>
                <w:lang w:val="en-US" w:eastAsia="zh-CN" w:bidi="ar"/>
              </w:rPr>
              <w:t>ND</w:t>
            </w:r>
          </w:p>
        </w:tc>
      </w:tr>
      <w:tr w14:paraId="5856C148">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486D4F92">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砷</w:t>
            </w:r>
          </w:p>
        </w:tc>
        <w:tc>
          <w:tcPr>
            <w:tcW w:w="610" w:type="pct"/>
            <w:vMerge w:val="continue"/>
            <w:tcBorders>
              <w:tl2br w:val="nil"/>
              <w:tr2bl w:val="nil"/>
            </w:tcBorders>
            <w:shd w:val="clear" w:color="auto" w:fill="auto"/>
            <w:vAlign w:val="center"/>
          </w:tcPr>
          <w:p w14:paraId="315087D9">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42F6EA39">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67039E5D">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ND</w:t>
            </w:r>
          </w:p>
        </w:tc>
        <w:tc>
          <w:tcPr>
            <w:tcW w:w="688" w:type="pct"/>
            <w:vMerge w:val="continue"/>
            <w:tcBorders>
              <w:tl2br w:val="nil"/>
              <w:tr2bl w:val="nil"/>
            </w:tcBorders>
            <w:shd w:val="clear" w:color="auto" w:fill="auto"/>
            <w:vAlign w:val="center"/>
          </w:tcPr>
          <w:p w14:paraId="4A48D332">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7B145049">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53FEFD59">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color w:val="auto"/>
                <w:sz w:val="21"/>
                <w:szCs w:val="21"/>
                <w:lang w:val="en-US" w:eastAsia="zh-CN"/>
              </w:rPr>
              <w:t>0.000333</w:t>
            </w:r>
          </w:p>
        </w:tc>
      </w:tr>
      <w:tr w14:paraId="7FDF9F65">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shd w:val="clear" w:color="auto" w:fill="auto"/>
          <w:tblCellMar>
            <w:top w:w="0" w:type="dxa"/>
            <w:left w:w="108" w:type="dxa"/>
            <w:bottom w:w="0" w:type="dxa"/>
            <w:right w:w="108" w:type="dxa"/>
          </w:tblCellMar>
        </w:tblPrEx>
        <w:trPr>
          <w:trHeight w:val="454" w:hRule="atLeast"/>
          <w:jc w:val="center"/>
        </w:trPr>
        <w:tc>
          <w:tcPr>
            <w:tcW w:w="840" w:type="pct"/>
            <w:tcBorders>
              <w:tl2br w:val="nil"/>
              <w:tr2bl w:val="nil"/>
            </w:tcBorders>
            <w:shd w:val="clear" w:color="auto" w:fill="auto"/>
            <w:vAlign w:val="center"/>
          </w:tcPr>
          <w:p w14:paraId="2437917B">
            <w:pPr>
              <w:spacing w:before="31" w:beforeLines="10" w:line="264" w:lineRule="auto"/>
              <w:jc w:val="center"/>
              <w:rPr>
                <w:rFonts w:hint="default" w:ascii="Times New Roman" w:hAnsi="Times New Roman" w:eastAsia="宋体" w:cs="Times New Roman"/>
                <w:b w:val="0"/>
                <w:bCs/>
                <w:i w:val="0"/>
                <w:iCs w:val="0"/>
                <w:color w:val="auto"/>
                <w:sz w:val="21"/>
                <w:szCs w:val="21"/>
                <w:u w:val="none"/>
              </w:rPr>
            </w:pPr>
            <w:r>
              <w:rPr>
                <w:b w:val="0"/>
                <w:bCs/>
                <w:color w:val="auto"/>
                <w:szCs w:val="21"/>
              </w:rPr>
              <w:t>汞</w:t>
            </w:r>
          </w:p>
        </w:tc>
        <w:tc>
          <w:tcPr>
            <w:tcW w:w="610" w:type="pct"/>
            <w:vMerge w:val="continue"/>
            <w:tcBorders>
              <w:tl2br w:val="nil"/>
              <w:tr2bl w:val="nil"/>
            </w:tcBorders>
            <w:shd w:val="clear" w:color="auto" w:fill="auto"/>
            <w:vAlign w:val="center"/>
          </w:tcPr>
          <w:p w14:paraId="1B299DEF">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768" w:type="pct"/>
            <w:vMerge w:val="continue"/>
            <w:tcBorders>
              <w:tl2br w:val="nil"/>
              <w:tr2bl w:val="nil"/>
            </w:tcBorders>
            <w:shd w:val="clear" w:color="auto" w:fill="auto"/>
            <w:vAlign w:val="center"/>
          </w:tcPr>
          <w:p w14:paraId="1D5D0819">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698" w:type="pct"/>
            <w:tcBorders>
              <w:tl2br w:val="nil"/>
              <w:tr2bl w:val="nil"/>
            </w:tcBorders>
            <w:shd w:val="clear" w:color="auto" w:fill="auto"/>
            <w:vAlign w:val="center"/>
          </w:tcPr>
          <w:p w14:paraId="6C72D620">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eastAsia" w:ascii="Times New Roman" w:hAnsi="Times New Roman" w:eastAsia="宋体" w:cs="Times New Roman"/>
                <w:b w:val="0"/>
                <w:bCs w:val="0"/>
                <w:i w:val="0"/>
                <w:iCs w:val="0"/>
                <w:color w:val="auto"/>
                <w:kern w:val="0"/>
                <w:sz w:val="21"/>
                <w:szCs w:val="21"/>
                <w:u w:val="none"/>
                <w:lang w:val="en-US" w:eastAsia="zh-CN" w:bidi="ar"/>
              </w:rPr>
              <w:t>ND</w:t>
            </w:r>
          </w:p>
        </w:tc>
        <w:tc>
          <w:tcPr>
            <w:tcW w:w="688" w:type="pct"/>
            <w:vMerge w:val="continue"/>
            <w:tcBorders>
              <w:tl2br w:val="nil"/>
              <w:tr2bl w:val="nil"/>
            </w:tcBorders>
            <w:shd w:val="clear" w:color="auto" w:fill="auto"/>
            <w:vAlign w:val="center"/>
          </w:tcPr>
          <w:p w14:paraId="054B2260">
            <w:pPr>
              <w:keepNext w:val="0"/>
              <w:keepLines w:val="0"/>
              <w:widowControl/>
              <w:suppressLineNumbers w:val="0"/>
              <w:jc w:val="center"/>
              <w:textAlignment w:val="center"/>
              <w:rPr>
                <w:rFonts w:hint="eastAsia" w:cs="Times New Roman"/>
                <w:b/>
                <w:bCs/>
                <w:i w:val="0"/>
                <w:iCs w:val="0"/>
                <w:color w:val="auto"/>
                <w:sz w:val="21"/>
                <w:szCs w:val="21"/>
                <w:u w:val="none"/>
                <w:lang w:val="en-US" w:eastAsia="zh-CN"/>
              </w:rPr>
            </w:pPr>
          </w:p>
        </w:tc>
        <w:tc>
          <w:tcPr>
            <w:tcW w:w="690" w:type="pct"/>
            <w:vMerge w:val="continue"/>
            <w:tcBorders>
              <w:tl2br w:val="nil"/>
              <w:tr2bl w:val="nil"/>
            </w:tcBorders>
            <w:shd w:val="clear" w:color="auto" w:fill="auto"/>
            <w:vAlign w:val="center"/>
          </w:tcPr>
          <w:p w14:paraId="314AD0D6">
            <w:pPr>
              <w:keepNext w:val="0"/>
              <w:keepLines w:val="0"/>
              <w:widowControl/>
              <w:suppressLineNumbers w:val="0"/>
              <w:jc w:val="center"/>
              <w:textAlignment w:val="center"/>
              <w:rPr>
                <w:rFonts w:hint="eastAsia" w:cs="Times New Roman"/>
                <w:b/>
                <w:bCs/>
                <w:i w:val="0"/>
                <w:iCs w:val="0"/>
                <w:color w:val="auto"/>
                <w:kern w:val="0"/>
                <w:sz w:val="21"/>
                <w:szCs w:val="21"/>
                <w:u w:val="none"/>
                <w:lang w:val="en-US" w:eastAsia="zh-CN" w:bidi="ar"/>
              </w:rPr>
            </w:pPr>
          </w:p>
        </w:tc>
        <w:tc>
          <w:tcPr>
            <w:tcW w:w="704" w:type="pct"/>
            <w:tcBorders>
              <w:tl2br w:val="nil"/>
              <w:tr2bl w:val="nil"/>
            </w:tcBorders>
            <w:shd w:val="clear" w:color="auto" w:fill="auto"/>
            <w:vAlign w:val="center"/>
          </w:tcPr>
          <w:p w14:paraId="32E25DDB">
            <w:pPr>
              <w:keepNext w:val="0"/>
              <w:keepLines w:val="0"/>
              <w:widowControl/>
              <w:suppressLineNumbers w:val="0"/>
              <w:jc w:val="center"/>
              <w:textAlignment w:val="center"/>
              <w:rPr>
                <w:rFonts w:hint="default" w:ascii="Times New Roman" w:hAnsi="Times New Roman" w:eastAsia="宋体" w:cs="Times New Roman"/>
                <w:b w:val="0"/>
                <w:bCs w:val="0"/>
                <w:i w:val="0"/>
                <w:iCs w:val="0"/>
                <w:color w:val="auto"/>
                <w:sz w:val="21"/>
                <w:szCs w:val="21"/>
                <w:u w:val="none"/>
                <w:lang w:val="en-US" w:eastAsia="zh-CN"/>
              </w:rPr>
            </w:pPr>
            <w:r>
              <w:rPr>
                <w:rFonts w:hint="eastAsia" w:ascii="Times New Roman" w:hAnsi="Times New Roman" w:eastAsia="宋体" w:cs="Times New Roman"/>
                <w:b w:val="0"/>
                <w:bCs w:val="0"/>
                <w:i w:val="0"/>
                <w:iCs w:val="0"/>
                <w:color w:val="auto"/>
                <w:kern w:val="0"/>
                <w:sz w:val="21"/>
                <w:szCs w:val="21"/>
                <w:u w:val="none"/>
                <w:lang w:val="en-US" w:eastAsia="zh-CN" w:bidi="ar"/>
              </w:rPr>
              <w:t>ND</w:t>
            </w:r>
          </w:p>
        </w:tc>
      </w:tr>
    </w:tbl>
    <w:p w14:paraId="3675CD64">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20" w:firstLineChars="200"/>
        <w:jc w:val="both"/>
        <w:textAlignment w:val="auto"/>
        <w:rPr>
          <w:rFonts w:hint="default" w:ascii="Times New Roman" w:hAnsi="Times New Roman" w:cs="Times New Roman"/>
          <w:b w:val="0"/>
          <w:bCs w:val="0"/>
          <w:color w:val="auto"/>
          <w:lang w:val="en-US" w:eastAsia="zh-CN"/>
        </w:rPr>
      </w:pPr>
      <w:r>
        <w:rPr>
          <w:rFonts w:hint="eastAsia" w:ascii="Times New Roman" w:hAnsi="Times New Roman" w:cs="Times New Roman"/>
          <w:b w:val="0"/>
          <w:bCs w:val="0"/>
          <w:color w:val="auto"/>
          <w:sz w:val="21"/>
          <w:szCs w:val="21"/>
          <w:lang w:val="en-US" w:eastAsia="zh-CN"/>
        </w:rPr>
        <w:t>注：ND表示未检出。</w:t>
      </w:r>
    </w:p>
    <w:p w14:paraId="0EAE35C5">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2" w:firstLineChars="200"/>
        <w:jc w:val="both"/>
        <w:textAlignment w:val="auto"/>
        <w:rPr>
          <w:rFonts w:hint="default" w:ascii="Times New Roman" w:hAnsi="Times New Roman" w:cs="Times New Roman"/>
          <w:color w:val="auto"/>
          <w:lang w:val="en-US" w:eastAsia="zh-CN"/>
        </w:rPr>
      </w:pPr>
      <w:r>
        <w:rPr>
          <w:rFonts w:hint="default" w:ascii="Times New Roman" w:hAnsi="Times New Roman" w:cs="Times New Roman"/>
          <w:b/>
          <w:bCs/>
          <w:color w:val="auto"/>
          <w:lang w:val="en-US" w:eastAsia="zh-CN"/>
        </w:rPr>
        <w:t>变化趋势分析：</w:t>
      </w:r>
      <w:r>
        <w:rPr>
          <w:rFonts w:hint="default" w:ascii="Times New Roman" w:hAnsi="Times New Roman" w:cs="Times New Roman"/>
          <w:color w:val="auto"/>
          <w:lang w:val="en-US" w:eastAsia="zh-CN"/>
        </w:rPr>
        <w:t>与环评期对比，区域地下水环境质量总体稳定。虽然</w:t>
      </w:r>
      <w:r>
        <w:rPr>
          <w:rFonts w:hint="eastAsia" w:ascii="Times New Roman" w:hAnsi="Times New Roman" w:cs="Times New Roman"/>
          <w:color w:val="auto"/>
          <w:lang w:val="en-US" w:eastAsia="zh-CN"/>
        </w:rPr>
        <w:t>氟</w:t>
      </w:r>
      <w:r>
        <w:rPr>
          <w:rFonts w:hint="default" w:ascii="Times New Roman" w:hAnsi="Times New Roman" w:cs="Times New Roman"/>
          <w:color w:val="auto"/>
          <w:lang w:val="en-US" w:eastAsia="zh-CN"/>
        </w:rPr>
        <w:t>化物</w:t>
      </w:r>
      <w:r>
        <w:rPr>
          <w:rFonts w:hint="eastAsia" w:ascii="Times New Roman" w:hAnsi="Times New Roman" w:cs="Times New Roman"/>
          <w:color w:val="auto"/>
          <w:lang w:val="en-US" w:eastAsia="zh-CN"/>
        </w:rPr>
        <w:t>、耗氧量</w:t>
      </w:r>
      <w:r>
        <w:rPr>
          <w:rFonts w:hint="default" w:ascii="Times New Roman" w:hAnsi="Times New Roman" w:cs="Times New Roman"/>
          <w:color w:val="auto"/>
          <w:lang w:val="en-US" w:eastAsia="zh-CN"/>
        </w:rPr>
        <w:t>等个别指标浓度有所上升，但关键指标如总硬度、溶解性总固体显著改善，以及特征污染物未检出</w:t>
      </w:r>
      <w:r>
        <w:rPr>
          <w:rFonts w:hint="eastAsia" w:ascii="Times New Roman" w:hAnsi="Times New Roman" w:cs="Times New Roman"/>
          <w:color w:val="auto"/>
          <w:lang w:val="en-US" w:eastAsia="zh-CN"/>
        </w:rPr>
        <w:t>，各项指标均能满足</w:t>
      </w:r>
      <w:r>
        <w:rPr>
          <w:rFonts w:hint="default" w:ascii="Times New Roman" w:hAnsi="Times New Roman" w:cs="Times New Roman"/>
          <w:color w:val="auto"/>
          <w:lang w:val="en-US" w:eastAsia="zh-CN"/>
        </w:rPr>
        <w:t>《地下水质量标准》（GB/T14848-2017）中Ⅲ类标准要求。</w:t>
      </w:r>
    </w:p>
    <w:p w14:paraId="16C1C86B">
      <w:pPr>
        <w:pStyle w:val="41"/>
        <w:keepNext w:val="0"/>
        <w:keepLines w:val="0"/>
        <w:pageBreakBefore w:val="0"/>
        <w:widowControl w:val="0"/>
        <w:kinsoku/>
        <w:wordWrap/>
        <w:overflowPunct/>
        <w:topLinePunct w:val="0"/>
        <w:autoSpaceDE w:val="0"/>
        <w:autoSpaceDN w:val="0"/>
        <w:bidi w:val="0"/>
        <w:adjustRightInd w:val="0"/>
        <w:snapToGrid/>
        <w:spacing w:before="0" w:beforeAutospacing="0" w:after="0" w:afterAutospacing="0" w:line="360" w:lineRule="auto"/>
        <w:ind w:firstLine="480" w:firstLineChars="200"/>
        <w:jc w:val="both"/>
        <w:textAlignment w:val="auto"/>
        <w:rPr>
          <w:rFonts w:hint="default" w:ascii="Times New Roman" w:hAnsi="Times New Roman" w:eastAsia="宋体" w:cs="Times New Roman"/>
          <w:b w:val="0"/>
          <w:bCs w:val="0"/>
          <w:color w:val="auto"/>
          <w:lang w:val="en-US" w:eastAsia="zh-CN"/>
        </w:rPr>
      </w:pPr>
    </w:p>
    <w:p w14:paraId="22F139A3">
      <w:pPr>
        <w:spacing w:line="360" w:lineRule="auto"/>
        <w:jc w:val="center"/>
        <w:outlineLvl w:val="0"/>
        <w:rPr>
          <w:b/>
          <w:bCs/>
          <w:color w:val="auto"/>
          <w:sz w:val="32"/>
          <w:szCs w:val="40"/>
        </w:rPr>
        <w:sectPr>
          <w:pgSz w:w="11906" w:h="16838"/>
          <w:pgMar w:top="1440" w:right="1080" w:bottom="144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14:paraId="1F0FA94F">
      <w:pPr>
        <w:spacing w:line="360" w:lineRule="auto"/>
        <w:jc w:val="center"/>
        <w:outlineLvl w:val="0"/>
        <w:rPr>
          <w:b/>
          <w:bCs/>
          <w:color w:val="auto"/>
          <w:sz w:val="32"/>
          <w:szCs w:val="40"/>
        </w:rPr>
      </w:pPr>
      <w:bookmarkStart w:id="362" w:name="_Toc4745"/>
      <w:r>
        <w:rPr>
          <w:b/>
          <w:bCs/>
          <w:color w:val="auto"/>
          <w:sz w:val="32"/>
          <w:szCs w:val="40"/>
        </w:rPr>
        <w:t>5 环境保护措施有效性评估</w:t>
      </w:r>
      <w:bookmarkEnd w:id="362"/>
    </w:p>
    <w:p w14:paraId="36DF0129">
      <w:pPr>
        <w:spacing w:line="360" w:lineRule="auto"/>
        <w:rPr>
          <w:color w:val="auto"/>
          <w:sz w:val="24"/>
          <w:szCs w:val="32"/>
        </w:rPr>
      </w:pPr>
    </w:p>
    <w:p w14:paraId="726F4C96">
      <w:pPr>
        <w:spacing w:line="360" w:lineRule="auto"/>
        <w:outlineLvl w:val="1"/>
        <w:rPr>
          <w:rFonts w:hint="eastAsia"/>
          <w:b/>
          <w:bCs/>
          <w:color w:val="0000FF"/>
          <w:sz w:val="28"/>
          <w:szCs w:val="36"/>
          <w:lang w:val="en-US" w:eastAsia="zh-CN"/>
        </w:rPr>
      </w:pPr>
      <w:bookmarkStart w:id="363" w:name="_Toc7672"/>
      <w:r>
        <w:rPr>
          <w:b/>
          <w:bCs/>
          <w:color w:val="0000FF"/>
          <w:sz w:val="28"/>
          <w:szCs w:val="36"/>
        </w:rPr>
        <w:t>5.1</w:t>
      </w:r>
      <w:r>
        <w:rPr>
          <w:rFonts w:hint="eastAsia"/>
          <w:b/>
          <w:bCs/>
          <w:color w:val="0000FF"/>
          <w:sz w:val="28"/>
          <w:szCs w:val="36"/>
          <w:lang w:val="en-US" w:eastAsia="zh-CN"/>
        </w:rPr>
        <w:t xml:space="preserve"> 废气污染防治措施有效性评估</w:t>
      </w:r>
    </w:p>
    <w:p w14:paraId="28771F70">
      <w:pPr>
        <w:spacing w:line="360" w:lineRule="auto"/>
        <w:outlineLvl w:val="1"/>
        <w:rPr>
          <w:rFonts w:hint="eastAsia" w:eastAsia="宋体"/>
          <w:b/>
          <w:bCs/>
          <w:color w:val="0000FF"/>
          <w:sz w:val="28"/>
          <w:szCs w:val="36"/>
          <w:lang w:val="en-US" w:eastAsia="zh-CN"/>
        </w:rPr>
      </w:pPr>
      <w:r>
        <w:rPr>
          <w:rFonts w:hint="eastAsia"/>
          <w:b/>
          <w:bCs/>
          <w:color w:val="0000FF"/>
          <w:sz w:val="24"/>
          <w:szCs w:val="32"/>
          <w:lang w:val="en-US" w:eastAsia="zh-CN"/>
        </w:rPr>
        <w:t>5.1.1废气处理设施前后变化情况</w:t>
      </w:r>
    </w:p>
    <w:p w14:paraId="1BBF0514">
      <w:pPr>
        <w:spacing w:line="360" w:lineRule="auto"/>
        <w:ind w:firstLine="480" w:firstLineChars="200"/>
        <w:outlineLvl w:val="1"/>
        <w:rPr>
          <w:rFonts w:hint="eastAsia" w:cs="Times New Roman"/>
          <w:color w:val="0000FF"/>
          <w:sz w:val="24"/>
          <w:lang w:val="en-US" w:eastAsia="zh-CN"/>
        </w:rPr>
      </w:pPr>
      <w:r>
        <w:rPr>
          <w:rFonts w:hint="eastAsia" w:cs="Times New Roman"/>
          <w:color w:val="0000FF"/>
          <w:sz w:val="24"/>
          <w:lang w:val="en-US" w:eastAsia="zh-CN"/>
        </w:rPr>
        <w:t>项目废气处理设备调整前熔炼、精炼烟气（含天然气燃烧废气）采用1套“旋风除尘+布袋除尘+碱喷淋装置处理”，铝渣处理废气采用1套“旋风除尘+布袋除尘+碱喷淋装置处理”，处理后的废气统一经1根20m高DA001排气筒排放；废气处理设备调整熔炼、精炼烟气经“SNCR+烟气急冷”装置处理后与铝渣处理废气经“活性炭喷粉+重力沉降除尘+布袋除尘器+碱喷淋”装置处理，处理后的废气经1根24.5m高DA001排气筒排放。</w:t>
      </w:r>
    </w:p>
    <w:p w14:paraId="1E2D97EC">
      <w:pPr>
        <w:adjustRightInd w:val="0"/>
        <w:snapToGrid w:val="0"/>
        <w:spacing w:line="360" w:lineRule="auto"/>
        <w:jc w:val="center"/>
        <w:rPr>
          <w:rFonts w:hint="eastAsia" w:cs="Times New Roman"/>
          <w:b/>
          <w:bCs/>
          <w:color w:val="0000FF"/>
          <w:sz w:val="24"/>
          <w:lang w:val="en-US" w:eastAsia="zh-CN"/>
        </w:rPr>
      </w:pPr>
      <w:r>
        <w:rPr>
          <w:rFonts w:hint="eastAsia" w:cs="Times New Roman"/>
          <w:b/>
          <w:bCs/>
          <w:color w:val="0000FF"/>
          <w:sz w:val="24"/>
          <w:lang w:val="en-US" w:eastAsia="zh-CN"/>
        </w:rPr>
        <w:t>表5-1 废气处理设施调整前后对比一览表</w:t>
      </w:r>
    </w:p>
    <w:tbl>
      <w:tblPr>
        <w:tblStyle w:val="31"/>
        <w:tblW w:w="5000" w:type="pct"/>
        <w:tblInd w:w="0" w:type="dxa"/>
        <w:tblBorders>
          <w:top w:val="single" w:color="000000" w:themeColor="text1" w:sz="12" w:space="0"/>
          <w:left w:val="none" w:color="auto" w:sz="0" w:space="0"/>
          <w:bottom w:val="single" w:color="000000" w:themeColor="text1" w:sz="12" w:space="0"/>
          <w:right w:val="none" w:color="auto" w:sz="0" w:space="0"/>
          <w:insideH w:val="single" w:color="000000" w:themeColor="text1" w:sz="2" w:space="0"/>
          <w:insideV w:val="single" w:color="000000" w:themeColor="text1" w:sz="2" w:space="0"/>
        </w:tblBorders>
        <w:shd w:val="clear" w:color="auto" w:fill="auto"/>
        <w:tblLayout w:type="autofit"/>
        <w:tblCellMar>
          <w:top w:w="15" w:type="dxa"/>
          <w:left w:w="15" w:type="dxa"/>
          <w:bottom w:w="15" w:type="dxa"/>
          <w:right w:w="15" w:type="dxa"/>
        </w:tblCellMar>
      </w:tblPr>
      <w:tblGrid>
        <w:gridCol w:w="2218"/>
        <w:gridCol w:w="2122"/>
        <w:gridCol w:w="3948"/>
        <w:gridCol w:w="1698"/>
      </w:tblGrid>
      <w:tr w14:paraId="3B30349B">
        <w:tblPrEx>
          <w:tblBorders>
            <w:top w:val="single" w:color="000000" w:themeColor="text1" w:sz="12" w:space="0"/>
            <w:left w:val="none" w:color="auto" w:sz="0" w:space="0"/>
            <w:bottom w:val="single" w:color="000000" w:themeColor="text1" w:sz="12" w:space="0"/>
            <w:right w:val="none" w:color="auto" w:sz="0" w:space="0"/>
            <w:insideH w:val="single" w:color="000000" w:themeColor="text1" w:sz="2" w:space="0"/>
            <w:insideV w:val="single" w:color="000000" w:themeColor="text1" w:sz="2" w:space="0"/>
          </w:tblBorders>
          <w:shd w:val="clear" w:color="auto" w:fill="auto"/>
          <w:tblCellMar>
            <w:top w:w="15" w:type="dxa"/>
            <w:left w:w="15" w:type="dxa"/>
            <w:bottom w:w="15" w:type="dxa"/>
            <w:right w:w="15" w:type="dxa"/>
          </w:tblCellMar>
        </w:tblPrEx>
        <w:trPr>
          <w:tblHeader/>
        </w:trPr>
        <w:tc>
          <w:tcPr>
            <w:tcW w:w="1110" w:type="pct"/>
            <w:tcBorders>
              <w:tl2br w:val="nil"/>
              <w:tr2bl w:val="nil"/>
            </w:tcBorders>
            <w:shd w:val="clear" w:color="auto" w:fill="auto"/>
            <w:tcMar>
              <w:top w:w="120" w:type="dxa"/>
              <w:left w:w="120" w:type="dxa"/>
              <w:bottom w:w="120" w:type="dxa"/>
              <w:right w:w="120" w:type="dxa"/>
            </w:tcMar>
            <w:vAlign w:val="center"/>
          </w:tcPr>
          <w:p w14:paraId="296EBEC2">
            <w:pPr>
              <w:bidi w:val="0"/>
              <w:jc w:val="center"/>
              <w:rPr>
                <w:rFonts w:hint="default" w:ascii="Times New Roman" w:hAnsi="Times New Roman" w:cs="Times New Roman"/>
                <w:b/>
                <w:bCs/>
                <w:color w:val="0000FF"/>
                <w:sz w:val="21"/>
                <w:szCs w:val="21"/>
              </w:rPr>
            </w:pPr>
            <w:r>
              <w:rPr>
                <w:rFonts w:hint="default" w:ascii="Times New Roman" w:hAnsi="Times New Roman" w:cs="Times New Roman"/>
                <w:b/>
                <w:bCs/>
                <w:color w:val="0000FF"/>
                <w:sz w:val="21"/>
                <w:szCs w:val="21"/>
                <w:lang w:val="en-US" w:eastAsia="zh-CN"/>
              </w:rPr>
              <w:t>项目</w:t>
            </w:r>
          </w:p>
        </w:tc>
        <w:tc>
          <w:tcPr>
            <w:tcW w:w="1062" w:type="pct"/>
            <w:tcBorders>
              <w:tl2br w:val="nil"/>
              <w:tr2bl w:val="nil"/>
            </w:tcBorders>
            <w:shd w:val="clear" w:color="auto" w:fill="auto"/>
            <w:tcMar>
              <w:top w:w="120" w:type="dxa"/>
              <w:left w:w="120" w:type="dxa"/>
              <w:bottom w:w="120" w:type="dxa"/>
              <w:right w:w="120" w:type="dxa"/>
            </w:tcMar>
            <w:vAlign w:val="center"/>
          </w:tcPr>
          <w:p w14:paraId="10513580">
            <w:pPr>
              <w:bidi w:val="0"/>
              <w:jc w:val="center"/>
              <w:rPr>
                <w:rFonts w:hint="default" w:ascii="Times New Roman" w:hAnsi="Times New Roman" w:cs="Times New Roman"/>
                <w:b/>
                <w:bCs/>
                <w:color w:val="0000FF"/>
                <w:sz w:val="21"/>
                <w:szCs w:val="21"/>
              </w:rPr>
            </w:pPr>
            <w:r>
              <w:rPr>
                <w:rFonts w:hint="default" w:ascii="Times New Roman" w:hAnsi="Times New Roman" w:cs="Times New Roman"/>
                <w:b/>
                <w:bCs/>
                <w:color w:val="0000FF"/>
                <w:sz w:val="21"/>
                <w:szCs w:val="21"/>
                <w:lang w:val="en-US" w:eastAsia="zh-CN"/>
              </w:rPr>
              <w:t>调整前</w:t>
            </w:r>
          </w:p>
        </w:tc>
        <w:tc>
          <w:tcPr>
            <w:tcW w:w="1976" w:type="pct"/>
            <w:tcBorders>
              <w:tl2br w:val="nil"/>
              <w:tr2bl w:val="nil"/>
            </w:tcBorders>
            <w:shd w:val="clear" w:color="auto" w:fill="auto"/>
            <w:tcMar>
              <w:top w:w="120" w:type="dxa"/>
              <w:left w:w="120" w:type="dxa"/>
              <w:bottom w:w="120" w:type="dxa"/>
              <w:right w:w="120" w:type="dxa"/>
            </w:tcMar>
            <w:vAlign w:val="center"/>
          </w:tcPr>
          <w:p w14:paraId="19FB0E86">
            <w:pPr>
              <w:bidi w:val="0"/>
              <w:jc w:val="center"/>
              <w:rPr>
                <w:rFonts w:hint="default" w:ascii="Times New Roman" w:hAnsi="Times New Roman" w:cs="Times New Roman"/>
                <w:b/>
                <w:bCs/>
                <w:color w:val="0000FF"/>
                <w:sz w:val="21"/>
                <w:szCs w:val="21"/>
              </w:rPr>
            </w:pPr>
            <w:r>
              <w:rPr>
                <w:rFonts w:hint="default" w:ascii="Times New Roman" w:hAnsi="Times New Roman" w:cs="Times New Roman"/>
                <w:b/>
                <w:bCs/>
                <w:color w:val="0000FF"/>
                <w:sz w:val="21"/>
                <w:szCs w:val="21"/>
                <w:lang w:val="en-US" w:eastAsia="zh-CN"/>
              </w:rPr>
              <w:t>调整后</w:t>
            </w:r>
          </w:p>
        </w:tc>
        <w:tc>
          <w:tcPr>
            <w:tcW w:w="850" w:type="pct"/>
            <w:tcBorders>
              <w:tl2br w:val="nil"/>
              <w:tr2bl w:val="nil"/>
            </w:tcBorders>
            <w:shd w:val="clear" w:color="auto" w:fill="auto"/>
            <w:tcMar>
              <w:top w:w="120" w:type="dxa"/>
              <w:left w:w="120" w:type="dxa"/>
              <w:bottom w:w="120" w:type="dxa"/>
              <w:right w:w="120" w:type="dxa"/>
            </w:tcMar>
            <w:vAlign w:val="center"/>
          </w:tcPr>
          <w:p w14:paraId="5570E964">
            <w:pPr>
              <w:bidi w:val="0"/>
              <w:jc w:val="center"/>
              <w:rPr>
                <w:rFonts w:hint="default" w:ascii="Times New Roman" w:hAnsi="Times New Roman" w:cs="Times New Roman"/>
                <w:b/>
                <w:bCs/>
                <w:color w:val="0000FF"/>
                <w:sz w:val="21"/>
                <w:szCs w:val="21"/>
              </w:rPr>
            </w:pPr>
            <w:r>
              <w:rPr>
                <w:rFonts w:hint="default" w:ascii="Times New Roman" w:hAnsi="Times New Roman" w:cs="Times New Roman"/>
                <w:b/>
                <w:bCs/>
                <w:color w:val="0000FF"/>
                <w:sz w:val="21"/>
                <w:szCs w:val="21"/>
                <w:lang w:val="en-US" w:eastAsia="zh-CN"/>
              </w:rPr>
              <w:t>变化情况</w:t>
            </w:r>
          </w:p>
        </w:tc>
      </w:tr>
      <w:tr w14:paraId="6E60AC01">
        <w:tblPrEx>
          <w:tblBorders>
            <w:top w:val="single" w:color="000000" w:themeColor="text1" w:sz="12" w:space="0"/>
            <w:left w:val="none" w:color="auto" w:sz="0" w:space="0"/>
            <w:bottom w:val="single" w:color="000000" w:themeColor="text1" w:sz="12" w:space="0"/>
            <w:right w:val="none" w:color="auto" w:sz="0" w:space="0"/>
            <w:insideH w:val="single" w:color="000000" w:themeColor="text1" w:sz="2" w:space="0"/>
            <w:insideV w:val="single" w:color="000000" w:themeColor="text1" w:sz="2" w:space="0"/>
          </w:tblBorders>
          <w:shd w:val="clear" w:color="auto" w:fill="auto"/>
          <w:tblCellMar>
            <w:top w:w="15" w:type="dxa"/>
            <w:left w:w="15" w:type="dxa"/>
            <w:bottom w:w="15" w:type="dxa"/>
            <w:right w:w="15" w:type="dxa"/>
          </w:tblCellMar>
        </w:tblPrEx>
        <w:trPr>
          <w:trHeight w:val="433" w:hRule="atLeast"/>
        </w:trPr>
        <w:tc>
          <w:tcPr>
            <w:tcW w:w="1110" w:type="pct"/>
            <w:tcBorders>
              <w:tl2br w:val="nil"/>
              <w:tr2bl w:val="nil"/>
            </w:tcBorders>
            <w:shd w:val="clear" w:color="auto" w:fill="auto"/>
            <w:tcMar>
              <w:top w:w="120" w:type="dxa"/>
              <w:left w:w="120" w:type="dxa"/>
              <w:bottom w:w="120" w:type="dxa"/>
              <w:right w:w="120" w:type="dxa"/>
            </w:tcMar>
            <w:vAlign w:val="center"/>
          </w:tcPr>
          <w:p w14:paraId="30635EE2">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熔炼、精炼烟气+铝渣处理废气总风量</w:t>
            </w:r>
          </w:p>
        </w:tc>
        <w:tc>
          <w:tcPr>
            <w:tcW w:w="1062" w:type="pct"/>
            <w:tcBorders>
              <w:tl2br w:val="nil"/>
              <w:tr2bl w:val="nil"/>
            </w:tcBorders>
            <w:shd w:val="clear" w:color="auto" w:fill="auto"/>
            <w:tcMar>
              <w:top w:w="120" w:type="dxa"/>
              <w:left w:w="120" w:type="dxa"/>
              <w:bottom w:w="120" w:type="dxa"/>
              <w:right w:w="120" w:type="dxa"/>
            </w:tcMar>
            <w:vAlign w:val="center"/>
          </w:tcPr>
          <w:p w14:paraId="4032B1A2">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100000m</w:t>
            </w:r>
            <w:r>
              <w:rPr>
                <w:rFonts w:hint="eastAsia" w:ascii="Times New Roman" w:hAnsi="Times New Roman" w:cs="Times New Roman"/>
                <w:color w:val="0000FF"/>
                <w:sz w:val="21"/>
                <w:szCs w:val="21"/>
                <w:vertAlign w:val="superscript"/>
                <w:lang w:val="en-US" w:eastAsia="zh-CN"/>
              </w:rPr>
              <w:t>3</w:t>
            </w:r>
            <w:r>
              <w:rPr>
                <w:rFonts w:hint="default" w:ascii="Times New Roman" w:hAnsi="Times New Roman" w:cs="Times New Roman"/>
                <w:color w:val="0000FF"/>
                <w:sz w:val="21"/>
                <w:szCs w:val="21"/>
                <w:lang w:val="en-US" w:eastAsia="zh-CN"/>
              </w:rPr>
              <w:t>/h</w:t>
            </w:r>
          </w:p>
        </w:tc>
        <w:tc>
          <w:tcPr>
            <w:tcW w:w="1976" w:type="pct"/>
            <w:tcBorders>
              <w:tl2br w:val="nil"/>
              <w:tr2bl w:val="nil"/>
            </w:tcBorders>
            <w:shd w:val="clear" w:color="auto" w:fill="auto"/>
            <w:tcMar>
              <w:top w:w="120" w:type="dxa"/>
              <w:left w:w="120" w:type="dxa"/>
              <w:bottom w:w="120" w:type="dxa"/>
              <w:right w:w="120" w:type="dxa"/>
            </w:tcMar>
            <w:vAlign w:val="center"/>
          </w:tcPr>
          <w:p w14:paraId="72D108E0">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200000m</w:t>
            </w:r>
            <w:r>
              <w:rPr>
                <w:rFonts w:hint="eastAsia" w:ascii="Times New Roman" w:hAnsi="Times New Roman" w:cs="Times New Roman"/>
                <w:color w:val="0000FF"/>
                <w:sz w:val="21"/>
                <w:szCs w:val="21"/>
                <w:vertAlign w:val="superscript"/>
                <w:lang w:val="en-US" w:eastAsia="zh-CN"/>
              </w:rPr>
              <w:t>3</w:t>
            </w:r>
            <w:r>
              <w:rPr>
                <w:rFonts w:hint="default" w:ascii="Times New Roman" w:hAnsi="Times New Roman" w:cs="Times New Roman"/>
                <w:color w:val="0000FF"/>
                <w:sz w:val="21"/>
                <w:szCs w:val="21"/>
                <w:lang w:val="en-US" w:eastAsia="zh-CN"/>
              </w:rPr>
              <w:t>/h</w:t>
            </w:r>
          </w:p>
        </w:tc>
        <w:tc>
          <w:tcPr>
            <w:tcW w:w="850" w:type="pct"/>
            <w:tcBorders>
              <w:tl2br w:val="nil"/>
              <w:tr2bl w:val="nil"/>
            </w:tcBorders>
            <w:shd w:val="clear" w:color="auto" w:fill="auto"/>
            <w:tcMar>
              <w:top w:w="120" w:type="dxa"/>
              <w:left w:w="120" w:type="dxa"/>
              <w:bottom w:w="120" w:type="dxa"/>
              <w:right w:w="120" w:type="dxa"/>
            </w:tcMar>
            <w:vAlign w:val="center"/>
          </w:tcPr>
          <w:p w14:paraId="5F25D9FD">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风量</w:t>
            </w:r>
            <w:r>
              <w:rPr>
                <w:rFonts w:hint="eastAsia" w:ascii="Times New Roman" w:hAnsi="Times New Roman" w:cs="Times New Roman"/>
                <w:color w:val="0000FF"/>
                <w:sz w:val="21"/>
                <w:szCs w:val="21"/>
                <w:lang w:val="en-US" w:eastAsia="zh-CN"/>
              </w:rPr>
              <w:t>增加</w:t>
            </w:r>
          </w:p>
        </w:tc>
      </w:tr>
      <w:tr w14:paraId="49E3CF21">
        <w:tblPrEx>
          <w:tblBorders>
            <w:top w:val="single" w:color="000000" w:themeColor="text1" w:sz="12" w:space="0"/>
            <w:left w:val="none" w:color="auto" w:sz="0" w:space="0"/>
            <w:bottom w:val="single" w:color="000000" w:themeColor="text1" w:sz="12" w:space="0"/>
            <w:right w:val="none" w:color="auto" w:sz="0" w:space="0"/>
            <w:insideH w:val="single" w:color="000000" w:themeColor="text1" w:sz="2" w:space="0"/>
            <w:insideV w:val="single" w:color="000000" w:themeColor="text1" w:sz="2" w:space="0"/>
          </w:tblBorders>
          <w:shd w:val="clear" w:color="auto" w:fill="auto"/>
          <w:tblCellMar>
            <w:top w:w="15" w:type="dxa"/>
            <w:left w:w="15" w:type="dxa"/>
            <w:bottom w:w="15" w:type="dxa"/>
            <w:right w:w="15" w:type="dxa"/>
          </w:tblCellMar>
        </w:tblPrEx>
        <w:tc>
          <w:tcPr>
            <w:tcW w:w="1110" w:type="pct"/>
            <w:tcBorders>
              <w:tl2br w:val="nil"/>
              <w:tr2bl w:val="nil"/>
            </w:tcBorders>
            <w:shd w:val="clear" w:color="auto" w:fill="auto"/>
            <w:tcMar>
              <w:top w:w="120" w:type="dxa"/>
              <w:left w:w="120" w:type="dxa"/>
              <w:bottom w:w="120" w:type="dxa"/>
              <w:right w:w="120" w:type="dxa"/>
            </w:tcMar>
            <w:vAlign w:val="center"/>
          </w:tcPr>
          <w:p w14:paraId="03B46A0D">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排气筒高度</w:t>
            </w:r>
          </w:p>
        </w:tc>
        <w:tc>
          <w:tcPr>
            <w:tcW w:w="1062" w:type="pct"/>
            <w:tcBorders>
              <w:tl2br w:val="nil"/>
              <w:tr2bl w:val="nil"/>
            </w:tcBorders>
            <w:shd w:val="clear" w:color="auto" w:fill="auto"/>
            <w:tcMar>
              <w:top w:w="120" w:type="dxa"/>
              <w:left w:w="120" w:type="dxa"/>
              <w:bottom w:w="120" w:type="dxa"/>
              <w:right w:w="120" w:type="dxa"/>
            </w:tcMar>
            <w:vAlign w:val="center"/>
          </w:tcPr>
          <w:p w14:paraId="305A26DA">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20m</w:t>
            </w:r>
          </w:p>
        </w:tc>
        <w:tc>
          <w:tcPr>
            <w:tcW w:w="1976" w:type="pct"/>
            <w:tcBorders>
              <w:tl2br w:val="nil"/>
              <w:tr2bl w:val="nil"/>
            </w:tcBorders>
            <w:shd w:val="clear" w:color="auto" w:fill="auto"/>
            <w:tcMar>
              <w:top w:w="120" w:type="dxa"/>
              <w:left w:w="120" w:type="dxa"/>
              <w:bottom w:w="120" w:type="dxa"/>
              <w:right w:w="120" w:type="dxa"/>
            </w:tcMar>
            <w:vAlign w:val="center"/>
          </w:tcPr>
          <w:p w14:paraId="3AF7EAEA">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2</w:t>
            </w:r>
            <w:r>
              <w:rPr>
                <w:rFonts w:hint="eastAsia" w:ascii="Times New Roman" w:hAnsi="Times New Roman" w:cs="Times New Roman"/>
                <w:color w:val="0000FF"/>
                <w:sz w:val="21"/>
                <w:szCs w:val="21"/>
                <w:lang w:val="en-US" w:eastAsia="zh-CN"/>
              </w:rPr>
              <w:t>4</w:t>
            </w:r>
            <w:r>
              <w:rPr>
                <w:rFonts w:hint="eastAsia" w:cs="Times New Roman"/>
                <w:color w:val="0000FF"/>
                <w:sz w:val="21"/>
                <w:szCs w:val="21"/>
                <w:lang w:val="en-US" w:eastAsia="zh-CN"/>
              </w:rPr>
              <w:t>.5</w:t>
            </w:r>
            <w:r>
              <w:rPr>
                <w:rFonts w:hint="default" w:ascii="Times New Roman" w:hAnsi="Times New Roman" w:cs="Times New Roman"/>
                <w:color w:val="0000FF"/>
                <w:sz w:val="21"/>
                <w:szCs w:val="21"/>
                <w:lang w:val="en-US" w:eastAsia="zh-CN"/>
              </w:rPr>
              <w:t>m</w:t>
            </w:r>
          </w:p>
        </w:tc>
        <w:tc>
          <w:tcPr>
            <w:tcW w:w="850" w:type="pct"/>
            <w:tcBorders>
              <w:tl2br w:val="nil"/>
              <w:tr2bl w:val="nil"/>
            </w:tcBorders>
            <w:shd w:val="clear" w:color="auto" w:fill="auto"/>
            <w:tcMar>
              <w:top w:w="120" w:type="dxa"/>
              <w:left w:w="120" w:type="dxa"/>
              <w:bottom w:w="120" w:type="dxa"/>
              <w:right w:w="120" w:type="dxa"/>
            </w:tcMar>
            <w:vAlign w:val="center"/>
          </w:tcPr>
          <w:p w14:paraId="5A151289">
            <w:pPr>
              <w:bidi w:val="0"/>
              <w:jc w:val="center"/>
              <w:rPr>
                <w:rFonts w:hint="default" w:ascii="Times New Roman" w:hAnsi="Times New Roman" w:cs="Times New Roman"/>
                <w:color w:val="0000FF"/>
                <w:sz w:val="21"/>
                <w:szCs w:val="21"/>
                <w:lang w:val="en-US"/>
              </w:rPr>
            </w:pPr>
            <w:r>
              <w:rPr>
                <w:rFonts w:hint="eastAsia" w:ascii="Times New Roman" w:hAnsi="Times New Roman" w:cs="Times New Roman"/>
                <w:color w:val="0000FF"/>
                <w:sz w:val="21"/>
                <w:szCs w:val="21"/>
                <w:lang w:val="en-US" w:eastAsia="zh-CN"/>
              </w:rPr>
              <w:t>高度增加</w:t>
            </w:r>
          </w:p>
        </w:tc>
      </w:tr>
      <w:tr w14:paraId="5BA4827B">
        <w:tblPrEx>
          <w:tblBorders>
            <w:top w:val="single" w:color="000000" w:themeColor="text1" w:sz="12" w:space="0"/>
            <w:left w:val="none" w:color="auto" w:sz="0" w:space="0"/>
            <w:bottom w:val="single" w:color="000000" w:themeColor="text1" w:sz="12" w:space="0"/>
            <w:right w:val="none" w:color="auto" w:sz="0" w:space="0"/>
            <w:insideH w:val="single" w:color="000000" w:themeColor="text1" w:sz="2" w:space="0"/>
            <w:insideV w:val="single" w:color="000000" w:themeColor="text1" w:sz="2" w:space="0"/>
          </w:tblBorders>
          <w:shd w:val="clear" w:color="auto" w:fill="auto"/>
          <w:tblCellMar>
            <w:top w:w="15" w:type="dxa"/>
            <w:left w:w="15" w:type="dxa"/>
            <w:bottom w:w="15" w:type="dxa"/>
            <w:right w:w="15" w:type="dxa"/>
          </w:tblCellMar>
        </w:tblPrEx>
        <w:trPr>
          <w:trHeight w:val="599" w:hRule="atLeast"/>
        </w:trPr>
        <w:tc>
          <w:tcPr>
            <w:tcW w:w="1110" w:type="pct"/>
            <w:tcBorders>
              <w:tl2br w:val="nil"/>
              <w:tr2bl w:val="nil"/>
            </w:tcBorders>
            <w:shd w:val="clear" w:color="auto" w:fill="auto"/>
            <w:tcMar>
              <w:top w:w="120" w:type="dxa"/>
              <w:left w:w="120" w:type="dxa"/>
              <w:bottom w:w="120" w:type="dxa"/>
              <w:right w:w="120" w:type="dxa"/>
            </w:tcMar>
            <w:vAlign w:val="center"/>
          </w:tcPr>
          <w:p w14:paraId="255474A3">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处理工艺</w:t>
            </w:r>
          </w:p>
        </w:tc>
        <w:tc>
          <w:tcPr>
            <w:tcW w:w="1062" w:type="pct"/>
            <w:tcBorders>
              <w:tl2br w:val="nil"/>
              <w:tr2bl w:val="nil"/>
            </w:tcBorders>
            <w:shd w:val="clear" w:color="auto" w:fill="auto"/>
            <w:tcMar>
              <w:top w:w="120" w:type="dxa"/>
              <w:left w:w="120" w:type="dxa"/>
              <w:bottom w:w="120" w:type="dxa"/>
              <w:right w:w="120" w:type="dxa"/>
            </w:tcMar>
            <w:vAlign w:val="center"/>
          </w:tcPr>
          <w:p w14:paraId="3DA46E86">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两套</w:t>
            </w:r>
            <w:r>
              <w:rPr>
                <w:rFonts w:hint="eastAsia" w:ascii="Times New Roman" w:hAnsi="Times New Roman" w:cs="Times New Roman"/>
                <w:color w:val="0000FF"/>
                <w:sz w:val="21"/>
                <w:szCs w:val="21"/>
                <w:lang w:val="en-US" w:eastAsia="zh-CN"/>
              </w:rPr>
              <w:t>“</w:t>
            </w:r>
            <w:r>
              <w:rPr>
                <w:rFonts w:hint="default" w:ascii="Times New Roman" w:hAnsi="Times New Roman" w:cs="Times New Roman"/>
                <w:color w:val="0000FF"/>
                <w:sz w:val="21"/>
                <w:szCs w:val="21"/>
                <w:lang w:val="en-US" w:eastAsia="zh-CN"/>
              </w:rPr>
              <w:t>旋风+布袋+碱喷淋</w:t>
            </w:r>
            <w:r>
              <w:rPr>
                <w:rFonts w:hint="eastAsia" w:ascii="Times New Roman" w:hAnsi="Times New Roman" w:cs="Times New Roman"/>
                <w:color w:val="0000FF"/>
                <w:sz w:val="21"/>
                <w:szCs w:val="21"/>
                <w:lang w:val="en-US" w:eastAsia="zh-CN"/>
              </w:rPr>
              <w:t>”</w:t>
            </w:r>
            <w:r>
              <w:rPr>
                <w:rFonts w:hint="default" w:ascii="Times New Roman" w:hAnsi="Times New Roman" w:cs="Times New Roman"/>
                <w:color w:val="0000FF"/>
                <w:sz w:val="21"/>
                <w:szCs w:val="21"/>
                <w:lang w:val="en-US" w:eastAsia="zh-CN"/>
              </w:rPr>
              <w:t>合并排放</w:t>
            </w:r>
          </w:p>
        </w:tc>
        <w:tc>
          <w:tcPr>
            <w:tcW w:w="1976" w:type="pct"/>
            <w:tcBorders>
              <w:tl2br w:val="nil"/>
              <w:tr2bl w:val="nil"/>
            </w:tcBorders>
            <w:shd w:val="clear" w:color="auto" w:fill="auto"/>
            <w:tcMar>
              <w:top w:w="120" w:type="dxa"/>
              <w:left w:w="120" w:type="dxa"/>
              <w:bottom w:w="120" w:type="dxa"/>
              <w:right w:w="120" w:type="dxa"/>
            </w:tcMar>
            <w:vAlign w:val="center"/>
          </w:tcPr>
          <w:p w14:paraId="67A98543">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熔炼烟气：SNCR + 急冷；铝渣废气：活性炭喷粉+重力沉降</w:t>
            </w:r>
            <w:r>
              <w:rPr>
                <w:rFonts w:hint="eastAsia" w:ascii="Times New Roman" w:hAnsi="Times New Roman" w:cs="Times New Roman"/>
                <w:color w:val="0000FF"/>
                <w:sz w:val="21"/>
                <w:szCs w:val="21"/>
                <w:lang w:val="en-US" w:eastAsia="zh-CN"/>
              </w:rPr>
              <w:t>除尘</w:t>
            </w:r>
            <w:r>
              <w:rPr>
                <w:rFonts w:hint="default" w:ascii="Times New Roman" w:hAnsi="Times New Roman" w:cs="Times New Roman"/>
                <w:color w:val="0000FF"/>
                <w:sz w:val="21"/>
                <w:szCs w:val="21"/>
                <w:lang w:val="en-US" w:eastAsia="zh-CN"/>
              </w:rPr>
              <w:t>+布袋</w:t>
            </w:r>
            <w:r>
              <w:rPr>
                <w:rFonts w:hint="eastAsia" w:ascii="Times New Roman" w:hAnsi="Times New Roman" w:cs="Times New Roman"/>
                <w:color w:val="0000FF"/>
                <w:sz w:val="21"/>
                <w:szCs w:val="21"/>
                <w:lang w:val="en-US" w:eastAsia="zh-CN"/>
              </w:rPr>
              <w:t>除尘</w:t>
            </w:r>
            <w:r>
              <w:rPr>
                <w:rFonts w:hint="default" w:ascii="Times New Roman" w:hAnsi="Times New Roman" w:cs="Times New Roman"/>
                <w:color w:val="0000FF"/>
                <w:sz w:val="21"/>
                <w:szCs w:val="21"/>
                <w:lang w:val="en-US" w:eastAsia="zh-CN"/>
              </w:rPr>
              <w:t>+碱喷淋，汇合排放</w:t>
            </w:r>
          </w:p>
        </w:tc>
        <w:tc>
          <w:tcPr>
            <w:tcW w:w="850" w:type="pct"/>
            <w:tcBorders>
              <w:tl2br w:val="nil"/>
              <w:tr2bl w:val="nil"/>
            </w:tcBorders>
            <w:shd w:val="clear" w:color="auto" w:fill="auto"/>
            <w:tcMar>
              <w:top w:w="120" w:type="dxa"/>
              <w:left w:w="120" w:type="dxa"/>
              <w:bottom w:w="120" w:type="dxa"/>
              <w:right w:w="120" w:type="dxa"/>
            </w:tcMar>
            <w:vAlign w:val="center"/>
          </w:tcPr>
          <w:p w14:paraId="1E20A982">
            <w:pPr>
              <w:bidi w:val="0"/>
              <w:jc w:val="center"/>
              <w:rPr>
                <w:rFonts w:hint="default" w:ascii="Times New Roman" w:hAnsi="Times New Roman" w:cs="Times New Roman"/>
                <w:color w:val="0000FF"/>
                <w:sz w:val="21"/>
                <w:szCs w:val="21"/>
              </w:rPr>
            </w:pPr>
            <w:r>
              <w:rPr>
                <w:rFonts w:hint="default" w:ascii="Times New Roman" w:hAnsi="Times New Roman" w:cs="Times New Roman"/>
                <w:color w:val="0000FF"/>
                <w:sz w:val="21"/>
                <w:szCs w:val="21"/>
                <w:lang w:val="en-US" w:eastAsia="zh-CN"/>
              </w:rPr>
              <w:t>工艺分治+末端汇合</w:t>
            </w:r>
          </w:p>
        </w:tc>
      </w:tr>
    </w:tbl>
    <w:p w14:paraId="3AB198CB">
      <w:pPr>
        <w:spacing w:line="360" w:lineRule="auto"/>
        <w:ind w:firstLine="480" w:firstLineChars="200"/>
        <w:outlineLvl w:val="1"/>
        <w:rPr>
          <w:rFonts w:hint="default" w:cs="Times New Roman"/>
          <w:color w:val="0000FF"/>
          <w:sz w:val="24"/>
          <w:lang w:val="en-US" w:eastAsia="zh-CN"/>
        </w:rPr>
      </w:pPr>
      <w:r>
        <w:rPr>
          <w:rFonts w:hint="default" w:ascii="Times New Roman" w:hAnsi="Times New Roman" w:eastAsia="宋体" w:cs="Times New Roman"/>
          <w:color w:val="0000FF"/>
          <w:sz w:val="24"/>
          <w:lang w:val="en-US" w:eastAsia="zh-CN"/>
        </w:rPr>
        <w:t>本次废气治理方案调整，核心变化为原两套独立</w:t>
      </w:r>
      <w:r>
        <w:rPr>
          <w:rFonts w:hint="eastAsia" w:cs="Times New Roman"/>
          <w:color w:val="0000FF"/>
          <w:sz w:val="24"/>
          <w:lang w:val="en-US" w:eastAsia="zh-CN"/>
        </w:rPr>
        <w:t>“</w:t>
      </w:r>
      <w:r>
        <w:rPr>
          <w:rFonts w:hint="default" w:ascii="Times New Roman" w:hAnsi="Times New Roman" w:eastAsia="宋体" w:cs="Times New Roman"/>
          <w:color w:val="0000FF"/>
          <w:sz w:val="24"/>
          <w:lang w:val="en-US" w:eastAsia="zh-CN"/>
        </w:rPr>
        <w:t>旋风+布袋+碱喷淋</w:t>
      </w:r>
      <w:r>
        <w:rPr>
          <w:rFonts w:hint="eastAsia" w:cs="Times New Roman"/>
          <w:color w:val="0000FF"/>
          <w:sz w:val="24"/>
          <w:lang w:val="en-US" w:eastAsia="zh-CN"/>
        </w:rPr>
        <w:t>”系统</w:t>
      </w:r>
      <w:r>
        <w:rPr>
          <w:rFonts w:hint="default" w:ascii="Times New Roman" w:hAnsi="Times New Roman" w:eastAsia="宋体" w:cs="Times New Roman"/>
          <w:color w:val="0000FF"/>
          <w:sz w:val="24"/>
          <w:lang w:val="en-US" w:eastAsia="zh-CN"/>
        </w:rPr>
        <w:t>整合为一套分质预处理+集中后处理系统</w:t>
      </w:r>
      <w:r>
        <w:rPr>
          <w:rFonts w:hint="eastAsia" w:cs="Times New Roman"/>
          <w:color w:val="0000FF"/>
          <w:sz w:val="24"/>
          <w:lang w:val="en-US" w:eastAsia="zh-CN"/>
        </w:rPr>
        <w:t>。</w:t>
      </w:r>
    </w:p>
    <w:p w14:paraId="67723836">
      <w:pPr>
        <w:adjustRightInd w:val="0"/>
        <w:snapToGrid w:val="0"/>
        <w:spacing w:line="360" w:lineRule="auto"/>
        <w:ind w:firstLine="480" w:firstLineChars="200"/>
        <w:jc w:val="left"/>
        <w:rPr>
          <w:rFonts w:hint="default" w:ascii="Times New Roman" w:hAnsi="Times New Roman" w:eastAsia="宋体" w:cs="Times New Roman"/>
          <w:color w:val="0000FF"/>
          <w:sz w:val="24"/>
          <w:lang w:val="en-US" w:eastAsia="zh-CN"/>
        </w:rPr>
      </w:pPr>
      <w:r>
        <w:rPr>
          <w:rFonts w:hint="eastAsia" w:cs="Times New Roman"/>
          <w:color w:val="0000FF"/>
          <w:sz w:val="24"/>
          <w:lang w:val="en-US" w:eastAsia="zh-CN"/>
        </w:rPr>
        <w:t>（1）废气风量变化可行性分析</w:t>
      </w:r>
    </w:p>
    <w:p w14:paraId="572C2BAA">
      <w:pPr>
        <w:numPr>
          <w:ilvl w:val="0"/>
          <w:numId w:val="0"/>
        </w:numPr>
        <w:adjustRightInd w:val="0"/>
        <w:snapToGrid w:val="0"/>
        <w:spacing w:line="360" w:lineRule="auto"/>
        <w:ind w:firstLine="480" w:firstLineChars="200"/>
        <w:jc w:val="left"/>
        <w:rPr>
          <w:rFonts w:hint="eastAsia" w:ascii="Times New Roman" w:hAnsi="Times New Roman" w:eastAsia="宋体" w:cs="Times New Roman"/>
          <w:color w:val="0000FF"/>
          <w:sz w:val="24"/>
          <w:lang w:val="en-US" w:eastAsia="zh-CN"/>
        </w:rPr>
      </w:pPr>
      <w:r>
        <w:rPr>
          <w:rFonts w:hint="eastAsia" w:ascii="Times New Roman" w:hAnsi="Times New Roman" w:eastAsia="宋体" w:cs="Times New Roman"/>
          <w:color w:val="0000FF"/>
          <w:kern w:val="2"/>
          <w:sz w:val="24"/>
          <w:szCs w:val="24"/>
          <w:lang w:val="en-US" w:eastAsia="zh-CN" w:bidi="ar-SA"/>
        </w:rPr>
        <w:t>①</w:t>
      </w:r>
      <w:r>
        <w:rPr>
          <w:rFonts w:hint="eastAsia" w:ascii="Times New Roman" w:hAnsi="Times New Roman" w:eastAsia="宋体" w:cs="Times New Roman"/>
          <w:color w:val="0000FF"/>
          <w:sz w:val="24"/>
          <w:lang w:val="en-US" w:eastAsia="zh-CN"/>
        </w:rPr>
        <w:t>原集气罩密闭性差、负压不足，大量烟气无组织逸散，仅部分废气被收集进入治理设施</w:t>
      </w:r>
      <w:r>
        <w:rPr>
          <w:rFonts w:hint="eastAsia" w:cs="Times New Roman"/>
          <w:color w:val="0000FF"/>
          <w:sz w:val="24"/>
          <w:lang w:val="en-US" w:eastAsia="zh-CN"/>
        </w:rPr>
        <w:t>；</w:t>
      </w:r>
    </w:p>
    <w:p w14:paraId="5601BFEA">
      <w:pPr>
        <w:numPr>
          <w:ilvl w:val="0"/>
          <w:numId w:val="0"/>
        </w:numPr>
        <w:adjustRightInd w:val="0"/>
        <w:snapToGrid w:val="0"/>
        <w:spacing w:line="360" w:lineRule="auto"/>
        <w:ind w:firstLine="480" w:firstLineChars="200"/>
        <w:jc w:val="left"/>
        <w:rPr>
          <w:rFonts w:hint="eastAsia" w:ascii="Times New Roman" w:hAnsi="Times New Roman" w:eastAsia="宋体" w:cs="Times New Roman"/>
          <w:color w:val="0000FF"/>
          <w:sz w:val="24"/>
          <w:lang w:val="en-US" w:eastAsia="zh-CN"/>
        </w:rPr>
      </w:pPr>
      <w:r>
        <w:rPr>
          <w:rFonts w:hint="eastAsia" w:ascii="Times New Roman" w:hAnsi="Times New Roman" w:eastAsia="宋体" w:cs="Times New Roman"/>
          <w:color w:val="0000FF"/>
          <w:kern w:val="2"/>
          <w:sz w:val="24"/>
          <w:szCs w:val="24"/>
          <w:lang w:val="en-US" w:eastAsia="zh-CN" w:bidi="ar-SA"/>
        </w:rPr>
        <w:t>②</w:t>
      </w:r>
      <w:r>
        <w:rPr>
          <w:rFonts w:hint="eastAsia" w:ascii="Times New Roman" w:hAnsi="Times New Roman" w:eastAsia="宋体" w:cs="Times New Roman"/>
          <w:color w:val="0000FF"/>
          <w:sz w:val="24"/>
          <w:lang w:val="en-US" w:eastAsia="zh-CN"/>
        </w:rPr>
        <w:t>本次通过密闭集气罩改造、优化集气风口、提升系统负压，将原本逸散的废气充分捕集，导致系统设计风量翻倍，目的是从源头减少无组织排放，满足厂界无组织监控浓度限值要求</w:t>
      </w:r>
      <w:r>
        <w:rPr>
          <w:rFonts w:hint="eastAsia" w:cs="Times New Roman"/>
          <w:color w:val="0000FF"/>
          <w:sz w:val="24"/>
          <w:lang w:val="en-US" w:eastAsia="zh-CN"/>
        </w:rPr>
        <w:t>。</w:t>
      </w:r>
    </w:p>
    <w:p w14:paraId="5F528B24">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left="0" w:leftChars="0" w:firstLine="403" w:firstLineChars="0"/>
        <w:jc w:val="left"/>
        <w:textAlignment w:val="auto"/>
        <w:rPr>
          <w:rFonts w:hint="eastAsia" w:cs="Times New Roman"/>
          <w:color w:val="0000FF"/>
          <w:sz w:val="24"/>
          <w:lang w:val="en-US" w:eastAsia="zh-CN"/>
        </w:rPr>
      </w:pPr>
      <w:r>
        <w:rPr>
          <w:rFonts w:hint="eastAsia" w:ascii="Times New Roman" w:hAnsi="Times New Roman" w:eastAsia="宋体" w:cs="Times New Roman"/>
          <w:color w:val="0000FF"/>
          <w:kern w:val="2"/>
          <w:sz w:val="24"/>
          <w:szCs w:val="24"/>
          <w:lang w:val="en-US" w:eastAsia="zh-CN" w:bidi="ar-SA"/>
        </w:rPr>
        <w:t>③</w:t>
      </w:r>
      <w:r>
        <w:rPr>
          <w:rFonts w:hint="eastAsia" w:cs="Times New Roman"/>
          <w:color w:val="0000FF"/>
          <w:sz w:val="24"/>
          <w:lang w:val="en-US" w:eastAsia="zh-CN"/>
        </w:rPr>
        <w:t>项目排气筒调整后风量为</w:t>
      </w:r>
      <w:r>
        <w:rPr>
          <w:rFonts w:hint="default" w:ascii="Times New Roman" w:hAnsi="Times New Roman" w:cs="Times New Roman"/>
          <w:color w:val="0000FF"/>
          <w:sz w:val="24"/>
          <w:szCs w:val="24"/>
          <w:lang w:val="en-US" w:eastAsia="zh-CN"/>
        </w:rPr>
        <w:t>200000m</w:t>
      </w:r>
      <w:r>
        <w:rPr>
          <w:rFonts w:hint="eastAsia" w:ascii="Times New Roman" w:hAnsi="Times New Roman" w:cs="Times New Roman"/>
          <w:color w:val="0000FF"/>
          <w:sz w:val="24"/>
          <w:szCs w:val="24"/>
          <w:vertAlign w:val="superscript"/>
          <w:lang w:val="en-US" w:eastAsia="zh-CN"/>
        </w:rPr>
        <w:t>3</w:t>
      </w:r>
      <w:r>
        <w:rPr>
          <w:rFonts w:hint="default" w:ascii="Times New Roman" w:hAnsi="Times New Roman" w:cs="Times New Roman"/>
          <w:color w:val="0000FF"/>
          <w:sz w:val="24"/>
          <w:szCs w:val="24"/>
          <w:lang w:val="en-US" w:eastAsia="zh-CN"/>
        </w:rPr>
        <w:t>/h</w:t>
      </w:r>
      <w:r>
        <w:rPr>
          <w:rFonts w:hint="eastAsia" w:cs="Times New Roman"/>
          <w:color w:val="0000FF"/>
          <w:sz w:val="24"/>
          <w:szCs w:val="24"/>
          <w:lang w:val="en-US" w:eastAsia="zh-CN"/>
        </w:rPr>
        <w:t>，</w:t>
      </w:r>
      <w:r>
        <w:rPr>
          <w:rFonts w:hint="eastAsia" w:cs="Times New Roman"/>
          <w:color w:val="0000FF"/>
          <w:sz w:val="24"/>
          <w:lang w:val="en-US" w:eastAsia="zh-CN"/>
        </w:rPr>
        <w:t>内径为2.05m，截面积约为3.299m</w:t>
      </w:r>
      <w:r>
        <w:rPr>
          <w:rFonts w:hint="eastAsia" w:cs="Times New Roman"/>
          <w:color w:val="0000FF"/>
          <w:sz w:val="24"/>
          <w:vertAlign w:val="superscript"/>
          <w:lang w:val="en-US" w:eastAsia="zh-CN"/>
        </w:rPr>
        <w:t>2</w:t>
      </w:r>
      <w:r>
        <w:rPr>
          <w:rFonts w:hint="eastAsia" w:cs="Times New Roman"/>
          <w:color w:val="0000FF"/>
          <w:sz w:val="24"/>
          <w:vertAlign w:val="baseline"/>
          <w:lang w:val="en-US" w:eastAsia="zh-CN"/>
        </w:rPr>
        <w:t>，经计算排气筒流速约为16.83m/s，排气筒设计流速可满足《大气污染治理工程技术导则》（HJ2000-2010）中相关要求。</w:t>
      </w:r>
    </w:p>
    <w:p w14:paraId="2ABA676C">
      <w:pPr>
        <w:adjustRightInd w:val="0"/>
        <w:snapToGrid w:val="0"/>
        <w:spacing w:line="360" w:lineRule="auto"/>
        <w:ind w:firstLine="480" w:firstLineChars="200"/>
        <w:jc w:val="left"/>
        <w:rPr>
          <w:rFonts w:hint="default" w:ascii="Times New Roman" w:hAnsi="Times New Roman" w:eastAsia="宋体" w:cs="Times New Roman"/>
          <w:color w:val="0000FF"/>
          <w:sz w:val="24"/>
          <w:lang w:val="en-US" w:eastAsia="zh-CN"/>
        </w:rPr>
      </w:pPr>
      <w:r>
        <w:rPr>
          <w:rFonts w:hint="eastAsia" w:cs="Times New Roman"/>
          <w:color w:val="0000FF"/>
          <w:sz w:val="24"/>
          <w:lang w:val="en-US" w:eastAsia="zh-CN"/>
        </w:rPr>
        <w:t>（2）两套废气处理系统合并为一套的原因</w:t>
      </w:r>
    </w:p>
    <w:p w14:paraId="5E3BB5E4">
      <w:pPr>
        <w:numPr>
          <w:ilvl w:val="0"/>
          <w:numId w:val="0"/>
        </w:numPr>
        <w:adjustRightInd w:val="0"/>
        <w:snapToGrid w:val="0"/>
        <w:spacing w:line="360" w:lineRule="auto"/>
        <w:ind w:left="0" w:leftChars="0" w:firstLine="480" w:firstLineChars="200"/>
        <w:jc w:val="left"/>
        <w:rPr>
          <w:rFonts w:hint="eastAsia" w:ascii="Times New Roman" w:hAnsi="Times New Roman" w:eastAsia="宋体" w:cs="Times New Roman"/>
          <w:color w:val="0000FF"/>
          <w:sz w:val="24"/>
          <w:lang w:val="en-US" w:eastAsia="zh-CN"/>
        </w:rPr>
      </w:pPr>
      <w:r>
        <w:rPr>
          <w:rFonts w:hint="eastAsia" w:ascii="Times New Roman" w:hAnsi="Times New Roman" w:eastAsia="宋体" w:cs="Times New Roman"/>
          <w:color w:val="0000FF"/>
          <w:kern w:val="2"/>
          <w:sz w:val="24"/>
          <w:szCs w:val="24"/>
          <w:lang w:val="en-US" w:eastAsia="zh-CN" w:bidi="ar-SA"/>
        </w:rPr>
        <w:t>①</w:t>
      </w:r>
      <w:r>
        <w:rPr>
          <w:rFonts w:hint="eastAsia" w:ascii="Times New Roman" w:hAnsi="Times New Roman" w:eastAsia="宋体" w:cs="Times New Roman"/>
          <w:color w:val="0000FF"/>
          <w:sz w:val="24"/>
          <w:lang w:val="en-US" w:eastAsia="zh-CN"/>
        </w:rPr>
        <w:t>风场不平衡、串风倒灌</w:t>
      </w:r>
    </w:p>
    <w:p w14:paraId="1A02842A">
      <w:pPr>
        <w:adjustRightInd w:val="0"/>
        <w:snapToGrid w:val="0"/>
        <w:spacing w:line="360" w:lineRule="auto"/>
        <w:ind w:firstLine="480" w:firstLineChars="200"/>
        <w:jc w:val="left"/>
        <w:rPr>
          <w:rFonts w:hint="eastAsia" w:ascii="Times New Roman" w:hAnsi="Times New Roman" w:eastAsia="宋体" w:cs="Times New Roman"/>
          <w:color w:val="0000FF"/>
          <w:sz w:val="24"/>
          <w:lang w:val="en-US" w:eastAsia="zh-CN"/>
        </w:rPr>
      </w:pPr>
      <w:r>
        <w:rPr>
          <w:rFonts w:hint="eastAsia" w:ascii="Times New Roman" w:hAnsi="Times New Roman" w:eastAsia="宋体" w:cs="Times New Roman"/>
          <w:color w:val="0000FF"/>
          <w:sz w:val="24"/>
          <w:lang w:val="en-US" w:eastAsia="zh-CN"/>
        </w:rPr>
        <w:t>两套除尘系统风机风压、阻力难以同步，易出现管路串风、废气倒灌回车间，加剧无组织逸散</w:t>
      </w:r>
      <w:r>
        <w:rPr>
          <w:rFonts w:hint="eastAsia" w:cs="Times New Roman"/>
          <w:color w:val="0000FF"/>
          <w:sz w:val="24"/>
          <w:lang w:val="en-US" w:eastAsia="zh-CN"/>
        </w:rPr>
        <w:t>；</w:t>
      </w:r>
      <w:r>
        <w:rPr>
          <w:rFonts w:hint="eastAsia" w:ascii="Times New Roman" w:hAnsi="Times New Roman" w:eastAsia="宋体" w:cs="Times New Roman"/>
          <w:color w:val="0000FF"/>
          <w:sz w:val="24"/>
          <w:lang w:val="en-US" w:eastAsia="zh-CN"/>
        </w:rPr>
        <w:t>合并为单套系统后，统一风机、统一负压，流场更稳定，彻底解决风压失衡问题。</w:t>
      </w:r>
    </w:p>
    <w:p w14:paraId="0052A7F5">
      <w:pPr>
        <w:numPr>
          <w:ilvl w:val="0"/>
          <w:numId w:val="0"/>
        </w:numPr>
        <w:adjustRightInd w:val="0"/>
        <w:snapToGrid w:val="0"/>
        <w:spacing w:line="360" w:lineRule="auto"/>
        <w:ind w:firstLine="480" w:firstLineChars="200"/>
        <w:jc w:val="left"/>
        <w:rPr>
          <w:rFonts w:hint="eastAsia" w:ascii="Times New Roman" w:hAnsi="Times New Roman" w:eastAsia="宋体" w:cs="Times New Roman"/>
          <w:color w:val="0000FF"/>
          <w:sz w:val="24"/>
          <w:lang w:val="en-US" w:eastAsia="zh-CN"/>
        </w:rPr>
      </w:pPr>
      <w:r>
        <w:rPr>
          <w:rFonts w:hint="eastAsia" w:ascii="Times New Roman" w:hAnsi="Times New Roman" w:eastAsia="宋体" w:cs="Times New Roman"/>
          <w:color w:val="0000FF"/>
          <w:kern w:val="2"/>
          <w:sz w:val="24"/>
          <w:szCs w:val="24"/>
          <w:lang w:val="en-US" w:eastAsia="zh-CN" w:bidi="ar-SA"/>
        </w:rPr>
        <w:t>②</w:t>
      </w:r>
      <w:r>
        <w:rPr>
          <w:rFonts w:hint="eastAsia" w:ascii="Times New Roman" w:hAnsi="Times New Roman" w:eastAsia="宋体" w:cs="Times New Roman"/>
          <w:color w:val="0000FF"/>
          <w:sz w:val="24"/>
          <w:lang w:val="en-US" w:eastAsia="zh-CN"/>
        </w:rPr>
        <w:t>设备冗余、管路复杂</w:t>
      </w:r>
    </w:p>
    <w:p w14:paraId="651FB2B5">
      <w:pPr>
        <w:spacing w:line="360" w:lineRule="auto"/>
        <w:ind w:firstLine="480" w:firstLineChars="200"/>
        <w:outlineLvl w:val="1"/>
        <w:rPr>
          <w:rFonts w:hint="eastAsia" w:cs="Times New Roman"/>
          <w:color w:val="0000FF"/>
          <w:sz w:val="24"/>
          <w:lang w:val="en-US" w:eastAsia="zh-CN"/>
        </w:rPr>
      </w:pPr>
      <w:r>
        <w:rPr>
          <w:rFonts w:hint="eastAsia" w:ascii="Times New Roman" w:hAnsi="Times New Roman" w:eastAsia="宋体" w:cs="Times New Roman"/>
          <w:color w:val="0000FF"/>
          <w:sz w:val="24"/>
          <w:lang w:val="en-US" w:eastAsia="zh-CN"/>
        </w:rPr>
        <w:t>原配置两套</w:t>
      </w:r>
      <w:r>
        <w:rPr>
          <w:rFonts w:hint="eastAsia" w:cs="Times New Roman"/>
          <w:color w:val="0000FF"/>
          <w:sz w:val="24"/>
          <w:lang w:val="en-US" w:eastAsia="zh-CN"/>
        </w:rPr>
        <w:t>“</w:t>
      </w:r>
      <w:r>
        <w:rPr>
          <w:rFonts w:hint="eastAsia" w:ascii="Times New Roman" w:hAnsi="Times New Roman" w:eastAsia="宋体" w:cs="Times New Roman"/>
          <w:color w:val="0000FF"/>
          <w:sz w:val="24"/>
          <w:lang w:val="en-US" w:eastAsia="zh-CN"/>
        </w:rPr>
        <w:t>旋风</w:t>
      </w:r>
      <w:r>
        <w:rPr>
          <w:rFonts w:hint="eastAsia" w:cs="Times New Roman"/>
          <w:color w:val="0000FF"/>
          <w:sz w:val="24"/>
          <w:lang w:val="en-US" w:eastAsia="zh-CN"/>
        </w:rPr>
        <w:t>除尘</w:t>
      </w:r>
      <w:r>
        <w:rPr>
          <w:rFonts w:hint="eastAsia" w:ascii="Times New Roman" w:hAnsi="Times New Roman" w:eastAsia="宋体" w:cs="Times New Roman"/>
          <w:color w:val="0000FF"/>
          <w:sz w:val="24"/>
          <w:lang w:val="en-US" w:eastAsia="zh-CN"/>
        </w:rPr>
        <w:t>+布袋</w:t>
      </w:r>
      <w:r>
        <w:rPr>
          <w:rFonts w:hint="eastAsia" w:cs="Times New Roman"/>
          <w:color w:val="0000FF"/>
          <w:sz w:val="24"/>
          <w:lang w:val="en-US" w:eastAsia="zh-CN"/>
        </w:rPr>
        <w:t>除尘</w:t>
      </w:r>
      <w:r>
        <w:rPr>
          <w:rFonts w:hint="eastAsia" w:ascii="Times New Roman" w:hAnsi="Times New Roman" w:eastAsia="宋体" w:cs="Times New Roman"/>
          <w:color w:val="0000FF"/>
          <w:sz w:val="24"/>
          <w:lang w:val="en-US" w:eastAsia="zh-CN"/>
        </w:rPr>
        <w:t>+碱喷淋</w:t>
      </w:r>
      <w:r>
        <w:rPr>
          <w:rFonts w:hint="eastAsia" w:cs="Times New Roman"/>
          <w:color w:val="0000FF"/>
          <w:sz w:val="24"/>
          <w:lang w:val="en-US" w:eastAsia="zh-CN"/>
        </w:rPr>
        <w:t>”</w:t>
      </w:r>
      <w:r>
        <w:rPr>
          <w:rFonts w:hint="eastAsia" w:ascii="Times New Roman" w:hAnsi="Times New Roman" w:eastAsia="宋体" w:cs="Times New Roman"/>
          <w:color w:val="0000FF"/>
          <w:sz w:val="24"/>
          <w:lang w:val="en-US" w:eastAsia="zh-CN"/>
        </w:rPr>
        <w:t>，设备、阀门、管路重复布置，占地与故障点多</w:t>
      </w:r>
      <w:r>
        <w:rPr>
          <w:rFonts w:hint="eastAsia" w:cs="Times New Roman"/>
          <w:color w:val="0000FF"/>
          <w:sz w:val="24"/>
          <w:lang w:val="en-US" w:eastAsia="zh-CN"/>
        </w:rPr>
        <w:t>；</w:t>
      </w:r>
      <w:r>
        <w:rPr>
          <w:rFonts w:hint="eastAsia" w:ascii="Times New Roman" w:hAnsi="Times New Roman" w:eastAsia="宋体" w:cs="Times New Roman"/>
          <w:color w:val="0000FF"/>
          <w:sz w:val="24"/>
          <w:lang w:val="en-US" w:eastAsia="zh-CN"/>
        </w:rPr>
        <w:t>合并后简化工艺流程，减少设备数量，提升系统整体可靠性</w:t>
      </w:r>
      <w:r>
        <w:rPr>
          <w:rFonts w:hint="eastAsia" w:cs="Times New Roman"/>
          <w:color w:val="0000FF"/>
          <w:sz w:val="24"/>
          <w:lang w:val="en-US" w:eastAsia="zh-CN"/>
        </w:rPr>
        <w:t>。</w:t>
      </w:r>
    </w:p>
    <w:p w14:paraId="54F44478">
      <w:pPr>
        <w:spacing w:line="360" w:lineRule="auto"/>
        <w:ind w:firstLine="480" w:firstLineChars="200"/>
        <w:outlineLvl w:val="1"/>
        <w:rPr>
          <w:rFonts w:hint="eastAsia"/>
          <w:b/>
          <w:bCs/>
          <w:color w:val="auto"/>
          <w:sz w:val="28"/>
          <w:szCs w:val="36"/>
          <w:lang w:val="en-US" w:eastAsia="zh-CN"/>
        </w:rPr>
      </w:pPr>
      <w:r>
        <w:rPr>
          <w:rFonts w:hint="eastAsia" w:cs="Times New Roman"/>
          <w:color w:val="0000FF"/>
          <w:sz w:val="24"/>
          <w:lang w:val="en-US" w:eastAsia="zh-CN"/>
        </w:rPr>
        <w:t>本次仅为废气收集与治理系统整合优化，产能与污染物产生量均未增加，污染物排放强度不高于原工程；新工艺“重力沉降+布袋除尘+碱喷淋”对颗粒物、酸性气体的综合去除效率不低于原两套并联系统；系统合并优化了流场、消除了风不平衡问题，污染物排放更稳定、更均匀，达标可靠性进一步提升。</w:t>
      </w:r>
    </w:p>
    <w:bookmarkEnd w:id="363"/>
    <w:p w14:paraId="660CEF37">
      <w:pPr>
        <w:pStyle w:val="20"/>
        <w:spacing w:line="360" w:lineRule="auto"/>
        <w:outlineLvl w:val="2"/>
        <w:rPr>
          <w:rFonts w:ascii="Times New Roman" w:hAnsi="Times New Roman" w:eastAsia="宋体" w:cs="Times New Roman"/>
          <w:b/>
          <w:bCs/>
          <w:color w:val="auto"/>
          <w:sz w:val="24"/>
          <w:szCs w:val="24"/>
        </w:rPr>
      </w:pPr>
      <w:r>
        <w:rPr>
          <w:rFonts w:ascii="Times New Roman" w:hAnsi="Times New Roman" w:eastAsia="宋体" w:cs="Times New Roman"/>
          <w:b/>
          <w:bCs/>
          <w:color w:val="auto"/>
          <w:sz w:val="24"/>
          <w:szCs w:val="24"/>
        </w:rPr>
        <w:t>5.</w:t>
      </w:r>
      <w:r>
        <w:rPr>
          <w:rFonts w:hint="eastAsia" w:ascii="Times New Roman" w:hAnsi="Times New Roman" w:eastAsia="宋体" w:cs="Times New Roman"/>
          <w:b/>
          <w:bCs/>
          <w:color w:val="auto"/>
          <w:sz w:val="24"/>
          <w:szCs w:val="24"/>
          <w:lang w:val="en-US" w:eastAsia="zh-CN"/>
        </w:rPr>
        <w:t>2</w:t>
      </w:r>
      <w:r>
        <w:rPr>
          <w:rFonts w:ascii="Times New Roman" w:hAnsi="Times New Roman" w:eastAsia="宋体" w:cs="Times New Roman"/>
          <w:b/>
          <w:bCs/>
          <w:color w:val="auto"/>
          <w:sz w:val="24"/>
          <w:szCs w:val="24"/>
        </w:rPr>
        <w:t>.</w:t>
      </w:r>
      <w:r>
        <w:rPr>
          <w:rFonts w:hint="eastAsia" w:ascii="Times New Roman" w:hAnsi="Times New Roman" w:eastAsia="宋体" w:cs="Times New Roman"/>
          <w:b/>
          <w:bCs/>
          <w:color w:val="auto"/>
          <w:sz w:val="24"/>
          <w:szCs w:val="24"/>
          <w:lang w:val="en-US" w:eastAsia="zh-CN"/>
        </w:rPr>
        <w:t>2</w:t>
      </w:r>
      <w:r>
        <w:rPr>
          <w:rFonts w:ascii="Times New Roman" w:hAnsi="Times New Roman" w:eastAsia="宋体" w:cs="Times New Roman"/>
          <w:b/>
          <w:bCs/>
          <w:color w:val="auto"/>
          <w:sz w:val="24"/>
          <w:szCs w:val="24"/>
        </w:rPr>
        <w:t>废气治理措施评估</w:t>
      </w:r>
    </w:p>
    <w:p w14:paraId="69054024">
      <w:pPr>
        <w:spacing w:line="360" w:lineRule="auto"/>
        <w:ind w:firstLine="480" w:firstLineChars="200"/>
        <w:rPr>
          <w:color w:val="auto"/>
          <w:sz w:val="24"/>
          <w:szCs w:val="32"/>
        </w:rPr>
      </w:pPr>
      <w:r>
        <w:rPr>
          <w:color w:val="auto"/>
          <w:sz w:val="24"/>
          <w:szCs w:val="32"/>
        </w:rPr>
        <w:t>目前厂区有组织废气处理措施主要见下表：</w:t>
      </w:r>
    </w:p>
    <w:p w14:paraId="097A9600">
      <w:pPr>
        <w:spacing w:line="360" w:lineRule="auto"/>
        <w:jc w:val="center"/>
        <w:rPr>
          <w:b/>
          <w:bCs/>
          <w:color w:val="auto"/>
          <w:sz w:val="24"/>
          <w:szCs w:val="32"/>
        </w:rPr>
      </w:pPr>
      <w:r>
        <w:rPr>
          <w:b/>
          <w:bCs/>
          <w:color w:val="auto"/>
          <w:sz w:val="24"/>
          <w:szCs w:val="32"/>
        </w:rPr>
        <w:t>表5-</w:t>
      </w:r>
      <w:r>
        <w:rPr>
          <w:rFonts w:hint="eastAsia"/>
          <w:b/>
          <w:bCs/>
          <w:color w:val="auto"/>
          <w:sz w:val="24"/>
          <w:szCs w:val="32"/>
          <w:lang w:val="en-US" w:eastAsia="zh-CN"/>
        </w:rPr>
        <w:t xml:space="preserve">2 </w:t>
      </w:r>
      <w:r>
        <w:rPr>
          <w:b/>
          <w:bCs/>
          <w:color w:val="auto"/>
          <w:sz w:val="24"/>
          <w:szCs w:val="32"/>
        </w:rPr>
        <w:t>有组织废气处理措施一览表</w:t>
      </w:r>
    </w:p>
    <w:tbl>
      <w:tblPr>
        <w:tblStyle w:val="31"/>
        <w:tblW w:w="4993"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15" w:type="dxa"/>
          <w:left w:w="15" w:type="dxa"/>
          <w:bottom w:w="15" w:type="dxa"/>
          <w:right w:w="15" w:type="dxa"/>
        </w:tblCellMar>
      </w:tblPr>
      <w:tblGrid>
        <w:gridCol w:w="656"/>
        <w:gridCol w:w="1873"/>
        <w:gridCol w:w="1266"/>
        <w:gridCol w:w="4574"/>
        <w:gridCol w:w="1393"/>
      </w:tblGrid>
      <w:tr w14:paraId="470DD02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tblHeader/>
          <w:jc w:val="center"/>
        </w:trPr>
        <w:tc>
          <w:tcPr>
            <w:tcW w:w="336" w:type="pct"/>
            <w:tcBorders>
              <w:tl2br w:val="nil"/>
              <w:tr2bl w:val="nil"/>
            </w:tcBorders>
            <w:vAlign w:val="center"/>
          </w:tcPr>
          <w:p w14:paraId="3ED92736">
            <w:pPr>
              <w:widowControl/>
              <w:spacing w:line="280" w:lineRule="exact"/>
              <w:jc w:val="center"/>
              <w:textAlignment w:val="center"/>
              <w:rPr>
                <w:b/>
                <w:bCs/>
                <w:color w:val="auto"/>
                <w:kern w:val="0"/>
                <w:sz w:val="21"/>
                <w:szCs w:val="21"/>
                <w:lang w:bidi="ar"/>
              </w:rPr>
            </w:pPr>
            <w:r>
              <w:rPr>
                <w:b/>
                <w:bCs/>
                <w:color w:val="auto"/>
                <w:kern w:val="0"/>
                <w:sz w:val="21"/>
                <w:szCs w:val="21"/>
                <w:lang w:bidi="ar"/>
              </w:rPr>
              <w:t>所在</w:t>
            </w:r>
          </w:p>
          <w:p w14:paraId="2BC218B6">
            <w:pPr>
              <w:widowControl/>
              <w:spacing w:line="280" w:lineRule="exact"/>
              <w:jc w:val="center"/>
              <w:textAlignment w:val="center"/>
              <w:rPr>
                <w:b/>
                <w:bCs/>
                <w:color w:val="auto"/>
                <w:sz w:val="21"/>
                <w:szCs w:val="21"/>
              </w:rPr>
            </w:pPr>
            <w:r>
              <w:rPr>
                <w:b/>
                <w:bCs/>
                <w:color w:val="auto"/>
                <w:kern w:val="0"/>
                <w:sz w:val="21"/>
                <w:szCs w:val="21"/>
                <w:lang w:bidi="ar"/>
              </w:rPr>
              <w:t>车间</w:t>
            </w:r>
          </w:p>
        </w:tc>
        <w:tc>
          <w:tcPr>
            <w:tcW w:w="959" w:type="pct"/>
            <w:tcBorders>
              <w:tl2br w:val="nil"/>
              <w:tr2bl w:val="nil"/>
            </w:tcBorders>
            <w:vAlign w:val="center"/>
          </w:tcPr>
          <w:p w14:paraId="503ACCA4">
            <w:pPr>
              <w:widowControl/>
              <w:spacing w:line="280" w:lineRule="exact"/>
              <w:jc w:val="center"/>
              <w:textAlignment w:val="center"/>
              <w:rPr>
                <w:b/>
                <w:bCs/>
                <w:color w:val="auto"/>
                <w:sz w:val="21"/>
                <w:szCs w:val="21"/>
              </w:rPr>
            </w:pPr>
            <w:r>
              <w:rPr>
                <w:b/>
                <w:bCs/>
                <w:color w:val="auto"/>
                <w:kern w:val="0"/>
                <w:sz w:val="21"/>
                <w:szCs w:val="21"/>
                <w:lang w:bidi="ar"/>
              </w:rPr>
              <w:t>污染源工序</w:t>
            </w:r>
          </w:p>
        </w:tc>
        <w:tc>
          <w:tcPr>
            <w:tcW w:w="648" w:type="pct"/>
            <w:tcBorders>
              <w:tl2br w:val="nil"/>
              <w:tr2bl w:val="nil"/>
            </w:tcBorders>
            <w:vAlign w:val="center"/>
          </w:tcPr>
          <w:p w14:paraId="7AC99733">
            <w:pPr>
              <w:widowControl/>
              <w:spacing w:line="280" w:lineRule="exact"/>
              <w:jc w:val="center"/>
              <w:textAlignment w:val="center"/>
              <w:rPr>
                <w:b/>
                <w:bCs/>
                <w:color w:val="auto"/>
                <w:sz w:val="21"/>
                <w:szCs w:val="21"/>
              </w:rPr>
            </w:pPr>
            <w:r>
              <w:rPr>
                <w:b/>
                <w:bCs/>
                <w:color w:val="auto"/>
                <w:kern w:val="0"/>
                <w:sz w:val="21"/>
                <w:szCs w:val="21"/>
                <w:lang w:bidi="ar"/>
              </w:rPr>
              <w:t>污染物</w:t>
            </w:r>
          </w:p>
        </w:tc>
        <w:tc>
          <w:tcPr>
            <w:tcW w:w="2342" w:type="pct"/>
            <w:tcBorders>
              <w:tl2br w:val="nil"/>
              <w:tr2bl w:val="nil"/>
            </w:tcBorders>
            <w:vAlign w:val="center"/>
          </w:tcPr>
          <w:p w14:paraId="22BA87C0">
            <w:pPr>
              <w:widowControl/>
              <w:spacing w:line="280" w:lineRule="exact"/>
              <w:jc w:val="center"/>
              <w:textAlignment w:val="center"/>
              <w:rPr>
                <w:b/>
                <w:bCs/>
                <w:color w:val="auto"/>
                <w:kern w:val="0"/>
                <w:sz w:val="21"/>
                <w:szCs w:val="21"/>
                <w:lang w:bidi="ar"/>
              </w:rPr>
            </w:pPr>
            <w:r>
              <w:rPr>
                <w:rFonts w:hint="eastAsia"/>
                <w:b/>
                <w:bCs/>
                <w:color w:val="auto"/>
                <w:kern w:val="0"/>
                <w:sz w:val="21"/>
                <w:szCs w:val="21"/>
                <w:lang w:val="en-US" w:eastAsia="zh-CN" w:bidi="ar"/>
              </w:rPr>
              <w:t>收集</w:t>
            </w:r>
            <w:r>
              <w:rPr>
                <w:b/>
                <w:bCs/>
                <w:color w:val="auto"/>
                <w:kern w:val="0"/>
                <w:sz w:val="21"/>
                <w:szCs w:val="21"/>
                <w:lang w:bidi="ar"/>
              </w:rPr>
              <w:t>治理措施</w:t>
            </w:r>
          </w:p>
        </w:tc>
        <w:tc>
          <w:tcPr>
            <w:tcW w:w="713" w:type="pct"/>
            <w:tcBorders>
              <w:tl2br w:val="nil"/>
              <w:tr2bl w:val="nil"/>
            </w:tcBorders>
            <w:vAlign w:val="center"/>
          </w:tcPr>
          <w:p w14:paraId="7FD8E8CF">
            <w:pPr>
              <w:widowControl/>
              <w:spacing w:line="280" w:lineRule="exact"/>
              <w:jc w:val="center"/>
              <w:textAlignment w:val="center"/>
              <w:rPr>
                <w:rFonts w:hint="default"/>
                <w:b/>
                <w:bCs/>
                <w:color w:val="auto"/>
                <w:kern w:val="0"/>
                <w:sz w:val="21"/>
                <w:szCs w:val="21"/>
                <w:lang w:val="en-US" w:eastAsia="zh-CN" w:bidi="ar"/>
              </w:rPr>
            </w:pPr>
            <w:r>
              <w:rPr>
                <w:rFonts w:hint="eastAsia"/>
                <w:b/>
                <w:bCs/>
                <w:color w:val="auto"/>
                <w:kern w:val="0"/>
                <w:sz w:val="21"/>
                <w:szCs w:val="21"/>
                <w:lang w:val="en-US" w:eastAsia="zh-CN" w:bidi="ar"/>
              </w:rPr>
              <w:t>备注</w:t>
            </w:r>
          </w:p>
        </w:tc>
      </w:tr>
      <w:tr w14:paraId="34CDDFE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893" w:hRule="atLeast"/>
          <w:jc w:val="center"/>
        </w:trPr>
        <w:tc>
          <w:tcPr>
            <w:tcW w:w="336" w:type="pct"/>
            <w:vMerge w:val="restart"/>
            <w:tcBorders>
              <w:tl2br w:val="nil"/>
              <w:tr2bl w:val="nil"/>
            </w:tcBorders>
            <w:vAlign w:val="center"/>
          </w:tcPr>
          <w:p w14:paraId="002F2BBC">
            <w:pPr>
              <w:widowControl/>
              <w:spacing w:line="280" w:lineRule="exact"/>
              <w:jc w:val="center"/>
              <w:textAlignment w:val="center"/>
              <w:rPr>
                <w:color w:val="auto"/>
                <w:sz w:val="21"/>
                <w:szCs w:val="21"/>
              </w:rPr>
            </w:pPr>
            <w:r>
              <w:rPr>
                <w:rFonts w:hint="eastAsia"/>
                <w:color w:val="auto"/>
                <w:kern w:val="0"/>
                <w:sz w:val="21"/>
                <w:szCs w:val="21"/>
                <w:lang w:val="en-US" w:eastAsia="zh-CN" w:bidi="ar"/>
              </w:rPr>
              <w:t>生产</w:t>
            </w:r>
            <w:r>
              <w:rPr>
                <w:color w:val="auto"/>
                <w:kern w:val="0"/>
                <w:sz w:val="21"/>
                <w:szCs w:val="21"/>
                <w:lang w:bidi="ar"/>
              </w:rPr>
              <w:t>车间</w:t>
            </w:r>
          </w:p>
        </w:tc>
        <w:tc>
          <w:tcPr>
            <w:tcW w:w="959" w:type="pct"/>
            <w:tcBorders>
              <w:tl2br w:val="nil"/>
              <w:tr2bl w:val="nil"/>
            </w:tcBorders>
            <w:vAlign w:val="center"/>
          </w:tcPr>
          <w:p w14:paraId="56C4A3F1">
            <w:pPr>
              <w:widowControl/>
              <w:spacing w:line="280" w:lineRule="exact"/>
              <w:jc w:val="center"/>
              <w:textAlignment w:val="center"/>
              <w:rPr>
                <w:rFonts w:hint="eastAsia" w:eastAsia="宋体"/>
                <w:color w:val="auto"/>
                <w:sz w:val="21"/>
                <w:szCs w:val="21"/>
                <w:lang w:val="en-US" w:eastAsia="zh-CN"/>
              </w:rPr>
            </w:pPr>
            <w:r>
              <w:rPr>
                <w:rFonts w:hint="default" w:ascii="Times New Roman" w:hAnsi="Times New Roman" w:cs="Times New Roman"/>
                <w:b w:val="0"/>
                <w:bCs w:val="0"/>
                <w:color w:val="auto"/>
                <w:sz w:val="21"/>
                <w:szCs w:val="21"/>
                <w:lang w:eastAsia="zh-CN"/>
              </w:rPr>
              <w:t>熔炼</w:t>
            </w:r>
            <w:r>
              <w:rPr>
                <w:rFonts w:hint="eastAsia" w:ascii="Times New Roman" w:hAnsi="Times New Roman" w:cs="Times New Roman"/>
                <w:b w:val="0"/>
                <w:bCs w:val="0"/>
                <w:color w:val="auto"/>
                <w:sz w:val="21"/>
                <w:szCs w:val="21"/>
                <w:lang w:eastAsia="zh-CN"/>
              </w:rPr>
              <w:t>、</w:t>
            </w:r>
            <w:r>
              <w:rPr>
                <w:rFonts w:hint="eastAsia" w:ascii="Times New Roman" w:hAnsi="Times New Roman" w:cs="Times New Roman"/>
                <w:b w:val="0"/>
                <w:bCs w:val="0"/>
                <w:color w:val="auto"/>
                <w:sz w:val="21"/>
                <w:szCs w:val="21"/>
                <w:lang w:val="en-US" w:eastAsia="zh-CN"/>
              </w:rPr>
              <w:t>精炼</w:t>
            </w:r>
            <w:r>
              <w:rPr>
                <w:rFonts w:hint="default" w:ascii="Times New Roman" w:hAnsi="Times New Roman" w:cs="Times New Roman"/>
                <w:b w:val="0"/>
                <w:bCs w:val="0"/>
                <w:color w:val="auto"/>
                <w:sz w:val="21"/>
                <w:szCs w:val="21"/>
                <w:lang w:eastAsia="zh-CN"/>
              </w:rPr>
              <w:t>烟气（含天然气燃烧废气）</w:t>
            </w:r>
          </w:p>
        </w:tc>
        <w:tc>
          <w:tcPr>
            <w:tcW w:w="648" w:type="pct"/>
            <w:tcBorders>
              <w:tl2br w:val="nil"/>
              <w:tr2bl w:val="nil"/>
            </w:tcBorders>
            <w:vAlign w:val="center"/>
          </w:tcPr>
          <w:p w14:paraId="0D241E8D">
            <w:pPr>
              <w:widowControl/>
              <w:spacing w:line="280" w:lineRule="exact"/>
              <w:jc w:val="center"/>
              <w:textAlignment w:val="center"/>
              <w:rPr>
                <w:color w:val="auto"/>
                <w:sz w:val="21"/>
                <w:szCs w:val="21"/>
              </w:rPr>
            </w:pPr>
            <w:r>
              <w:rPr>
                <w:rFonts w:hint="eastAsia" w:ascii="Times New Roman" w:hAnsi="Times New Roman" w:cs="Times New Roman"/>
                <w:color w:val="auto"/>
                <w:sz w:val="21"/>
                <w:szCs w:val="21"/>
                <w:lang w:val="en-US" w:eastAsia="zh-CN"/>
              </w:rPr>
              <w:t>颗粒物</w:t>
            </w:r>
            <w:r>
              <w:rPr>
                <w:rFonts w:hint="default" w:ascii="Times New Roman" w:hAnsi="Times New Roman" w:cs="Times New Roman"/>
                <w:color w:val="auto"/>
                <w:sz w:val="21"/>
                <w:szCs w:val="21"/>
              </w:rPr>
              <w:t>、SO</w:t>
            </w:r>
            <w:r>
              <w:rPr>
                <w:rFonts w:hint="default" w:ascii="Times New Roman" w:hAnsi="Times New Roman" w:cs="Times New Roman"/>
                <w:color w:val="auto"/>
                <w:sz w:val="21"/>
                <w:szCs w:val="21"/>
                <w:vertAlign w:val="subscript"/>
              </w:rPr>
              <w:t>2</w:t>
            </w:r>
            <w:r>
              <w:rPr>
                <w:rFonts w:hint="default" w:ascii="Times New Roman" w:hAnsi="Times New Roman" w:cs="Times New Roman"/>
                <w:color w:val="auto"/>
                <w:sz w:val="21"/>
                <w:szCs w:val="21"/>
              </w:rPr>
              <w:t>、NO</w:t>
            </w:r>
            <w:r>
              <w:rPr>
                <w:rFonts w:hint="default" w:ascii="Times New Roman" w:hAnsi="Times New Roman" w:cs="Times New Roman"/>
                <w:color w:val="auto"/>
                <w:sz w:val="21"/>
                <w:szCs w:val="21"/>
                <w:vertAlign w:val="subscript"/>
              </w:rPr>
              <w:t>X</w:t>
            </w:r>
            <w:r>
              <w:rPr>
                <w:rFonts w:hint="default" w:ascii="Times New Roman" w:hAnsi="Times New Roman" w:cs="Times New Roman"/>
                <w:color w:val="auto"/>
                <w:sz w:val="21"/>
                <w:szCs w:val="21"/>
              </w:rPr>
              <w:t>、HCl、二噁英类</w:t>
            </w:r>
          </w:p>
        </w:tc>
        <w:tc>
          <w:tcPr>
            <w:tcW w:w="2342" w:type="pct"/>
            <w:vMerge w:val="restart"/>
            <w:tcBorders>
              <w:tl2br w:val="nil"/>
              <w:tr2bl w:val="nil"/>
            </w:tcBorders>
            <w:vAlign w:val="center"/>
          </w:tcPr>
          <w:p w14:paraId="74F567A6">
            <w:pPr>
              <w:widowControl/>
              <w:spacing w:line="280" w:lineRule="exact"/>
              <w:jc w:val="center"/>
              <w:textAlignment w:val="center"/>
              <w:rPr>
                <w:color w:val="auto"/>
                <w:kern w:val="0"/>
                <w:sz w:val="21"/>
                <w:szCs w:val="21"/>
                <w:lang w:bidi="ar"/>
              </w:rPr>
            </w:pPr>
            <w:r>
              <w:rPr>
                <w:rFonts w:hint="eastAsia"/>
                <w:color w:val="auto"/>
                <w:sz w:val="21"/>
                <w:szCs w:val="21"/>
                <w:lang w:val="en-US" w:eastAsia="zh-CN"/>
              </w:rPr>
              <w:t>熔炼、精炼烟气经SNCR+烟气急冷装置处理后与</w:t>
            </w:r>
            <w:r>
              <w:rPr>
                <w:rFonts w:hint="eastAsia"/>
                <w:color w:val="auto"/>
                <w:sz w:val="21"/>
                <w:szCs w:val="21"/>
                <w:lang w:eastAsia="zh-CN"/>
              </w:rPr>
              <w:t>铝渣处理</w:t>
            </w:r>
            <w:r>
              <w:rPr>
                <w:rFonts w:hint="eastAsia"/>
                <w:color w:val="auto"/>
                <w:sz w:val="21"/>
                <w:szCs w:val="21"/>
                <w:lang w:val="en-US" w:eastAsia="zh-CN"/>
              </w:rPr>
              <w:t>废气经活性炭喷粉+重力沉降除尘+布袋除尘器+碱喷淋装置处理后通过1根24.5m高的排气筒排放</w:t>
            </w:r>
          </w:p>
        </w:tc>
        <w:tc>
          <w:tcPr>
            <w:tcW w:w="713" w:type="pct"/>
            <w:vMerge w:val="restart"/>
            <w:tcBorders>
              <w:tl2br w:val="nil"/>
              <w:tr2bl w:val="nil"/>
            </w:tcBorders>
            <w:vAlign w:val="center"/>
          </w:tcPr>
          <w:p w14:paraId="47F490E1">
            <w:pPr>
              <w:widowControl/>
              <w:spacing w:line="280" w:lineRule="exact"/>
              <w:jc w:val="center"/>
              <w:textAlignment w:val="center"/>
              <w:rPr>
                <w:rFonts w:hint="eastAsia"/>
                <w:color w:val="auto"/>
                <w:sz w:val="21"/>
                <w:szCs w:val="21"/>
                <w:lang w:val="en-US" w:eastAsia="zh-CN"/>
              </w:rPr>
            </w:pPr>
            <w:r>
              <w:rPr>
                <w:rFonts w:hint="eastAsia"/>
                <w:color w:val="auto"/>
                <w:sz w:val="21"/>
                <w:szCs w:val="21"/>
                <w:lang w:val="en-US" w:eastAsia="zh-CN"/>
              </w:rPr>
              <w:t>SNCR装置、活性炭喷粉装置为安徽瑞瑟科金属材料有限公司接手该项目后新增的环保设备</w:t>
            </w:r>
          </w:p>
        </w:tc>
      </w:tr>
      <w:tr w14:paraId="79136EF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251" w:hRule="atLeast"/>
          <w:jc w:val="center"/>
        </w:trPr>
        <w:tc>
          <w:tcPr>
            <w:tcW w:w="336" w:type="pct"/>
            <w:vMerge w:val="continue"/>
            <w:tcBorders>
              <w:tl2br w:val="nil"/>
              <w:tr2bl w:val="nil"/>
            </w:tcBorders>
            <w:vAlign w:val="center"/>
          </w:tcPr>
          <w:p w14:paraId="6452AF1E">
            <w:pPr>
              <w:spacing w:line="280" w:lineRule="exact"/>
              <w:jc w:val="center"/>
              <w:rPr>
                <w:color w:val="auto"/>
                <w:sz w:val="21"/>
                <w:szCs w:val="21"/>
              </w:rPr>
            </w:pPr>
          </w:p>
        </w:tc>
        <w:tc>
          <w:tcPr>
            <w:tcW w:w="959" w:type="pct"/>
            <w:tcBorders>
              <w:tl2br w:val="nil"/>
              <w:tr2bl w:val="nil"/>
            </w:tcBorders>
            <w:vAlign w:val="center"/>
          </w:tcPr>
          <w:p w14:paraId="4C97EFEA">
            <w:pPr>
              <w:widowControl/>
              <w:spacing w:line="280" w:lineRule="exact"/>
              <w:jc w:val="center"/>
              <w:textAlignment w:val="center"/>
              <w:rPr>
                <w:color w:val="auto"/>
                <w:sz w:val="21"/>
                <w:szCs w:val="21"/>
              </w:rPr>
            </w:pPr>
            <w:r>
              <w:rPr>
                <w:rFonts w:hint="eastAsia" w:ascii="Times New Roman" w:hAnsi="Times New Roman" w:cs="Times New Roman"/>
                <w:color w:val="auto"/>
                <w:sz w:val="21"/>
                <w:szCs w:val="21"/>
                <w:lang w:val="en-US" w:eastAsia="zh-CN"/>
              </w:rPr>
              <w:t>铝渣处理废气</w:t>
            </w:r>
          </w:p>
        </w:tc>
        <w:tc>
          <w:tcPr>
            <w:tcW w:w="648" w:type="pct"/>
            <w:tcBorders>
              <w:tl2br w:val="nil"/>
              <w:tr2bl w:val="nil"/>
            </w:tcBorders>
            <w:vAlign w:val="center"/>
          </w:tcPr>
          <w:p w14:paraId="7318FF6F">
            <w:pPr>
              <w:widowControl/>
              <w:spacing w:line="280" w:lineRule="exact"/>
              <w:jc w:val="center"/>
              <w:textAlignment w:val="center"/>
              <w:rPr>
                <w:rFonts w:hint="eastAsia" w:eastAsia="宋体"/>
                <w:color w:val="auto"/>
                <w:sz w:val="21"/>
                <w:szCs w:val="21"/>
                <w:lang w:val="en-US" w:eastAsia="zh-CN"/>
              </w:rPr>
            </w:pPr>
            <w:r>
              <w:rPr>
                <w:rFonts w:hint="eastAsia"/>
                <w:color w:val="auto"/>
                <w:sz w:val="21"/>
                <w:szCs w:val="21"/>
                <w:lang w:val="en-US" w:eastAsia="zh-CN"/>
              </w:rPr>
              <w:t>颗粒物</w:t>
            </w:r>
          </w:p>
        </w:tc>
        <w:tc>
          <w:tcPr>
            <w:tcW w:w="2342" w:type="pct"/>
            <w:vMerge w:val="continue"/>
            <w:tcBorders>
              <w:tl2br w:val="nil"/>
              <w:tr2bl w:val="nil"/>
            </w:tcBorders>
            <w:vAlign w:val="center"/>
          </w:tcPr>
          <w:p w14:paraId="65928A71">
            <w:pPr>
              <w:widowControl/>
              <w:spacing w:line="280" w:lineRule="exact"/>
              <w:jc w:val="center"/>
              <w:textAlignment w:val="center"/>
              <w:rPr>
                <w:color w:val="auto"/>
                <w:sz w:val="21"/>
                <w:szCs w:val="21"/>
              </w:rPr>
            </w:pPr>
          </w:p>
        </w:tc>
        <w:tc>
          <w:tcPr>
            <w:tcW w:w="713" w:type="pct"/>
            <w:vMerge w:val="continue"/>
            <w:tcBorders>
              <w:tl2br w:val="nil"/>
              <w:tr2bl w:val="nil"/>
            </w:tcBorders>
            <w:vAlign w:val="center"/>
          </w:tcPr>
          <w:p w14:paraId="69A8B11C">
            <w:pPr>
              <w:widowControl/>
              <w:spacing w:line="280" w:lineRule="exact"/>
              <w:jc w:val="center"/>
              <w:textAlignment w:val="center"/>
              <w:rPr>
                <w:color w:val="auto"/>
                <w:sz w:val="21"/>
                <w:szCs w:val="21"/>
              </w:rPr>
            </w:pPr>
          </w:p>
        </w:tc>
      </w:tr>
      <w:tr w14:paraId="067D5F2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336" w:type="pct"/>
            <w:tcBorders>
              <w:tl2br w:val="nil"/>
              <w:tr2bl w:val="nil"/>
            </w:tcBorders>
            <w:vAlign w:val="center"/>
          </w:tcPr>
          <w:p w14:paraId="378F7A33">
            <w:pPr>
              <w:spacing w:line="280" w:lineRule="exact"/>
              <w:jc w:val="center"/>
              <w:rPr>
                <w:rFonts w:hint="default" w:eastAsia="宋体"/>
                <w:color w:val="auto"/>
                <w:sz w:val="21"/>
                <w:szCs w:val="21"/>
                <w:lang w:val="en-US" w:eastAsia="zh-CN"/>
              </w:rPr>
            </w:pPr>
            <w:r>
              <w:rPr>
                <w:rFonts w:hint="eastAsia"/>
                <w:color w:val="auto"/>
                <w:sz w:val="21"/>
                <w:szCs w:val="21"/>
                <w:lang w:val="en-US" w:eastAsia="zh-CN"/>
              </w:rPr>
              <w:t>危废库</w:t>
            </w:r>
          </w:p>
        </w:tc>
        <w:tc>
          <w:tcPr>
            <w:tcW w:w="959" w:type="pct"/>
            <w:tcBorders>
              <w:tl2br w:val="nil"/>
              <w:tr2bl w:val="nil"/>
            </w:tcBorders>
            <w:vAlign w:val="center"/>
          </w:tcPr>
          <w:p w14:paraId="164FD6AA">
            <w:pPr>
              <w:widowControl/>
              <w:spacing w:line="280" w:lineRule="exact"/>
              <w:jc w:val="center"/>
              <w:textAlignment w:val="center"/>
              <w:rPr>
                <w:rFonts w:hint="eastAsia" w:eastAsia="宋体"/>
                <w:color w:val="auto"/>
                <w:kern w:val="0"/>
                <w:sz w:val="21"/>
                <w:szCs w:val="21"/>
                <w:lang w:eastAsia="zh-CN" w:bidi="ar"/>
              </w:rPr>
            </w:pPr>
            <w:r>
              <w:rPr>
                <w:rFonts w:hint="eastAsia"/>
                <w:color w:val="auto"/>
                <w:kern w:val="0"/>
                <w:sz w:val="21"/>
                <w:szCs w:val="21"/>
                <w:lang w:val="en-US" w:eastAsia="zh-CN" w:bidi="ar"/>
              </w:rPr>
              <w:t>/</w:t>
            </w:r>
          </w:p>
        </w:tc>
        <w:tc>
          <w:tcPr>
            <w:tcW w:w="648" w:type="pct"/>
            <w:tcBorders>
              <w:tl2br w:val="nil"/>
              <w:tr2bl w:val="nil"/>
            </w:tcBorders>
            <w:vAlign w:val="center"/>
          </w:tcPr>
          <w:p w14:paraId="0FEAECF6">
            <w:pPr>
              <w:widowControl/>
              <w:spacing w:line="280" w:lineRule="exact"/>
              <w:jc w:val="center"/>
              <w:textAlignment w:val="center"/>
              <w:rPr>
                <w:rFonts w:hint="eastAsia" w:eastAsia="宋体"/>
                <w:b/>
                <w:color w:val="auto"/>
                <w:sz w:val="21"/>
                <w:szCs w:val="21"/>
                <w:lang w:eastAsia="zh-CN"/>
              </w:rPr>
            </w:pPr>
            <w:r>
              <w:rPr>
                <w:rFonts w:hint="eastAsia"/>
                <w:bCs/>
                <w:color w:val="auto"/>
                <w:sz w:val="21"/>
                <w:szCs w:val="21"/>
                <w:lang w:val="en-US" w:eastAsia="zh-CN"/>
              </w:rPr>
              <w:t>氨</w:t>
            </w:r>
          </w:p>
        </w:tc>
        <w:tc>
          <w:tcPr>
            <w:tcW w:w="2342" w:type="pct"/>
            <w:tcBorders>
              <w:tl2br w:val="nil"/>
              <w:tr2bl w:val="nil"/>
            </w:tcBorders>
            <w:vAlign w:val="center"/>
          </w:tcPr>
          <w:p w14:paraId="3E8FCE66">
            <w:pPr>
              <w:spacing w:line="280" w:lineRule="exact"/>
              <w:jc w:val="center"/>
              <w:textAlignment w:val="center"/>
              <w:rPr>
                <w:color w:val="auto"/>
                <w:kern w:val="0"/>
                <w:sz w:val="21"/>
                <w:szCs w:val="21"/>
                <w:lang w:bidi="ar"/>
              </w:rPr>
            </w:pPr>
            <w:r>
              <w:rPr>
                <w:rFonts w:hint="eastAsia"/>
                <w:color w:val="auto"/>
                <w:kern w:val="0"/>
                <w:sz w:val="21"/>
                <w:szCs w:val="21"/>
                <w:lang w:val="en-US" w:eastAsia="zh-CN" w:bidi="ar"/>
              </w:rPr>
              <w:t>密闭负压收集后经</w:t>
            </w:r>
            <w:r>
              <w:rPr>
                <w:color w:val="auto"/>
                <w:kern w:val="0"/>
                <w:sz w:val="21"/>
                <w:szCs w:val="21"/>
                <w:lang w:bidi="ar"/>
              </w:rPr>
              <w:t>1套</w:t>
            </w:r>
            <w:r>
              <w:rPr>
                <w:rFonts w:hint="eastAsia"/>
                <w:color w:val="auto"/>
                <w:kern w:val="0"/>
                <w:sz w:val="21"/>
                <w:szCs w:val="21"/>
                <w:lang w:val="en-US" w:eastAsia="zh-CN" w:bidi="ar"/>
              </w:rPr>
              <w:t>水</w:t>
            </w:r>
            <w:r>
              <w:rPr>
                <w:color w:val="auto"/>
                <w:kern w:val="0"/>
                <w:sz w:val="21"/>
                <w:szCs w:val="21"/>
                <w:lang w:bidi="ar"/>
              </w:rPr>
              <w:t>喷淋装置处理</w:t>
            </w:r>
            <w:r>
              <w:rPr>
                <w:rFonts w:hint="eastAsia"/>
                <w:color w:val="auto"/>
                <w:kern w:val="0"/>
                <w:sz w:val="21"/>
                <w:szCs w:val="21"/>
                <w:lang w:val="en-US" w:eastAsia="zh-CN" w:bidi="ar"/>
              </w:rPr>
              <w:t>后</w:t>
            </w:r>
            <w:r>
              <w:rPr>
                <w:rFonts w:hint="eastAsia"/>
                <w:color w:val="auto"/>
                <w:sz w:val="21"/>
                <w:szCs w:val="21"/>
                <w:lang w:val="en-US" w:eastAsia="zh-CN"/>
              </w:rPr>
              <w:t>通过1根15m高的排气筒排放（为安徽瑞瑟科金属材料有限公司接手该项目后新增的环保设备）</w:t>
            </w:r>
          </w:p>
        </w:tc>
        <w:tc>
          <w:tcPr>
            <w:tcW w:w="713" w:type="pct"/>
            <w:tcBorders>
              <w:tl2br w:val="nil"/>
              <w:tr2bl w:val="nil"/>
            </w:tcBorders>
            <w:vAlign w:val="center"/>
          </w:tcPr>
          <w:p w14:paraId="45ECC79E">
            <w:pPr>
              <w:spacing w:line="280" w:lineRule="exact"/>
              <w:jc w:val="center"/>
              <w:textAlignment w:val="center"/>
              <w:rPr>
                <w:rFonts w:hint="default"/>
                <w:color w:val="auto"/>
                <w:kern w:val="0"/>
                <w:sz w:val="21"/>
                <w:szCs w:val="21"/>
                <w:lang w:val="en-US" w:eastAsia="zh-CN" w:bidi="ar"/>
              </w:rPr>
            </w:pPr>
            <w:r>
              <w:rPr>
                <w:rFonts w:hint="eastAsia"/>
                <w:color w:val="auto"/>
                <w:kern w:val="0"/>
                <w:sz w:val="21"/>
                <w:szCs w:val="21"/>
                <w:lang w:val="en-US" w:eastAsia="zh-CN" w:bidi="ar"/>
              </w:rPr>
              <w:t>本次新增</w:t>
            </w:r>
          </w:p>
        </w:tc>
      </w:tr>
    </w:tbl>
    <w:p w14:paraId="68525A2E">
      <w:pPr>
        <w:spacing w:line="360" w:lineRule="auto"/>
        <w:ind w:firstLine="480" w:firstLineChars="200"/>
        <w:rPr>
          <w:color w:val="auto"/>
          <w:sz w:val="24"/>
          <w:szCs w:val="32"/>
        </w:rPr>
      </w:pPr>
      <w:r>
        <w:rPr>
          <w:rFonts w:hint="eastAsia"/>
          <w:color w:val="auto"/>
          <w:sz w:val="24"/>
          <w:szCs w:val="32"/>
        </w:rPr>
        <w:t>治理措施有效性评估：</w:t>
      </w:r>
    </w:p>
    <w:p w14:paraId="72AE8568">
      <w:pPr>
        <w:spacing w:line="360" w:lineRule="auto"/>
        <w:ind w:firstLine="480" w:firstLineChars="200"/>
        <w:rPr>
          <w:rFonts w:hint="eastAsia"/>
          <w:color w:val="auto"/>
          <w:sz w:val="24"/>
          <w:lang w:val="en-US" w:eastAsia="zh-CN"/>
        </w:rPr>
      </w:pPr>
      <w:r>
        <w:rPr>
          <w:rFonts w:hint="eastAsia"/>
          <w:color w:val="auto"/>
          <w:sz w:val="24"/>
          <w:lang w:val="en-US" w:eastAsia="zh-CN"/>
        </w:rPr>
        <w:t>安徽瑞瑟科金属材料有限公司接手该项目后</w:t>
      </w:r>
      <w:r>
        <w:rPr>
          <w:rFonts w:hint="eastAsia" w:cs="Times New Roman"/>
          <w:color w:val="auto"/>
          <w:sz w:val="24"/>
          <w:szCs w:val="24"/>
          <w:lang w:val="en-US" w:eastAsia="zh-CN"/>
        </w:rPr>
        <w:t>为提升废气污染物防治措施</w:t>
      </w:r>
      <w:r>
        <w:rPr>
          <w:rFonts w:hint="eastAsia" w:ascii="Times New Roman" w:hAnsi="Times New Roman" w:eastAsia="宋体" w:cs="Times New Roman"/>
          <w:color w:val="auto"/>
          <w:sz w:val="24"/>
          <w:szCs w:val="24"/>
          <w:lang w:val="en-US" w:eastAsia="zh-CN"/>
        </w:rPr>
        <w:t>，新增</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SNCR</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废气处理设施</w:t>
      </w:r>
      <w:r>
        <w:rPr>
          <w:rFonts w:hint="eastAsia" w:cs="Times New Roman"/>
          <w:color w:val="auto"/>
          <w:sz w:val="24"/>
          <w:szCs w:val="24"/>
          <w:lang w:val="en-US" w:eastAsia="zh-CN"/>
        </w:rPr>
        <w:t>用于处理氮氧化物废气、新增“活性炭喷粉”处理设施用于处理二噁英废气</w:t>
      </w:r>
      <w:r>
        <w:rPr>
          <w:rFonts w:hint="eastAsia" w:ascii="Times New Roman" w:hAnsi="Times New Roman" w:eastAsia="宋体" w:cs="Times New Roman"/>
          <w:color w:val="auto"/>
          <w:sz w:val="24"/>
          <w:szCs w:val="24"/>
          <w:lang w:val="en-US" w:eastAsia="zh-CN"/>
        </w:rPr>
        <w:t>；并新增一套</w:t>
      </w:r>
      <w:r>
        <w:rPr>
          <w:rFonts w:hint="eastAsia" w:cs="Times New Roman"/>
          <w:color w:val="auto"/>
          <w:sz w:val="24"/>
          <w:highlight w:val="none"/>
          <w:lang w:val="en-US" w:eastAsia="zh-CN"/>
        </w:rPr>
        <w:t>“一级水喷淋装置”用于处理</w:t>
      </w:r>
      <w:r>
        <w:rPr>
          <w:rFonts w:hint="eastAsia" w:cs="Times New Roman"/>
          <w:b w:val="0"/>
          <w:bCs w:val="0"/>
          <w:color w:val="auto"/>
          <w:sz w:val="24"/>
          <w:szCs w:val="24"/>
          <w:lang w:val="en-US" w:eastAsia="zh-CN"/>
        </w:rPr>
        <w:t>危废库在</w:t>
      </w:r>
      <w:r>
        <w:rPr>
          <w:rFonts w:hint="default" w:ascii="Times New Roman" w:hAnsi="Times New Roman" w:eastAsia="宋体" w:cs="Times New Roman"/>
          <w:color w:val="auto"/>
          <w:sz w:val="24"/>
          <w:highlight w:val="none"/>
          <w:lang w:val="en-US" w:eastAsia="zh-CN"/>
        </w:rPr>
        <w:t>铝灰</w:t>
      </w:r>
      <w:r>
        <w:rPr>
          <w:rFonts w:hint="eastAsia" w:cs="Times New Roman"/>
          <w:color w:val="auto"/>
          <w:sz w:val="24"/>
          <w:highlight w:val="none"/>
          <w:lang w:val="en-US" w:eastAsia="zh-CN"/>
        </w:rPr>
        <w:t>暂存过程</w:t>
      </w:r>
      <w:r>
        <w:rPr>
          <w:rFonts w:hint="default" w:ascii="Times New Roman" w:hAnsi="Times New Roman" w:eastAsia="宋体" w:cs="Times New Roman"/>
          <w:color w:val="auto"/>
          <w:sz w:val="24"/>
          <w:highlight w:val="none"/>
          <w:lang w:val="en-US" w:eastAsia="zh-CN"/>
        </w:rPr>
        <w:t>中的氮化铝与空气中的水蒸气反应生成氨气</w:t>
      </w:r>
      <w:r>
        <w:rPr>
          <w:rFonts w:hint="eastAsia"/>
          <w:color w:val="auto"/>
          <w:sz w:val="24"/>
          <w:lang w:val="en-US" w:eastAsia="zh-CN"/>
        </w:rPr>
        <w:t>。</w:t>
      </w:r>
    </w:p>
    <w:p w14:paraId="219D467F">
      <w:pPr>
        <w:spacing w:line="360" w:lineRule="auto"/>
        <w:ind w:firstLine="480" w:firstLineChars="200"/>
        <w:rPr>
          <w:rFonts w:hint="eastAsia" w:ascii="Times New Roman" w:hAnsi="Times New Roman" w:eastAsia="宋体" w:cs="Times New Roman"/>
          <w:color w:val="auto"/>
          <w:kern w:val="0"/>
          <w:sz w:val="24"/>
          <w:lang w:eastAsia="zh-CN"/>
        </w:rPr>
      </w:pPr>
      <w:r>
        <w:rPr>
          <w:rFonts w:hint="eastAsia" w:ascii="Times New Roman" w:hAnsi="Times New Roman" w:eastAsia="宋体" w:cs="Times New Roman"/>
          <w:color w:val="auto"/>
          <w:kern w:val="0"/>
          <w:sz w:val="24"/>
          <w:lang w:eastAsia="zh-CN"/>
        </w:rPr>
        <w:t>（</w:t>
      </w:r>
      <w:r>
        <w:rPr>
          <w:rFonts w:hint="eastAsia" w:ascii="Times New Roman" w:hAnsi="Times New Roman" w:eastAsia="宋体" w:cs="Times New Roman"/>
          <w:color w:val="auto"/>
          <w:kern w:val="0"/>
          <w:sz w:val="24"/>
          <w:lang w:val="en-US" w:eastAsia="zh-CN"/>
        </w:rPr>
        <w:t>1</w:t>
      </w:r>
      <w:r>
        <w:rPr>
          <w:rFonts w:hint="eastAsia" w:ascii="Times New Roman" w:hAnsi="Times New Roman" w:eastAsia="宋体" w:cs="Times New Roman"/>
          <w:color w:val="auto"/>
          <w:kern w:val="0"/>
          <w:sz w:val="24"/>
          <w:lang w:eastAsia="zh-CN"/>
        </w:rPr>
        <w:t>）</w:t>
      </w:r>
      <w:r>
        <w:rPr>
          <w:rFonts w:hint="eastAsia" w:ascii="Times New Roman" w:hAnsi="Times New Roman" w:eastAsia="宋体" w:cs="Times New Roman"/>
          <w:color w:val="auto"/>
          <w:kern w:val="0"/>
          <w:sz w:val="24"/>
          <w:lang w:val="en-US" w:eastAsia="zh-CN"/>
        </w:rPr>
        <w:t>氮氧化物防治（脱硝）技术可行性分析</w:t>
      </w:r>
    </w:p>
    <w:p w14:paraId="184BB3FF">
      <w:pPr>
        <w:widowControl/>
        <w:adjustRightInd w:val="0"/>
        <w:snapToGrid w:val="0"/>
        <w:spacing w:line="360" w:lineRule="auto"/>
        <w:ind w:firstLine="480" w:firstLineChars="200"/>
        <w:jc w:val="left"/>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本项目烟气采用选择性非催化还原脱硝技术</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SNCR</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脱硝</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本项目工程非催化还原脱硝技术</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SNCR</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脱硝是将尿素通过喷射系统直接喷入锅炉炉膛出口合适温度区域</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900~1100℃</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，尿素迅速分解为氨，雾化后氨与NOx</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NO、NO</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等混合物</w:t>
      </w:r>
      <w:r>
        <w:rPr>
          <w:rFonts w:hint="default" w:ascii="Times New Roman" w:hAnsi="Times New Roman" w:eastAsia="宋体" w:cs="Times New Roman"/>
          <w:color w:val="auto"/>
          <w:kern w:val="0"/>
          <w:sz w:val="24"/>
          <w:lang w:eastAsia="zh-CN"/>
        </w:rPr>
        <w:t>）</w:t>
      </w:r>
      <w:r>
        <w:rPr>
          <w:rFonts w:hint="default" w:ascii="Times New Roman" w:hAnsi="Times New Roman" w:eastAsia="宋体" w:cs="Times New Roman"/>
          <w:color w:val="auto"/>
          <w:kern w:val="0"/>
          <w:sz w:val="24"/>
        </w:rPr>
        <w:t>进行选择性非催化还原反应，将NOx转化成无污染的N</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。当反应区温度过低时，反应效率会降低；当反应区温度过高时，氨会直接被氧化成N</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和NO。</w:t>
      </w:r>
    </w:p>
    <w:p w14:paraId="3D61AB43">
      <w:pPr>
        <w:widowControl/>
        <w:adjustRightInd w:val="0"/>
        <w:snapToGrid w:val="0"/>
        <w:spacing w:line="360" w:lineRule="auto"/>
        <w:ind w:firstLine="480" w:firstLineChars="200"/>
        <w:jc w:val="left"/>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炉内发生的主要化学反应有：</w:t>
      </w:r>
    </w:p>
    <w:p w14:paraId="463444C4">
      <w:pPr>
        <w:widowControl/>
        <w:adjustRightInd w:val="0"/>
        <w:snapToGrid w:val="0"/>
        <w:spacing w:line="360" w:lineRule="auto"/>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4NO+4NH</w:t>
      </w:r>
      <w:r>
        <w:rPr>
          <w:rFonts w:hint="default" w:ascii="Times New Roman" w:hAnsi="Times New Roman" w:eastAsia="宋体" w:cs="Times New Roman"/>
          <w:color w:val="auto"/>
          <w:kern w:val="0"/>
          <w:sz w:val="24"/>
          <w:vertAlign w:val="subscript"/>
        </w:rPr>
        <w:t>3</w:t>
      </w:r>
      <w:r>
        <w:rPr>
          <w:rFonts w:hint="default" w:ascii="Times New Roman" w:hAnsi="Times New Roman" w:eastAsia="宋体" w:cs="Times New Roman"/>
          <w:color w:val="auto"/>
          <w:kern w:val="0"/>
          <w:sz w:val="24"/>
        </w:rPr>
        <w:t>+O</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→4N</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+6H</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O</w:t>
      </w:r>
    </w:p>
    <w:p w14:paraId="034E6188">
      <w:pPr>
        <w:widowControl/>
        <w:adjustRightInd w:val="0"/>
        <w:snapToGrid w:val="0"/>
        <w:spacing w:line="360" w:lineRule="auto"/>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6NO+4NH</w:t>
      </w:r>
      <w:r>
        <w:rPr>
          <w:rFonts w:hint="default" w:ascii="Times New Roman" w:hAnsi="Times New Roman" w:eastAsia="宋体" w:cs="Times New Roman"/>
          <w:color w:val="auto"/>
          <w:kern w:val="0"/>
          <w:sz w:val="24"/>
          <w:vertAlign w:val="subscript"/>
        </w:rPr>
        <w:t>3</w:t>
      </w:r>
      <w:r>
        <w:rPr>
          <w:rFonts w:hint="default" w:ascii="Times New Roman" w:hAnsi="Times New Roman" w:eastAsia="宋体" w:cs="Times New Roman"/>
          <w:color w:val="auto"/>
          <w:kern w:val="0"/>
          <w:sz w:val="24"/>
        </w:rPr>
        <w:t>→5N</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+6H</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O</w:t>
      </w:r>
    </w:p>
    <w:p w14:paraId="7D3F75BC">
      <w:pPr>
        <w:widowControl/>
        <w:adjustRightInd w:val="0"/>
        <w:snapToGrid w:val="0"/>
        <w:spacing w:line="360" w:lineRule="auto"/>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6NO</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+8NH</w:t>
      </w:r>
      <w:r>
        <w:rPr>
          <w:rFonts w:hint="default" w:ascii="Times New Roman" w:hAnsi="Times New Roman" w:eastAsia="宋体" w:cs="Times New Roman"/>
          <w:color w:val="auto"/>
          <w:kern w:val="0"/>
          <w:sz w:val="24"/>
          <w:vertAlign w:val="subscript"/>
        </w:rPr>
        <w:t>3</w:t>
      </w:r>
      <w:r>
        <w:rPr>
          <w:rFonts w:hint="default" w:ascii="Times New Roman" w:hAnsi="Times New Roman" w:eastAsia="宋体" w:cs="Times New Roman"/>
          <w:color w:val="auto"/>
          <w:kern w:val="0"/>
          <w:sz w:val="24"/>
        </w:rPr>
        <w:t>→7N</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+12H</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O</w:t>
      </w:r>
    </w:p>
    <w:p w14:paraId="29267D09">
      <w:pPr>
        <w:widowControl/>
        <w:adjustRightInd w:val="0"/>
        <w:snapToGrid w:val="0"/>
        <w:spacing w:line="360" w:lineRule="auto"/>
        <w:jc w:val="center"/>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2NO</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+4NH</w:t>
      </w:r>
      <w:r>
        <w:rPr>
          <w:rFonts w:hint="default" w:ascii="Times New Roman" w:hAnsi="Times New Roman" w:eastAsia="宋体" w:cs="Times New Roman"/>
          <w:color w:val="auto"/>
          <w:kern w:val="0"/>
          <w:sz w:val="24"/>
          <w:vertAlign w:val="subscript"/>
        </w:rPr>
        <w:t>3</w:t>
      </w:r>
      <w:r>
        <w:rPr>
          <w:rFonts w:hint="default" w:ascii="Times New Roman" w:hAnsi="Times New Roman" w:eastAsia="宋体" w:cs="Times New Roman"/>
          <w:color w:val="auto"/>
          <w:kern w:val="0"/>
          <w:sz w:val="24"/>
        </w:rPr>
        <w:t>+O</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→3N</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+6H</w:t>
      </w:r>
      <w:r>
        <w:rPr>
          <w:rFonts w:hint="default" w:ascii="Times New Roman" w:hAnsi="Times New Roman" w:eastAsia="宋体" w:cs="Times New Roman"/>
          <w:color w:val="auto"/>
          <w:kern w:val="0"/>
          <w:sz w:val="24"/>
          <w:vertAlign w:val="subscript"/>
        </w:rPr>
        <w:t>2</w:t>
      </w:r>
      <w:r>
        <w:rPr>
          <w:rFonts w:hint="default" w:ascii="Times New Roman" w:hAnsi="Times New Roman" w:eastAsia="宋体" w:cs="Times New Roman"/>
          <w:color w:val="auto"/>
          <w:kern w:val="0"/>
          <w:sz w:val="24"/>
        </w:rPr>
        <w:t>O</w:t>
      </w:r>
    </w:p>
    <w:p w14:paraId="24711B9A">
      <w:pPr>
        <w:widowControl/>
        <w:adjustRightInd w:val="0"/>
        <w:snapToGrid w:val="0"/>
        <w:spacing w:line="360" w:lineRule="auto"/>
        <w:ind w:firstLine="480" w:firstLineChars="200"/>
        <w:jc w:val="left"/>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SNCR法脱硝装置包括尿素输送供给系统、还原剂喷射系统等部分。</w:t>
      </w:r>
    </w:p>
    <w:p w14:paraId="1D5FE391">
      <w:pPr>
        <w:widowControl/>
        <w:adjustRightInd w:val="0"/>
        <w:snapToGrid w:val="0"/>
        <w:spacing w:line="360" w:lineRule="auto"/>
        <w:ind w:firstLine="480" w:firstLineChars="200"/>
        <w:jc w:val="left"/>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SNCR技术不需要催化剂，投资成本较低。</w:t>
      </w:r>
    </w:p>
    <w:p w14:paraId="05D2A5FD">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firstLine="480" w:firstLineChars="200"/>
        <w:jc w:val="left"/>
        <w:textAlignment w:val="baseline"/>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综合以上分析，本项目采用选择性非催化还原脱硝技术(SNCR)脱硝，配套采用低温燃烧和分段燃烧技术控制，脱硝效率可达50%的目标要求。根据《排污许可申请与核发技术规范</w:t>
      </w:r>
      <w:r>
        <w:rPr>
          <w:rFonts w:hint="eastAsia" w:cs="Times New Roman"/>
          <w:color w:val="auto"/>
          <w:kern w:val="0"/>
          <w:sz w:val="24"/>
          <w:lang w:val="en-US" w:eastAsia="zh-CN"/>
        </w:rPr>
        <w:t xml:space="preserve"> 有色金属工业—</w:t>
      </w:r>
      <w:r>
        <w:rPr>
          <w:rFonts w:hint="default" w:ascii="Times New Roman" w:hAnsi="Times New Roman" w:eastAsia="宋体" w:cs="Times New Roman"/>
          <w:color w:val="auto"/>
          <w:kern w:val="0"/>
          <w:sz w:val="24"/>
        </w:rPr>
        <w:t>再生金属》（HJ863.4-2018）再生铝废气污染防</w:t>
      </w:r>
      <w:r>
        <w:rPr>
          <w:rFonts w:hint="eastAsia" w:cs="Times New Roman"/>
          <w:color w:val="auto"/>
          <w:kern w:val="0"/>
          <w:sz w:val="24"/>
          <w:lang w:val="en-US" w:eastAsia="zh-CN"/>
        </w:rPr>
        <w:t>治</w:t>
      </w:r>
      <w:r>
        <w:rPr>
          <w:rFonts w:hint="default" w:ascii="Times New Roman" w:hAnsi="Times New Roman" w:eastAsia="宋体" w:cs="Times New Roman"/>
          <w:color w:val="auto"/>
          <w:kern w:val="0"/>
          <w:sz w:val="24"/>
        </w:rPr>
        <w:t>可行推荐技术，SNCR为再生铝废气污染防止可行推荐技术，因此采取SNCR脱硝是可行的。</w:t>
      </w:r>
    </w:p>
    <w:p w14:paraId="693ADA77">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jc w:val="center"/>
        <w:textAlignment w:val="baseline"/>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lang w:val="en-US" w:eastAsia="zh-CN"/>
        </w:rPr>
        <w:t>表</w:t>
      </w:r>
      <w:r>
        <w:rPr>
          <w:rFonts w:hint="eastAsia" w:ascii="Times New Roman" w:hAnsi="Times New Roman" w:eastAsia="宋体" w:cs="Times New Roman"/>
          <w:b/>
          <w:bCs/>
          <w:color w:val="auto"/>
          <w:kern w:val="0"/>
          <w:sz w:val="24"/>
          <w:lang w:val="en-US" w:eastAsia="zh-CN"/>
        </w:rPr>
        <w:t>5-</w:t>
      </w:r>
      <w:r>
        <w:rPr>
          <w:rFonts w:hint="eastAsia" w:cs="Times New Roman"/>
          <w:b/>
          <w:bCs/>
          <w:color w:val="auto"/>
          <w:kern w:val="0"/>
          <w:sz w:val="24"/>
          <w:lang w:val="en-US" w:eastAsia="zh-CN"/>
        </w:rPr>
        <w:t>3</w:t>
      </w:r>
      <w:r>
        <w:rPr>
          <w:rFonts w:hint="default" w:ascii="Times New Roman" w:hAnsi="Times New Roman" w:eastAsia="宋体" w:cs="Times New Roman"/>
          <w:b/>
          <w:bCs/>
          <w:color w:val="auto"/>
          <w:kern w:val="0"/>
          <w:sz w:val="24"/>
          <w:lang w:val="en-US" w:eastAsia="zh-CN"/>
        </w:rPr>
        <w:t xml:space="preserve"> 再生铝废气污染防治措施可行推荐技术</w:t>
      </w:r>
    </w:p>
    <w:tbl>
      <w:tblPr>
        <w:tblStyle w:val="32"/>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75"/>
        <w:gridCol w:w="2181"/>
        <w:gridCol w:w="3741"/>
        <w:gridCol w:w="2063"/>
        <w:gridCol w:w="1202"/>
      </w:tblGrid>
      <w:tr w14:paraId="52F1F1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89" w:type="pct"/>
            <w:vAlign w:val="center"/>
          </w:tcPr>
          <w:p w14:paraId="6C0733B8">
            <w:pPr>
              <w:widowControl w:val="0"/>
              <w:adjustRightInd w:val="0"/>
              <w:snapToGrid w:val="0"/>
              <w:jc w:val="center"/>
              <w:rPr>
                <w:rFonts w:hint="default" w:ascii="Times New Roman" w:hAnsi="Times New Roman" w:eastAsia="宋体" w:cs="Times New Roman"/>
                <w:b/>
                <w:bCs/>
                <w:color w:val="auto"/>
                <w:kern w:val="0"/>
                <w:sz w:val="21"/>
                <w:szCs w:val="21"/>
              </w:rPr>
            </w:pPr>
            <w:bookmarkStart w:id="364" w:name="OLE_LINK516"/>
            <w:r>
              <w:rPr>
                <w:rFonts w:hint="default" w:ascii="Times New Roman" w:hAnsi="Times New Roman" w:eastAsia="宋体" w:cs="Times New Roman"/>
                <w:b/>
                <w:bCs/>
                <w:color w:val="auto"/>
                <w:kern w:val="0"/>
                <w:sz w:val="21"/>
                <w:szCs w:val="21"/>
              </w:rPr>
              <w:t>污染类型</w:t>
            </w:r>
          </w:p>
        </w:tc>
        <w:tc>
          <w:tcPr>
            <w:tcW w:w="1094" w:type="pct"/>
            <w:vAlign w:val="center"/>
          </w:tcPr>
          <w:p w14:paraId="7B978121">
            <w:pPr>
              <w:widowControl w:val="0"/>
              <w:adjustRightInd w:val="0"/>
              <w:snapToGrid w:val="0"/>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污染因子</w:t>
            </w:r>
          </w:p>
        </w:tc>
        <w:tc>
          <w:tcPr>
            <w:tcW w:w="1877" w:type="pct"/>
            <w:vAlign w:val="center"/>
          </w:tcPr>
          <w:p w14:paraId="3D7E0847">
            <w:pPr>
              <w:widowControl w:val="0"/>
              <w:adjustRightInd w:val="0"/>
              <w:snapToGrid w:val="0"/>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可行技术</w:t>
            </w:r>
          </w:p>
        </w:tc>
        <w:tc>
          <w:tcPr>
            <w:tcW w:w="1035" w:type="pct"/>
            <w:vAlign w:val="center"/>
          </w:tcPr>
          <w:p w14:paraId="56F1F655">
            <w:pPr>
              <w:widowControl w:val="0"/>
              <w:adjustRightInd w:val="0"/>
              <w:snapToGrid w:val="0"/>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本</w:t>
            </w:r>
            <w:r>
              <w:rPr>
                <w:rFonts w:hint="eastAsia" w:ascii="Times New Roman" w:hAnsi="Times New Roman" w:eastAsia="宋体" w:cs="Times New Roman"/>
                <w:b/>
                <w:bCs/>
                <w:color w:val="auto"/>
                <w:kern w:val="0"/>
                <w:sz w:val="21"/>
                <w:szCs w:val="21"/>
                <w:lang w:val="en-US" w:eastAsia="zh-CN"/>
              </w:rPr>
              <w:t>次</w:t>
            </w:r>
            <w:r>
              <w:rPr>
                <w:rFonts w:hint="default" w:ascii="Times New Roman" w:hAnsi="Times New Roman" w:eastAsia="宋体" w:cs="Times New Roman"/>
                <w:b/>
                <w:bCs/>
                <w:color w:val="auto"/>
                <w:kern w:val="0"/>
                <w:sz w:val="21"/>
                <w:szCs w:val="21"/>
              </w:rPr>
              <w:t>采用的废气处理技术</w:t>
            </w:r>
          </w:p>
        </w:tc>
        <w:tc>
          <w:tcPr>
            <w:tcW w:w="603" w:type="pct"/>
            <w:vAlign w:val="center"/>
          </w:tcPr>
          <w:p w14:paraId="4A0B2580">
            <w:pPr>
              <w:widowControl w:val="0"/>
              <w:adjustRightInd w:val="0"/>
              <w:snapToGrid w:val="0"/>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符合性</w:t>
            </w:r>
          </w:p>
        </w:tc>
      </w:tr>
      <w:tr w14:paraId="5D47DA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30" w:hRule="atLeast"/>
        </w:trPr>
        <w:tc>
          <w:tcPr>
            <w:tcW w:w="389" w:type="pct"/>
            <w:vAlign w:val="center"/>
          </w:tcPr>
          <w:p w14:paraId="23F14B34">
            <w:pPr>
              <w:widowControl w:val="0"/>
              <w:adjustRightInd w:val="0"/>
              <w:snapToGrid w:val="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废气</w:t>
            </w:r>
          </w:p>
        </w:tc>
        <w:tc>
          <w:tcPr>
            <w:tcW w:w="1094" w:type="pct"/>
            <w:vAlign w:val="center"/>
          </w:tcPr>
          <w:p w14:paraId="6F516853">
            <w:pPr>
              <w:widowControl w:val="0"/>
              <w:adjustRightInd w:val="0"/>
              <w:snapToGrid w:val="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氮氧化物</w:t>
            </w:r>
          </w:p>
        </w:tc>
        <w:tc>
          <w:tcPr>
            <w:tcW w:w="1877" w:type="pct"/>
            <w:vAlign w:val="center"/>
          </w:tcPr>
          <w:p w14:paraId="17C6A077">
            <w:pPr>
              <w:widowControl w:val="0"/>
              <w:adjustRightInd w:val="0"/>
              <w:snapToGrid w:val="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选择性还原催化法（SCR）、选择性非还原催化法（SNCR）</w:t>
            </w:r>
          </w:p>
        </w:tc>
        <w:tc>
          <w:tcPr>
            <w:tcW w:w="1035" w:type="pct"/>
            <w:vAlign w:val="center"/>
          </w:tcPr>
          <w:p w14:paraId="6000F4E0">
            <w:pPr>
              <w:widowControl w:val="0"/>
              <w:adjustRightInd w:val="0"/>
              <w:snapToGrid w:val="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配套SNCR脱硝设施</w:t>
            </w:r>
          </w:p>
        </w:tc>
        <w:tc>
          <w:tcPr>
            <w:tcW w:w="603" w:type="pct"/>
            <w:vAlign w:val="center"/>
          </w:tcPr>
          <w:p w14:paraId="08F0795D">
            <w:pPr>
              <w:widowControl w:val="0"/>
              <w:adjustRightInd w:val="0"/>
              <w:snapToGrid w:val="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符合</w:t>
            </w:r>
          </w:p>
        </w:tc>
      </w:tr>
      <w:bookmarkEnd w:id="364"/>
    </w:tbl>
    <w:p w14:paraId="326098D8">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jc w:val="left"/>
        <w:textAlignment w:val="baseline"/>
        <w:rPr>
          <w:rFonts w:hint="default" w:ascii="Times New Roman" w:hAnsi="Times New Roman" w:eastAsia="宋体" w:cs="Times New Roman"/>
          <w:color w:val="auto"/>
          <w:kern w:val="0"/>
          <w:sz w:val="24"/>
        </w:rPr>
      </w:pPr>
    </w:p>
    <w:p w14:paraId="3974D7B9">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firstLine="480" w:firstLineChars="200"/>
        <w:jc w:val="left"/>
        <w:textAlignment w:val="baseline"/>
        <w:rPr>
          <w:rFonts w:hint="default" w:ascii="Times New Roman" w:hAnsi="Times New Roman" w:eastAsia="宋体" w:cs="Times New Roman"/>
          <w:color w:val="auto"/>
          <w:kern w:val="0"/>
          <w:sz w:val="24"/>
          <w:lang w:val="en-US" w:eastAsia="zh-CN"/>
        </w:rPr>
      </w:pPr>
      <w:r>
        <w:rPr>
          <w:rFonts w:hint="eastAsia" w:ascii="Times New Roman" w:hAnsi="Times New Roman" w:eastAsia="宋体" w:cs="Times New Roman"/>
          <w:color w:val="auto"/>
          <w:kern w:val="0"/>
          <w:sz w:val="24"/>
          <w:lang w:eastAsia="zh-CN"/>
        </w:rPr>
        <w:t>（</w:t>
      </w:r>
      <w:r>
        <w:rPr>
          <w:rFonts w:hint="eastAsia" w:ascii="Times New Roman" w:hAnsi="Times New Roman" w:eastAsia="宋体" w:cs="Times New Roman"/>
          <w:color w:val="auto"/>
          <w:kern w:val="0"/>
          <w:sz w:val="24"/>
          <w:lang w:val="en-US" w:eastAsia="zh-CN"/>
        </w:rPr>
        <w:t>2</w:t>
      </w:r>
      <w:r>
        <w:rPr>
          <w:rFonts w:hint="eastAsia" w:ascii="Times New Roman" w:hAnsi="Times New Roman" w:eastAsia="宋体" w:cs="Times New Roman"/>
          <w:color w:val="auto"/>
          <w:kern w:val="0"/>
          <w:sz w:val="24"/>
          <w:lang w:eastAsia="zh-CN"/>
        </w:rPr>
        <w:t>）</w:t>
      </w:r>
      <w:r>
        <w:rPr>
          <w:rFonts w:hint="eastAsia" w:cs="Times New Roman"/>
          <w:color w:val="auto"/>
          <w:kern w:val="0"/>
          <w:sz w:val="24"/>
          <w:lang w:val="en-US" w:eastAsia="zh-CN"/>
        </w:rPr>
        <w:t>二噁英防治技术可行性分析</w:t>
      </w:r>
    </w:p>
    <w:p w14:paraId="60891EC2">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firstLine="480" w:firstLineChars="200"/>
        <w:jc w:val="left"/>
        <w:textAlignment w:val="baseline"/>
        <w:rPr>
          <w:rFonts w:hint="default" w:ascii="Times New Roman" w:hAnsi="Times New Roman" w:cs="Times New Roman"/>
          <w:color w:val="auto"/>
          <w:kern w:val="0"/>
          <w:sz w:val="24"/>
          <w:lang w:val="en-US" w:eastAsia="zh-CN"/>
        </w:rPr>
      </w:pPr>
      <w:r>
        <w:rPr>
          <w:rFonts w:hint="default" w:ascii="Times New Roman" w:hAnsi="Times New Roman" w:cs="Times New Roman"/>
          <w:color w:val="auto"/>
          <w:kern w:val="0"/>
          <w:sz w:val="24"/>
          <w:lang w:val="en-US" w:eastAsia="zh-CN"/>
        </w:rPr>
        <w:t>再生铝生产核心废气来源为熔炼、精炼及渣处理工段，烟气具有温度波动范围适中、含尘量较高、同时伴随重金属（铅、砷等）及酸性气体（HCI、氟化物）等特点，二噁英排放浓度受原料特性（如含油、含涂层废铝）影响较大，其中颗粒态二噁英吸附于≤1μm的超细飞灰上，气态二噁英则以分子形式存在，难以通过简单除尘去除。</w:t>
      </w:r>
    </w:p>
    <w:p w14:paraId="2AD4DBAD">
      <w:pPr>
        <w:spacing w:line="360" w:lineRule="auto"/>
        <w:ind w:firstLine="480"/>
        <w:rPr>
          <w:color w:val="auto"/>
          <w:sz w:val="24"/>
          <w:szCs w:val="32"/>
        </w:rPr>
      </w:pPr>
      <w:r>
        <w:rPr>
          <w:color w:val="auto"/>
          <w:sz w:val="24"/>
          <w:szCs w:val="32"/>
        </w:rPr>
        <w:t>根据PCDD/Fs的生成机理，PCDD/Fs生成方式以</w:t>
      </w:r>
      <w:r>
        <w:rPr>
          <w:rFonts w:hint="eastAsia"/>
          <w:color w:val="auto"/>
          <w:sz w:val="24"/>
          <w:szCs w:val="32"/>
          <w:lang w:eastAsia="zh-CN"/>
        </w:rPr>
        <w:t>“</w:t>
      </w:r>
      <w:r>
        <w:rPr>
          <w:color w:val="auto"/>
          <w:sz w:val="24"/>
          <w:szCs w:val="32"/>
        </w:rPr>
        <w:t>前驱体合成</w:t>
      </w:r>
      <w:r>
        <w:rPr>
          <w:rFonts w:hint="eastAsia"/>
          <w:color w:val="auto"/>
          <w:sz w:val="24"/>
          <w:szCs w:val="32"/>
          <w:lang w:eastAsia="zh-CN"/>
        </w:rPr>
        <w:t>”</w:t>
      </w:r>
      <w:r>
        <w:rPr>
          <w:color w:val="auto"/>
          <w:sz w:val="24"/>
          <w:szCs w:val="32"/>
        </w:rPr>
        <w:t>和</w:t>
      </w:r>
      <w:r>
        <w:rPr>
          <w:rFonts w:hint="eastAsia"/>
          <w:color w:val="auto"/>
          <w:sz w:val="24"/>
          <w:szCs w:val="32"/>
          <w:lang w:eastAsia="zh-CN"/>
        </w:rPr>
        <w:t>“</w:t>
      </w:r>
      <w:r>
        <w:rPr>
          <w:color w:val="auto"/>
          <w:sz w:val="24"/>
          <w:szCs w:val="32"/>
        </w:rPr>
        <w:t>热分解反应合成</w:t>
      </w:r>
      <w:r>
        <w:rPr>
          <w:rFonts w:hint="eastAsia"/>
          <w:color w:val="auto"/>
          <w:sz w:val="24"/>
          <w:szCs w:val="32"/>
          <w:lang w:eastAsia="zh-CN"/>
        </w:rPr>
        <w:t>”</w:t>
      </w:r>
      <w:r>
        <w:rPr>
          <w:color w:val="auto"/>
          <w:sz w:val="24"/>
          <w:szCs w:val="32"/>
        </w:rPr>
        <w:t>为主</w:t>
      </w:r>
      <w:r>
        <w:rPr>
          <w:rFonts w:hint="eastAsia"/>
          <w:color w:val="auto"/>
          <w:sz w:val="24"/>
          <w:szCs w:val="32"/>
          <w:lang w:eastAsia="zh-CN"/>
        </w:rPr>
        <w:t>，</w:t>
      </w:r>
      <w:r>
        <w:rPr>
          <w:rFonts w:hint="eastAsia" w:cs="Times New Roman"/>
          <w:color w:val="auto"/>
          <w:sz w:val="24"/>
          <w:szCs w:val="24"/>
          <w:lang w:val="en-US" w:eastAsia="zh-CN"/>
        </w:rPr>
        <w:t>安徽瑞瑟科金属材料有限公司</w:t>
      </w:r>
      <w:r>
        <w:rPr>
          <w:rFonts w:hint="eastAsia"/>
          <w:color w:val="auto"/>
          <w:sz w:val="24"/>
          <w:szCs w:val="32"/>
          <w:lang w:val="en-US" w:eastAsia="zh-CN"/>
        </w:rPr>
        <w:t>实际建设过程中</w:t>
      </w:r>
      <w:r>
        <w:rPr>
          <w:color w:val="auto"/>
          <w:sz w:val="24"/>
          <w:szCs w:val="32"/>
        </w:rPr>
        <w:t>采取以下三种措施避免二噁英合成：</w:t>
      </w:r>
    </w:p>
    <w:p w14:paraId="4425D6C5">
      <w:pPr>
        <w:spacing w:line="360" w:lineRule="auto"/>
        <w:ind w:firstLine="480"/>
        <w:rPr>
          <w:color w:val="auto"/>
          <w:sz w:val="24"/>
          <w:szCs w:val="32"/>
        </w:rPr>
      </w:pPr>
      <w:r>
        <w:rPr>
          <w:rFonts w:hint="eastAsia" w:ascii="宋体" w:hAnsi="宋体" w:cs="宋体"/>
          <w:color w:val="auto"/>
          <w:sz w:val="24"/>
          <w:szCs w:val="32"/>
        </w:rPr>
        <w:t>①</w:t>
      </w:r>
      <w:r>
        <w:rPr>
          <w:color w:val="auto"/>
          <w:sz w:val="24"/>
          <w:szCs w:val="32"/>
        </w:rPr>
        <w:t>采用清洁废铝，减少有机物带入，可有效抑制前驱体化合物（如氯酚、氯苯、多氯联苯等）氧化反应生成PCDD/Fs。</w:t>
      </w:r>
    </w:p>
    <w:p w14:paraId="61834D73">
      <w:pPr>
        <w:spacing w:line="360" w:lineRule="auto"/>
        <w:ind w:firstLine="480"/>
        <w:rPr>
          <w:color w:val="auto"/>
          <w:sz w:val="24"/>
          <w:szCs w:val="32"/>
        </w:rPr>
      </w:pPr>
      <w:r>
        <w:rPr>
          <w:rFonts w:hint="eastAsia" w:ascii="宋体" w:hAnsi="宋体" w:cs="宋体"/>
          <w:color w:val="auto"/>
          <w:sz w:val="24"/>
          <w:szCs w:val="32"/>
        </w:rPr>
        <w:t>②</w:t>
      </w:r>
      <w:r>
        <w:rPr>
          <w:color w:val="auto"/>
          <w:sz w:val="24"/>
          <w:szCs w:val="32"/>
        </w:rPr>
        <w:t>根据PCDD/Fs在700～800℃即可高温分解特性，本项目熔炼炉燃烧温度超过800℃，PCDD/Fs几乎完成分解。</w:t>
      </w:r>
    </w:p>
    <w:p w14:paraId="12868F4F">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firstLine="480" w:firstLineChars="200"/>
        <w:jc w:val="left"/>
        <w:textAlignment w:val="baseline"/>
        <w:rPr>
          <w:rFonts w:hint="default" w:ascii="Times New Roman" w:hAnsi="Times New Roman" w:cs="Times New Roman"/>
          <w:color w:val="auto"/>
          <w:kern w:val="0"/>
          <w:sz w:val="24"/>
          <w:lang w:val="en-US" w:eastAsia="zh-CN"/>
        </w:rPr>
      </w:pPr>
      <w:r>
        <w:rPr>
          <w:rFonts w:hint="eastAsia" w:ascii="宋体" w:hAnsi="宋体" w:cs="宋体"/>
          <w:color w:val="auto"/>
          <w:sz w:val="24"/>
          <w:szCs w:val="32"/>
        </w:rPr>
        <w:t>③</w:t>
      </w:r>
      <w:r>
        <w:rPr>
          <w:color w:val="auto"/>
          <w:sz w:val="24"/>
          <w:szCs w:val="32"/>
        </w:rPr>
        <w:t>采用</w:t>
      </w:r>
      <w:r>
        <w:rPr>
          <w:rFonts w:hint="eastAsia"/>
          <w:color w:val="auto"/>
          <w:sz w:val="24"/>
          <w:szCs w:val="32"/>
          <w:lang w:eastAsia="zh-CN"/>
        </w:rPr>
        <w:t>“</w:t>
      </w:r>
      <w:r>
        <w:rPr>
          <w:color w:val="auto"/>
          <w:sz w:val="24"/>
          <w:szCs w:val="32"/>
        </w:rPr>
        <w:t>蜂窝蓄热陶瓷急冷</w:t>
      </w:r>
      <w:r>
        <w:rPr>
          <w:rFonts w:hint="eastAsia"/>
          <w:color w:val="auto"/>
          <w:sz w:val="24"/>
          <w:szCs w:val="32"/>
          <w:lang w:eastAsia="zh-CN"/>
        </w:rPr>
        <w:t>”</w:t>
      </w:r>
      <w:r>
        <w:rPr>
          <w:color w:val="auto"/>
          <w:sz w:val="24"/>
          <w:szCs w:val="32"/>
        </w:rPr>
        <w:t>工艺，蜂窝蓄热陶瓷急冷装置是由进风管、出风管、烟气交换室、蓄热室组成。</w:t>
      </w:r>
    </w:p>
    <w:p w14:paraId="65ED4A5C">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firstLine="480" w:firstLineChars="200"/>
        <w:jc w:val="left"/>
        <w:textAlignment w:val="baseline"/>
        <w:rPr>
          <w:rFonts w:hint="eastAsia" w:cs="Times New Roman"/>
          <w:color w:val="auto"/>
          <w:kern w:val="0"/>
          <w:sz w:val="24"/>
          <w:lang w:val="en-US" w:eastAsia="zh-CN"/>
        </w:rPr>
      </w:pPr>
      <w:r>
        <w:rPr>
          <w:rFonts w:hint="eastAsia" w:cs="Times New Roman"/>
          <w:color w:val="auto"/>
          <w:kern w:val="0"/>
          <w:sz w:val="24"/>
          <w:lang w:val="en-US" w:eastAsia="zh-CN"/>
        </w:rPr>
        <w:t>同时本项目新增“活性炭喷粉”装置用于处理二噁英废气。具体工艺原理如下：</w:t>
      </w:r>
    </w:p>
    <w:p w14:paraId="6B896434">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firstLine="480" w:firstLineChars="200"/>
        <w:jc w:val="left"/>
        <w:textAlignment w:val="baseline"/>
        <w:rPr>
          <w:rFonts w:hint="default" w:ascii="Times New Roman" w:hAnsi="Times New Roman" w:cs="Times New Roman"/>
          <w:color w:val="auto"/>
          <w:kern w:val="0"/>
          <w:sz w:val="24"/>
          <w:lang w:val="en-US" w:eastAsia="zh-CN"/>
        </w:rPr>
      </w:pPr>
      <w:r>
        <w:rPr>
          <w:rFonts w:hint="default" w:ascii="Times New Roman" w:hAnsi="Times New Roman" w:cs="Times New Roman"/>
          <w:color w:val="auto"/>
          <w:kern w:val="0"/>
          <w:sz w:val="24"/>
          <w:lang w:val="en-US" w:eastAsia="zh-CN"/>
        </w:rPr>
        <w:t>粉末活性炭</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PAC</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具有比表面积大</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≥500m</w:t>
      </w:r>
      <w:r>
        <w:rPr>
          <w:rFonts w:hint="default" w:ascii="Times New Roman" w:hAnsi="Times New Roman" w:cs="Times New Roman"/>
          <w:color w:val="auto"/>
          <w:kern w:val="0"/>
          <w:sz w:val="24"/>
          <w:vertAlign w:val="superscript"/>
          <w:lang w:val="en-US" w:eastAsia="zh-CN"/>
        </w:rPr>
        <w:t>2</w:t>
      </w:r>
      <w:r>
        <w:rPr>
          <w:rFonts w:hint="default" w:ascii="Times New Roman" w:hAnsi="Times New Roman" w:cs="Times New Roman"/>
          <w:color w:val="auto"/>
          <w:kern w:val="0"/>
          <w:sz w:val="24"/>
          <w:lang w:val="en-US" w:eastAsia="zh-CN"/>
        </w:rPr>
        <w:t>/g</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、微孔发达、吸附容量强的特性，其微孔尺寸</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0.3</w:t>
      </w:r>
      <w:r>
        <w:rPr>
          <w:rFonts w:hint="eastAsia" w:ascii="Times New Roman" w:hAnsi="Times New Roman" w:cs="Times New Roman"/>
          <w:color w:val="auto"/>
          <w:kern w:val="0"/>
          <w:sz w:val="24"/>
          <w:lang w:val="en-US" w:eastAsia="zh-CN"/>
        </w:rPr>
        <w:t>~</w:t>
      </w:r>
      <w:r>
        <w:rPr>
          <w:rFonts w:hint="default" w:ascii="Times New Roman" w:hAnsi="Times New Roman" w:cs="Times New Roman"/>
          <w:color w:val="auto"/>
          <w:kern w:val="0"/>
          <w:sz w:val="24"/>
          <w:lang w:val="en-US" w:eastAsia="zh-CN"/>
        </w:rPr>
        <w:t>2nm</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与二噁英分子尺寸高度匹配，可通过范德华力快速捕获气态二噁英，并同步吸附附着于飞灰上的颗粒态二噁英，再通过后续布袋除尘设施截留活性炭及吸附污染物，实现二噁英的高效去除。该技术无需复杂的化学反应装置，反应迅速</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烟道内接触1</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3秒即可完成初步吸附</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，运行灵活，可根据再生铝生产负荷、烟气量及二噁英浓度动态调整投加量，适配再生铝原料繁杂</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洁净废铝、含油废铝、含涂层废铝等</w:t>
      </w:r>
      <w:r>
        <w:rPr>
          <w:rFonts w:hint="eastAsia" w:cs="Times New Roman"/>
          <w:color w:val="auto"/>
          <w:kern w:val="0"/>
          <w:sz w:val="24"/>
          <w:lang w:val="en-US" w:eastAsia="zh-CN"/>
        </w:rPr>
        <w:t>）</w:t>
      </w:r>
      <w:r>
        <w:rPr>
          <w:rFonts w:hint="default" w:ascii="Times New Roman" w:hAnsi="Times New Roman" w:cs="Times New Roman"/>
          <w:color w:val="auto"/>
          <w:kern w:val="0"/>
          <w:sz w:val="24"/>
          <w:lang w:val="en-US" w:eastAsia="zh-CN"/>
        </w:rPr>
        <w:t>、工况波动较大的生产特点。</w:t>
      </w:r>
    </w:p>
    <w:p w14:paraId="61F3DA35">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firstLine="480" w:firstLineChars="200"/>
        <w:jc w:val="left"/>
        <w:textAlignment w:val="baseline"/>
        <w:rPr>
          <w:rFonts w:hint="eastAsia" w:cs="Times New Roman"/>
          <w:color w:val="auto"/>
          <w:kern w:val="0"/>
          <w:sz w:val="24"/>
          <w:lang w:val="en-US" w:eastAsia="zh-CN"/>
        </w:rPr>
      </w:pPr>
      <w:r>
        <w:rPr>
          <w:rFonts w:hint="default" w:ascii="Times New Roman" w:hAnsi="Times New Roman" w:eastAsia="宋体" w:cs="Times New Roman"/>
          <w:color w:val="auto"/>
          <w:kern w:val="0"/>
          <w:sz w:val="24"/>
        </w:rPr>
        <w:t>根据《排污许可申请与核发技术规范</w:t>
      </w:r>
      <w:r>
        <w:rPr>
          <w:rFonts w:hint="eastAsia" w:cs="Times New Roman"/>
          <w:color w:val="auto"/>
          <w:kern w:val="0"/>
          <w:sz w:val="24"/>
          <w:lang w:val="en-US" w:eastAsia="zh-CN"/>
        </w:rPr>
        <w:t xml:space="preserve"> 有色金属工业—</w:t>
      </w:r>
      <w:r>
        <w:rPr>
          <w:rFonts w:hint="default" w:ascii="Times New Roman" w:hAnsi="Times New Roman" w:eastAsia="宋体" w:cs="Times New Roman"/>
          <w:color w:val="auto"/>
          <w:kern w:val="0"/>
          <w:sz w:val="24"/>
        </w:rPr>
        <w:t>再生金属》（HJ863.4-2018）再生铝废气污染</w:t>
      </w:r>
      <w:r>
        <w:rPr>
          <w:rFonts w:hint="eastAsia" w:cs="Times New Roman"/>
          <w:color w:val="auto"/>
          <w:kern w:val="0"/>
          <w:sz w:val="24"/>
          <w:lang w:eastAsia="zh-CN"/>
        </w:rPr>
        <w:t>防治</w:t>
      </w:r>
      <w:r>
        <w:rPr>
          <w:rFonts w:hint="default" w:ascii="Times New Roman" w:hAnsi="Times New Roman" w:eastAsia="宋体" w:cs="Times New Roman"/>
          <w:color w:val="auto"/>
          <w:kern w:val="0"/>
          <w:sz w:val="24"/>
        </w:rPr>
        <w:t>可行推荐技术，</w:t>
      </w:r>
      <w:r>
        <w:rPr>
          <w:rFonts w:hint="eastAsia" w:cs="Times New Roman"/>
          <w:color w:val="auto"/>
          <w:kern w:val="0"/>
          <w:sz w:val="24"/>
          <w:lang w:val="en-US" w:eastAsia="zh-CN"/>
        </w:rPr>
        <w:t>活性炭喷粉</w:t>
      </w:r>
      <w:r>
        <w:rPr>
          <w:rFonts w:hint="default" w:ascii="Times New Roman" w:hAnsi="Times New Roman" w:eastAsia="宋体" w:cs="Times New Roman"/>
          <w:color w:val="auto"/>
          <w:kern w:val="0"/>
          <w:sz w:val="24"/>
        </w:rPr>
        <w:t>为再生铝废气污染防</w:t>
      </w:r>
      <w:r>
        <w:rPr>
          <w:rFonts w:hint="eastAsia" w:cs="Times New Roman"/>
          <w:color w:val="auto"/>
          <w:kern w:val="0"/>
          <w:sz w:val="24"/>
          <w:lang w:val="en-US" w:eastAsia="zh-CN"/>
        </w:rPr>
        <w:t>治</w:t>
      </w:r>
      <w:r>
        <w:rPr>
          <w:rFonts w:hint="default" w:ascii="Times New Roman" w:hAnsi="Times New Roman" w:eastAsia="宋体" w:cs="Times New Roman"/>
          <w:color w:val="auto"/>
          <w:kern w:val="0"/>
          <w:sz w:val="24"/>
        </w:rPr>
        <w:t>可行推荐技术，因此</w:t>
      </w:r>
      <w:r>
        <w:rPr>
          <w:rFonts w:hint="eastAsia" w:cs="Times New Roman"/>
          <w:color w:val="auto"/>
          <w:kern w:val="0"/>
          <w:sz w:val="24"/>
          <w:lang w:val="en-US" w:eastAsia="zh-CN"/>
        </w:rPr>
        <w:t>采用活性炭喷粉用于处理含二噁英废气</w:t>
      </w:r>
      <w:r>
        <w:rPr>
          <w:rFonts w:hint="default" w:ascii="Times New Roman" w:hAnsi="Times New Roman" w:eastAsia="宋体" w:cs="Times New Roman"/>
          <w:color w:val="auto"/>
          <w:kern w:val="0"/>
          <w:sz w:val="24"/>
        </w:rPr>
        <w:t>是可行的</w:t>
      </w:r>
    </w:p>
    <w:p w14:paraId="1F49CBD2">
      <w:pPr>
        <w:keepNext w:val="0"/>
        <w:keepLines w:val="0"/>
        <w:pageBreakBefore w:val="0"/>
        <w:widowControl w:val="0"/>
        <w:numPr>
          <w:ilvl w:val="0"/>
          <w:numId w:val="0"/>
        </w:numPr>
        <w:kinsoku/>
        <w:wordWrap w:val="0"/>
        <w:overflowPunct/>
        <w:topLinePunct/>
        <w:autoSpaceDE/>
        <w:autoSpaceDN/>
        <w:bidi w:val="0"/>
        <w:adjustRightInd w:val="0"/>
        <w:snapToGrid w:val="0"/>
        <w:spacing w:line="360" w:lineRule="auto"/>
        <w:ind w:firstLine="480" w:firstLineChars="200"/>
        <w:jc w:val="left"/>
        <w:textAlignment w:val="baseline"/>
        <w:rPr>
          <w:rFonts w:hint="eastAsia" w:ascii="Times New Roman" w:hAnsi="Times New Roman" w:eastAsia="宋体" w:cs="Times New Roman"/>
          <w:color w:val="auto"/>
          <w:kern w:val="0"/>
          <w:sz w:val="24"/>
          <w:lang w:eastAsia="zh-CN"/>
        </w:rPr>
      </w:pPr>
      <w:r>
        <w:rPr>
          <w:rFonts w:hint="eastAsia" w:cs="Times New Roman"/>
          <w:color w:val="auto"/>
          <w:kern w:val="0"/>
          <w:sz w:val="24"/>
          <w:lang w:val="en-US" w:eastAsia="zh-CN"/>
        </w:rPr>
        <w:t>（3）</w:t>
      </w:r>
      <w:r>
        <w:rPr>
          <w:rFonts w:hint="eastAsia" w:ascii="Times New Roman" w:hAnsi="Times New Roman" w:eastAsia="宋体" w:cs="Times New Roman"/>
          <w:color w:val="auto"/>
          <w:kern w:val="0"/>
          <w:sz w:val="24"/>
          <w:lang w:val="en-US" w:eastAsia="zh-CN"/>
        </w:rPr>
        <w:t>氨防治技术可行性分析</w:t>
      </w:r>
    </w:p>
    <w:p w14:paraId="7485F8ED">
      <w:pPr>
        <w:numPr>
          <w:ilvl w:val="0"/>
          <w:numId w:val="0"/>
        </w:numPr>
        <w:spacing w:line="360" w:lineRule="auto"/>
        <w:ind w:firstLine="480" w:firstLineChars="200"/>
        <w:jc w:val="left"/>
        <w:rPr>
          <w:rFonts w:hint="eastAsia" w:ascii="Times New Roman" w:hAnsi="Times New Roman" w:eastAsia="宋体" w:cs="Times New Roman"/>
          <w:b w:val="0"/>
          <w:bCs w:val="0"/>
          <w:color w:val="auto"/>
          <w:sz w:val="24"/>
          <w:szCs w:val="32"/>
          <w:highlight w:val="yellow"/>
          <w:lang w:val="en-US" w:eastAsia="zh-CN"/>
        </w:rPr>
      </w:pPr>
      <w:r>
        <w:rPr>
          <w:rFonts w:hint="eastAsia" w:cs="Times New Roman"/>
          <w:b w:val="0"/>
          <w:bCs w:val="0"/>
          <w:color w:val="auto"/>
          <w:sz w:val="24"/>
          <w:szCs w:val="32"/>
          <w:highlight w:val="none"/>
          <w:lang w:val="en-US" w:eastAsia="zh-CN"/>
        </w:rPr>
        <w:t>危废库</w:t>
      </w:r>
      <w:r>
        <w:rPr>
          <w:rFonts w:hint="eastAsia" w:ascii="Times New Roman" w:hAnsi="Times New Roman" w:eastAsia="宋体" w:cs="Times New Roman"/>
          <w:b w:val="0"/>
          <w:bCs w:val="0"/>
          <w:color w:val="auto"/>
          <w:sz w:val="24"/>
          <w:szCs w:val="32"/>
          <w:highlight w:val="none"/>
          <w:lang w:val="en-US" w:eastAsia="zh-CN"/>
        </w:rPr>
        <w:t>中铝灰渣存储区域空气湿度较大时，高温铝灰渣中的氮化铝与空气中的水蒸气反应生成氨气。根据废气产生的特点，采用一定的换气次数，废气采用负压收集，经收集后采用“</w:t>
      </w:r>
      <w:r>
        <w:rPr>
          <w:rFonts w:hint="eastAsia" w:cs="Times New Roman"/>
          <w:b w:val="0"/>
          <w:bCs w:val="0"/>
          <w:color w:val="auto"/>
          <w:sz w:val="24"/>
          <w:szCs w:val="32"/>
          <w:highlight w:val="none"/>
          <w:lang w:val="en-US" w:eastAsia="zh-CN"/>
        </w:rPr>
        <w:t>水</w:t>
      </w:r>
      <w:r>
        <w:rPr>
          <w:rFonts w:hint="eastAsia" w:ascii="Times New Roman" w:hAnsi="Times New Roman" w:eastAsia="宋体" w:cs="Times New Roman"/>
          <w:b w:val="0"/>
          <w:bCs w:val="0"/>
          <w:color w:val="auto"/>
          <w:sz w:val="24"/>
          <w:szCs w:val="32"/>
          <w:highlight w:val="none"/>
          <w:lang w:val="en-US" w:eastAsia="zh-CN"/>
        </w:rPr>
        <w:t>喷淋”装置处理。</w:t>
      </w:r>
    </w:p>
    <w:p w14:paraId="3940367C">
      <w:pPr>
        <w:adjustRightInd w:val="0"/>
        <w:snapToGrid w:val="0"/>
        <w:spacing w:line="360" w:lineRule="auto"/>
        <w:ind w:firstLine="480" w:firstLineChars="200"/>
        <w:jc w:val="left"/>
        <w:rPr>
          <w:rFonts w:ascii="Times New Roman" w:hAnsi="Times New Roman" w:eastAsia="宋体" w:cs="Times New Roman"/>
          <w:color w:val="auto"/>
          <w:sz w:val="24"/>
        </w:rPr>
      </w:pPr>
      <w:r>
        <w:rPr>
          <w:rFonts w:ascii="Times New Roman" w:hAnsi="Times New Roman" w:eastAsia="宋体" w:cs="Times New Roman"/>
          <w:color w:val="auto"/>
          <w:sz w:val="24"/>
        </w:rPr>
        <w:t>喷淋法工作原理：利用气体与液体间接触</w:t>
      </w:r>
      <w:r>
        <w:rPr>
          <w:rFonts w:hint="eastAsia" w:cs="Times New Roman"/>
          <w:color w:val="auto"/>
          <w:sz w:val="24"/>
          <w:lang w:eastAsia="zh-CN"/>
        </w:rPr>
        <w:t>，从</w:t>
      </w:r>
      <w:r>
        <w:rPr>
          <w:rFonts w:ascii="Times New Roman" w:hAnsi="Times New Roman" w:eastAsia="宋体" w:cs="Times New Roman"/>
          <w:color w:val="auto"/>
          <w:sz w:val="24"/>
        </w:rPr>
        <w:t>而将气体中的污染物传送到液体中，然后再将清洁气体与被污染的液体分离达到净化废气的目的。废气经由填充式洗涤塔，采用气液逆向吸收方式处理，即液体自塔顶向下以雾状（或小液滴）喷洒而下。废气则由塔体（逆向流）达到气液充分接触的目的。</w:t>
      </w:r>
    </w:p>
    <w:p w14:paraId="42066773">
      <w:pPr>
        <w:adjustRightInd w:val="0"/>
        <w:snapToGrid w:val="0"/>
        <w:spacing w:line="360" w:lineRule="auto"/>
        <w:ind w:firstLine="480" w:firstLineChars="200"/>
        <w:jc w:val="left"/>
        <w:rPr>
          <w:rFonts w:hint="eastAsia" w:cs="Times New Roman"/>
          <w:color w:val="auto"/>
          <w:sz w:val="24"/>
          <w:lang w:eastAsia="zh-CN"/>
        </w:rPr>
      </w:pPr>
      <w:r>
        <w:rPr>
          <w:rFonts w:hint="eastAsia" w:cs="Times New Roman"/>
          <w:color w:val="auto"/>
          <w:sz w:val="24"/>
          <w:lang w:val="en-US" w:eastAsia="zh-CN"/>
        </w:rPr>
        <w:t>水</w:t>
      </w:r>
      <w:r>
        <w:rPr>
          <w:rFonts w:ascii="Times New Roman" w:hAnsi="Times New Roman" w:eastAsia="宋体" w:cs="Times New Roman"/>
          <w:color w:val="auto"/>
          <w:sz w:val="24"/>
        </w:rPr>
        <w:t>吸收液通过水泵泵入净化塔顶部，经由布水器和填料层回落至塔底溶液箱，如此反复循环使用。熔炼、精炼过程产生的烟气经布袋除尘处理后引入喷淋塔进风段，气体经均风板向上流动经过填料层，与每层喷嘴喷出的中和液接触</w:t>
      </w:r>
      <w:r>
        <w:rPr>
          <w:rFonts w:hint="eastAsia" w:cs="Times New Roman"/>
          <w:color w:val="auto"/>
          <w:sz w:val="24"/>
          <w:lang w:eastAsia="zh-CN"/>
        </w:rPr>
        <w:t>反应</w:t>
      </w:r>
      <w:r>
        <w:rPr>
          <w:rFonts w:ascii="Times New Roman" w:hAnsi="Times New Roman" w:eastAsia="宋体" w:cs="Times New Roman"/>
          <w:color w:val="auto"/>
          <w:sz w:val="24"/>
        </w:rPr>
        <w:t>，气液进行充分中和吸收后由塔顶烟囱排入大气。本项目</w:t>
      </w:r>
      <w:r>
        <w:rPr>
          <w:rFonts w:hint="eastAsia" w:cs="Times New Roman"/>
          <w:color w:val="auto"/>
          <w:sz w:val="24"/>
          <w:lang w:val="en-US" w:eastAsia="zh-CN"/>
        </w:rPr>
        <w:t>水</w:t>
      </w:r>
      <w:r>
        <w:rPr>
          <w:rFonts w:ascii="Times New Roman" w:hAnsi="Times New Roman" w:eastAsia="宋体" w:cs="Times New Roman"/>
          <w:color w:val="auto"/>
          <w:sz w:val="24"/>
        </w:rPr>
        <w:t>喷淋塔内设置中心柱，并配置上下2层旋流板塔层，使烟气从主塔底部切向进入后呈螺旋上升，加大烟气与水雾接触的时间与距离；塔内设置2层喷淋系统，采用1寸大口径碳化硅空心锥雾化喷嘴，每层采用耐腐耐磨卧式水泵单独供水，使去除效果达到最佳；主塔上部设置不锈钢Z型高效阻水除雾器时，水汽被阻止，净气被排出。通常</w:t>
      </w:r>
      <w:r>
        <w:rPr>
          <w:rFonts w:hint="eastAsia" w:cs="Times New Roman"/>
          <w:color w:val="auto"/>
          <w:sz w:val="24"/>
          <w:lang w:val="en-US" w:eastAsia="zh-CN"/>
        </w:rPr>
        <w:t>水</w:t>
      </w:r>
      <w:r>
        <w:rPr>
          <w:rFonts w:ascii="Times New Roman" w:hAnsi="Times New Roman" w:eastAsia="宋体" w:cs="Times New Roman"/>
          <w:color w:val="auto"/>
          <w:sz w:val="24"/>
        </w:rPr>
        <w:t>喷淋系统对</w:t>
      </w:r>
      <w:r>
        <w:rPr>
          <w:rFonts w:hint="eastAsia" w:ascii="Times New Roman" w:hAnsi="Times New Roman" w:eastAsia="宋体" w:cs="Times New Roman"/>
          <w:color w:val="auto"/>
          <w:sz w:val="24"/>
          <w:lang w:val="en-US" w:eastAsia="zh-CN"/>
        </w:rPr>
        <w:t>氨气</w:t>
      </w:r>
      <w:r>
        <w:rPr>
          <w:rFonts w:ascii="Times New Roman" w:hAnsi="Times New Roman" w:eastAsia="宋体" w:cs="Times New Roman"/>
          <w:color w:val="auto"/>
          <w:sz w:val="24"/>
        </w:rPr>
        <w:t>的去除率可达到9</w:t>
      </w:r>
      <w:r>
        <w:rPr>
          <w:rFonts w:hint="eastAsia" w:cs="Times New Roman"/>
          <w:color w:val="auto"/>
          <w:sz w:val="24"/>
          <w:lang w:val="en-US" w:eastAsia="zh-CN"/>
        </w:rPr>
        <w:t>0</w:t>
      </w:r>
      <w:r>
        <w:rPr>
          <w:rFonts w:ascii="Times New Roman" w:hAnsi="Times New Roman" w:eastAsia="宋体" w:cs="Times New Roman"/>
          <w:color w:val="auto"/>
          <w:sz w:val="24"/>
        </w:rPr>
        <w:t>%以上</w:t>
      </w:r>
      <w:r>
        <w:rPr>
          <w:rFonts w:hint="eastAsia" w:cs="Times New Roman"/>
          <w:color w:val="auto"/>
          <w:sz w:val="24"/>
          <w:lang w:eastAsia="zh-CN"/>
        </w:rPr>
        <w:t>。</w:t>
      </w:r>
    </w:p>
    <w:p w14:paraId="7FA601A9">
      <w:pPr>
        <w:adjustRightInd w:val="0"/>
        <w:snapToGrid w:val="0"/>
        <w:spacing w:line="360" w:lineRule="auto"/>
        <w:ind w:firstLine="480" w:firstLineChars="200"/>
        <w:jc w:val="left"/>
        <w:rPr>
          <w:rFonts w:hint="eastAsia" w:ascii="Times New Roman" w:hAnsi="Times New Roman" w:eastAsia="宋体" w:cs="Times New Roman"/>
          <w:b w:val="0"/>
          <w:bCs w:val="0"/>
          <w:color w:val="0000FF"/>
          <w:sz w:val="24"/>
          <w:szCs w:val="24"/>
          <w:highlight w:val="none"/>
          <w:lang w:val="en-US" w:eastAsia="zh-CN"/>
        </w:rPr>
      </w:pPr>
      <w:r>
        <w:rPr>
          <w:rFonts w:hint="default" w:ascii="Times New Roman" w:hAnsi="Times New Roman" w:eastAsia="宋体" w:cs="Times New Roman"/>
          <w:b w:val="0"/>
          <w:bCs w:val="0"/>
          <w:color w:val="0000FF"/>
          <w:sz w:val="24"/>
          <w:szCs w:val="24"/>
          <w:highlight w:val="none"/>
          <w:lang w:val="en-US" w:eastAsia="zh-CN"/>
        </w:rPr>
        <w:t>项目废气处理工艺为</w:t>
      </w:r>
      <w:r>
        <w:rPr>
          <w:rFonts w:hint="eastAsia" w:ascii="Times New Roman" w:hAnsi="Times New Roman" w:eastAsia="宋体" w:cs="Times New Roman"/>
          <w:b w:val="0"/>
          <w:bCs w:val="0"/>
          <w:color w:val="0000FF"/>
          <w:sz w:val="24"/>
          <w:szCs w:val="24"/>
          <w:highlight w:val="none"/>
          <w:lang w:val="en-US" w:eastAsia="zh-CN"/>
        </w:rPr>
        <w:t>“</w:t>
      </w:r>
      <w:r>
        <w:rPr>
          <w:rFonts w:hint="eastAsia"/>
          <w:b w:val="0"/>
          <w:bCs w:val="0"/>
          <w:color w:val="0000FF"/>
          <w:sz w:val="24"/>
          <w:szCs w:val="32"/>
          <w:highlight w:val="none"/>
          <w:lang w:val="en-US" w:eastAsia="zh-CN"/>
        </w:rPr>
        <w:t>SNCR+烟气急冷急冷+活性炭喷粉+重力沉降除尘+布袋除尘+碱喷淋</w:t>
      </w:r>
      <w:r>
        <w:rPr>
          <w:rFonts w:hint="eastAsia" w:ascii="Times New Roman" w:hAnsi="Times New Roman" w:eastAsia="宋体" w:cs="Times New Roman"/>
          <w:b w:val="0"/>
          <w:bCs w:val="0"/>
          <w:color w:val="0000FF"/>
          <w:sz w:val="24"/>
          <w:szCs w:val="24"/>
          <w:highlight w:val="none"/>
          <w:lang w:val="en-US" w:eastAsia="zh-CN"/>
        </w:rPr>
        <w:t>”。《排污许可申请与核发技术规范 有色金属工业—再生金属》（HJ863.4-2018）中附录A再生铝废气污染防治可行推荐技术如下所示：</w:t>
      </w:r>
    </w:p>
    <w:p w14:paraId="6ADF7316">
      <w:pPr>
        <w:bidi w:val="0"/>
        <w:spacing w:line="360" w:lineRule="auto"/>
        <w:jc w:val="center"/>
        <w:rPr>
          <w:rFonts w:hint="eastAsia" w:ascii="Times New Roman" w:hAnsi="Times New Roman" w:eastAsia="宋体" w:cs="Times New Roman"/>
          <w:b/>
          <w:bCs/>
          <w:color w:val="0000FF"/>
          <w:sz w:val="24"/>
          <w:szCs w:val="24"/>
          <w:highlight w:val="none"/>
          <w:lang w:val="en-US" w:eastAsia="zh-CN"/>
        </w:rPr>
      </w:pPr>
    </w:p>
    <w:p w14:paraId="24463D69">
      <w:pPr>
        <w:bidi w:val="0"/>
        <w:spacing w:line="360" w:lineRule="auto"/>
        <w:jc w:val="center"/>
        <w:rPr>
          <w:rFonts w:hint="default" w:ascii="Times New Roman" w:hAnsi="Times New Roman" w:eastAsia="宋体" w:cs="Times New Roman"/>
          <w:b/>
          <w:bCs/>
          <w:color w:val="0000FF"/>
          <w:sz w:val="24"/>
          <w:szCs w:val="24"/>
          <w:highlight w:val="none"/>
          <w:lang w:val="en-US" w:eastAsia="zh-CN"/>
        </w:rPr>
      </w:pPr>
      <w:r>
        <w:rPr>
          <w:rFonts w:hint="eastAsia" w:ascii="Times New Roman" w:hAnsi="Times New Roman" w:eastAsia="宋体" w:cs="Times New Roman"/>
          <w:b/>
          <w:bCs/>
          <w:color w:val="0000FF"/>
          <w:sz w:val="24"/>
          <w:szCs w:val="24"/>
          <w:highlight w:val="none"/>
          <w:lang w:val="en-US" w:eastAsia="zh-CN"/>
        </w:rPr>
        <w:t>表5-4 再生铝废气污染防治可行推荐技术一览表</w:t>
      </w:r>
    </w:p>
    <w:tbl>
      <w:tblPr>
        <w:tblStyle w:val="32"/>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326"/>
        <w:gridCol w:w="3047"/>
        <w:gridCol w:w="4205"/>
      </w:tblGrid>
      <w:tr w14:paraId="0FFE65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326" w:type="dxa"/>
            <w:tcBorders>
              <w:tl2br w:val="nil"/>
              <w:tr2bl w:val="nil"/>
            </w:tcBorders>
            <w:vAlign w:val="center"/>
          </w:tcPr>
          <w:p w14:paraId="5C9CB067">
            <w:pPr>
              <w:bidi w:val="0"/>
              <w:spacing w:line="360" w:lineRule="auto"/>
              <w:jc w:val="center"/>
              <w:rPr>
                <w:rFonts w:hint="default" w:ascii="Times New Roman" w:hAnsi="Times New Roman" w:eastAsia="宋体" w:cs="Times New Roman"/>
                <w:b/>
                <w:bCs/>
                <w:color w:val="0000FF"/>
                <w:sz w:val="22"/>
                <w:szCs w:val="22"/>
                <w:highlight w:val="none"/>
                <w:vertAlign w:val="baseline"/>
                <w:lang w:val="en-US" w:eastAsia="zh-CN"/>
              </w:rPr>
            </w:pPr>
            <w:r>
              <w:rPr>
                <w:rFonts w:hint="eastAsia" w:ascii="Times New Roman" w:hAnsi="Times New Roman" w:eastAsia="宋体" w:cs="Times New Roman"/>
                <w:b/>
                <w:bCs/>
                <w:color w:val="0000FF"/>
                <w:sz w:val="22"/>
                <w:szCs w:val="22"/>
                <w:highlight w:val="none"/>
                <w:vertAlign w:val="baseline"/>
                <w:lang w:val="en-US" w:eastAsia="zh-CN"/>
              </w:rPr>
              <w:t>污染类型</w:t>
            </w:r>
          </w:p>
        </w:tc>
        <w:tc>
          <w:tcPr>
            <w:tcW w:w="3047" w:type="dxa"/>
            <w:tcBorders>
              <w:tl2br w:val="nil"/>
              <w:tr2bl w:val="nil"/>
            </w:tcBorders>
            <w:vAlign w:val="center"/>
          </w:tcPr>
          <w:p w14:paraId="0C206F1B">
            <w:pPr>
              <w:bidi w:val="0"/>
              <w:spacing w:line="360" w:lineRule="auto"/>
              <w:jc w:val="center"/>
              <w:rPr>
                <w:rFonts w:hint="default" w:ascii="Times New Roman" w:hAnsi="Times New Roman" w:eastAsia="宋体" w:cs="Times New Roman"/>
                <w:b/>
                <w:bCs/>
                <w:color w:val="0000FF"/>
                <w:sz w:val="22"/>
                <w:szCs w:val="22"/>
                <w:highlight w:val="none"/>
                <w:vertAlign w:val="baseline"/>
                <w:lang w:val="en-US" w:eastAsia="zh-CN"/>
              </w:rPr>
            </w:pPr>
            <w:r>
              <w:rPr>
                <w:rFonts w:hint="eastAsia" w:ascii="Times New Roman" w:hAnsi="Times New Roman" w:eastAsia="宋体" w:cs="Times New Roman"/>
                <w:b/>
                <w:bCs/>
                <w:color w:val="0000FF"/>
                <w:sz w:val="22"/>
                <w:szCs w:val="22"/>
                <w:highlight w:val="none"/>
                <w:vertAlign w:val="baseline"/>
                <w:lang w:val="en-US" w:eastAsia="zh-CN"/>
              </w:rPr>
              <w:t>污染因子</w:t>
            </w:r>
          </w:p>
        </w:tc>
        <w:tc>
          <w:tcPr>
            <w:tcW w:w="4205" w:type="dxa"/>
            <w:tcBorders>
              <w:tl2br w:val="nil"/>
              <w:tr2bl w:val="nil"/>
            </w:tcBorders>
            <w:vAlign w:val="center"/>
          </w:tcPr>
          <w:p w14:paraId="02AE87A1">
            <w:pPr>
              <w:bidi w:val="0"/>
              <w:spacing w:line="360" w:lineRule="auto"/>
              <w:jc w:val="center"/>
              <w:rPr>
                <w:rFonts w:hint="default" w:ascii="Times New Roman" w:hAnsi="Times New Roman" w:eastAsia="宋体" w:cs="Times New Roman"/>
                <w:b/>
                <w:bCs/>
                <w:color w:val="0000FF"/>
                <w:sz w:val="22"/>
                <w:szCs w:val="22"/>
                <w:highlight w:val="none"/>
                <w:vertAlign w:val="baseline"/>
                <w:lang w:val="en-US" w:eastAsia="zh-CN"/>
              </w:rPr>
            </w:pPr>
            <w:r>
              <w:rPr>
                <w:rFonts w:hint="eastAsia" w:ascii="Times New Roman" w:hAnsi="Times New Roman" w:eastAsia="宋体" w:cs="Times New Roman"/>
                <w:b/>
                <w:bCs/>
                <w:color w:val="0000FF"/>
                <w:sz w:val="22"/>
                <w:szCs w:val="22"/>
                <w:highlight w:val="none"/>
                <w:vertAlign w:val="baseline"/>
                <w:lang w:val="en-US" w:eastAsia="zh-CN"/>
              </w:rPr>
              <w:t>可行技术</w:t>
            </w:r>
          </w:p>
        </w:tc>
      </w:tr>
      <w:tr w14:paraId="7D0803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326" w:type="dxa"/>
            <w:vMerge w:val="restart"/>
            <w:tcBorders>
              <w:tl2br w:val="nil"/>
              <w:tr2bl w:val="nil"/>
            </w:tcBorders>
            <w:vAlign w:val="center"/>
          </w:tcPr>
          <w:p w14:paraId="3847F344">
            <w:pPr>
              <w:bidi w:val="0"/>
              <w:spacing w:line="36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eastAsia" w:ascii="Times New Roman" w:hAnsi="Times New Roman" w:eastAsia="宋体" w:cs="Times New Roman"/>
                <w:color w:val="0000FF"/>
                <w:sz w:val="22"/>
                <w:szCs w:val="22"/>
                <w:highlight w:val="none"/>
                <w:vertAlign w:val="baseline"/>
                <w:lang w:val="en-US" w:eastAsia="zh-CN"/>
              </w:rPr>
              <w:t>废气</w:t>
            </w:r>
          </w:p>
        </w:tc>
        <w:tc>
          <w:tcPr>
            <w:tcW w:w="3047" w:type="dxa"/>
            <w:tcBorders>
              <w:tl2br w:val="nil"/>
              <w:tr2bl w:val="nil"/>
            </w:tcBorders>
            <w:vAlign w:val="center"/>
          </w:tcPr>
          <w:p w14:paraId="542D4DD6">
            <w:pPr>
              <w:bidi w:val="0"/>
              <w:spacing w:line="240" w:lineRule="auto"/>
              <w:jc w:val="center"/>
              <w:rPr>
                <w:rFonts w:hint="eastAsia" w:ascii="Times New Roman" w:hAnsi="Times New Roman" w:eastAsia="宋体" w:cs="Times New Roman"/>
                <w:color w:val="0000FF"/>
                <w:sz w:val="24"/>
                <w:szCs w:val="24"/>
                <w:highlight w:val="none"/>
                <w:lang w:val="en-US" w:eastAsia="zh-CN"/>
              </w:rPr>
            </w:pPr>
            <w:r>
              <w:rPr>
                <w:rFonts w:hint="eastAsia" w:ascii="Times New Roman" w:hAnsi="Times New Roman" w:eastAsia="宋体" w:cs="Times New Roman"/>
                <w:color w:val="0000FF"/>
                <w:sz w:val="24"/>
                <w:szCs w:val="24"/>
                <w:highlight w:val="none"/>
                <w:lang w:val="en-US" w:eastAsia="zh-CN"/>
              </w:rPr>
              <w:t>颗粒物</w:t>
            </w:r>
          </w:p>
          <w:p w14:paraId="7F3350F7">
            <w:pPr>
              <w:bidi w:val="0"/>
              <w:spacing w:line="240" w:lineRule="auto"/>
              <w:jc w:val="center"/>
              <w:rPr>
                <w:rFonts w:hint="eastAsia" w:ascii="Times New Roman" w:hAnsi="Times New Roman" w:eastAsia="宋体" w:cs="Times New Roman"/>
                <w:color w:val="0000FF"/>
                <w:sz w:val="24"/>
                <w:szCs w:val="24"/>
                <w:highlight w:val="none"/>
                <w:lang w:val="en-US" w:eastAsia="zh-CN"/>
              </w:rPr>
            </w:pPr>
            <w:r>
              <w:rPr>
                <w:rFonts w:hint="eastAsia" w:ascii="Times New Roman" w:hAnsi="Times New Roman" w:eastAsia="宋体" w:cs="Times New Roman"/>
                <w:color w:val="0000FF"/>
                <w:sz w:val="24"/>
                <w:szCs w:val="24"/>
                <w:highlight w:val="none"/>
                <w:lang w:val="en-US" w:eastAsia="zh-CN"/>
              </w:rPr>
              <w:t>砷及其化合物</w:t>
            </w:r>
          </w:p>
          <w:p w14:paraId="6C4A8BF4">
            <w:pPr>
              <w:bidi w:val="0"/>
              <w:spacing w:line="240" w:lineRule="auto"/>
              <w:jc w:val="center"/>
              <w:rPr>
                <w:rFonts w:hint="eastAsia" w:ascii="Times New Roman" w:hAnsi="Times New Roman" w:eastAsia="宋体" w:cs="Times New Roman"/>
                <w:color w:val="0000FF"/>
                <w:sz w:val="24"/>
                <w:szCs w:val="24"/>
                <w:highlight w:val="none"/>
                <w:lang w:val="en-US" w:eastAsia="zh-CN"/>
              </w:rPr>
            </w:pPr>
            <w:r>
              <w:rPr>
                <w:rFonts w:hint="eastAsia" w:ascii="Times New Roman" w:hAnsi="Times New Roman" w:eastAsia="宋体" w:cs="Times New Roman"/>
                <w:color w:val="0000FF"/>
                <w:sz w:val="24"/>
                <w:szCs w:val="24"/>
                <w:highlight w:val="none"/>
                <w:lang w:val="en-US" w:eastAsia="zh-CN"/>
              </w:rPr>
              <w:t>铅及其化合物</w:t>
            </w:r>
          </w:p>
          <w:p w14:paraId="128BCC21">
            <w:pPr>
              <w:bidi w:val="0"/>
              <w:spacing w:line="240" w:lineRule="auto"/>
              <w:jc w:val="center"/>
              <w:rPr>
                <w:rFonts w:hint="eastAsia" w:ascii="Times New Roman" w:hAnsi="Times New Roman" w:eastAsia="宋体" w:cs="Times New Roman"/>
                <w:color w:val="0000FF"/>
                <w:sz w:val="24"/>
                <w:szCs w:val="24"/>
                <w:highlight w:val="none"/>
                <w:lang w:val="en-US" w:eastAsia="zh-CN"/>
              </w:rPr>
            </w:pPr>
            <w:r>
              <w:rPr>
                <w:rFonts w:hint="eastAsia" w:ascii="Times New Roman" w:hAnsi="Times New Roman" w:eastAsia="宋体" w:cs="Times New Roman"/>
                <w:color w:val="0000FF"/>
                <w:sz w:val="24"/>
                <w:szCs w:val="24"/>
                <w:highlight w:val="none"/>
                <w:lang w:val="en-US" w:eastAsia="zh-CN"/>
              </w:rPr>
              <w:t>锡及其化合物</w:t>
            </w:r>
          </w:p>
          <w:p w14:paraId="10824DAC">
            <w:pPr>
              <w:bidi w:val="0"/>
              <w:spacing w:line="240" w:lineRule="auto"/>
              <w:jc w:val="center"/>
              <w:rPr>
                <w:rFonts w:hint="default" w:ascii="Times New Roman" w:hAnsi="Times New Roman" w:eastAsia="宋体" w:cs="Times New Roman"/>
                <w:color w:val="0000FF"/>
                <w:sz w:val="24"/>
                <w:szCs w:val="24"/>
                <w:highlight w:val="none"/>
                <w:lang w:val="en-US" w:eastAsia="zh-CN"/>
              </w:rPr>
            </w:pPr>
            <w:r>
              <w:rPr>
                <w:rFonts w:hint="eastAsia" w:ascii="Times New Roman" w:hAnsi="Times New Roman" w:eastAsia="宋体" w:cs="Times New Roman"/>
                <w:color w:val="0000FF"/>
                <w:sz w:val="24"/>
                <w:szCs w:val="24"/>
                <w:highlight w:val="none"/>
                <w:lang w:val="en-US" w:eastAsia="zh-CN"/>
              </w:rPr>
              <w:t>镉及其化</w:t>
            </w:r>
            <w:r>
              <w:rPr>
                <w:rFonts w:hint="default" w:ascii="Times New Roman" w:hAnsi="Times New Roman" w:eastAsia="宋体" w:cs="Times New Roman"/>
                <w:color w:val="0000FF"/>
                <w:sz w:val="24"/>
                <w:szCs w:val="24"/>
                <w:highlight w:val="none"/>
                <w:lang w:val="en-US" w:eastAsia="zh-CN"/>
              </w:rPr>
              <w:t>合物</w:t>
            </w:r>
          </w:p>
          <w:p w14:paraId="5961FD1C">
            <w:pPr>
              <w:bidi w:val="0"/>
              <w:spacing w:line="240" w:lineRule="auto"/>
              <w:jc w:val="center"/>
              <w:rPr>
                <w:rFonts w:hint="default" w:ascii="Times New Roman" w:hAnsi="Times New Roman" w:eastAsia="宋体" w:cs="Times New Roman"/>
                <w:color w:val="0000FF"/>
                <w:sz w:val="24"/>
                <w:szCs w:val="24"/>
                <w:highlight w:val="none"/>
                <w:lang w:val="en-US" w:eastAsia="zh-CN"/>
              </w:rPr>
            </w:pPr>
            <w:r>
              <w:rPr>
                <w:rFonts w:hint="default" w:ascii="Times New Roman" w:hAnsi="Times New Roman" w:eastAsia="宋体" w:cs="Times New Roman"/>
                <w:color w:val="0000FF"/>
                <w:sz w:val="24"/>
                <w:szCs w:val="24"/>
                <w:highlight w:val="none"/>
                <w:lang w:val="en-US" w:eastAsia="zh-CN"/>
              </w:rPr>
              <w:t>铬及其化合物</w:t>
            </w:r>
          </w:p>
        </w:tc>
        <w:tc>
          <w:tcPr>
            <w:tcW w:w="4205" w:type="dxa"/>
            <w:tcBorders>
              <w:tl2br w:val="nil"/>
              <w:tr2bl w:val="nil"/>
            </w:tcBorders>
            <w:vAlign w:val="center"/>
          </w:tcPr>
          <w:p w14:paraId="3784290C">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湿法除尘技术</w:t>
            </w:r>
          </w:p>
          <w:p w14:paraId="65EFCF44">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电除尘技术</w:t>
            </w:r>
          </w:p>
          <w:p w14:paraId="0E3AC46C">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袋式除尘技术</w:t>
            </w:r>
          </w:p>
        </w:tc>
      </w:tr>
      <w:tr w14:paraId="5EE15A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326" w:type="dxa"/>
            <w:vMerge w:val="continue"/>
            <w:tcBorders>
              <w:tl2br w:val="nil"/>
              <w:tr2bl w:val="nil"/>
            </w:tcBorders>
            <w:vAlign w:val="center"/>
          </w:tcPr>
          <w:p w14:paraId="23F4ED92">
            <w:pPr>
              <w:bidi w:val="0"/>
              <w:spacing w:line="360" w:lineRule="auto"/>
              <w:jc w:val="center"/>
              <w:rPr>
                <w:rFonts w:hint="default" w:ascii="Times New Roman" w:hAnsi="Times New Roman" w:eastAsia="宋体" w:cs="Times New Roman"/>
                <w:color w:val="0000FF"/>
                <w:sz w:val="22"/>
                <w:szCs w:val="22"/>
                <w:highlight w:val="none"/>
                <w:vertAlign w:val="baseline"/>
                <w:lang w:val="en-US" w:eastAsia="zh-CN"/>
              </w:rPr>
            </w:pPr>
          </w:p>
        </w:tc>
        <w:tc>
          <w:tcPr>
            <w:tcW w:w="3047" w:type="dxa"/>
            <w:tcBorders>
              <w:tl2br w:val="nil"/>
              <w:tr2bl w:val="nil"/>
            </w:tcBorders>
            <w:vAlign w:val="center"/>
          </w:tcPr>
          <w:p w14:paraId="3E6828E8">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二氧化硫</w:t>
            </w:r>
          </w:p>
          <w:p w14:paraId="1271E77D">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氟化物</w:t>
            </w:r>
          </w:p>
          <w:p w14:paraId="51E64342">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氯化氢</w:t>
            </w:r>
          </w:p>
        </w:tc>
        <w:tc>
          <w:tcPr>
            <w:tcW w:w="4205" w:type="dxa"/>
            <w:tcBorders>
              <w:tl2br w:val="nil"/>
              <w:tr2bl w:val="nil"/>
            </w:tcBorders>
            <w:vAlign w:val="center"/>
          </w:tcPr>
          <w:p w14:paraId="7BFAD45F">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石灰-石膏法脱硫技术</w:t>
            </w:r>
          </w:p>
          <w:p w14:paraId="5CAC291B">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有机溶液循环吸收法脱硫技术</w:t>
            </w:r>
          </w:p>
          <w:p w14:paraId="0ED88E4E">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活性焦吸附法脱硫技术</w:t>
            </w:r>
          </w:p>
          <w:p w14:paraId="15572FDF">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氨法脱硫技术</w:t>
            </w:r>
          </w:p>
          <w:p w14:paraId="216B1905">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钠碱法脱硫技术</w:t>
            </w:r>
          </w:p>
        </w:tc>
      </w:tr>
      <w:tr w14:paraId="576FA1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326" w:type="dxa"/>
            <w:vMerge w:val="continue"/>
            <w:tcBorders>
              <w:tl2br w:val="nil"/>
              <w:tr2bl w:val="nil"/>
            </w:tcBorders>
            <w:vAlign w:val="center"/>
          </w:tcPr>
          <w:p w14:paraId="6A745429">
            <w:pPr>
              <w:bidi w:val="0"/>
              <w:spacing w:line="360" w:lineRule="auto"/>
              <w:jc w:val="center"/>
              <w:rPr>
                <w:rFonts w:hint="default" w:ascii="Times New Roman" w:hAnsi="Times New Roman" w:eastAsia="宋体" w:cs="Times New Roman"/>
                <w:color w:val="0000FF"/>
                <w:sz w:val="22"/>
                <w:szCs w:val="22"/>
                <w:highlight w:val="none"/>
                <w:vertAlign w:val="baseline"/>
                <w:lang w:val="en-US" w:eastAsia="zh-CN"/>
              </w:rPr>
            </w:pPr>
          </w:p>
        </w:tc>
        <w:tc>
          <w:tcPr>
            <w:tcW w:w="3047" w:type="dxa"/>
            <w:tcBorders>
              <w:tl2br w:val="nil"/>
              <w:tr2bl w:val="nil"/>
            </w:tcBorders>
            <w:vAlign w:val="center"/>
          </w:tcPr>
          <w:p w14:paraId="607F45D6">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氮氧化物</w:t>
            </w:r>
          </w:p>
        </w:tc>
        <w:tc>
          <w:tcPr>
            <w:tcW w:w="4205" w:type="dxa"/>
            <w:tcBorders>
              <w:tl2br w:val="nil"/>
              <w:tr2bl w:val="nil"/>
            </w:tcBorders>
            <w:vAlign w:val="center"/>
          </w:tcPr>
          <w:p w14:paraId="5B540AD4">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选择性还原催化法(SCR)</w:t>
            </w:r>
          </w:p>
          <w:p w14:paraId="422B1AFC">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选择性非还原催化法(SNCR)</w:t>
            </w:r>
          </w:p>
        </w:tc>
      </w:tr>
      <w:tr w14:paraId="5A89E2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326" w:type="dxa"/>
            <w:vMerge w:val="continue"/>
            <w:tcBorders>
              <w:tl2br w:val="nil"/>
              <w:tr2bl w:val="nil"/>
            </w:tcBorders>
            <w:vAlign w:val="center"/>
          </w:tcPr>
          <w:p w14:paraId="719758FB">
            <w:pPr>
              <w:bidi w:val="0"/>
              <w:spacing w:line="360" w:lineRule="auto"/>
              <w:jc w:val="center"/>
              <w:rPr>
                <w:rFonts w:hint="default" w:ascii="Times New Roman" w:hAnsi="Times New Roman" w:eastAsia="宋体" w:cs="Times New Roman"/>
                <w:color w:val="0000FF"/>
                <w:sz w:val="22"/>
                <w:szCs w:val="22"/>
                <w:highlight w:val="none"/>
                <w:vertAlign w:val="baseline"/>
                <w:lang w:val="en-US" w:eastAsia="zh-CN"/>
              </w:rPr>
            </w:pPr>
          </w:p>
        </w:tc>
        <w:tc>
          <w:tcPr>
            <w:tcW w:w="3047" w:type="dxa"/>
            <w:tcBorders>
              <w:tl2br w:val="nil"/>
              <w:tr2bl w:val="nil"/>
            </w:tcBorders>
            <w:vAlign w:val="center"/>
          </w:tcPr>
          <w:p w14:paraId="4883D1A4">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二噁英</w:t>
            </w:r>
          </w:p>
        </w:tc>
        <w:tc>
          <w:tcPr>
            <w:tcW w:w="4205" w:type="dxa"/>
            <w:tcBorders>
              <w:tl2br w:val="nil"/>
              <w:tr2bl w:val="nil"/>
            </w:tcBorders>
            <w:vAlign w:val="center"/>
          </w:tcPr>
          <w:p w14:paraId="37C71945">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烟气骤冷+袋式除尘+SCR</w:t>
            </w:r>
          </w:p>
          <w:p w14:paraId="731EBC1C">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烟气骤冷+活性炭注入+袋式除尘</w:t>
            </w:r>
          </w:p>
          <w:p w14:paraId="592891A0">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袋式除尘+活性炭吸附</w:t>
            </w:r>
          </w:p>
          <w:p w14:paraId="512BCAB3">
            <w:pPr>
              <w:bidi w:val="0"/>
              <w:spacing w:line="240" w:lineRule="auto"/>
              <w:jc w:val="center"/>
              <w:rPr>
                <w:rFonts w:hint="default" w:ascii="Times New Roman" w:hAnsi="Times New Roman" w:eastAsia="宋体" w:cs="Times New Roman"/>
                <w:color w:val="0000FF"/>
                <w:sz w:val="22"/>
                <w:szCs w:val="22"/>
                <w:highlight w:val="none"/>
                <w:vertAlign w:val="baseline"/>
                <w:lang w:val="en-US" w:eastAsia="zh-CN"/>
              </w:rPr>
            </w:pPr>
            <w:r>
              <w:rPr>
                <w:rFonts w:hint="default" w:ascii="Times New Roman" w:hAnsi="Times New Roman" w:eastAsia="宋体" w:cs="Times New Roman"/>
                <w:color w:val="0000FF"/>
                <w:sz w:val="22"/>
                <w:szCs w:val="22"/>
                <w:highlight w:val="none"/>
                <w:vertAlign w:val="baseline"/>
                <w:lang w:val="en-US" w:eastAsia="zh-CN"/>
              </w:rPr>
              <w:t>活性炭注入+袋式除尘+活性炭吸附</w:t>
            </w:r>
          </w:p>
        </w:tc>
      </w:tr>
    </w:tbl>
    <w:p w14:paraId="408F6616">
      <w:pPr>
        <w:adjustRightInd w:val="0"/>
        <w:snapToGrid w:val="0"/>
        <w:spacing w:line="360" w:lineRule="auto"/>
        <w:jc w:val="left"/>
        <w:rPr>
          <w:rFonts w:hint="eastAsia" w:cs="Times New Roman"/>
          <w:color w:val="auto"/>
          <w:sz w:val="24"/>
          <w:lang w:eastAsia="zh-CN"/>
        </w:rPr>
      </w:pPr>
    </w:p>
    <w:p w14:paraId="592A3A44">
      <w:pPr>
        <w:adjustRightInd w:val="0"/>
        <w:snapToGrid w:val="0"/>
        <w:spacing w:line="360" w:lineRule="auto"/>
        <w:ind w:firstLine="480" w:firstLineChars="200"/>
        <w:jc w:val="left"/>
        <w:rPr>
          <w:rFonts w:hint="eastAsia" w:cs="Times New Roman"/>
          <w:color w:val="auto"/>
          <w:sz w:val="24"/>
          <w:lang w:eastAsia="zh-CN"/>
        </w:rPr>
      </w:pPr>
      <w:r>
        <w:rPr>
          <w:rFonts w:hint="eastAsia" w:ascii="Times New Roman" w:hAnsi="Times New Roman" w:eastAsia="宋体" w:cs="Times New Roman"/>
          <w:color w:val="0000FF"/>
          <w:sz w:val="24"/>
          <w:szCs w:val="24"/>
          <w:highlight w:val="none"/>
          <w:lang w:val="en-US" w:eastAsia="zh-CN"/>
        </w:rPr>
        <w:t>根据上表可知，本项目废气处理工艺均属于</w:t>
      </w:r>
      <w:r>
        <w:rPr>
          <w:rFonts w:hint="eastAsia" w:ascii="Times New Roman" w:hAnsi="Times New Roman" w:eastAsia="宋体" w:cs="Times New Roman"/>
          <w:b w:val="0"/>
          <w:bCs w:val="0"/>
          <w:color w:val="0000FF"/>
          <w:sz w:val="24"/>
          <w:szCs w:val="24"/>
          <w:highlight w:val="none"/>
          <w:lang w:val="en-US" w:eastAsia="zh-CN"/>
        </w:rPr>
        <w:t>《排污许可申请与核发技术规范 有色金属工业—再生金属》（HJ863.4-2018）中废气污染防治可行推荐技术</w:t>
      </w:r>
      <w:r>
        <w:rPr>
          <w:rFonts w:hint="default" w:ascii="Times New Roman" w:hAnsi="Times New Roman" w:eastAsia="宋体" w:cs="Times New Roman"/>
          <w:color w:val="0000FF"/>
          <w:sz w:val="24"/>
          <w:szCs w:val="24"/>
          <w:highlight w:val="none"/>
          <w:lang w:val="en-US" w:eastAsia="zh-CN"/>
        </w:rPr>
        <w:t>。</w:t>
      </w:r>
    </w:p>
    <w:p w14:paraId="109957E1">
      <w:pPr>
        <w:spacing w:line="360" w:lineRule="auto"/>
        <w:outlineLvl w:val="1"/>
        <w:rPr>
          <w:b/>
          <w:bCs/>
          <w:color w:val="auto"/>
          <w:sz w:val="28"/>
          <w:szCs w:val="28"/>
        </w:rPr>
      </w:pPr>
      <w:bookmarkStart w:id="365" w:name="_Toc26515"/>
      <w:r>
        <w:rPr>
          <w:b/>
          <w:bCs/>
          <w:color w:val="auto"/>
          <w:sz w:val="28"/>
          <w:szCs w:val="28"/>
        </w:rPr>
        <w:t>5.2废水污染防治措施有效性评估</w:t>
      </w:r>
      <w:bookmarkEnd w:id="365"/>
    </w:p>
    <w:p w14:paraId="65CD0829">
      <w:pPr>
        <w:spacing w:line="360" w:lineRule="auto"/>
        <w:outlineLvl w:val="2"/>
        <w:rPr>
          <w:b/>
          <w:bCs/>
          <w:color w:val="auto"/>
          <w:sz w:val="24"/>
        </w:rPr>
      </w:pPr>
      <w:r>
        <w:rPr>
          <w:b/>
          <w:bCs/>
          <w:color w:val="auto"/>
          <w:sz w:val="24"/>
        </w:rPr>
        <w:t>5.2.1厂区污水处理措施</w:t>
      </w:r>
    </w:p>
    <w:p w14:paraId="123857E3">
      <w:pPr>
        <w:spacing w:line="360" w:lineRule="auto"/>
        <w:ind w:firstLine="480" w:firstLineChars="200"/>
        <w:outlineLvl w:val="2"/>
        <w:rPr>
          <w:rFonts w:hint="eastAsia"/>
          <w:bCs/>
          <w:color w:val="auto"/>
          <w:spacing w:val="6"/>
          <w:szCs w:val="21"/>
          <w:lang w:eastAsia="zh-CN"/>
        </w:rPr>
      </w:pPr>
      <w:r>
        <w:rPr>
          <w:rFonts w:hint="eastAsia"/>
          <w:color w:val="auto"/>
          <w:sz w:val="24"/>
          <w:szCs w:val="24"/>
          <w:lang w:val="en-US" w:eastAsia="zh-CN"/>
        </w:rPr>
        <w:t>项目无生产废水外排，项目采用“雨污分流、清污分流”系统。循环冷却水回用于生产，不外排；生活污水经化粪池处理后排入开发区污水管网</w:t>
      </w:r>
      <w:r>
        <w:rPr>
          <w:rFonts w:hint="eastAsia"/>
          <w:bCs/>
          <w:color w:val="auto"/>
          <w:spacing w:val="6"/>
          <w:sz w:val="24"/>
          <w:szCs w:val="24"/>
        </w:rPr>
        <w:t>进入滩溪县第二污水处理厂集中处理</w:t>
      </w:r>
      <w:r>
        <w:rPr>
          <w:rFonts w:hint="eastAsia"/>
          <w:bCs/>
          <w:color w:val="auto"/>
          <w:spacing w:val="6"/>
          <w:szCs w:val="21"/>
          <w:lang w:eastAsia="zh-CN"/>
        </w:rPr>
        <w:t>。</w:t>
      </w:r>
    </w:p>
    <w:p w14:paraId="0A94CA38">
      <w:pPr>
        <w:spacing w:line="360" w:lineRule="auto"/>
        <w:outlineLvl w:val="2"/>
        <w:rPr>
          <w:b/>
          <w:bCs/>
          <w:color w:val="auto"/>
          <w:sz w:val="24"/>
        </w:rPr>
      </w:pPr>
      <w:r>
        <w:rPr>
          <w:b/>
          <w:bCs/>
          <w:color w:val="auto"/>
          <w:sz w:val="24"/>
        </w:rPr>
        <w:t>5.2.2废水处理措施评估</w:t>
      </w:r>
    </w:p>
    <w:p w14:paraId="091E77F3">
      <w:pPr>
        <w:spacing w:line="360" w:lineRule="auto"/>
        <w:ind w:firstLine="480" w:firstLineChars="200"/>
        <w:rPr>
          <w:color w:val="auto"/>
          <w:sz w:val="24"/>
        </w:rPr>
      </w:pPr>
      <w:bookmarkStart w:id="366" w:name="OLE_LINK3"/>
      <w:r>
        <w:rPr>
          <w:color w:val="auto"/>
          <w:sz w:val="24"/>
          <w:szCs w:val="32"/>
        </w:rPr>
        <w:t>根据</w:t>
      </w:r>
      <w:r>
        <w:rPr>
          <w:rFonts w:hint="eastAsia"/>
          <w:color w:val="auto"/>
          <w:kern w:val="24"/>
          <w:sz w:val="24"/>
          <w:lang w:val="en-US" w:eastAsia="zh-CN"/>
        </w:rPr>
        <w:t>安徽省裕康铝业有限公司经营该项目期间的</w:t>
      </w:r>
      <w:r>
        <w:rPr>
          <w:color w:val="auto"/>
          <w:sz w:val="24"/>
          <w:szCs w:val="32"/>
        </w:rPr>
        <w:t>例行监测结果，</w:t>
      </w:r>
      <w:r>
        <w:rPr>
          <w:rFonts w:hint="eastAsia"/>
          <w:color w:val="auto"/>
          <w:kern w:val="24"/>
          <w:sz w:val="24"/>
          <w:lang w:val="en-US" w:eastAsia="zh-CN"/>
        </w:rPr>
        <w:t>厂区</w:t>
      </w:r>
      <w:r>
        <w:rPr>
          <w:color w:val="auto"/>
          <w:kern w:val="24"/>
          <w:sz w:val="24"/>
        </w:rPr>
        <w:t>废水排放口</w:t>
      </w:r>
      <w:r>
        <w:rPr>
          <w:color w:val="auto"/>
          <w:sz w:val="24"/>
          <w:szCs w:val="32"/>
        </w:rPr>
        <w:t>达标排放情况分析见下表。</w:t>
      </w:r>
    </w:p>
    <w:bookmarkEnd w:id="366"/>
    <w:p w14:paraId="4B182D1F">
      <w:pPr>
        <w:pStyle w:val="41"/>
        <w:keepNext w:val="0"/>
        <w:keepLines w:val="0"/>
        <w:pageBreakBefore w:val="0"/>
        <w:widowControl w:val="0"/>
        <w:numPr>
          <w:ilvl w:val="0"/>
          <w:numId w:val="0"/>
        </w:numPr>
        <w:kinsoku/>
        <w:wordWrap/>
        <w:overflowPunct/>
        <w:topLinePunct w:val="0"/>
        <w:autoSpaceDE w:val="0"/>
        <w:autoSpaceDN w:val="0"/>
        <w:bidi w:val="0"/>
        <w:adjustRightInd w:val="0"/>
        <w:snapToGrid/>
        <w:spacing w:before="0" w:beforeAutospacing="0" w:after="0" w:afterAutospacing="0" w:line="360" w:lineRule="auto"/>
        <w:jc w:val="center"/>
        <w:textAlignment w:val="auto"/>
        <w:rPr>
          <w:rFonts w:hint="default" w:ascii="Times New Roman" w:hAnsi="Times New Roman" w:eastAsia="宋体" w:cs="Times New Roman"/>
          <w:b/>
          <w:bCs/>
          <w:color w:val="auto"/>
          <w:sz w:val="24"/>
          <w:szCs w:val="32"/>
          <w:lang w:val="en-US" w:eastAsia="zh-CN"/>
        </w:rPr>
      </w:pPr>
      <w:r>
        <w:rPr>
          <w:rFonts w:hint="default" w:ascii="Times New Roman" w:hAnsi="Times New Roman" w:cs="Times New Roman"/>
          <w:b/>
          <w:bCs/>
          <w:color w:val="auto"/>
          <w:sz w:val="24"/>
          <w:szCs w:val="32"/>
        </w:rPr>
        <w:t>表5-</w:t>
      </w:r>
      <w:r>
        <w:rPr>
          <w:rFonts w:hint="eastAsia" w:ascii="Times New Roman" w:hAnsi="Times New Roman" w:cs="Times New Roman"/>
          <w:b/>
          <w:bCs/>
          <w:color w:val="auto"/>
          <w:sz w:val="24"/>
          <w:szCs w:val="32"/>
          <w:lang w:val="en-US" w:eastAsia="zh-CN"/>
        </w:rPr>
        <w:t>5</w:t>
      </w:r>
      <w:r>
        <w:rPr>
          <w:rFonts w:hint="default" w:ascii="Times New Roman" w:hAnsi="Times New Roman" w:cs="Times New Roman"/>
          <w:b/>
          <w:bCs/>
          <w:color w:val="auto"/>
          <w:sz w:val="24"/>
          <w:szCs w:val="32"/>
        </w:rPr>
        <w:t xml:space="preserve"> </w:t>
      </w:r>
      <w:r>
        <w:rPr>
          <w:rFonts w:hint="default" w:ascii="Times New Roman" w:hAnsi="Times New Roman" w:cs="Times New Roman"/>
          <w:b/>
          <w:bCs/>
          <w:color w:val="auto"/>
          <w:sz w:val="24"/>
          <w:szCs w:val="32"/>
          <w:lang w:val="en-US" w:eastAsia="zh-CN"/>
        </w:rPr>
        <w:t>厂区污水排放口监测结果一览表  单位：mg/L，pH无量纲</w:t>
      </w:r>
    </w:p>
    <w:tbl>
      <w:tblPr>
        <w:tblStyle w:val="32"/>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82"/>
        <w:gridCol w:w="1563"/>
        <w:gridCol w:w="1422"/>
        <w:gridCol w:w="1422"/>
        <w:gridCol w:w="1422"/>
        <w:gridCol w:w="1423"/>
        <w:gridCol w:w="1423"/>
      </w:tblGrid>
      <w:tr w14:paraId="46DFE2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2" w:hRule="atLeast"/>
        </w:trPr>
        <w:tc>
          <w:tcPr>
            <w:tcW w:w="1282" w:type="dxa"/>
            <w:tcBorders>
              <w:tl2br w:val="nil"/>
              <w:tr2bl w:val="nil"/>
            </w:tcBorders>
            <w:vAlign w:val="center"/>
          </w:tcPr>
          <w:p w14:paraId="53E60A02">
            <w:pPr>
              <w:bidi w:val="0"/>
              <w:jc w:val="center"/>
              <w:rPr>
                <w:rFonts w:hint="default"/>
                <w:b/>
                <w:bCs/>
                <w:color w:val="auto"/>
                <w:lang w:val="en-US" w:eastAsia="zh-CN"/>
              </w:rPr>
            </w:pPr>
            <w:r>
              <w:rPr>
                <w:rFonts w:hint="eastAsia"/>
                <w:b/>
                <w:bCs/>
                <w:color w:val="auto"/>
                <w:lang w:val="en-US" w:eastAsia="zh-CN"/>
              </w:rPr>
              <w:t>监测点位</w:t>
            </w:r>
          </w:p>
        </w:tc>
        <w:tc>
          <w:tcPr>
            <w:tcW w:w="1563" w:type="dxa"/>
            <w:tcBorders>
              <w:tl2br w:val="nil"/>
              <w:tr2bl w:val="nil"/>
            </w:tcBorders>
            <w:vAlign w:val="center"/>
          </w:tcPr>
          <w:p w14:paraId="69F0AC5F">
            <w:pPr>
              <w:bidi w:val="0"/>
              <w:jc w:val="center"/>
              <w:rPr>
                <w:rFonts w:hint="default"/>
                <w:b/>
                <w:bCs/>
                <w:color w:val="auto"/>
                <w:lang w:val="en-US" w:eastAsia="zh-CN"/>
              </w:rPr>
            </w:pPr>
            <w:r>
              <w:rPr>
                <w:rFonts w:hint="eastAsia"/>
                <w:b/>
                <w:bCs/>
                <w:color w:val="auto"/>
                <w:lang w:val="en-US" w:eastAsia="zh-CN"/>
              </w:rPr>
              <w:t>监测日期</w:t>
            </w:r>
          </w:p>
        </w:tc>
        <w:tc>
          <w:tcPr>
            <w:tcW w:w="1422" w:type="dxa"/>
            <w:tcBorders>
              <w:tl2br w:val="nil"/>
              <w:tr2bl w:val="nil"/>
            </w:tcBorders>
            <w:vAlign w:val="center"/>
          </w:tcPr>
          <w:p w14:paraId="367B6C11">
            <w:pPr>
              <w:bidi w:val="0"/>
              <w:jc w:val="center"/>
              <w:rPr>
                <w:rFonts w:hint="default"/>
                <w:b/>
                <w:bCs/>
                <w:color w:val="auto"/>
                <w:lang w:val="en-US" w:eastAsia="zh-CN"/>
              </w:rPr>
            </w:pPr>
            <w:r>
              <w:rPr>
                <w:rFonts w:hint="eastAsia"/>
                <w:b/>
                <w:bCs/>
                <w:color w:val="auto"/>
                <w:lang w:val="en-US" w:eastAsia="zh-CN"/>
              </w:rPr>
              <w:t>监测项目</w:t>
            </w:r>
          </w:p>
        </w:tc>
        <w:tc>
          <w:tcPr>
            <w:tcW w:w="1422" w:type="dxa"/>
            <w:tcBorders>
              <w:tl2br w:val="nil"/>
              <w:tr2bl w:val="nil"/>
            </w:tcBorders>
            <w:vAlign w:val="center"/>
          </w:tcPr>
          <w:p w14:paraId="205329C6">
            <w:pPr>
              <w:bidi w:val="0"/>
              <w:jc w:val="center"/>
              <w:rPr>
                <w:rFonts w:hint="default"/>
                <w:b/>
                <w:bCs/>
                <w:color w:val="auto"/>
                <w:lang w:val="en-US" w:eastAsia="zh-CN"/>
              </w:rPr>
            </w:pPr>
            <w:r>
              <w:rPr>
                <w:rFonts w:hint="eastAsia"/>
                <w:b/>
                <w:bCs/>
                <w:color w:val="auto"/>
                <w:lang w:val="en-US" w:eastAsia="zh-CN"/>
              </w:rPr>
              <w:t>监测频次</w:t>
            </w:r>
          </w:p>
        </w:tc>
        <w:tc>
          <w:tcPr>
            <w:tcW w:w="1422" w:type="dxa"/>
            <w:tcBorders>
              <w:tl2br w:val="nil"/>
              <w:tr2bl w:val="nil"/>
            </w:tcBorders>
            <w:vAlign w:val="center"/>
          </w:tcPr>
          <w:p w14:paraId="5A654642">
            <w:pPr>
              <w:bidi w:val="0"/>
              <w:jc w:val="center"/>
              <w:rPr>
                <w:rFonts w:hint="default"/>
                <w:b/>
                <w:bCs/>
                <w:color w:val="auto"/>
                <w:lang w:val="en-US" w:eastAsia="zh-CN"/>
              </w:rPr>
            </w:pPr>
            <w:r>
              <w:rPr>
                <w:rFonts w:hint="eastAsia"/>
                <w:b/>
                <w:bCs/>
                <w:color w:val="auto"/>
                <w:lang w:val="en-US" w:eastAsia="zh-CN"/>
              </w:rPr>
              <w:t>监测浓度</w:t>
            </w:r>
          </w:p>
        </w:tc>
        <w:tc>
          <w:tcPr>
            <w:tcW w:w="1423" w:type="dxa"/>
            <w:tcBorders>
              <w:tl2br w:val="nil"/>
              <w:tr2bl w:val="nil"/>
            </w:tcBorders>
            <w:vAlign w:val="center"/>
          </w:tcPr>
          <w:p w14:paraId="2C4B95F2">
            <w:pPr>
              <w:bidi w:val="0"/>
              <w:jc w:val="center"/>
              <w:rPr>
                <w:rFonts w:hint="default"/>
                <w:b/>
                <w:bCs/>
                <w:color w:val="auto"/>
                <w:lang w:val="en-US" w:eastAsia="zh-CN"/>
              </w:rPr>
            </w:pPr>
            <w:r>
              <w:rPr>
                <w:rFonts w:hint="eastAsia"/>
                <w:b/>
                <w:bCs/>
                <w:color w:val="auto"/>
                <w:lang w:val="en-US" w:eastAsia="zh-CN"/>
              </w:rPr>
              <w:t>标准限值</w:t>
            </w:r>
          </w:p>
        </w:tc>
        <w:tc>
          <w:tcPr>
            <w:tcW w:w="1423" w:type="dxa"/>
            <w:tcBorders>
              <w:tl2br w:val="nil"/>
              <w:tr2bl w:val="nil"/>
            </w:tcBorders>
            <w:vAlign w:val="center"/>
          </w:tcPr>
          <w:p w14:paraId="0ED86510">
            <w:pPr>
              <w:bidi w:val="0"/>
              <w:jc w:val="center"/>
              <w:rPr>
                <w:rFonts w:hint="default"/>
                <w:b/>
                <w:bCs/>
                <w:color w:val="auto"/>
                <w:lang w:val="en-US" w:eastAsia="zh-CN"/>
              </w:rPr>
            </w:pPr>
            <w:r>
              <w:rPr>
                <w:rFonts w:hint="eastAsia"/>
                <w:b/>
                <w:bCs/>
                <w:color w:val="auto"/>
                <w:lang w:val="en-US" w:eastAsia="zh-CN"/>
              </w:rPr>
              <w:t>是否达标</w:t>
            </w:r>
          </w:p>
        </w:tc>
      </w:tr>
      <w:tr w14:paraId="78E05C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restart"/>
            <w:tcBorders>
              <w:tl2br w:val="nil"/>
              <w:tr2bl w:val="nil"/>
            </w:tcBorders>
            <w:vAlign w:val="center"/>
          </w:tcPr>
          <w:p w14:paraId="06B2A0E0">
            <w:pPr>
              <w:bidi w:val="0"/>
              <w:jc w:val="center"/>
              <w:rPr>
                <w:rFonts w:hint="default"/>
                <w:color w:val="auto"/>
                <w:lang w:val="en-US" w:eastAsia="zh-CN"/>
              </w:rPr>
            </w:pPr>
            <w:r>
              <w:rPr>
                <w:rFonts w:hint="eastAsia"/>
                <w:color w:val="auto"/>
                <w:lang w:val="en-US" w:eastAsia="zh-CN"/>
              </w:rPr>
              <w:t>DW001生活污水排放口</w:t>
            </w:r>
          </w:p>
        </w:tc>
        <w:tc>
          <w:tcPr>
            <w:tcW w:w="1563" w:type="dxa"/>
            <w:vMerge w:val="restart"/>
            <w:tcBorders>
              <w:tl2br w:val="nil"/>
              <w:tr2bl w:val="nil"/>
            </w:tcBorders>
            <w:vAlign w:val="center"/>
          </w:tcPr>
          <w:p w14:paraId="351A1DFB">
            <w:pPr>
              <w:bidi w:val="0"/>
              <w:jc w:val="center"/>
              <w:rPr>
                <w:rFonts w:hint="default"/>
                <w:color w:val="auto"/>
                <w:lang w:val="en-US" w:eastAsia="zh-CN"/>
              </w:rPr>
            </w:pPr>
            <w:r>
              <w:rPr>
                <w:rFonts w:hint="eastAsia"/>
                <w:color w:val="auto"/>
                <w:lang w:val="en-US" w:eastAsia="zh-CN"/>
              </w:rPr>
              <w:t>2024年8月27日</w:t>
            </w:r>
          </w:p>
        </w:tc>
        <w:tc>
          <w:tcPr>
            <w:tcW w:w="1422" w:type="dxa"/>
            <w:vMerge w:val="restart"/>
            <w:tcBorders>
              <w:tl2br w:val="nil"/>
              <w:tr2bl w:val="nil"/>
            </w:tcBorders>
            <w:vAlign w:val="center"/>
          </w:tcPr>
          <w:p w14:paraId="6EDE53F0">
            <w:pPr>
              <w:bidi w:val="0"/>
              <w:jc w:val="center"/>
              <w:rPr>
                <w:rFonts w:hint="default"/>
                <w:color w:val="auto"/>
                <w:lang w:val="en-US" w:eastAsia="zh-CN"/>
              </w:rPr>
            </w:pPr>
            <w:r>
              <w:rPr>
                <w:rFonts w:hint="eastAsia"/>
                <w:color w:val="auto"/>
                <w:lang w:val="en-US" w:eastAsia="zh-CN"/>
              </w:rPr>
              <w:t>pH</w:t>
            </w:r>
          </w:p>
        </w:tc>
        <w:tc>
          <w:tcPr>
            <w:tcW w:w="1422" w:type="dxa"/>
            <w:tcBorders>
              <w:tl2br w:val="nil"/>
              <w:tr2bl w:val="nil"/>
            </w:tcBorders>
            <w:vAlign w:val="center"/>
          </w:tcPr>
          <w:p w14:paraId="13AB5E82">
            <w:pPr>
              <w:widowControl/>
              <w:jc w:val="center"/>
              <w:textAlignment w:val="center"/>
              <w:rPr>
                <w:rFonts w:hint="eastAsia"/>
                <w:color w:val="auto"/>
                <w:lang w:val="en-US" w:eastAsia="zh-CN"/>
              </w:rPr>
            </w:pPr>
            <w:r>
              <w:rPr>
                <w:color w:val="auto"/>
                <w:kern w:val="0"/>
                <w:szCs w:val="21"/>
                <w:lang w:bidi="ar"/>
              </w:rPr>
              <w:t>第一次</w:t>
            </w:r>
          </w:p>
        </w:tc>
        <w:tc>
          <w:tcPr>
            <w:tcW w:w="1422" w:type="dxa"/>
            <w:tcBorders>
              <w:tl2br w:val="nil"/>
              <w:tr2bl w:val="nil"/>
            </w:tcBorders>
            <w:vAlign w:val="center"/>
          </w:tcPr>
          <w:p w14:paraId="71939DD5">
            <w:pPr>
              <w:bidi w:val="0"/>
              <w:jc w:val="center"/>
              <w:rPr>
                <w:rFonts w:hint="default"/>
                <w:color w:val="auto"/>
                <w:lang w:val="en-US" w:eastAsia="zh-CN"/>
              </w:rPr>
            </w:pPr>
            <w:r>
              <w:rPr>
                <w:rFonts w:hint="eastAsia"/>
                <w:color w:val="auto"/>
                <w:lang w:val="en-US" w:eastAsia="zh-CN"/>
              </w:rPr>
              <w:t>7.6</w:t>
            </w:r>
          </w:p>
        </w:tc>
        <w:tc>
          <w:tcPr>
            <w:tcW w:w="1423" w:type="dxa"/>
            <w:vMerge w:val="restart"/>
            <w:tcBorders>
              <w:tl2br w:val="nil"/>
              <w:tr2bl w:val="nil"/>
            </w:tcBorders>
            <w:vAlign w:val="center"/>
          </w:tcPr>
          <w:p w14:paraId="1B35EC0C">
            <w:pPr>
              <w:bidi w:val="0"/>
              <w:jc w:val="center"/>
              <w:rPr>
                <w:rFonts w:hint="default"/>
                <w:color w:val="auto"/>
                <w:lang w:val="en-US" w:eastAsia="zh-CN"/>
              </w:rPr>
            </w:pPr>
            <w:r>
              <w:rPr>
                <w:rFonts w:hint="eastAsia"/>
                <w:color w:val="auto"/>
                <w:lang w:val="en-US" w:eastAsia="zh-CN"/>
              </w:rPr>
              <w:t>6.0~9.0</w:t>
            </w:r>
          </w:p>
        </w:tc>
        <w:tc>
          <w:tcPr>
            <w:tcW w:w="1423" w:type="dxa"/>
            <w:vMerge w:val="restart"/>
            <w:tcBorders>
              <w:tl2br w:val="nil"/>
              <w:tr2bl w:val="nil"/>
            </w:tcBorders>
            <w:vAlign w:val="center"/>
          </w:tcPr>
          <w:p w14:paraId="594626A5">
            <w:pPr>
              <w:bidi w:val="0"/>
              <w:jc w:val="center"/>
              <w:rPr>
                <w:rFonts w:hint="default"/>
                <w:color w:val="auto"/>
                <w:lang w:val="en-US" w:eastAsia="zh-CN"/>
              </w:rPr>
            </w:pPr>
            <w:r>
              <w:rPr>
                <w:rFonts w:hint="eastAsia"/>
                <w:color w:val="auto"/>
                <w:lang w:val="en-US" w:eastAsia="zh-CN"/>
              </w:rPr>
              <w:t>达标</w:t>
            </w:r>
          </w:p>
        </w:tc>
      </w:tr>
      <w:tr w14:paraId="58A805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718A0B21">
            <w:pPr>
              <w:bidi w:val="0"/>
              <w:jc w:val="center"/>
              <w:rPr>
                <w:rFonts w:hint="eastAsia"/>
                <w:color w:val="auto"/>
                <w:lang w:val="en-US" w:eastAsia="zh-CN"/>
              </w:rPr>
            </w:pPr>
          </w:p>
        </w:tc>
        <w:tc>
          <w:tcPr>
            <w:tcW w:w="1563" w:type="dxa"/>
            <w:vMerge w:val="continue"/>
            <w:tcBorders>
              <w:tl2br w:val="nil"/>
              <w:tr2bl w:val="nil"/>
            </w:tcBorders>
            <w:vAlign w:val="center"/>
          </w:tcPr>
          <w:p w14:paraId="7C1C14DD">
            <w:pPr>
              <w:bidi w:val="0"/>
              <w:jc w:val="center"/>
              <w:rPr>
                <w:rFonts w:hint="eastAsia"/>
                <w:color w:val="auto"/>
                <w:lang w:val="en-US" w:eastAsia="zh-CN"/>
              </w:rPr>
            </w:pPr>
          </w:p>
        </w:tc>
        <w:tc>
          <w:tcPr>
            <w:tcW w:w="1422" w:type="dxa"/>
            <w:vMerge w:val="continue"/>
            <w:tcBorders>
              <w:tl2br w:val="nil"/>
              <w:tr2bl w:val="nil"/>
            </w:tcBorders>
            <w:vAlign w:val="center"/>
          </w:tcPr>
          <w:p w14:paraId="2E180296">
            <w:pPr>
              <w:bidi w:val="0"/>
              <w:jc w:val="center"/>
              <w:rPr>
                <w:rFonts w:hint="eastAsia"/>
                <w:color w:val="auto"/>
                <w:lang w:val="en-US" w:eastAsia="zh-CN"/>
              </w:rPr>
            </w:pPr>
          </w:p>
        </w:tc>
        <w:tc>
          <w:tcPr>
            <w:tcW w:w="1422" w:type="dxa"/>
            <w:tcBorders>
              <w:tl2br w:val="nil"/>
              <w:tr2bl w:val="nil"/>
            </w:tcBorders>
            <w:vAlign w:val="center"/>
          </w:tcPr>
          <w:p w14:paraId="5F4C06B9">
            <w:pPr>
              <w:widowControl/>
              <w:jc w:val="center"/>
              <w:textAlignment w:val="center"/>
              <w:rPr>
                <w:rFonts w:hint="eastAsia"/>
                <w:color w:val="auto"/>
                <w:lang w:val="en-US" w:eastAsia="zh-CN"/>
              </w:rPr>
            </w:pPr>
            <w:r>
              <w:rPr>
                <w:color w:val="auto"/>
                <w:kern w:val="0"/>
                <w:szCs w:val="21"/>
                <w:lang w:bidi="ar"/>
              </w:rPr>
              <w:t>第二次</w:t>
            </w:r>
          </w:p>
        </w:tc>
        <w:tc>
          <w:tcPr>
            <w:tcW w:w="1422" w:type="dxa"/>
            <w:tcBorders>
              <w:tl2br w:val="nil"/>
              <w:tr2bl w:val="nil"/>
            </w:tcBorders>
            <w:vAlign w:val="center"/>
          </w:tcPr>
          <w:p w14:paraId="2B476E40">
            <w:pPr>
              <w:bidi w:val="0"/>
              <w:jc w:val="center"/>
              <w:rPr>
                <w:rFonts w:hint="default"/>
                <w:color w:val="auto"/>
                <w:lang w:val="en-US" w:eastAsia="zh-CN"/>
              </w:rPr>
            </w:pPr>
            <w:r>
              <w:rPr>
                <w:rFonts w:hint="eastAsia"/>
                <w:color w:val="auto"/>
                <w:lang w:val="en-US" w:eastAsia="zh-CN"/>
              </w:rPr>
              <w:t>7.7</w:t>
            </w:r>
          </w:p>
        </w:tc>
        <w:tc>
          <w:tcPr>
            <w:tcW w:w="1423" w:type="dxa"/>
            <w:vMerge w:val="continue"/>
            <w:tcBorders>
              <w:tl2br w:val="nil"/>
              <w:tr2bl w:val="nil"/>
            </w:tcBorders>
            <w:vAlign w:val="center"/>
          </w:tcPr>
          <w:p w14:paraId="2A59A0DA">
            <w:pPr>
              <w:bidi w:val="0"/>
              <w:jc w:val="center"/>
              <w:rPr>
                <w:rFonts w:hint="eastAsia"/>
                <w:color w:val="auto"/>
                <w:lang w:val="en-US" w:eastAsia="zh-CN"/>
              </w:rPr>
            </w:pPr>
          </w:p>
        </w:tc>
        <w:tc>
          <w:tcPr>
            <w:tcW w:w="1423" w:type="dxa"/>
            <w:vMerge w:val="continue"/>
            <w:tcBorders>
              <w:tl2br w:val="nil"/>
              <w:tr2bl w:val="nil"/>
            </w:tcBorders>
            <w:vAlign w:val="center"/>
          </w:tcPr>
          <w:p w14:paraId="292BF2E0">
            <w:pPr>
              <w:bidi w:val="0"/>
              <w:jc w:val="center"/>
              <w:rPr>
                <w:rFonts w:hint="eastAsia"/>
                <w:color w:val="auto"/>
                <w:lang w:val="en-US" w:eastAsia="zh-CN"/>
              </w:rPr>
            </w:pPr>
          </w:p>
        </w:tc>
      </w:tr>
      <w:tr w14:paraId="0B212F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20A66A4B">
            <w:pPr>
              <w:bidi w:val="0"/>
              <w:jc w:val="center"/>
              <w:rPr>
                <w:rFonts w:hint="eastAsia"/>
                <w:color w:val="auto"/>
                <w:lang w:val="en-US" w:eastAsia="zh-CN"/>
              </w:rPr>
            </w:pPr>
          </w:p>
        </w:tc>
        <w:tc>
          <w:tcPr>
            <w:tcW w:w="1563" w:type="dxa"/>
            <w:vMerge w:val="continue"/>
            <w:tcBorders>
              <w:tl2br w:val="nil"/>
              <w:tr2bl w:val="nil"/>
            </w:tcBorders>
            <w:vAlign w:val="center"/>
          </w:tcPr>
          <w:p w14:paraId="41FC610E">
            <w:pPr>
              <w:bidi w:val="0"/>
              <w:jc w:val="center"/>
              <w:rPr>
                <w:rFonts w:hint="eastAsia"/>
                <w:color w:val="auto"/>
                <w:lang w:val="en-US" w:eastAsia="zh-CN"/>
              </w:rPr>
            </w:pPr>
          </w:p>
        </w:tc>
        <w:tc>
          <w:tcPr>
            <w:tcW w:w="1422" w:type="dxa"/>
            <w:vMerge w:val="continue"/>
            <w:tcBorders>
              <w:tl2br w:val="nil"/>
              <w:tr2bl w:val="nil"/>
            </w:tcBorders>
            <w:vAlign w:val="center"/>
          </w:tcPr>
          <w:p w14:paraId="2DA780F7">
            <w:pPr>
              <w:bidi w:val="0"/>
              <w:jc w:val="center"/>
              <w:rPr>
                <w:rFonts w:hint="eastAsia"/>
                <w:color w:val="auto"/>
                <w:lang w:val="en-US" w:eastAsia="zh-CN"/>
              </w:rPr>
            </w:pPr>
          </w:p>
        </w:tc>
        <w:tc>
          <w:tcPr>
            <w:tcW w:w="1422" w:type="dxa"/>
            <w:tcBorders>
              <w:tl2br w:val="nil"/>
              <w:tr2bl w:val="nil"/>
            </w:tcBorders>
            <w:vAlign w:val="center"/>
          </w:tcPr>
          <w:p w14:paraId="33C14458">
            <w:pPr>
              <w:widowControl/>
              <w:jc w:val="center"/>
              <w:textAlignment w:val="center"/>
              <w:rPr>
                <w:rFonts w:hint="eastAsia"/>
                <w:color w:val="auto"/>
                <w:lang w:val="en-US" w:eastAsia="zh-CN"/>
              </w:rPr>
            </w:pPr>
            <w:r>
              <w:rPr>
                <w:color w:val="auto"/>
                <w:kern w:val="0"/>
                <w:szCs w:val="21"/>
                <w:lang w:bidi="ar"/>
              </w:rPr>
              <w:t>第三次</w:t>
            </w:r>
          </w:p>
        </w:tc>
        <w:tc>
          <w:tcPr>
            <w:tcW w:w="1422" w:type="dxa"/>
            <w:tcBorders>
              <w:tl2br w:val="nil"/>
              <w:tr2bl w:val="nil"/>
            </w:tcBorders>
            <w:vAlign w:val="center"/>
          </w:tcPr>
          <w:p w14:paraId="541151FF">
            <w:pPr>
              <w:bidi w:val="0"/>
              <w:jc w:val="center"/>
              <w:rPr>
                <w:rFonts w:hint="default"/>
                <w:color w:val="auto"/>
                <w:lang w:val="en-US" w:eastAsia="zh-CN"/>
              </w:rPr>
            </w:pPr>
            <w:r>
              <w:rPr>
                <w:rFonts w:hint="eastAsia"/>
                <w:color w:val="auto"/>
                <w:lang w:val="en-US" w:eastAsia="zh-CN"/>
              </w:rPr>
              <w:t>7.6</w:t>
            </w:r>
          </w:p>
        </w:tc>
        <w:tc>
          <w:tcPr>
            <w:tcW w:w="1423" w:type="dxa"/>
            <w:vMerge w:val="continue"/>
            <w:tcBorders>
              <w:tl2br w:val="nil"/>
              <w:tr2bl w:val="nil"/>
            </w:tcBorders>
            <w:vAlign w:val="center"/>
          </w:tcPr>
          <w:p w14:paraId="672B36A5">
            <w:pPr>
              <w:bidi w:val="0"/>
              <w:jc w:val="center"/>
              <w:rPr>
                <w:rFonts w:hint="eastAsia"/>
                <w:color w:val="auto"/>
                <w:lang w:val="en-US" w:eastAsia="zh-CN"/>
              </w:rPr>
            </w:pPr>
          </w:p>
        </w:tc>
        <w:tc>
          <w:tcPr>
            <w:tcW w:w="1423" w:type="dxa"/>
            <w:vMerge w:val="continue"/>
            <w:tcBorders>
              <w:tl2br w:val="nil"/>
              <w:tr2bl w:val="nil"/>
            </w:tcBorders>
            <w:vAlign w:val="center"/>
          </w:tcPr>
          <w:p w14:paraId="6B79D032">
            <w:pPr>
              <w:bidi w:val="0"/>
              <w:jc w:val="center"/>
              <w:rPr>
                <w:rFonts w:hint="eastAsia"/>
                <w:color w:val="auto"/>
                <w:lang w:val="en-US" w:eastAsia="zh-CN"/>
              </w:rPr>
            </w:pPr>
          </w:p>
        </w:tc>
      </w:tr>
      <w:tr w14:paraId="3F5AFE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71" w:hRule="atLeast"/>
        </w:trPr>
        <w:tc>
          <w:tcPr>
            <w:tcW w:w="1282" w:type="dxa"/>
            <w:vMerge w:val="continue"/>
            <w:tcBorders>
              <w:tl2br w:val="nil"/>
              <w:tr2bl w:val="nil"/>
            </w:tcBorders>
            <w:vAlign w:val="center"/>
          </w:tcPr>
          <w:p w14:paraId="765DF1F9">
            <w:pPr>
              <w:bidi w:val="0"/>
              <w:jc w:val="center"/>
              <w:rPr>
                <w:rFonts w:hint="eastAsia"/>
                <w:color w:val="auto"/>
                <w:lang w:val="en-US" w:eastAsia="zh-CN"/>
              </w:rPr>
            </w:pPr>
          </w:p>
        </w:tc>
        <w:tc>
          <w:tcPr>
            <w:tcW w:w="1563" w:type="dxa"/>
            <w:vMerge w:val="continue"/>
            <w:tcBorders>
              <w:tl2br w:val="nil"/>
              <w:tr2bl w:val="nil"/>
            </w:tcBorders>
            <w:vAlign w:val="center"/>
          </w:tcPr>
          <w:p w14:paraId="64E803B2">
            <w:pPr>
              <w:bidi w:val="0"/>
              <w:jc w:val="center"/>
              <w:rPr>
                <w:rFonts w:hint="eastAsia"/>
                <w:color w:val="auto"/>
                <w:lang w:val="en-US" w:eastAsia="zh-CN"/>
              </w:rPr>
            </w:pPr>
          </w:p>
        </w:tc>
        <w:tc>
          <w:tcPr>
            <w:tcW w:w="1422" w:type="dxa"/>
            <w:vMerge w:val="continue"/>
            <w:tcBorders>
              <w:tl2br w:val="nil"/>
              <w:tr2bl w:val="nil"/>
            </w:tcBorders>
            <w:vAlign w:val="center"/>
          </w:tcPr>
          <w:p w14:paraId="685C246C">
            <w:pPr>
              <w:bidi w:val="0"/>
              <w:jc w:val="center"/>
              <w:rPr>
                <w:rFonts w:hint="eastAsia"/>
                <w:color w:val="auto"/>
                <w:lang w:val="en-US" w:eastAsia="zh-CN"/>
              </w:rPr>
            </w:pPr>
          </w:p>
        </w:tc>
        <w:tc>
          <w:tcPr>
            <w:tcW w:w="1422" w:type="dxa"/>
            <w:tcBorders>
              <w:tl2br w:val="nil"/>
              <w:tr2bl w:val="nil"/>
            </w:tcBorders>
            <w:vAlign w:val="center"/>
          </w:tcPr>
          <w:p w14:paraId="33DFE469">
            <w:pPr>
              <w:widowControl/>
              <w:jc w:val="center"/>
              <w:textAlignment w:val="center"/>
              <w:rPr>
                <w:rFonts w:hint="eastAsia"/>
                <w:color w:val="auto"/>
                <w:lang w:val="en-US" w:eastAsia="zh-CN"/>
              </w:rPr>
            </w:pPr>
            <w:r>
              <w:rPr>
                <w:color w:val="auto"/>
                <w:kern w:val="0"/>
                <w:szCs w:val="21"/>
                <w:lang w:bidi="ar"/>
              </w:rPr>
              <w:t>第四次</w:t>
            </w:r>
          </w:p>
        </w:tc>
        <w:tc>
          <w:tcPr>
            <w:tcW w:w="1422" w:type="dxa"/>
            <w:tcBorders>
              <w:tl2br w:val="nil"/>
              <w:tr2bl w:val="nil"/>
            </w:tcBorders>
            <w:vAlign w:val="center"/>
          </w:tcPr>
          <w:p w14:paraId="28F840B3">
            <w:pPr>
              <w:bidi w:val="0"/>
              <w:jc w:val="center"/>
              <w:rPr>
                <w:rFonts w:hint="default"/>
                <w:color w:val="auto"/>
                <w:lang w:val="en-US" w:eastAsia="zh-CN"/>
              </w:rPr>
            </w:pPr>
            <w:r>
              <w:rPr>
                <w:rFonts w:hint="eastAsia"/>
                <w:color w:val="auto"/>
                <w:lang w:val="en-US" w:eastAsia="zh-CN"/>
              </w:rPr>
              <w:t>7.5</w:t>
            </w:r>
          </w:p>
        </w:tc>
        <w:tc>
          <w:tcPr>
            <w:tcW w:w="1423" w:type="dxa"/>
            <w:vMerge w:val="continue"/>
            <w:tcBorders>
              <w:tl2br w:val="nil"/>
              <w:tr2bl w:val="nil"/>
            </w:tcBorders>
            <w:vAlign w:val="center"/>
          </w:tcPr>
          <w:p w14:paraId="5DC572A6">
            <w:pPr>
              <w:bidi w:val="0"/>
              <w:jc w:val="center"/>
              <w:rPr>
                <w:rFonts w:hint="eastAsia"/>
                <w:color w:val="auto"/>
                <w:lang w:val="en-US" w:eastAsia="zh-CN"/>
              </w:rPr>
            </w:pPr>
          </w:p>
        </w:tc>
        <w:tc>
          <w:tcPr>
            <w:tcW w:w="1423" w:type="dxa"/>
            <w:vMerge w:val="continue"/>
            <w:tcBorders>
              <w:tl2br w:val="nil"/>
              <w:tr2bl w:val="nil"/>
            </w:tcBorders>
            <w:vAlign w:val="center"/>
          </w:tcPr>
          <w:p w14:paraId="4C775AAE">
            <w:pPr>
              <w:bidi w:val="0"/>
              <w:jc w:val="center"/>
              <w:rPr>
                <w:rFonts w:hint="eastAsia"/>
                <w:color w:val="auto"/>
                <w:lang w:val="en-US" w:eastAsia="zh-CN"/>
              </w:rPr>
            </w:pPr>
          </w:p>
        </w:tc>
      </w:tr>
      <w:tr w14:paraId="5165DD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1FEC04B9">
            <w:pPr>
              <w:bidi w:val="0"/>
              <w:jc w:val="center"/>
              <w:rPr>
                <w:rFonts w:hint="eastAsia"/>
                <w:color w:val="auto"/>
                <w:lang w:val="en-US" w:eastAsia="zh-CN"/>
              </w:rPr>
            </w:pPr>
          </w:p>
        </w:tc>
        <w:tc>
          <w:tcPr>
            <w:tcW w:w="1563" w:type="dxa"/>
            <w:vMerge w:val="continue"/>
            <w:tcBorders>
              <w:tl2br w:val="nil"/>
              <w:tr2bl w:val="nil"/>
            </w:tcBorders>
            <w:vAlign w:val="center"/>
          </w:tcPr>
          <w:p w14:paraId="5945D60B">
            <w:pPr>
              <w:bidi w:val="0"/>
              <w:jc w:val="center"/>
              <w:rPr>
                <w:rFonts w:hint="eastAsia"/>
                <w:color w:val="auto"/>
                <w:lang w:val="en-US" w:eastAsia="zh-CN"/>
              </w:rPr>
            </w:pPr>
          </w:p>
        </w:tc>
        <w:tc>
          <w:tcPr>
            <w:tcW w:w="1422" w:type="dxa"/>
            <w:vMerge w:val="restart"/>
            <w:tcBorders>
              <w:tl2br w:val="nil"/>
              <w:tr2bl w:val="nil"/>
            </w:tcBorders>
            <w:vAlign w:val="center"/>
          </w:tcPr>
          <w:p w14:paraId="04C2D182">
            <w:pPr>
              <w:bidi w:val="0"/>
              <w:jc w:val="center"/>
              <w:rPr>
                <w:rFonts w:hint="default"/>
                <w:color w:val="auto"/>
                <w:lang w:val="en-US" w:eastAsia="zh-CN"/>
              </w:rPr>
            </w:pPr>
            <w:r>
              <w:rPr>
                <w:rFonts w:hint="eastAsia"/>
                <w:color w:val="auto"/>
                <w:lang w:val="en-US" w:eastAsia="zh-CN"/>
              </w:rPr>
              <w:t>悬浮物</w:t>
            </w:r>
          </w:p>
        </w:tc>
        <w:tc>
          <w:tcPr>
            <w:tcW w:w="1422" w:type="dxa"/>
            <w:tcBorders>
              <w:tl2br w:val="nil"/>
              <w:tr2bl w:val="nil"/>
            </w:tcBorders>
            <w:vAlign w:val="center"/>
          </w:tcPr>
          <w:p w14:paraId="0FE924CE">
            <w:pPr>
              <w:widowControl/>
              <w:jc w:val="center"/>
              <w:textAlignment w:val="center"/>
              <w:rPr>
                <w:rFonts w:hint="eastAsia"/>
                <w:color w:val="auto"/>
                <w:lang w:val="en-US" w:eastAsia="zh-CN"/>
              </w:rPr>
            </w:pPr>
            <w:r>
              <w:rPr>
                <w:color w:val="auto"/>
                <w:kern w:val="0"/>
                <w:szCs w:val="21"/>
                <w:lang w:bidi="ar"/>
              </w:rPr>
              <w:t>第一次</w:t>
            </w:r>
          </w:p>
        </w:tc>
        <w:tc>
          <w:tcPr>
            <w:tcW w:w="1422" w:type="dxa"/>
            <w:tcBorders>
              <w:tl2br w:val="nil"/>
              <w:tr2bl w:val="nil"/>
            </w:tcBorders>
            <w:vAlign w:val="center"/>
          </w:tcPr>
          <w:p w14:paraId="5324679B">
            <w:pPr>
              <w:bidi w:val="0"/>
              <w:jc w:val="center"/>
              <w:rPr>
                <w:rFonts w:hint="default"/>
                <w:color w:val="auto"/>
                <w:lang w:val="en-US" w:eastAsia="zh-CN"/>
              </w:rPr>
            </w:pPr>
            <w:r>
              <w:rPr>
                <w:rFonts w:hint="eastAsia"/>
                <w:color w:val="auto"/>
                <w:lang w:val="en-US" w:eastAsia="zh-CN"/>
              </w:rPr>
              <w:t>15</w:t>
            </w:r>
          </w:p>
        </w:tc>
        <w:tc>
          <w:tcPr>
            <w:tcW w:w="1423" w:type="dxa"/>
            <w:vMerge w:val="restart"/>
            <w:tcBorders>
              <w:tl2br w:val="nil"/>
              <w:tr2bl w:val="nil"/>
            </w:tcBorders>
            <w:vAlign w:val="center"/>
          </w:tcPr>
          <w:p w14:paraId="5A54FD12">
            <w:pPr>
              <w:bidi w:val="0"/>
              <w:jc w:val="center"/>
              <w:rPr>
                <w:rFonts w:hint="default"/>
                <w:color w:val="auto"/>
                <w:lang w:val="en-US" w:eastAsia="zh-CN"/>
              </w:rPr>
            </w:pPr>
            <w:r>
              <w:rPr>
                <w:rFonts w:hint="eastAsia"/>
                <w:color w:val="auto"/>
                <w:lang w:val="en-US" w:eastAsia="zh-CN"/>
              </w:rPr>
              <w:t>250</w:t>
            </w:r>
          </w:p>
        </w:tc>
        <w:tc>
          <w:tcPr>
            <w:tcW w:w="1423" w:type="dxa"/>
            <w:vMerge w:val="restart"/>
            <w:tcBorders>
              <w:tl2br w:val="nil"/>
              <w:tr2bl w:val="nil"/>
            </w:tcBorders>
            <w:vAlign w:val="center"/>
          </w:tcPr>
          <w:p w14:paraId="4C3A16F3">
            <w:pPr>
              <w:bidi w:val="0"/>
              <w:jc w:val="center"/>
              <w:rPr>
                <w:rFonts w:hint="eastAsia"/>
                <w:color w:val="auto"/>
                <w:lang w:val="en-US" w:eastAsia="zh-CN"/>
              </w:rPr>
            </w:pPr>
            <w:r>
              <w:rPr>
                <w:rFonts w:hint="eastAsia"/>
                <w:color w:val="auto"/>
                <w:lang w:val="en-US" w:eastAsia="zh-CN"/>
              </w:rPr>
              <w:t>达标</w:t>
            </w:r>
          </w:p>
        </w:tc>
      </w:tr>
      <w:tr w14:paraId="48BFE4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6139D394">
            <w:pPr>
              <w:bidi w:val="0"/>
              <w:jc w:val="center"/>
              <w:rPr>
                <w:rFonts w:hint="eastAsia"/>
                <w:color w:val="auto"/>
                <w:lang w:val="en-US" w:eastAsia="zh-CN"/>
              </w:rPr>
            </w:pPr>
          </w:p>
        </w:tc>
        <w:tc>
          <w:tcPr>
            <w:tcW w:w="1563" w:type="dxa"/>
            <w:vMerge w:val="continue"/>
            <w:tcBorders>
              <w:tl2br w:val="nil"/>
              <w:tr2bl w:val="nil"/>
            </w:tcBorders>
            <w:vAlign w:val="center"/>
          </w:tcPr>
          <w:p w14:paraId="048D0238">
            <w:pPr>
              <w:bidi w:val="0"/>
              <w:jc w:val="center"/>
              <w:rPr>
                <w:rFonts w:hint="eastAsia"/>
                <w:color w:val="auto"/>
                <w:lang w:val="en-US" w:eastAsia="zh-CN"/>
              </w:rPr>
            </w:pPr>
          </w:p>
        </w:tc>
        <w:tc>
          <w:tcPr>
            <w:tcW w:w="1422" w:type="dxa"/>
            <w:vMerge w:val="continue"/>
            <w:tcBorders>
              <w:tl2br w:val="nil"/>
              <w:tr2bl w:val="nil"/>
            </w:tcBorders>
            <w:vAlign w:val="center"/>
          </w:tcPr>
          <w:p w14:paraId="0B2DB5D2">
            <w:pPr>
              <w:bidi w:val="0"/>
              <w:jc w:val="center"/>
              <w:rPr>
                <w:rFonts w:hint="eastAsia"/>
                <w:color w:val="auto"/>
                <w:lang w:val="en-US" w:eastAsia="zh-CN"/>
              </w:rPr>
            </w:pPr>
          </w:p>
        </w:tc>
        <w:tc>
          <w:tcPr>
            <w:tcW w:w="1422" w:type="dxa"/>
            <w:tcBorders>
              <w:tl2br w:val="nil"/>
              <w:tr2bl w:val="nil"/>
            </w:tcBorders>
            <w:vAlign w:val="center"/>
          </w:tcPr>
          <w:p w14:paraId="7410C204">
            <w:pPr>
              <w:widowControl/>
              <w:jc w:val="center"/>
              <w:textAlignment w:val="center"/>
              <w:rPr>
                <w:rFonts w:hint="eastAsia"/>
                <w:color w:val="auto"/>
                <w:lang w:val="en-US" w:eastAsia="zh-CN"/>
              </w:rPr>
            </w:pPr>
            <w:r>
              <w:rPr>
                <w:color w:val="auto"/>
                <w:kern w:val="0"/>
                <w:szCs w:val="21"/>
                <w:lang w:bidi="ar"/>
              </w:rPr>
              <w:t>第二次</w:t>
            </w:r>
          </w:p>
        </w:tc>
        <w:tc>
          <w:tcPr>
            <w:tcW w:w="1422" w:type="dxa"/>
            <w:tcBorders>
              <w:tl2br w:val="nil"/>
              <w:tr2bl w:val="nil"/>
            </w:tcBorders>
            <w:vAlign w:val="center"/>
          </w:tcPr>
          <w:p w14:paraId="5CBC4836">
            <w:pPr>
              <w:bidi w:val="0"/>
              <w:jc w:val="center"/>
              <w:rPr>
                <w:rFonts w:hint="default"/>
                <w:color w:val="auto"/>
                <w:lang w:val="en-US" w:eastAsia="zh-CN"/>
              </w:rPr>
            </w:pPr>
            <w:r>
              <w:rPr>
                <w:rFonts w:hint="eastAsia"/>
                <w:color w:val="auto"/>
                <w:lang w:val="en-US" w:eastAsia="zh-CN"/>
              </w:rPr>
              <w:t>12</w:t>
            </w:r>
          </w:p>
        </w:tc>
        <w:tc>
          <w:tcPr>
            <w:tcW w:w="1423" w:type="dxa"/>
            <w:vMerge w:val="continue"/>
            <w:tcBorders>
              <w:tl2br w:val="nil"/>
              <w:tr2bl w:val="nil"/>
            </w:tcBorders>
            <w:vAlign w:val="center"/>
          </w:tcPr>
          <w:p w14:paraId="5952D8F6">
            <w:pPr>
              <w:bidi w:val="0"/>
              <w:jc w:val="center"/>
              <w:rPr>
                <w:rFonts w:hint="eastAsia"/>
                <w:color w:val="auto"/>
                <w:lang w:val="en-US" w:eastAsia="zh-CN"/>
              </w:rPr>
            </w:pPr>
          </w:p>
        </w:tc>
        <w:tc>
          <w:tcPr>
            <w:tcW w:w="1423" w:type="dxa"/>
            <w:vMerge w:val="continue"/>
            <w:tcBorders>
              <w:tl2br w:val="nil"/>
              <w:tr2bl w:val="nil"/>
            </w:tcBorders>
            <w:vAlign w:val="center"/>
          </w:tcPr>
          <w:p w14:paraId="136D9770">
            <w:pPr>
              <w:bidi w:val="0"/>
              <w:jc w:val="center"/>
              <w:rPr>
                <w:rFonts w:hint="eastAsia"/>
                <w:color w:val="auto"/>
                <w:lang w:val="en-US" w:eastAsia="zh-CN"/>
              </w:rPr>
            </w:pPr>
          </w:p>
        </w:tc>
      </w:tr>
      <w:tr w14:paraId="5A6E83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12546DF1">
            <w:pPr>
              <w:bidi w:val="0"/>
              <w:jc w:val="center"/>
              <w:rPr>
                <w:rFonts w:hint="eastAsia"/>
                <w:color w:val="auto"/>
                <w:lang w:val="en-US" w:eastAsia="zh-CN"/>
              </w:rPr>
            </w:pPr>
          </w:p>
        </w:tc>
        <w:tc>
          <w:tcPr>
            <w:tcW w:w="1563" w:type="dxa"/>
            <w:vMerge w:val="continue"/>
            <w:tcBorders>
              <w:tl2br w:val="nil"/>
              <w:tr2bl w:val="nil"/>
            </w:tcBorders>
            <w:vAlign w:val="center"/>
          </w:tcPr>
          <w:p w14:paraId="697712EB">
            <w:pPr>
              <w:bidi w:val="0"/>
              <w:jc w:val="center"/>
              <w:rPr>
                <w:rFonts w:hint="eastAsia"/>
                <w:color w:val="auto"/>
                <w:lang w:val="en-US" w:eastAsia="zh-CN"/>
              </w:rPr>
            </w:pPr>
          </w:p>
        </w:tc>
        <w:tc>
          <w:tcPr>
            <w:tcW w:w="1422" w:type="dxa"/>
            <w:vMerge w:val="continue"/>
            <w:tcBorders>
              <w:tl2br w:val="nil"/>
              <w:tr2bl w:val="nil"/>
            </w:tcBorders>
            <w:vAlign w:val="center"/>
          </w:tcPr>
          <w:p w14:paraId="3862E8FC">
            <w:pPr>
              <w:bidi w:val="0"/>
              <w:jc w:val="center"/>
              <w:rPr>
                <w:rFonts w:hint="eastAsia"/>
                <w:color w:val="auto"/>
                <w:lang w:val="en-US" w:eastAsia="zh-CN"/>
              </w:rPr>
            </w:pPr>
          </w:p>
        </w:tc>
        <w:tc>
          <w:tcPr>
            <w:tcW w:w="1422" w:type="dxa"/>
            <w:tcBorders>
              <w:tl2br w:val="nil"/>
              <w:tr2bl w:val="nil"/>
            </w:tcBorders>
            <w:vAlign w:val="center"/>
          </w:tcPr>
          <w:p w14:paraId="274D9227">
            <w:pPr>
              <w:widowControl/>
              <w:jc w:val="center"/>
              <w:textAlignment w:val="center"/>
              <w:rPr>
                <w:rFonts w:hint="eastAsia"/>
                <w:color w:val="auto"/>
                <w:lang w:val="en-US" w:eastAsia="zh-CN"/>
              </w:rPr>
            </w:pPr>
            <w:r>
              <w:rPr>
                <w:color w:val="auto"/>
                <w:kern w:val="0"/>
                <w:szCs w:val="21"/>
                <w:lang w:bidi="ar"/>
              </w:rPr>
              <w:t>第三次</w:t>
            </w:r>
          </w:p>
        </w:tc>
        <w:tc>
          <w:tcPr>
            <w:tcW w:w="1422" w:type="dxa"/>
            <w:tcBorders>
              <w:tl2br w:val="nil"/>
              <w:tr2bl w:val="nil"/>
            </w:tcBorders>
            <w:vAlign w:val="center"/>
          </w:tcPr>
          <w:p w14:paraId="0209B6A1">
            <w:pPr>
              <w:bidi w:val="0"/>
              <w:jc w:val="center"/>
              <w:rPr>
                <w:rFonts w:hint="default"/>
                <w:color w:val="auto"/>
                <w:lang w:val="en-US" w:eastAsia="zh-CN"/>
              </w:rPr>
            </w:pPr>
            <w:r>
              <w:rPr>
                <w:rFonts w:hint="eastAsia"/>
                <w:color w:val="auto"/>
                <w:lang w:val="en-US" w:eastAsia="zh-CN"/>
              </w:rPr>
              <w:t>16</w:t>
            </w:r>
          </w:p>
        </w:tc>
        <w:tc>
          <w:tcPr>
            <w:tcW w:w="1423" w:type="dxa"/>
            <w:vMerge w:val="continue"/>
            <w:tcBorders>
              <w:tl2br w:val="nil"/>
              <w:tr2bl w:val="nil"/>
            </w:tcBorders>
            <w:vAlign w:val="center"/>
          </w:tcPr>
          <w:p w14:paraId="2757F680">
            <w:pPr>
              <w:bidi w:val="0"/>
              <w:jc w:val="center"/>
              <w:rPr>
                <w:rFonts w:hint="eastAsia"/>
                <w:color w:val="auto"/>
                <w:lang w:val="en-US" w:eastAsia="zh-CN"/>
              </w:rPr>
            </w:pPr>
          </w:p>
        </w:tc>
        <w:tc>
          <w:tcPr>
            <w:tcW w:w="1423" w:type="dxa"/>
            <w:vMerge w:val="continue"/>
            <w:tcBorders>
              <w:tl2br w:val="nil"/>
              <w:tr2bl w:val="nil"/>
            </w:tcBorders>
            <w:vAlign w:val="center"/>
          </w:tcPr>
          <w:p w14:paraId="16D3BFE0">
            <w:pPr>
              <w:bidi w:val="0"/>
              <w:jc w:val="center"/>
              <w:rPr>
                <w:rFonts w:hint="eastAsia"/>
                <w:color w:val="auto"/>
                <w:lang w:val="en-US" w:eastAsia="zh-CN"/>
              </w:rPr>
            </w:pPr>
          </w:p>
        </w:tc>
      </w:tr>
      <w:tr w14:paraId="07E769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71" w:hRule="atLeast"/>
        </w:trPr>
        <w:tc>
          <w:tcPr>
            <w:tcW w:w="1282" w:type="dxa"/>
            <w:vMerge w:val="continue"/>
            <w:tcBorders>
              <w:tl2br w:val="nil"/>
              <w:tr2bl w:val="nil"/>
            </w:tcBorders>
            <w:vAlign w:val="center"/>
          </w:tcPr>
          <w:p w14:paraId="1D30118B">
            <w:pPr>
              <w:bidi w:val="0"/>
              <w:jc w:val="center"/>
              <w:rPr>
                <w:rFonts w:hint="eastAsia"/>
                <w:color w:val="auto"/>
                <w:lang w:val="en-US" w:eastAsia="zh-CN"/>
              </w:rPr>
            </w:pPr>
          </w:p>
        </w:tc>
        <w:tc>
          <w:tcPr>
            <w:tcW w:w="1563" w:type="dxa"/>
            <w:vMerge w:val="continue"/>
            <w:tcBorders>
              <w:tl2br w:val="nil"/>
              <w:tr2bl w:val="nil"/>
            </w:tcBorders>
            <w:vAlign w:val="center"/>
          </w:tcPr>
          <w:p w14:paraId="354B689A">
            <w:pPr>
              <w:bidi w:val="0"/>
              <w:jc w:val="center"/>
              <w:rPr>
                <w:rFonts w:hint="eastAsia"/>
                <w:color w:val="auto"/>
                <w:lang w:val="en-US" w:eastAsia="zh-CN"/>
              </w:rPr>
            </w:pPr>
          </w:p>
        </w:tc>
        <w:tc>
          <w:tcPr>
            <w:tcW w:w="1422" w:type="dxa"/>
            <w:vMerge w:val="continue"/>
            <w:tcBorders>
              <w:tl2br w:val="nil"/>
              <w:tr2bl w:val="nil"/>
            </w:tcBorders>
            <w:vAlign w:val="center"/>
          </w:tcPr>
          <w:p w14:paraId="4D9ACFDD">
            <w:pPr>
              <w:bidi w:val="0"/>
              <w:jc w:val="center"/>
              <w:rPr>
                <w:rFonts w:hint="eastAsia"/>
                <w:color w:val="auto"/>
                <w:lang w:val="en-US" w:eastAsia="zh-CN"/>
              </w:rPr>
            </w:pPr>
          </w:p>
        </w:tc>
        <w:tc>
          <w:tcPr>
            <w:tcW w:w="1422" w:type="dxa"/>
            <w:tcBorders>
              <w:tl2br w:val="nil"/>
              <w:tr2bl w:val="nil"/>
            </w:tcBorders>
            <w:vAlign w:val="center"/>
          </w:tcPr>
          <w:p w14:paraId="1FFD6AEA">
            <w:pPr>
              <w:widowControl/>
              <w:jc w:val="center"/>
              <w:textAlignment w:val="center"/>
              <w:rPr>
                <w:rFonts w:hint="eastAsia"/>
                <w:color w:val="auto"/>
                <w:lang w:val="en-US" w:eastAsia="zh-CN"/>
              </w:rPr>
            </w:pPr>
            <w:r>
              <w:rPr>
                <w:color w:val="auto"/>
                <w:kern w:val="0"/>
                <w:szCs w:val="21"/>
                <w:lang w:bidi="ar"/>
              </w:rPr>
              <w:t>第四次</w:t>
            </w:r>
          </w:p>
        </w:tc>
        <w:tc>
          <w:tcPr>
            <w:tcW w:w="1422" w:type="dxa"/>
            <w:tcBorders>
              <w:tl2br w:val="nil"/>
              <w:tr2bl w:val="nil"/>
            </w:tcBorders>
            <w:vAlign w:val="center"/>
          </w:tcPr>
          <w:p w14:paraId="0936B3B6">
            <w:pPr>
              <w:bidi w:val="0"/>
              <w:jc w:val="center"/>
              <w:rPr>
                <w:rFonts w:hint="default"/>
                <w:color w:val="auto"/>
                <w:lang w:val="en-US" w:eastAsia="zh-CN"/>
              </w:rPr>
            </w:pPr>
            <w:r>
              <w:rPr>
                <w:rFonts w:hint="eastAsia"/>
                <w:color w:val="auto"/>
                <w:lang w:val="en-US" w:eastAsia="zh-CN"/>
              </w:rPr>
              <w:t>14</w:t>
            </w:r>
          </w:p>
        </w:tc>
        <w:tc>
          <w:tcPr>
            <w:tcW w:w="1423" w:type="dxa"/>
            <w:vMerge w:val="continue"/>
            <w:tcBorders>
              <w:tl2br w:val="nil"/>
              <w:tr2bl w:val="nil"/>
            </w:tcBorders>
            <w:vAlign w:val="center"/>
          </w:tcPr>
          <w:p w14:paraId="078DF26C">
            <w:pPr>
              <w:bidi w:val="0"/>
              <w:jc w:val="center"/>
              <w:rPr>
                <w:rFonts w:hint="eastAsia"/>
                <w:color w:val="auto"/>
                <w:lang w:val="en-US" w:eastAsia="zh-CN"/>
              </w:rPr>
            </w:pPr>
          </w:p>
        </w:tc>
        <w:tc>
          <w:tcPr>
            <w:tcW w:w="1423" w:type="dxa"/>
            <w:vMerge w:val="continue"/>
            <w:tcBorders>
              <w:tl2br w:val="nil"/>
              <w:tr2bl w:val="nil"/>
            </w:tcBorders>
            <w:vAlign w:val="center"/>
          </w:tcPr>
          <w:p w14:paraId="541F8D72">
            <w:pPr>
              <w:bidi w:val="0"/>
              <w:jc w:val="center"/>
              <w:rPr>
                <w:rFonts w:hint="eastAsia"/>
                <w:color w:val="auto"/>
                <w:lang w:val="en-US" w:eastAsia="zh-CN"/>
              </w:rPr>
            </w:pPr>
          </w:p>
        </w:tc>
      </w:tr>
      <w:tr w14:paraId="3B87C9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65C9BB3D">
            <w:pPr>
              <w:bidi w:val="0"/>
              <w:jc w:val="center"/>
              <w:rPr>
                <w:rFonts w:hint="eastAsia"/>
                <w:color w:val="auto"/>
                <w:lang w:val="en-US" w:eastAsia="zh-CN"/>
              </w:rPr>
            </w:pPr>
          </w:p>
        </w:tc>
        <w:tc>
          <w:tcPr>
            <w:tcW w:w="1563" w:type="dxa"/>
            <w:vMerge w:val="continue"/>
            <w:tcBorders>
              <w:tl2br w:val="nil"/>
              <w:tr2bl w:val="nil"/>
            </w:tcBorders>
            <w:vAlign w:val="center"/>
          </w:tcPr>
          <w:p w14:paraId="08EF9D8B">
            <w:pPr>
              <w:bidi w:val="0"/>
              <w:jc w:val="center"/>
              <w:rPr>
                <w:rFonts w:hint="eastAsia"/>
                <w:color w:val="auto"/>
                <w:lang w:val="en-US" w:eastAsia="zh-CN"/>
              </w:rPr>
            </w:pPr>
          </w:p>
        </w:tc>
        <w:tc>
          <w:tcPr>
            <w:tcW w:w="1422" w:type="dxa"/>
            <w:vMerge w:val="restart"/>
            <w:tcBorders>
              <w:tl2br w:val="nil"/>
              <w:tr2bl w:val="nil"/>
            </w:tcBorders>
            <w:vAlign w:val="center"/>
          </w:tcPr>
          <w:p w14:paraId="7CEFE80A">
            <w:pPr>
              <w:bidi w:val="0"/>
              <w:jc w:val="center"/>
              <w:rPr>
                <w:rFonts w:hint="default"/>
                <w:color w:val="auto"/>
                <w:lang w:val="en-US" w:eastAsia="zh-CN"/>
              </w:rPr>
            </w:pPr>
            <w:r>
              <w:rPr>
                <w:rFonts w:hint="eastAsia"/>
                <w:color w:val="auto"/>
                <w:lang w:val="en-US" w:eastAsia="zh-CN"/>
              </w:rPr>
              <w:t>化学需氧量</w:t>
            </w:r>
          </w:p>
        </w:tc>
        <w:tc>
          <w:tcPr>
            <w:tcW w:w="1422" w:type="dxa"/>
            <w:tcBorders>
              <w:tl2br w:val="nil"/>
              <w:tr2bl w:val="nil"/>
            </w:tcBorders>
            <w:vAlign w:val="center"/>
          </w:tcPr>
          <w:p w14:paraId="0AC66680">
            <w:pPr>
              <w:widowControl/>
              <w:jc w:val="center"/>
              <w:textAlignment w:val="center"/>
              <w:rPr>
                <w:rFonts w:hint="eastAsia"/>
                <w:color w:val="auto"/>
                <w:lang w:val="en-US" w:eastAsia="zh-CN"/>
              </w:rPr>
            </w:pPr>
            <w:r>
              <w:rPr>
                <w:color w:val="auto"/>
                <w:kern w:val="0"/>
                <w:szCs w:val="21"/>
                <w:lang w:bidi="ar"/>
              </w:rPr>
              <w:t>第一次</w:t>
            </w:r>
          </w:p>
        </w:tc>
        <w:tc>
          <w:tcPr>
            <w:tcW w:w="1422" w:type="dxa"/>
            <w:tcBorders>
              <w:tl2br w:val="nil"/>
              <w:tr2bl w:val="nil"/>
            </w:tcBorders>
            <w:vAlign w:val="center"/>
          </w:tcPr>
          <w:p w14:paraId="571A87F6">
            <w:pPr>
              <w:bidi w:val="0"/>
              <w:jc w:val="center"/>
              <w:rPr>
                <w:rFonts w:hint="default"/>
                <w:color w:val="auto"/>
                <w:lang w:val="en-US" w:eastAsia="zh-CN"/>
              </w:rPr>
            </w:pPr>
            <w:r>
              <w:rPr>
                <w:rFonts w:hint="eastAsia"/>
                <w:color w:val="auto"/>
                <w:lang w:val="en-US" w:eastAsia="zh-CN"/>
              </w:rPr>
              <w:t>23</w:t>
            </w:r>
          </w:p>
        </w:tc>
        <w:tc>
          <w:tcPr>
            <w:tcW w:w="1423" w:type="dxa"/>
            <w:vMerge w:val="restart"/>
            <w:tcBorders>
              <w:tl2br w:val="nil"/>
              <w:tr2bl w:val="nil"/>
            </w:tcBorders>
            <w:vAlign w:val="center"/>
          </w:tcPr>
          <w:p w14:paraId="4EE98FF9">
            <w:pPr>
              <w:bidi w:val="0"/>
              <w:jc w:val="center"/>
              <w:rPr>
                <w:rFonts w:hint="default"/>
                <w:color w:val="auto"/>
                <w:lang w:val="en-US" w:eastAsia="zh-CN"/>
              </w:rPr>
            </w:pPr>
            <w:r>
              <w:rPr>
                <w:rFonts w:hint="eastAsia"/>
                <w:color w:val="auto"/>
                <w:lang w:val="en-US" w:eastAsia="zh-CN"/>
              </w:rPr>
              <w:t>420</w:t>
            </w:r>
          </w:p>
        </w:tc>
        <w:tc>
          <w:tcPr>
            <w:tcW w:w="1423" w:type="dxa"/>
            <w:vMerge w:val="restart"/>
            <w:tcBorders>
              <w:tl2br w:val="nil"/>
              <w:tr2bl w:val="nil"/>
            </w:tcBorders>
            <w:vAlign w:val="center"/>
          </w:tcPr>
          <w:p w14:paraId="3C64EE40">
            <w:pPr>
              <w:bidi w:val="0"/>
              <w:jc w:val="center"/>
              <w:rPr>
                <w:rFonts w:hint="default"/>
                <w:color w:val="auto"/>
                <w:lang w:val="en-US" w:eastAsia="zh-CN"/>
              </w:rPr>
            </w:pPr>
            <w:r>
              <w:rPr>
                <w:rFonts w:hint="eastAsia"/>
                <w:color w:val="auto"/>
                <w:lang w:val="en-US" w:eastAsia="zh-CN"/>
              </w:rPr>
              <w:t>达标</w:t>
            </w:r>
          </w:p>
        </w:tc>
      </w:tr>
      <w:tr w14:paraId="57C7F9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00BC68C1">
            <w:pPr>
              <w:bidi w:val="0"/>
              <w:jc w:val="center"/>
              <w:rPr>
                <w:rFonts w:hint="eastAsia"/>
                <w:color w:val="auto"/>
                <w:lang w:val="en-US" w:eastAsia="zh-CN"/>
              </w:rPr>
            </w:pPr>
          </w:p>
        </w:tc>
        <w:tc>
          <w:tcPr>
            <w:tcW w:w="1563" w:type="dxa"/>
            <w:vMerge w:val="continue"/>
            <w:tcBorders>
              <w:tl2br w:val="nil"/>
              <w:tr2bl w:val="nil"/>
            </w:tcBorders>
            <w:vAlign w:val="center"/>
          </w:tcPr>
          <w:p w14:paraId="345E50AB">
            <w:pPr>
              <w:bidi w:val="0"/>
              <w:jc w:val="center"/>
              <w:rPr>
                <w:rFonts w:hint="eastAsia"/>
                <w:color w:val="auto"/>
                <w:lang w:val="en-US" w:eastAsia="zh-CN"/>
              </w:rPr>
            </w:pPr>
          </w:p>
        </w:tc>
        <w:tc>
          <w:tcPr>
            <w:tcW w:w="1422" w:type="dxa"/>
            <w:vMerge w:val="continue"/>
            <w:tcBorders>
              <w:tl2br w:val="nil"/>
              <w:tr2bl w:val="nil"/>
            </w:tcBorders>
            <w:vAlign w:val="center"/>
          </w:tcPr>
          <w:p w14:paraId="2734F4DD">
            <w:pPr>
              <w:bidi w:val="0"/>
              <w:jc w:val="center"/>
              <w:rPr>
                <w:rFonts w:hint="eastAsia"/>
                <w:color w:val="auto"/>
                <w:lang w:val="en-US" w:eastAsia="zh-CN"/>
              </w:rPr>
            </w:pPr>
          </w:p>
        </w:tc>
        <w:tc>
          <w:tcPr>
            <w:tcW w:w="1422" w:type="dxa"/>
            <w:tcBorders>
              <w:tl2br w:val="nil"/>
              <w:tr2bl w:val="nil"/>
            </w:tcBorders>
            <w:vAlign w:val="center"/>
          </w:tcPr>
          <w:p w14:paraId="1CCA3BB4">
            <w:pPr>
              <w:widowControl/>
              <w:jc w:val="center"/>
              <w:textAlignment w:val="center"/>
              <w:rPr>
                <w:rFonts w:hint="eastAsia"/>
                <w:color w:val="auto"/>
                <w:lang w:val="en-US" w:eastAsia="zh-CN"/>
              </w:rPr>
            </w:pPr>
            <w:r>
              <w:rPr>
                <w:color w:val="auto"/>
                <w:kern w:val="0"/>
                <w:szCs w:val="21"/>
                <w:lang w:bidi="ar"/>
              </w:rPr>
              <w:t>第二次</w:t>
            </w:r>
          </w:p>
        </w:tc>
        <w:tc>
          <w:tcPr>
            <w:tcW w:w="1422" w:type="dxa"/>
            <w:tcBorders>
              <w:tl2br w:val="nil"/>
              <w:tr2bl w:val="nil"/>
            </w:tcBorders>
            <w:vAlign w:val="center"/>
          </w:tcPr>
          <w:p w14:paraId="62F21BD5">
            <w:pPr>
              <w:bidi w:val="0"/>
              <w:jc w:val="center"/>
              <w:rPr>
                <w:rFonts w:hint="default"/>
                <w:color w:val="auto"/>
                <w:lang w:val="en-US" w:eastAsia="zh-CN"/>
              </w:rPr>
            </w:pPr>
            <w:r>
              <w:rPr>
                <w:rFonts w:hint="eastAsia"/>
                <w:color w:val="auto"/>
                <w:lang w:val="en-US" w:eastAsia="zh-CN"/>
              </w:rPr>
              <w:t>21</w:t>
            </w:r>
          </w:p>
        </w:tc>
        <w:tc>
          <w:tcPr>
            <w:tcW w:w="1423" w:type="dxa"/>
            <w:vMerge w:val="continue"/>
            <w:tcBorders>
              <w:tl2br w:val="nil"/>
              <w:tr2bl w:val="nil"/>
            </w:tcBorders>
            <w:vAlign w:val="center"/>
          </w:tcPr>
          <w:p w14:paraId="5ECE6F91">
            <w:pPr>
              <w:bidi w:val="0"/>
              <w:jc w:val="center"/>
              <w:rPr>
                <w:rFonts w:hint="eastAsia"/>
                <w:color w:val="auto"/>
                <w:lang w:val="en-US" w:eastAsia="zh-CN"/>
              </w:rPr>
            </w:pPr>
          </w:p>
        </w:tc>
        <w:tc>
          <w:tcPr>
            <w:tcW w:w="1423" w:type="dxa"/>
            <w:vMerge w:val="continue"/>
            <w:tcBorders>
              <w:tl2br w:val="nil"/>
              <w:tr2bl w:val="nil"/>
            </w:tcBorders>
            <w:vAlign w:val="center"/>
          </w:tcPr>
          <w:p w14:paraId="0E849800">
            <w:pPr>
              <w:bidi w:val="0"/>
              <w:jc w:val="center"/>
              <w:rPr>
                <w:rFonts w:hint="eastAsia"/>
                <w:color w:val="auto"/>
                <w:lang w:val="en-US" w:eastAsia="zh-CN"/>
              </w:rPr>
            </w:pPr>
          </w:p>
        </w:tc>
      </w:tr>
      <w:tr w14:paraId="571275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5D79C7F5">
            <w:pPr>
              <w:bidi w:val="0"/>
              <w:jc w:val="center"/>
              <w:rPr>
                <w:rFonts w:hint="eastAsia"/>
                <w:color w:val="auto"/>
                <w:lang w:val="en-US" w:eastAsia="zh-CN"/>
              </w:rPr>
            </w:pPr>
          </w:p>
        </w:tc>
        <w:tc>
          <w:tcPr>
            <w:tcW w:w="1563" w:type="dxa"/>
            <w:vMerge w:val="continue"/>
            <w:tcBorders>
              <w:tl2br w:val="nil"/>
              <w:tr2bl w:val="nil"/>
            </w:tcBorders>
            <w:vAlign w:val="center"/>
          </w:tcPr>
          <w:p w14:paraId="31A8A5E1">
            <w:pPr>
              <w:bidi w:val="0"/>
              <w:jc w:val="center"/>
              <w:rPr>
                <w:rFonts w:hint="eastAsia"/>
                <w:color w:val="auto"/>
                <w:lang w:val="en-US" w:eastAsia="zh-CN"/>
              </w:rPr>
            </w:pPr>
          </w:p>
        </w:tc>
        <w:tc>
          <w:tcPr>
            <w:tcW w:w="1422" w:type="dxa"/>
            <w:vMerge w:val="continue"/>
            <w:tcBorders>
              <w:tl2br w:val="nil"/>
              <w:tr2bl w:val="nil"/>
            </w:tcBorders>
            <w:vAlign w:val="center"/>
          </w:tcPr>
          <w:p w14:paraId="26179569">
            <w:pPr>
              <w:bidi w:val="0"/>
              <w:jc w:val="center"/>
              <w:rPr>
                <w:rFonts w:hint="eastAsia"/>
                <w:color w:val="auto"/>
                <w:lang w:val="en-US" w:eastAsia="zh-CN"/>
              </w:rPr>
            </w:pPr>
          </w:p>
        </w:tc>
        <w:tc>
          <w:tcPr>
            <w:tcW w:w="1422" w:type="dxa"/>
            <w:tcBorders>
              <w:tl2br w:val="nil"/>
              <w:tr2bl w:val="nil"/>
            </w:tcBorders>
            <w:vAlign w:val="center"/>
          </w:tcPr>
          <w:p w14:paraId="1DA57147">
            <w:pPr>
              <w:widowControl/>
              <w:jc w:val="center"/>
              <w:textAlignment w:val="center"/>
              <w:rPr>
                <w:rFonts w:hint="eastAsia"/>
                <w:color w:val="auto"/>
                <w:lang w:val="en-US" w:eastAsia="zh-CN"/>
              </w:rPr>
            </w:pPr>
            <w:r>
              <w:rPr>
                <w:color w:val="auto"/>
                <w:kern w:val="0"/>
                <w:szCs w:val="21"/>
                <w:lang w:bidi="ar"/>
              </w:rPr>
              <w:t>第三次</w:t>
            </w:r>
          </w:p>
        </w:tc>
        <w:tc>
          <w:tcPr>
            <w:tcW w:w="1422" w:type="dxa"/>
            <w:tcBorders>
              <w:tl2br w:val="nil"/>
              <w:tr2bl w:val="nil"/>
            </w:tcBorders>
            <w:vAlign w:val="center"/>
          </w:tcPr>
          <w:p w14:paraId="2EC07AFE">
            <w:pPr>
              <w:bidi w:val="0"/>
              <w:jc w:val="center"/>
              <w:rPr>
                <w:rFonts w:hint="default"/>
                <w:color w:val="auto"/>
                <w:lang w:val="en-US" w:eastAsia="zh-CN"/>
              </w:rPr>
            </w:pPr>
            <w:r>
              <w:rPr>
                <w:rFonts w:hint="eastAsia"/>
                <w:color w:val="auto"/>
                <w:lang w:val="en-US" w:eastAsia="zh-CN"/>
              </w:rPr>
              <w:t>22</w:t>
            </w:r>
          </w:p>
        </w:tc>
        <w:tc>
          <w:tcPr>
            <w:tcW w:w="1423" w:type="dxa"/>
            <w:vMerge w:val="continue"/>
            <w:tcBorders>
              <w:tl2br w:val="nil"/>
              <w:tr2bl w:val="nil"/>
            </w:tcBorders>
            <w:vAlign w:val="center"/>
          </w:tcPr>
          <w:p w14:paraId="7CB1AA56">
            <w:pPr>
              <w:bidi w:val="0"/>
              <w:jc w:val="center"/>
              <w:rPr>
                <w:rFonts w:hint="eastAsia"/>
                <w:color w:val="auto"/>
                <w:lang w:val="en-US" w:eastAsia="zh-CN"/>
              </w:rPr>
            </w:pPr>
          </w:p>
        </w:tc>
        <w:tc>
          <w:tcPr>
            <w:tcW w:w="1423" w:type="dxa"/>
            <w:vMerge w:val="continue"/>
            <w:tcBorders>
              <w:tl2br w:val="nil"/>
              <w:tr2bl w:val="nil"/>
            </w:tcBorders>
            <w:vAlign w:val="center"/>
          </w:tcPr>
          <w:p w14:paraId="2682F0C2">
            <w:pPr>
              <w:bidi w:val="0"/>
              <w:jc w:val="center"/>
              <w:rPr>
                <w:rFonts w:hint="eastAsia"/>
                <w:color w:val="auto"/>
                <w:lang w:val="en-US" w:eastAsia="zh-CN"/>
              </w:rPr>
            </w:pPr>
          </w:p>
        </w:tc>
      </w:tr>
      <w:tr w14:paraId="4476C7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483244ED">
            <w:pPr>
              <w:bidi w:val="0"/>
              <w:jc w:val="center"/>
              <w:rPr>
                <w:rFonts w:hint="eastAsia"/>
                <w:color w:val="auto"/>
                <w:lang w:val="en-US" w:eastAsia="zh-CN"/>
              </w:rPr>
            </w:pPr>
          </w:p>
        </w:tc>
        <w:tc>
          <w:tcPr>
            <w:tcW w:w="1563" w:type="dxa"/>
            <w:vMerge w:val="continue"/>
            <w:tcBorders>
              <w:tl2br w:val="nil"/>
              <w:tr2bl w:val="nil"/>
            </w:tcBorders>
            <w:vAlign w:val="center"/>
          </w:tcPr>
          <w:p w14:paraId="17497BE5">
            <w:pPr>
              <w:bidi w:val="0"/>
              <w:jc w:val="center"/>
              <w:rPr>
                <w:rFonts w:hint="eastAsia"/>
                <w:color w:val="auto"/>
                <w:lang w:val="en-US" w:eastAsia="zh-CN"/>
              </w:rPr>
            </w:pPr>
          </w:p>
        </w:tc>
        <w:tc>
          <w:tcPr>
            <w:tcW w:w="1422" w:type="dxa"/>
            <w:vMerge w:val="continue"/>
            <w:tcBorders>
              <w:tl2br w:val="nil"/>
              <w:tr2bl w:val="nil"/>
            </w:tcBorders>
            <w:vAlign w:val="center"/>
          </w:tcPr>
          <w:p w14:paraId="0D96EE66">
            <w:pPr>
              <w:bidi w:val="0"/>
              <w:jc w:val="center"/>
              <w:rPr>
                <w:rFonts w:hint="eastAsia"/>
                <w:color w:val="auto"/>
                <w:lang w:val="en-US" w:eastAsia="zh-CN"/>
              </w:rPr>
            </w:pPr>
          </w:p>
        </w:tc>
        <w:tc>
          <w:tcPr>
            <w:tcW w:w="1422" w:type="dxa"/>
            <w:tcBorders>
              <w:tl2br w:val="nil"/>
              <w:tr2bl w:val="nil"/>
            </w:tcBorders>
            <w:vAlign w:val="center"/>
          </w:tcPr>
          <w:p w14:paraId="36DE3706">
            <w:pPr>
              <w:widowControl/>
              <w:jc w:val="center"/>
              <w:textAlignment w:val="center"/>
              <w:rPr>
                <w:rFonts w:hint="eastAsia"/>
                <w:color w:val="auto"/>
                <w:lang w:val="en-US" w:eastAsia="zh-CN"/>
              </w:rPr>
            </w:pPr>
            <w:r>
              <w:rPr>
                <w:color w:val="auto"/>
                <w:kern w:val="0"/>
                <w:szCs w:val="21"/>
                <w:lang w:bidi="ar"/>
              </w:rPr>
              <w:t>第四次</w:t>
            </w:r>
          </w:p>
        </w:tc>
        <w:tc>
          <w:tcPr>
            <w:tcW w:w="1422" w:type="dxa"/>
            <w:tcBorders>
              <w:tl2br w:val="nil"/>
              <w:tr2bl w:val="nil"/>
            </w:tcBorders>
            <w:vAlign w:val="center"/>
          </w:tcPr>
          <w:p w14:paraId="0A4860B9">
            <w:pPr>
              <w:bidi w:val="0"/>
              <w:jc w:val="center"/>
              <w:rPr>
                <w:rFonts w:hint="default"/>
                <w:color w:val="auto"/>
                <w:lang w:val="en-US" w:eastAsia="zh-CN"/>
              </w:rPr>
            </w:pPr>
            <w:r>
              <w:rPr>
                <w:rFonts w:hint="eastAsia"/>
                <w:color w:val="auto"/>
                <w:lang w:val="en-US" w:eastAsia="zh-CN"/>
              </w:rPr>
              <w:t>24</w:t>
            </w:r>
          </w:p>
        </w:tc>
        <w:tc>
          <w:tcPr>
            <w:tcW w:w="1423" w:type="dxa"/>
            <w:vMerge w:val="continue"/>
            <w:tcBorders>
              <w:tl2br w:val="nil"/>
              <w:tr2bl w:val="nil"/>
            </w:tcBorders>
            <w:vAlign w:val="center"/>
          </w:tcPr>
          <w:p w14:paraId="60815FF0">
            <w:pPr>
              <w:bidi w:val="0"/>
              <w:jc w:val="center"/>
              <w:rPr>
                <w:rFonts w:hint="eastAsia"/>
                <w:color w:val="auto"/>
                <w:lang w:val="en-US" w:eastAsia="zh-CN"/>
              </w:rPr>
            </w:pPr>
          </w:p>
        </w:tc>
        <w:tc>
          <w:tcPr>
            <w:tcW w:w="1423" w:type="dxa"/>
            <w:vMerge w:val="continue"/>
            <w:tcBorders>
              <w:tl2br w:val="nil"/>
              <w:tr2bl w:val="nil"/>
            </w:tcBorders>
            <w:vAlign w:val="center"/>
          </w:tcPr>
          <w:p w14:paraId="3392803C">
            <w:pPr>
              <w:bidi w:val="0"/>
              <w:jc w:val="center"/>
              <w:rPr>
                <w:rFonts w:hint="eastAsia"/>
                <w:color w:val="auto"/>
                <w:lang w:val="en-US" w:eastAsia="zh-CN"/>
              </w:rPr>
            </w:pPr>
          </w:p>
        </w:tc>
      </w:tr>
      <w:tr w14:paraId="4C52EE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61D96430">
            <w:pPr>
              <w:bidi w:val="0"/>
              <w:jc w:val="center"/>
              <w:rPr>
                <w:rFonts w:hint="eastAsia"/>
                <w:color w:val="auto"/>
                <w:lang w:val="en-US" w:eastAsia="zh-CN"/>
              </w:rPr>
            </w:pPr>
          </w:p>
        </w:tc>
        <w:tc>
          <w:tcPr>
            <w:tcW w:w="1563" w:type="dxa"/>
            <w:vMerge w:val="continue"/>
            <w:tcBorders>
              <w:tl2br w:val="nil"/>
              <w:tr2bl w:val="nil"/>
            </w:tcBorders>
            <w:vAlign w:val="center"/>
          </w:tcPr>
          <w:p w14:paraId="18379946">
            <w:pPr>
              <w:bidi w:val="0"/>
              <w:jc w:val="center"/>
              <w:rPr>
                <w:rFonts w:hint="eastAsia"/>
                <w:color w:val="auto"/>
                <w:lang w:val="en-US" w:eastAsia="zh-CN"/>
              </w:rPr>
            </w:pPr>
          </w:p>
        </w:tc>
        <w:tc>
          <w:tcPr>
            <w:tcW w:w="1422" w:type="dxa"/>
            <w:vMerge w:val="restart"/>
            <w:tcBorders>
              <w:tl2br w:val="nil"/>
              <w:tr2bl w:val="nil"/>
            </w:tcBorders>
            <w:vAlign w:val="center"/>
          </w:tcPr>
          <w:p w14:paraId="33232B97">
            <w:pPr>
              <w:bidi w:val="0"/>
              <w:jc w:val="center"/>
              <w:rPr>
                <w:rFonts w:hint="default"/>
                <w:color w:val="auto"/>
                <w:lang w:val="en-US" w:eastAsia="zh-CN"/>
              </w:rPr>
            </w:pPr>
            <w:r>
              <w:rPr>
                <w:rFonts w:hint="eastAsia"/>
                <w:color w:val="auto"/>
                <w:lang w:val="en-US" w:eastAsia="zh-CN"/>
              </w:rPr>
              <w:t>五日生需氧量</w:t>
            </w:r>
          </w:p>
        </w:tc>
        <w:tc>
          <w:tcPr>
            <w:tcW w:w="1422" w:type="dxa"/>
            <w:tcBorders>
              <w:tl2br w:val="nil"/>
              <w:tr2bl w:val="nil"/>
            </w:tcBorders>
            <w:vAlign w:val="center"/>
          </w:tcPr>
          <w:p w14:paraId="052823A5">
            <w:pPr>
              <w:widowControl/>
              <w:jc w:val="center"/>
              <w:textAlignment w:val="center"/>
              <w:rPr>
                <w:color w:val="auto"/>
                <w:kern w:val="0"/>
                <w:szCs w:val="21"/>
                <w:lang w:bidi="ar"/>
              </w:rPr>
            </w:pPr>
            <w:r>
              <w:rPr>
                <w:color w:val="auto"/>
                <w:kern w:val="0"/>
                <w:szCs w:val="21"/>
                <w:lang w:bidi="ar"/>
              </w:rPr>
              <w:t>第一次</w:t>
            </w:r>
          </w:p>
        </w:tc>
        <w:tc>
          <w:tcPr>
            <w:tcW w:w="1422" w:type="dxa"/>
            <w:tcBorders>
              <w:tl2br w:val="nil"/>
              <w:tr2bl w:val="nil"/>
            </w:tcBorders>
            <w:vAlign w:val="center"/>
          </w:tcPr>
          <w:p w14:paraId="6B19A9A2">
            <w:pPr>
              <w:bidi w:val="0"/>
              <w:jc w:val="center"/>
              <w:rPr>
                <w:rFonts w:hint="default"/>
                <w:color w:val="auto"/>
                <w:lang w:val="en-US" w:eastAsia="zh-CN"/>
              </w:rPr>
            </w:pPr>
            <w:r>
              <w:rPr>
                <w:rFonts w:hint="eastAsia"/>
                <w:color w:val="auto"/>
                <w:lang w:val="en-US" w:eastAsia="zh-CN"/>
              </w:rPr>
              <w:t>6.6</w:t>
            </w:r>
          </w:p>
        </w:tc>
        <w:tc>
          <w:tcPr>
            <w:tcW w:w="1423" w:type="dxa"/>
            <w:vMerge w:val="restart"/>
            <w:tcBorders>
              <w:tl2br w:val="nil"/>
              <w:tr2bl w:val="nil"/>
            </w:tcBorders>
            <w:vAlign w:val="center"/>
          </w:tcPr>
          <w:p w14:paraId="3139C14F">
            <w:pPr>
              <w:bidi w:val="0"/>
              <w:jc w:val="center"/>
              <w:rPr>
                <w:rFonts w:hint="default"/>
                <w:color w:val="auto"/>
                <w:lang w:val="en-US" w:eastAsia="zh-CN"/>
              </w:rPr>
            </w:pPr>
            <w:r>
              <w:rPr>
                <w:rFonts w:hint="eastAsia"/>
                <w:color w:val="auto"/>
                <w:lang w:val="en-US" w:eastAsia="zh-CN"/>
              </w:rPr>
              <w:t>150</w:t>
            </w:r>
          </w:p>
        </w:tc>
        <w:tc>
          <w:tcPr>
            <w:tcW w:w="1423" w:type="dxa"/>
            <w:vMerge w:val="restart"/>
            <w:tcBorders>
              <w:tl2br w:val="nil"/>
              <w:tr2bl w:val="nil"/>
            </w:tcBorders>
            <w:vAlign w:val="center"/>
          </w:tcPr>
          <w:p w14:paraId="3B99A839">
            <w:pPr>
              <w:bidi w:val="0"/>
              <w:jc w:val="center"/>
              <w:rPr>
                <w:rFonts w:hint="eastAsia"/>
                <w:color w:val="auto"/>
                <w:lang w:val="en-US" w:eastAsia="zh-CN"/>
              </w:rPr>
            </w:pPr>
            <w:r>
              <w:rPr>
                <w:rFonts w:hint="eastAsia"/>
                <w:color w:val="auto"/>
                <w:lang w:val="en-US" w:eastAsia="zh-CN"/>
              </w:rPr>
              <w:t>达标</w:t>
            </w:r>
          </w:p>
        </w:tc>
      </w:tr>
      <w:tr w14:paraId="6583CD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19B83CCE">
            <w:pPr>
              <w:bidi w:val="0"/>
              <w:jc w:val="center"/>
              <w:rPr>
                <w:rFonts w:hint="eastAsia"/>
                <w:color w:val="auto"/>
                <w:lang w:val="en-US" w:eastAsia="zh-CN"/>
              </w:rPr>
            </w:pPr>
          </w:p>
        </w:tc>
        <w:tc>
          <w:tcPr>
            <w:tcW w:w="1563" w:type="dxa"/>
            <w:vMerge w:val="continue"/>
            <w:tcBorders>
              <w:tl2br w:val="nil"/>
              <w:tr2bl w:val="nil"/>
            </w:tcBorders>
            <w:vAlign w:val="center"/>
          </w:tcPr>
          <w:p w14:paraId="427937AE">
            <w:pPr>
              <w:bidi w:val="0"/>
              <w:jc w:val="center"/>
              <w:rPr>
                <w:rFonts w:hint="eastAsia"/>
                <w:color w:val="auto"/>
                <w:lang w:val="en-US" w:eastAsia="zh-CN"/>
              </w:rPr>
            </w:pPr>
          </w:p>
        </w:tc>
        <w:tc>
          <w:tcPr>
            <w:tcW w:w="1422" w:type="dxa"/>
            <w:vMerge w:val="continue"/>
            <w:tcBorders>
              <w:tl2br w:val="nil"/>
              <w:tr2bl w:val="nil"/>
            </w:tcBorders>
            <w:vAlign w:val="center"/>
          </w:tcPr>
          <w:p w14:paraId="43C2D36F">
            <w:pPr>
              <w:bidi w:val="0"/>
              <w:jc w:val="center"/>
              <w:rPr>
                <w:rFonts w:hint="eastAsia"/>
                <w:color w:val="auto"/>
                <w:lang w:val="en-US" w:eastAsia="zh-CN"/>
              </w:rPr>
            </w:pPr>
          </w:p>
        </w:tc>
        <w:tc>
          <w:tcPr>
            <w:tcW w:w="1422" w:type="dxa"/>
            <w:tcBorders>
              <w:tl2br w:val="nil"/>
              <w:tr2bl w:val="nil"/>
            </w:tcBorders>
            <w:vAlign w:val="center"/>
          </w:tcPr>
          <w:p w14:paraId="7553DECE">
            <w:pPr>
              <w:widowControl/>
              <w:jc w:val="center"/>
              <w:textAlignment w:val="center"/>
              <w:rPr>
                <w:color w:val="auto"/>
                <w:kern w:val="0"/>
                <w:szCs w:val="21"/>
                <w:lang w:bidi="ar"/>
              </w:rPr>
            </w:pPr>
            <w:r>
              <w:rPr>
                <w:color w:val="auto"/>
                <w:kern w:val="0"/>
                <w:szCs w:val="21"/>
                <w:lang w:bidi="ar"/>
              </w:rPr>
              <w:t>第二次</w:t>
            </w:r>
          </w:p>
        </w:tc>
        <w:tc>
          <w:tcPr>
            <w:tcW w:w="1422" w:type="dxa"/>
            <w:tcBorders>
              <w:tl2br w:val="nil"/>
              <w:tr2bl w:val="nil"/>
            </w:tcBorders>
            <w:vAlign w:val="center"/>
          </w:tcPr>
          <w:p w14:paraId="5F42D2F4">
            <w:pPr>
              <w:bidi w:val="0"/>
              <w:jc w:val="center"/>
              <w:rPr>
                <w:rFonts w:hint="default"/>
                <w:color w:val="auto"/>
                <w:lang w:val="en-US" w:eastAsia="zh-CN"/>
              </w:rPr>
            </w:pPr>
            <w:r>
              <w:rPr>
                <w:rFonts w:hint="eastAsia"/>
                <w:color w:val="auto"/>
                <w:lang w:val="en-US" w:eastAsia="zh-CN"/>
              </w:rPr>
              <w:t>6.3</w:t>
            </w:r>
          </w:p>
        </w:tc>
        <w:tc>
          <w:tcPr>
            <w:tcW w:w="1423" w:type="dxa"/>
            <w:vMerge w:val="continue"/>
            <w:tcBorders>
              <w:tl2br w:val="nil"/>
              <w:tr2bl w:val="nil"/>
            </w:tcBorders>
            <w:vAlign w:val="center"/>
          </w:tcPr>
          <w:p w14:paraId="14BFA756">
            <w:pPr>
              <w:bidi w:val="0"/>
              <w:jc w:val="center"/>
              <w:rPr>
                <w:rFonts w:hint="eastAsia"/>
                <w:color w:val="auto"/>
                <w:lang w:val="en-US" w:eastAsia="zh-CN"/>
              </w:rPr>
            </w:pPr>
          </w:p>
        </w:tc>
        <w:tc>
          <w:tcPr>
            <w:tcW w:w="1423" w:type="dxa"/>
            <w:vMerge w:val="continue"/>
            <w:tcBorders>
              <w:tl2br w:val="nil"/>
              <w:tr2bl w:val="nil"/>
            </w:tcBorders>
            <w:vAlign w:val="center"/>
          </w:tcPr>
          <w:p w14:paraId="38CB58C4">
            <w:pPr>
              <w:bidi w:val="0"/>
              <w:jc w:val="center"/>
              <w:rPr>
                <w:rFonts w:hint="eastAsia"/>
                <w:color w:val="auto"/>
                <w:lang w:val="en-US" w:eastAsia="zh-CN"/>
              </w:rPr>
            </w:pPr>
          </w:p>
        </w:tc>
      </w:tr>
      <w:tr w14:paraId="5D6B20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5ADADDEE">
            <w:pPr>
              <w:bidi w:val="0"/>
              <w:jc w:val="center"/>
              <w:rPr>
                <w:rFonts w:hint="eastAsia"/>
                <w:color w:val="auto"/>
                <w:lang w:val="en-US" w:eastAsia="zh-CN"/>
              </w:rPr>
            </w:pPr>
          </w:p>
        </w:tc>
        <w:tc>
          <w:tcPr>
            <w:tcW w:w="1563" w:type="dxa"/>
            <w:vMerge w:val="continue"/>
            <w:tcBorders>
              <w:tl2br w:val="nil"/>
              <w:tr2bl w:val="nil"/>
            </w:tcBorders>
            <w:vAlign w:val="center"/>
          </w:tcPr>
          <w:p w14:paraId="2EC860AE">
            <w:pPr>
              <w:bidi w:val="0"/>
              <w:jc w:val="center"/>
              <w:rPr>
                <w:rFonts w:hint="eastAsia"/>
                <w:color w:val="auto"/>
                <w:lang w:val="en-US" w:eastAsia="zh-CN"/>
              </w:rPr>
            </w:pPr>
          </w:p>
        </w:tc>
        <w:tc>
          <w:tcPr>
            <w:tcW w:w="1422" w:type="dxa"/>
            <w:vMerge w:val="continue"/>
            <w:tcBorders>
              <w:tl2br w:val="nil"/>
              <w:tr2bl w:val="nil"/>
            </w:tcBorders>
            <w:vAlign w:val="center"/>
          </w:tcPr>
          <w:p w14:paraId="1F6A31A8">
            <w:pPr>
              <w:bidi w:val="0"/>
              <w:jc w:val="center"/>
              <w:rPr>
                <w:rFonts w:hint="eastAsia"/>
                <w:color w:val="auto"/>
                <w:lang w:val="en-US" w:eastAsia="zh-CN"/>
              </w:rPr>
            </w:pPr>
          </w:p>
        </w:tc>
        <w:tc>
          <w:tcPr>
            <w:tcW w:w="1422" w:type="dxa"/>
            <w:tcBorders>
              <w:tl2br w:val="nil"/>
              <w:tr2bl w:val="nil"/>
            </w:tcBorders>
            <w:vAlign w:val="center"/>
          </w:tcPr>
          <w:p w14:paraId="70B96F61">
            <w:pPr>
              <w:widowControl/>
              <w:jc w:val="center"/>
              <w:textAlignment w:val="center"/>
              <w:rPr>
                <w:color w:val="auto"/>
                <w:kern w:val="0"/>
                <w:szCs w:val="21"/>
                <w:lang w:bidi="ar"/>
              </w:rPr>
            </w:pPr>
            <w:r>
              <w:rPr>
                <w:color w:val="auto"/>
                <w:kern w:val="0"/>
                <w:szCs w:val="21"/>
                <w:lang w:bidi="ar"/>
              </w:rPr>
              <w:t>第三次</w:t>
            </w:r>
          </w:p>
        </w:tc>
        <w:tc>
          <w:tcPr>
            <w:tcW w:w="1422" w:type="dxa"/>
            <w:tcBorders>
              <w:tl2br w:val="nil"/>
              <w:tr2bl w:val="nil"/>
            </w:tcBorders>
            <w:vAlign w:val="center"/>
          </w:tcPr>
          <w:p w14:paraId="78DE0304">
            <w:pPr>
              <w:bidi w:val="0"/>
              <w:jc w:val="center"/>
              <w:rPr>
                <w:rFonts w:hint="default"/>
                <w:color w:val="auto"/>
                <w:lang w:val="en-US" w:eastAsia="zh-CN"/>
              </w:rPr>
            </w:pPr>
            <w:r>
              <w:rPr>
                <w:rFonts w:hint="eastAsia"/>
                <w:color w:val="auto"/>
                <w:lang w:val="en-US" w:eastAsia="zh-CN"/>
              </w:rPr>
              <w:t>7.0</w:t>
            </w:r>
          </w:p>
        </w:tc>
        <w:tc>
          <w:tcPr>
            <w:tcW w:w="1423" w:type="dxa"/>
            <w:vMerge w:val="continue"/>
            <w:tcBorders>
              <w:tl2br w:val="nil"/>
              <w:tr2bl w:val="nil"/>
            </w:tcBorders>
            <w:vAlign w:val="center"/>
          </w:tcPr>
          <w:p w14:paraId="39E30913">
            <w:pPr>
              <w:bidi w:val="0"/>
              <w:jc w:val="center"/>
              <w:rPr>
                <w:rFonts w:hint="eastAsia"/>
                <w:color w:val="auto"/>
                <w:lang w:val="en-US" w:eastAsia="zh-CN"/>
              </w:rPr>
            </w:pPr>
          </w:p>
        </w:tc>
        <w:tc>
          <w:tcPr>
            <w:tcW w:w="1423" w:type="dxa"/>
            <w:vMerge w:val="continue"/>
            <w:tcBorders>
              <w:tl2br w:val="nil"/>
              <w:tr2bl w:val="nil"/>
            </w:tcBorders>
            <w:vAlign w:val="center"/>
          </w:tcPr>
          <w:p w14:paraId="5F7F201C">
            <w:pPr>
              <w:bidi w:val="0"/>
              <w:jc w:val="center"/>
              <w:rPr>
                <w:rFonts w:hint="eastAsia"/>
                <w:color w:val="auto"/>
                <w:lang w:val="en-US" w:eastAsia="zh-CN"/>
              </w:rPr>
            </w:pPr>
          </w:p>
        </w:tc>
      </w:tr>
      <w:tr w14:paraId="4292A9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58731719">
            <w:pPr>
              <w:bidi w:val="0"/>
              <w:jc w:val="center"/>
              <w:rPr>
                <w:rFonts w:hint="eastAsia"/>
                <w:color w:val="auto"/>
                <w:lang w:val="en-US" w:eastAsia="zh-CN"/>
              </w:rPr>
            </w:pPr>
          </w:p>
        </w:tc>
        <w:tc>
          <w:tcPr>
            <w:tcW w:w="1563" w:type="dxa"/>
            <w:vMerge w:val="continue"/>
            <w:tcBorders>
              <w:tl2br w:val="nil"/>
              <w:tr2bl w:val="nil"/>
            </w:tcBorders>
            <w:vAlign w:val="center"/>
          </w:tcPr>
          <w:p w14:paraId="47B7C4FD">
            <w:pPr>
              <w:bidi w:val="0"/>
              <w:jc w:val="center"/>
              <w:rPr>
                <w:rFonts w:hint="eastAsia"/>
                <w:color w:val="auto"/>
                <w:lang w:val="en-US" w:eastAsia="zh-CN"/>
              </w:rPr>
            </w:pPr>
          </w:p>
        </w:tc>
        <w:tc>
          <w:tcPr>
            <w:tcW w:w="1422" w:type="dxa"/>
            <w:vMerge w:val="continue"/>
            <w:tcBorders>
              <w:tl2br w:val="nil"/>
              <w:tr2bl w:val="nil"/>
            </w:tcBorders>
            <w:vAlign w:val="center"/>
          </w:tcPr>
          <w:p w14:paraId="5BB90650">
            <w:pPr>
              <w:bidi w:val="0"/>
              <w:jc w:val="center"/>
              <w:rPr>
                <w:rFonts w:hint="eastAsia"/>
                <w:color w:val="auto"/>
                <w:lang w:val="en-US" w:eastAsia="zh-CN"/>
              </w:rPr>
            </w:pPr>
          </w:p>
        </w:tc>
        <w:tc>
          <w:tcPr>
            <w:tcW w:w="1422" w:type="dxa"/>
            <w:tcBorders>
              <w:tl2br w:val="nil"/>
              <w:tr2bl w:val="nil"/>
            </w:tcBorders>
            <w:vAlign w:val="center"/>
          </w:tcPr>
          <w:p w14:paraId="63DE1B0E">
            <w:pPr>
              <w:widowControl/>
              <w:jc w:val="center"/>
              <w:textAlignment w:val="center"/>
              <w:rPr>
                <w:color w:val="auto"/>
                <w:kern w:val="0"/>
                <w:szCs w:val="21"/>
                <w:lang w:bidi="ar"/>
              </w:rPr>
            </w:pPr>
            <w:r>
              <w:rPr>
                <w:color w:val="auto"/>
                <w:kern w:val="0"/>
                <w:szCs w:val="21"/>
                <w:lang w:bidi="ar"/>
              </w:rPr>
              <w:t>第四次</w:t>
            </w:r>
          </w:p>
        </w:tc>
        <w:tc>
          <w:tcPr>
            <w:tcW w:w="1422" w:type="dxa"/>
            <w:tcBorders>
              <w:tl2br w:val="nil"/>
              <w:tr2bl w:val="nil"/>
            </w:tcBorders>
            <w:vAlign w:val="center"/>
          </w:tcPr>
          <w:p w14:paraId="0BCC135F">
            <w:pPr>
              <w:bidi w:val="0"/>
              <w:jc w:val="center"/>
              <w:rPr>
                <w:rFonts w:hint="default"/>
                <w:color w:val="auto"/>
                <w:lang w:val="en-US" w:eastAsia="zh-CN"/>
              </w:rPr>
            </w:pPr>
            <w:r>
              <w:rPr>
                <w:rFonts w:hint="eastAsia"/>
                <w:color w:val="auto"/>
                <w:lang w:val="en-US" w:eastAsia="zh-CN"/>
              </w:rPr>
              <w:t>7.1</w:t>
            </w:r>
          </w:p>
        </w:tc>
        <w:tc>
          <w:tcPr>
            <w:tcW w:w="1423" w:type="dxa"/>
            <w:vMerge w:val="continue"/>
            <w:tcBorders>
              <w:tl2br w:val="nil"/>
              <w:tr2bl w:val="nil"/>
            </w:tcBorders>
            <w:vAlign w:val="center"/>
          </w:tcPr>
          <w:p w14:paraId="02A4EE5A">
            <w:pPr>
              <w:bidi w:val="0"/>
              <w:jc w:val="center"/>
              <w:rPr>
                <w:rFonts w:hint="eastAsia"/>
                <w:color w:val="auto"/>
                <w:lang w:val="en-US" w:eastAsia="zh-CN"/>
              </w:rPr>
            </w:pPr>
          </w:p>
        </w:tc>
        <w:tc>
          <w:tcPr>
            <w:tcW w:w="1423" w:type="dxa"/>
            <w:vMerge w:val="continue"/>
            <w:tcBorders>
              <w:tl2br w:val="nil"/>
              <w:tr2bl w:val="nil"/>
            </w:tcBorders>
            <w:vAlign w:val="center"/>
          </w:tcPr>
          <w:p w14:paraId="3B3CCFFC">
            <w:pPr>
              <w:bidi w:val="0"/>
              <w:jc w:val="center"/>
              <w:rPr>
                <w:rFonts w:hint="eastAsia"/>
                <w:color w:val="auto"/>
                <w:lang w:val="en-US" w:eastAsia="zh-CN"/>
              </w:rPr>
            </w:pPr>
          </w:p>
        </w:tc>
      </w:tr>
      <w:tr w14:paraId="51AE88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0B98D128">
            <w:pPr>
              <w:bidi w:val="0"/>
              <w:jc w:val="center"/>
              <w:rPr>
                <w:rFonts w:hint="eastAsia"/>
                <w:color w:val="auto"/>
                <w:lang w:val="en-US" w:eastAsia="zh-CN"/>
              </w:rPr>
            </w:pPr>
          </w:p>
        </w:tc>
        <w:tc>
          <w:tcPr>
            <w:tcW w:w="1563" w:type="dxa"/>
            <w:vMerge w:val="continue"/>
            <w:tcBorders>
              <w:tl2br w:val="nil"/>
              <w:tr2bl w:val="nil"/>
            </w:tcBorders>
            <w:vAlign w:val="center"/>
          </w:tcPr>
          <w:p w14:paraId="03FE573C">
            <w:pPr>
              <w:bidi w:val="0"/>
              <w:jc w:val="center"/>
              <w:rPr>
                <w:rFonts w:hint="eastAsia"/>
                <w:color w:val="auto"/>
                <w:lang w:val="en-US" w:eastAsia="zh-CN"/>
              </w:rPr>
            </w:pPr>
          </w:p>
        </w:tc>
        <w:tc>
          <w:tcPr>
            <w:tcW w:w="1422" w:type="dxa"/>
            <w:vMerge w:val="restart"/>
            <w:tcBorders>
              <w:tl2br w:val="nil"/>
              <w:tr2bl w:val="nil"/>
            </w:tcBorders>
            <w:vAlign w:val="center"/>
          </w:tcPr>
          <w:p w14:paraId="4FDEE7F3">
            <w:pPr>
              <w:bidi w:val="0"/>
              <w:jc w:val="center"/>
              <w:rPr>
                <w:rFonts w:hint="default"/>
                <w:color w:val="auto"/>
                <w:lang w:val="en-US" w:eastAsia="zh-CN"/>
              </w:rPr>
            </w:pPr>
            <w:r>
              <w:rPr>
                <w:rFonts w:hint="eastAsia"/>
                <w:color w:val="auto"/>
                <w:lang w:val="en-US" w:eastAsia="zh-CN"/>
              </w:rPr>
              <w:t>氨氮</w:t>
            </w:r>
          </w:p>
        </w:tc>
        <w:tc>
          <w:tcPr>
            <w:tcW w:w="1422" w:type="dxa"/>
            <w:tcBorders>
              <w:tl2br w:val="nil"/>
              <w:tr2bl w:val="nil"/>
            </w:tcBorders>
            <w:vAlign w:val="center"/>
          </w:tcPr>
          <w:p w14:paraId="477BD41C">
            <w:pPr>
              <w:widowControl/>
              <w:jc w:val="center"/>
              <w:textAlignment w:val="center"/>
              <w:rPr>
                <w:color w:val="auto"/>
                <w:kern w:val="0"/>
                <w:szCs w:val="21"/>
                <w:lang w:bidi="ar"/>
              </w:rPr>
            </w:pPr>
            <w:r>
              <w:rPr>
                <w:color w:val="auto"/>
                <w:kern w:val="0"/>
                <w:szCs w:val="21"/>
                <w:lang w:bidi="ar"/>
              </w:rPr>
              <w:t>第一次</w:t>
            </w:r>
          </w:p>
        </w:tc>
        <w:tc>
          <w:tcPr>
            <w:tcW w:w="1422" w:type="dxa"/>
            <w:tcBorders>
              <w:tl2br w:val="nil"/>
              <w:tr2bl w:val="nil"/>
            </w:tcBorders>
            <w:vAlign w:val="center"/>
          </w:tcPr>
          <w:p w14:paraId="49C1AD10">
            <w:pPr>
              <w:bidi w:val="0"/>
              <w:jc w:val="center"/>
              <w:rPr>
                <w:rFonts w:hint="default"/>
                <w:color w:val="auto"/>
                <w:lang w:val="en-US" w:eastAsia="zh-CN"/>
              </w:rPr>
            </w:pPr>
            <w:r>
              <w:rPr>
                <w:rFonts w:hint="eastAsia"/>
                <w:color w:val="auto"/>
                <w:lang w:val="en-US" w:eastAsia="zh-CN"/>
              </w:rPr>
              <w:t>1.00</w:t>
            </w:r>
          </w:p>
        </w:tc>
        <w:tc>
          <w:tcPr>
            <w:tcW w:w="1423" w:type="dxa"/>
            <w:vMerge w:val="restart"/>
            <w:tcBorders>
              <w:tl2br w:val="nil"/>
              <w:tr2bl w:val="nil"/>
            </w:tcBorders>
            <w:vAlign w:val="center"/>
          </w:tcPr>
          <w:p w14:paraId="39583E47">
            <w:pPr>
              <w:bidi w:val="0"/>
              <w:jc w:val="center"/>
              <w:rPr>
                <w:rFonts w:hint="default"/>
                <w:color w:val="auto"/>
                <w:lang w:val="en-US" w:eastAsia="zh-CN"/>
              </w:rPr>
            </w:pPr>
            <w:r>
              <w:rPr>
                <w:rFonts w:hint="eastAsia"/>
                <w:color w:val="auto"/>
                <w:lang w:val="en-US" w:eastAsia="zh-CN"/>
              </w:rPr>
              <w:t>30</w:t>
            </w:r>
          </w:p>
        </w:tc>
        <w:tc>
          <w:tcPr>
            <w:tcW w:w="1423" w:type="dxa"/>
            <w:vMerge w:val="restart"/>
            <w:tcBorders>
              <w:tl2br w:val="nil"/>
              <w:tr2bl w:val="nil"/>
            </w:tcBorders>
            <w:vAlign w:val="center"/>
          </w:tcPr>
          <w:p w14:paraId="46864324">
            <w:pPr>
              <w:bidi w:val="0"/>
              <w:jc w:val="center"/>
              <w:rPr>
                <w:rFonts w:hint="eastAsia"/>
                <w:color w:val="auto"/>
                <w:lang w:val="en-US" w:eastAsia="zh-CN"/>
              </w:rPr>
            </w:pPr>
            <w:r>
              <w:rPr>
                <w:rFonts w:hint="eastAsia"/>
                <w:color w:val="auto"/>
                <w:lang w:val="en-US" w:eastAsia="zh-CN"/>
              </w:rPr>
              <w:t>达标</w:t>
            </w:r>
          </w:p>
        </w:tc>
      </w:tr>
      <w:tr w14:paraId="52F184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5D1E6619">
            <w:pPr>
              <w:bidi w:val="0"/>
              <w:jc w:val="center"/>
              <w:rPr>
                <w:rFonts w:hint="eastAsia"/>
                <w:color w:val="auto"/>
                <w:lang w:val="en-US" w:eastAsia="zh-CN"/>
              </w:rPr>
            </w:pPr>
          </w:p>
        </w:tc>
        <w:tc>
          <w:tcPr>
            <w:tcW w:w="1563" w:type="dxa"/>
            <w:vMerge w:val="continue"/>
            <w:tcBorders>
              <w:tl2br w:val="nil"/>
              <w:tr2bl w:val="nil"/>
            </w:tcBorders>
            <w:vAlign w:val="center"/>
          </w:tcPr>
          <w:p w14:paraId="1D3226D4">
            <w:pPr>
              <w:bidi w:val="0"/>
              <w:jc w:val="center"/>
              <w:rPr>
                <w:rFonts w:hint="eastAsia"/>
                <w:color w:val="auto"/>
                <w:lang w:val="en-US" w:eastAsia="zh-CN"/>
              </w:rPr>
            </w:pPr>
          </w:p>
        </w:tc>
        <w:tc>
          <w:tcPr>
            <w:tcW w:w="1422" w:type="dxa"/>
            <w:vMerge w:val="continue"/>
            <w:tcBorders>
              <w:tl2br w:val="nil"/>
              <w:tr2bl w:val="nil"/>
            </w:tcBorders>
            <w:vAlign w:val="center"/>
          </w:tcPr>
          <w:p w14:paraId="4DE552FA">
            <w:pPr>
              <w:bidi w:val="0"/>
              <w:jc w:val="center"/>
              <w:rPr>
                <w:rFonts w:hint="eastAsia"/>
                <w:color w:val="auto"/>
                <w:lang w:val="en-US" w:eastAsia="zh-CN"/>
              </w:rPr>
            </w:pPr>
          </w:p>
        </w:tc>
        <w:tc>
          <w:tcPr>
            <w:tcW w:w="1422" w:type="dxa"/>
            <w:tcBorders>
              <w:tl2br w:val="nil"/>
              <w:tr2bl w:val="nil"/>
            </w:tcBorders>
            <w:vAlign w:val="center"/>
          </w:tcPr>
          <w:p w14:paraId="7988B3A0">
            <w:pPr>
              <w:widowControl/>
              <w:jc w:val="center"/>
              <w:textAlignment w:val="center"/>
              <w:rPr>
                <w:color w:val="auto"/>
                <w:kern w:val="0"/>
                <w:szCs w:val="21"/>
                <w:lang w:bidi="ar"/>
              </w:rPr>
            </w:pPr>
            <w:r>
              <w:rPr>
                <w:color w:val="auto"/>
                <w:kern w:val="0"/>
                <w:szCs w:val="21"/>
                <w:lang w:bidi="ar"/>
              </w:rPr>
              <w:t>第二次</w:t>
            </w:r>
          </w:p>
        </w:tc>
        <w:tc>
          <w:tcPr>
            <w:tcW w:w="1422" w:type="dxa"/>
            <w:tcBorders>
              <w:tl2br w:val="nil"/>
              <w:tr2bl w:val="nil"/>
            </w:tcBorders>
            <w:vAlign w:val="center"/>
          </w:tcPr>
          <w:p w14:paraId="17DE5E26">
            <w:pPr>
              <w:bidi w:val="0"/>
              <w:jc w:val="center"/>
              <w:rPr>
                <w:rFonts w:hint="default"/>
                <w:color w:val="auto"/>
                <w:lang w:val="en-US" w:eastAsia="zh-CN"/>
              </w:rPr>
            </w:pPr>
            <w:r>
              <w:rPr>
                <w:rFonts w:hint="eastAsia"/>
                <w:color w:val="auto"/>
                <w:lang w:val="en-US" w:eastAsia="zh-CN"/>
              </w:rPr>
              <w:t>1.08</w:t>
            </w:r>
          </w:p>
        </w:tc>
        <w:tc>
          <w:tcPr>
            <w:tcW w:w="1423" w:type="dxa"/>
            <w:vMerge w:val="continue"/>
            <w:tcBorders>
              <w:tl2br w:val="nil"/>
              <w:tr2bl w:val="nil"/>
            </w:tcBorders>
            <w:vAlign w:val="center"/>
          </w:tcPr>
          <w:p w14:paraId="3FE19BE9">
            <w:pPr>
              <w:bidi w:val="0"/>
              <w:jc w:val="center"/>
              <w:rPr>
                <w:rFonts w:hint="eastAsia"/>
                <w:color w:val="auto"/>
                <w:lang w:val="en-US" w:eastAsia="zh-CN"/>
              </w:rPr>
            </w:pPr>
          </w:p>
        </w:tc>
        <w:tc>
          <w:tcPr>
            <w:tcW w:w="1423" w:type="dxa"/>
            <w:vMerge w:val="continue"/>
            <w:tcBorders>
              <w:tl2br w:val="nil"/>
              <w:tr2bl w:val="nil"/>
            </w:tcBorders>
            <w:vAlign w:val="center"/>
          </w:tcPr>
          <w:p w14:paraId="2C9E9B01">
            <w:pPr>
              <w:bidi w:val="0"/>
              <w:jc w:val="center"/>
              <w:rPr>
                <w:rFonts w:hint="eastAsia"/>
                <w:color w:val="auto"/>
                <w:lang w:val="en-US" w:eastAsia="zh-CN"/>
              </w:rPr>
            </w:pPr>
          </w:p>
        </w:tc>
      </w:tr>
      <w:tr w14:paraId="536198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21F29E2C">
            <w:pPr>
              <w:bidi w:val="0"/>
              <w:jc w:val="center"/>
              <w:rPr>
                <w:rFonts w:hint="eastAsia"/>
                <w:color w:val="auto"/>
                <w:lang w:val="en-US" w:eastAsia="zh-CN"/>
              </w:rPr>
            </w:pPr>
          </w:p>
        </w:tc>
        <w:tc>
          <w:tcPr>
            <w:tcW w:w="1563" w:type="dxa"/>
            <w:vMerge w:val="continue"/>
            <w:tcBorders>
              <w:tl2br w:val="nil"/>
              <w:tr2bl w:val="nil"/>
            </w:tcBorders>
            <w:vAlign w:val="center"/>
          </w:tcPr>
          <w:p w14:paraId="66B4B435">
            <w:pPr>
              <w:bidi w:val="0"/>
              <w:jc w:val="center"/>
              <w:rPr>
                <w:rFonts w:hint="eastAsia"/>
                <w:color w:val="auto"/>
                <w:lang w:val="en-US" w:eastAsia="zh-CN"/>
              </w:rPr>
            </w:pPr>
          </w:p>
        </w:tc>
        <w:tc>
          <w:tcPr>
            <w:tcW w:w="1422" w:type="dxa"/>
            <w:vMerge w:val="continue"/>
            <w:tcBorders>
              <w:tl2br w:val="nil"/>
              <w:tr2bl w:val="nil"/>
            </w:tcBorders>
            <w:vAlign w:val="center"/>
          </w:tcPr>
          <w:p w14:paraId="009B2CAC">
            <w:pPr>
              <w:bidi w:val="0"/>
              <w:jc w:val="center"/>
              <w:rPr>
                <w:rFonts w:hint="eastAsia"/>
                <w:color w:val="auto"/>
                <w:lang w:val="en-US" w:eastAsia="zh-CN"/>
              </w:rPr>
            </w:pPr>
          </w:p>
        </w:tc>
        <w:tc>
          <w:tcPr>
            <w:tcW w:w="1422" w:type="dxa"/>
            <w:tcBorders>
              <w:tl2br w:val="nil"/>
              <w:tr2bl w:val="nil"/>
            </w:tcBorders>
            <w:vAlign w:val="center"/>
          </w:tcPr>
          <w:p w14:paraId="15B636E2">
            <w:pPr>
              <w:widowControl/>
              <w:jc w:val="center"/>
              <w:textAlignment w:val="center"/>
              <w:rPr>
                <w:color w:val="auto"/>
                <w:kern w:val="0"/>
                <w:szCs w:val="21"/>
                <w:lang w:bidi="ar"/>
              </w:rPr>
            </w:pPr>
            <w:r>
              <w:rPr>
                <w:color w:val="auto"/>
                <w:kern w:val="0"/>
                <w:szCs w:val="21"/>
                <w:lang w:bidi="ar"/>
              </w:rPr>
              <w:t>第三次</w:t>
            </w:r>
          </w:p>
        </w:tc>
        <w:tc>
          <w:tcPr>
            <w:tcW w:w="1422" w:type="dxa"/>
            <w:tcBorders>
              <w:tl2br w:val="nil"/>
              <w:tr2bl w:val="nil"/>
            </w:tcBorders>
            <w:vAlign w:val="center"/>
          </w:tcPr>
          <w:p w14:paraId="7CFCBCC6">
            <w:pPr>
              <w:bidi w:val="0"/>
              <w:jc w:val="center"/>
              <w:rPr>
                <w:rFonts w:hint="default"/>
                <w:color w:val="auto"/>
                <w:lang w:val="en-US" w:eastAsia="zh-CN"/>
              </w:rPr>
            </w:pPr>
            <w:r>
              <w:rPr>
                <w:rFonts w:hint="eastAsia"/>
                <w:color w:val="auto"/>
                <w:lang w:val="en-US" w:eastAsia="zh-CN"/>
              </w:rPr>
              <w:t>1.03</w:t>
            </w:r>
          </w:p>
        </w:tc>
        <w:tc>
          <w:tcPr>
            <w:tcW w:w="1423" w:type="dxa"/>
            <w:vMerge w:val="continue"/>
            <w:tcBorders>
              <w:tl2br w:val="nil"/>
              <w:tr2bl w:val="nil"/>
            </w:tcBorders>
            <w:vAlign w:val="center"/>
          </w:tcPr>
          <w:p w14:paraId="585F2FC6">
            <w:pPr>
              <w:bidi w:val="0"/>
              <w:jc w:val="center"/>
              <w:rPr>
                <w:rFonts w:hint="eastAsia"/>
                <w:color w:val="auto"/>
                <w:lang w:val="en-US" w:eastAsia="zh-CN"/>
              </w:rPr>
            </w:pPr>
          </w:p>
        </w:tc>
        <w:tc>
          <w:tcPr>
            <w:tcW w:w="1423" w:type="dxa"/>
            <w:vMerge w:val="continue"/>
            <w:tcBorders>
              <w:tl2br w:val="nil"/>
              <w:tr2bl w:val="nil"/>
            </w:tcBorders>
            <w:vAlign w:val="center"/>
          </w:tcPr>
          <w:p w14:paraId="3F12E78A">
            <w:pPr>
              <w:bidi w:val="0"/>
              <w:jc w:val="center"/>
              <w:rPr>
                <w:rFonts w:hint="eastAsia"/>
                <w:color w:val="auto"/>
                <w:lang w:val="en-US" w:eastAsia="zh-CN"/>
              </w:rPr>
            </w:pPr>
          </w:p>
        </w:tc>
      </w:tr>
      <w:tr w14:paraId="65A611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82" w:type="dxa"/>
            <w:vMerge w:val="continue"/>
            <w:tcBorders>
              <w:tl2br w:val="nil"/>
              <w:tr2bl w:val="nil"/>
            </w:tcBorders>
            <w:vAlign w:val="center"/>
          </w:tcPr>
          <w:p w14:paraId="2B4C8D07">
            <w:pPr>
              <w:bidi w:val="0"/>
              <w:jc w:val="center"/>
              <w:rPr>
                <w:rFonts w:hint="eastAsia"/>
                <w:color w:val="auto"/>
                <w:lang w:val="en-US" w:eastAsia="zh-CN"/>
              </w:rPr>
            </w:pPr>
          </w:p>
        </w:tc>
        <w:tc>
          <w:tcPr>
            <w:tcW w:w="1563" w:type="dxa"/>
            <w:vMerge w:val="continue"/>
            <w:tcBorders>
              <w:tl2br w:val="nil"/>
              <w:tr2bl w:val="nil"/>
            </w:tcBorders>
            <w:vAlign w:val="center"/>
          </w:tcPr>
          <w:p w14:paraId="5DF5ED54">
            <w:pPr>
              <w:bidi w:val="0"/>
              <w:jc w:val="center"/>
              <w:rPr>
                <w:rFonts w:hint="eastAsia"/>
                <w:color w:val="auto"/>
                <w:lang w:val="en-US" w:eastAsia="zh-CN"/>
              </w:rPr>
            </w:pPr>
          </w:p>
        </w:tc>
        <w:tc>
          <w:tcPr>
            <w:tcW w:w="1422" w:type="dxa"/>
            <w:vMerge w:val="continue"/>
            <w:tcBorders>
              <w:tl2br w:val="nil"/>
              <w:tr2bl w:val="nil"/>
            </w:tcBorders>
            <w:vAlign w:val="center"/>
          </w:tcPr>
          <w:p w14:paraId="3791F262">
            <w:pPr>
              <w:bidi w:val="0"/>
              <w:jc w:val="center"/>
              <w:rPr>
                <w:rFonts w:hint="eastAsia"/>
                <w:color w:val="auto"/>
                <w:lang w:val="en-US" w:eastAsia="zh-CN"/>
              </w:rPr>
            </w:pPr>
          </w:p>
        </w:tc>
        <w:tc>
          <w:tcPr>
            <w:tcW w:w="1422" w:type="dxa"/>
            <w:tcBorders>
              <w:tl2br w:val="nil"/>
              <w:tr2bl w:val="nil"/>
            </w:tcBorders>
            <w:vAlign w:val="center"/>
          </w:tcPr>
          <w:p w14:paraId="546889A6">
            <w:pPr>
              <w:widowControl/>
              <w:jc w:val="center"/>
              <w:textAlignment w:val="center"/>
              <w:rPr>
                <w:color w:val="auto"/>
                <w:kern w:val="0"/>
                <w:szCs w:val="21"/>
                <w:lang w:bidi="ar"/>
              </w:rPr>
            </w:pPr>
            <w:r>
              <w:rPr>
                <w:color w:val="auto"/>
                <w:kern w:val="0"/>
                <w:szCs w:val="21"/>
                <w:lang w:bidi="ar"/>
              </w:rPr>
              <w:t>第四次</w:t>
            </w:r>
          </w:p>
        </w:tc>
        <w:tc>
          <w:tcPr>
            <w:tcW w:w="1422" w:type="dxa"/>
            <w:tcBorders>
              <w:tl2br w:val="nil"/>
              <w:tr2bl w:val="nil"/>
            </w:tcBorders>
            <w:vAlign w:val="center"/>
          </w:tcPr>
          <w:p w14:paraId="4D592FE3">
            <w:pPr>
              <w:bidi w:val="0"/>
              <w:jc w:val="center"/>
              <w:rPr>
                <w:rFonts w:hint="default"/>
                <w:color w:val="auto"/>
                <w:lang w:val="en-US" w:eastAsia="zh-CN"/>
              </w:rPr>
            </w:pPr>
            <w:r>
              <w:rPr>
                <w:rFonts w:hint="eastAsia"/>
                <w:color w:val="auto"/>
                <w:lang w:val="en-US" w:eastAsia="zh-CN"/>
              </w:rPr>
              <w:t>1.07</w:t>
            </w:r>
          </w:p>
        </w:tc>
        <w:tc>
          <w:tcPr>
            <w:tcW w:w="1423" w:type="dxa"/>
            <w:vMerge w:val="continue"/>
            <w:tcBorders>
              <w:tl2br w:val="nil"/>
              <w:tr2bl w:val="nil"/>
            </w:tcBorders>
            <w:vAlign w:val="center"/>
          </w:tcPr>
          <w:p w14:paraId="62C8E3A0">
            <w:pPr>
              <w:bidi w:val="0"/>
              <w:jc w:val="center"/>
              <w:rPr>
                <w:rFonts w:hint="eastAsia"/>
                <w:color w:val="auto"/>
                <w:lang w:val="en-US" w:eastAsia="zh-CN"/>
              </w:rPr>
            </w:pPr>
          </w:p>
        </w:tc>
        <w:tc>
          <w:tcPr>
            <w:tcW w:w="1423" w:type="dxa"/>
            <w:vMerge w:val="continue"/>
            <w:tcBorders>
              <w:tl2br w:val="nil"/>
              <w:tr2bl w:val="nil"/>
            </w:tcBorders>
            <w:vAlign w:val="center"/>
          </w:tcPr>
          <w:p w14:paraId="791C131A">
            <w:pPr>
              <w:bidi w:val="0"/>
              <w:jc w:val="center"/>
              <w:rPr>
                <w:rFonts w:hint="eastAsia"/>
                <w:color w:val="auto"/>
                <w:lang w:val="en-US" w:eastAsia="zh-CN"/>
              </w:rPr>
            </w:pPr>
          </w:p>
        </w:tc>
      </w:tr>
    </w:tbl>
    <w:p w14:paraId="2E2D077C">
      <w:pPr>
        <w:spacing w:line="360" w:lineRule="auto"/>
        <w:ind w:firstLine="480" w:firstLineChars="200"/>
        <w:rPr>
          <w:color w:val="auto"/>
          <w:sz w:val="24"/>
          <w:szCs w:val="32"/>
        </w:rPr>
      </w:pPr>
      <w:r>
        <w:rPr>
          <w:rFonts w:hint="eastAsia" w:ascii="Times New Roman" w:hAnsi="Times New Roman" w:cs="Times New Roman"/>
          <w:b w:val="0"/>
          <w:bCs w:val="0"/>
          <w:color w:val="auto"/>
          <w:sz w:val="24"/>
          <w:szCs w:val="32"/>
          <w:lang w:val="en-US" w:eastAsia="zh-CN"/>
        </w:rPr>
        <w:t>由上表监测数据可知，</w:t>
      </w:r>
      <w:r>
        <w:rPr>
          <w:color w:val="auto"/>
          <w:sz w:val="24"/>
          <w:szCs w:val="28"/>
        </w:rPr>
        <w:t>本项目生活污水经化粪池预处理后，</w:t>
      </w:r>
      <w:r>
        <w:rPr>
          <w:color w:val="auto"/>
          <w:sz w:val="24"/>
          <w:szCs w:val="32"/>
        </w:rPr>
        <w:t>废水排放</w:t>
      </w:r>
      <w:r>
        <w:rPr>
          <w:rFonts w:hint="eastAsia"/>
          <w:color w:val="auto"/>
          <w:sz w:val="24"/>
          <w:szCs w:val="32"/>
          <w:lang w:val="en-US" w:eastAsia="zh-CN"/>
        </w:rPr>
        <w:t>浓度满足</w:t>
      </w:r>
      <w:r>
        <w:rPr>
          <w:color w:val="auto"/>
          <w:sz w:val="24"/>
          <w:szCs w:val="32"/>
        </w:rPr>
        <w:t>濉溪县第二污水处理厂接管限值</w:t>
      </w:r>
      <w:r>
        <w:rPr>
          <w:rFonts w:hint="eastAsia"/>
          <w:color w:val="auto"/>
          <w:sz w:val="24"/>
          <w:szCs w:val="32"/>
          <w:lang w:val="en-US" w:eastAsia="zh-CN"/>
        </w:rPr>
        <w:t>要求</w:t>
      </w:r>
      <w:r>
        <w:rPr>
          <w:color w:val="auto"/>
          <w:sz w:val="24"/>
          <w:szCs w:val="32"/>
        </w:rPr>
        <w:t>。</w:t>
      </w:r>
    </w:p>
    <w:p w14:paraId="1084FD30">
      <w:pPr>
        <w:spacing w:line="360" w:lineRule="auto"/>
        <w:outlineLvl w:val="1"/>
        <w:rPr>
          <w:b/>
          <w:bCs/>
          <w:color w:val="auto"/>
          <w:sz w:val="28"/>
          <w:szCs w:val="36"/>
        </w:rPr>
      </w:pPr>
      <w:bookmarkStart w:id="367" w:name="_Toc25721"/>
      <w:bookmarkStart w:id="368" w:name="OLE_LINK1"/>
      <w:r>
        <w:rPr>
          <w:b/>
          <w:bCs/>
          <w:color w:val="auto"/>
          <w:sz w:val="28"/>
          <w:szCs w:val="36"/>
        </w:rPr>
        <w:t>5.3噪声防治措</w:t>
      </w:r>
      <w:bookmarkStart w:id="369" w:name="OLE_LINK2"/>
      <w:r>
        <w:rPr>
          <w:b/>
          <w:bCs/>
          <w:color w:val="auto"/>
          <w:sz w:val="28"/>
          <w:szCs w:val="36"/>
        </w:rPr>
        <w:t>施有效性评估</w:t>
      </w:r>
      <w:bookmarkEnd w:id="367"/>
      <w:bookmarkEnd w:id="369"/>
    </w:p>
    <w:bookmarkEnd w:id="368"/>
    <w:p w14:paraId="58F1C572">
      <w:pPr>
        <w:spacing w:line="360" w:lineRule="auto"/>
        <w:ind w:firstLine="480" w:firstLineChars="200"/>
        <w:rPr>
          <w:color w:val="auto"/>
        </w:rPr>
      </w:pPr>
      <w:r>
        <w:rPr>
          <w:color w:val="auto"/>
          <w:sz w:val="24"/>
          <w:szCs w:val="32"/>
        </w:rPr>
        <w:t>项目产噪设备有</w:t>
      </w:r>
      <w:r>
        <w:rPr>
          <w:rFonts w:hint="eastAsia"/>
          <w:color w:val="auto"/>
          <w:sz w:val="24"/>
          <w:szCs w:val="32"/>
        </w:rPr>
        <w:t>各种</w:t>
      </w:r>
      <w:r>
        <w:rPr>
          <w:rFonts w:hint="eastAsia"/>
          <w:color w:val="auto"/>
          <w:sz w:val="24"/>
          <w:szCs w:val="32"/>
          <w:lang w:val="en-US" w:eastAsia="zh-CN"/>
        </w:rPr>
        <w:t>类生产设备</w:t>
      </w:r>
      <w:r>
        <w:rPr>
          <w:rFonts w:hint="eastAsia"/>
          <w:color w:val="auto"/>
          <w:sz w:val="24"/>
          <w:szCs w:val="32"/>
        </w:rPr>
        <w:t>、空压机</w:t>
      </w:r>
      <w:r>
        <w:rPr>
          <w:color w:val="auto"/>
          <w:sz w:val="24"/>
          <w:szCs w:val="32"/>
        </w:rPr>
        <w:t>等，采取消音、减振、隔声等降噪措施。根据</w:t>
      </w:r>
      <w:r>
        <w:rPr>
          <w:rFonts w:hint="eastAsia"/>
          <w:color w:val="auto"/>
          <w:kern w:val="24"/>
          <w:sz w:val="24"/>
          <w:lang w:val="en-US" w:eastAsia="zh-CN"/>
        </w:rPr>
        <w:t>安徽省裕康铝业有限公司经营该项目期间的</w:t>
      </w:r>
      <w:r>
        <w:rPr>
          <w:color w:val="auto"/>
          <w:sz w:val="24"/>
          <w:szCs w:val="32"/>
        </w:rPr>
        <w:t>例行监测结果，各厂界噪声达标排放情况分析见下表。</w:t>
      </w:r>
    </w:p>
    <w:p w14:paraId="4E308A4B">
      <w:pPr>
        <w:adjustRightInd w:val="0"/>
        <w:snapToGrid w:val="0"/>
        <w:spacing w:line="360" w:lineRule="auto"/>
        <w:jc w:val="center"/>
        <w:rPr>
          <w:b/>
          <w:bCs/>
          <w:color w:val="auto"/>
          <w:sz w:val="24"/>
          <w:szCs w:val="32"/>
        </w:rPr>
      </w:pPr>
      <w:r>
        <w:rPr>
          <w:b/>
          <w:bCs/>
          <w:color w:val="auto"/>
          <w:sz w:val="24"/>
          <w:szCs w:val="32"/>
        </w:rPr>
        <w:t>表5-</w:t>
      </w:r>
      <w:r>
        <w:rPr>
          <w:rFonts w:hint="eastAsia"/>
          <w:b/>
          <w:bCs/>
          <w:color w:val="auto"/>
          <w:sz w:val="24"/>
          <w:szCs w:val="32"/>
          <w:lang w:val="en-US" w:eastAsia="zh-CN"/>
        </w:rPr>
        <w:t>6</w:t>
      </w:r>
      <w:r>
        <w:rPr>
          <w:b/>
          <w:bCs/>
          <w:color w:val="auto"/>
          <w:sz w:val="24"/>
          <w:szCs w:val="32"/>
        </w:rPr>
        <w:t xml:space="preserve"> 各厂界噪声达标排放情况一览表</w:t>
      </w:r>
    </w:p>
    <w:tbl>
      <w:tblPr>
        <w:tblStyle w:val="31"/>
        <w:tblW w:w="4991"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15" w:type="dxa"/>
          <w:left w:w="15" w:type="dxa"/>
          <w:bottom w:w="15" w:type="dxa"/>
          <w:right w:w="15" w:type="dxa"/>
        </w:tblCellMar>
      </w:tblPr>
      <w:tblGrid>
        <w:gridCol w:w="1618"/>
        <w:gridCol w:w="1622"/>
        <w:gridCol w:w="3259"/>
        <w:gridCol w:w="3259"/>
      </w:tblGrid>
      <w:tr w14:paraId="4F544F1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vMerge w:val="restart"/>
            <w:tcBorders>
              <w:tl2br w:val="nil"/>
              <w:tr2bl w:val="nil"/>
            </w:tcBorders>
            <w:noWrap/>
            <w:vAlign w:val="center"/>
          </w:tcPr>
          <w:p w14:paraId="5FEDFD3F">
            <w:pPr>
              <w:widowControl/>
              <w:jc w:val="center"/>
              <w:textAlignment w:val="center"/>
              <w:rPr>
                <w:b/>
                <w:bCs/>
                <w:color w:val="auto"/>
                <w:szCs w:val="21"/>
              </w:rPr>
            </w:pPr>
            <w:r>
              <w:rPr>
                <w:b/>
                <w:bCs/>
                <w:color w:val="auto"/>
                <w:kern w:val="0"/>
                <w:szCs w:val="21"/>
                <w:lang w:bidi="ar"/>
              </w:rPr>
              <w:t>测点位置</w:t>
            </w:r>
          </w:p>
        </w:tc>
        <w:tc>
          <w:tcPr>
            <w:tcW w:w="831" w:type="pct"/>
            <w:vMerge w:val="restart"/>
            <w:tcBorders>
              <w:tl2br w:val="nil"/>
              <w:tr2bl w:val="nil"/>
            </w:tcBorders>
            <w:noWrap/>
            <w:vAlign w:val="center"/>
          </w:tcPr>
          <w:p w14:paraId="5B7F0886">
            <w:pPr>
              <w:widowControl/>
              <w:jc w:val="center"/>
              <w:textAlignment w:val="center"/>
              <w:rPr>
                <w:b/>
                <w:bCs/>
                <w:color w:val="auto"/>
                <w:szCs w:val="21"/>
              </w:rPr>
            </w:pPr>
            <w:r>
              <w:rPr>
                <w:b/>
                <w:bCs/>
                <w:color w:val="auto"/>
                <w:kern w:val="0"/>
                <w:szCs w:val="21"/>
                <w:lang w:bidi="ar"/>
              </w:rPr>
              <w:t>主要声源</w:t>
            </w:r>
          </w:p>
        </w:tc>
        <w:tc>
          <w:tcPr>
            <w:tcW w:w="3338" w:type="pct"/>
            <w:gridSpan w:val="2"/>
            <w:tcBorders>
              <w:tl2br w:val="nil"/>
              <w:tr2bl w:val="nil"/>
            </w:tcBorders>
            <w:noWrap/>
            <w:vAlign w:val="center"/>
          </w:tcPr>
          <w:p w14:paraId="36AD9C23">
            <w:pPr>
              <w:widowControl/>
              <w:jc w:val="center"/>
              <w:textAlignment w:val="center"/>
              <w:rPr>
                <w:rFonts w:hint="default" w:eastAsia="宋体"/>
                <w:b/>
                <w:bCs/>
                <w:color w:val="auto"/>
                <w:szCs w:val="21"/>
                <w:lang w:val="en-US" w:eastAsia="zh-CN"/>
              </w:rPr>
            </w:pPr>
            <w:r>
              <w:rPr>
                <w:b/>
                <w:bCs/>
                <w:color w:val="auto"/>
                <w:kern w:val="0"/>
                <w:szCs w:val="21"/>
                <w:lang w:bidi="ar"/>
              </w:rPr>
              <w:t>2024/0</w:t>
            </w:r>
            <w:r>
              <w:rPr>
                <w:rFonts w:hint="eastAsia"/>
                <w:b/>
                <w:bCs/>
                <w:color w:val="auto"/>
                <w:kern w:val="0"/>
                <w:szCs w:val="21"/>
                <w:lang w:val="en-US" w:eastAsia="zh-CN" w:bidi="ar"/>
              </w:rPr>
              <w:t>8</w:t>
            </w:r>
            <w:r>
              <w:rPr>
                <w:b/>
                <w:bCs/>
                <w:color w:val="auto"/>
                <w:kern w:val="0"/>
                <w:szCs w:val="21"/>
                <w:lang w:bidi="ar"/>
              </w:rPr>
              <w:t>/</w:t>
            </w:r>
            <w:r>
              <w:rPr>
                <w:rFonts w:hint="eastAsia"/>
                <w:b/>
                <w:bCs/>
                <w:color w:val="auto"/>
                <w:kern w:val="0"/>
                <w:szCs w:val="21"/>
                <w:lang w:val="en-US" w:eastAsia="zh-CN" w:bidi="ar"/>
              </w:rPr>
              <w:t>27</w:t>
            </w:r>
          </w:p>
        </w:tc>
      </w:tr>
      <w:tr w14:paraId="2476277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vMerge w:val="continue"/>
            <w:tcBorders>
              <w:tl2br w:val="nil"/>
              <w:tr2bl w:val="nil"/>
            </w:tcBorders>
            <w:noWrap/>
            <w:vAlign w:val="center"/>
          </w:tcPr>
          <w:p w14:paraId="0323EE91">
            <w:pPr>
              <w:jc w:val="center"/>
              <w:rPr>
                <w:b/>
                <w:bCs/>
                <w:color w:val="auto"/>
                <w:szCs w:val="21"/>
              </w:rPr>
            </w:pPr>
          </w:p>
        </w:tc>
        <w:tc>
          <w:tcPr>
            <w:tcW w:w="831" w:type="pct"/>
            <w:vMerge w:val="continue"/>
            <w:tcBorders>
              <w:tl2br w:val="nil"/>
              <w:tr2bl w:val="nil"/>
            </w:tcBorders>
            <w:noWrap/>
            <w:vAlign w:val="center"/>
          </w:tcPr>
          <w:p w14:paraId="772FE75D">
            <w:pPr>
              <w:jc w:val="center"/>
              <w:rPr>
                <w:b/>
                <w:bCs/>
                <w:color w:val="auto"/>
                <w:szCs w:val="21"/>
              </w:rPr>
            </w:pPr>
          </w:p>
        </w:tc>
        <w:tc>
          <w:tcPr>
            <w:tcW w:w="1669" w:type="pct"/>
            <w:tcBorders>
              <w:tl2br w:val="nil"/>
              <w:tr2bl w:val="nil"/>
            </w:tcBorders>
            <w:noWrap/>
            <w:vAlign w:val="center"/>
          </w:tcPr>
          <w:p w14:paraId="6F4CAD17">
            <w:pPr>
              <w:widowControl/>
              <w:jc w:val="center"/>
              <w:textAlignment w:val="center"/>
              <w:rPr>
                <w:b/>
                <w:bCs/>
                <w:color w:val="auto"/>
                <w:szCs w:val="21"/>
              </w:rPr>
            </w:pPr>
            <w:r>
              <w:rPr>
                <w:b/>
                <w:bCs/>
                <w:color w:val="auto"/>
                <w:kern w:val="0"/>
                <w:szCs w:val="21"/>
                <w:lang w:bidi="ar"/>
              </w:rPr>
              <w:t>测量时间</w:t>
            </w:r>
          </w:p>
        </w:tc>
        <w:tc>
          <w:tcPr>
            <w:tcW w:w="1669" w:type="pct"/>
            <w:tcBorders>
              <w:tl2br w:val="nil"/>
              <w:tr2bl w:val="nil"/>
            </w:tcBorders>
            <w:noWrap/>
            <w:vAlign w:val="center"/>
          </w:tcPr>
          <w:p w14:paraId="36C49381">
            <w:pPr>
              <w:widowControl/>
              <w:jc w:val="center"/>
              <w:textAlignment w:val="center"/>
              <w:rPr>
                <w:b/>
                <w:bCs/>
                <w:color w:val="auto"/>
                <w:szCs w:val="21"/>
              </w:rPr>
            </w:pPr>
            <w:r>
              <w:rPr>
                <w:b/>
                <w:bCs/>
                <w:color w:val="auto"/>
                <w:kern w:val="0"/>
                <w:szCs w:val="21"/>
                <w:lang w:bidi="ar"/>
              </w:rPr>
              <w:t>结果</w:t>
            </w:r>
          </w:p>
        </w:tc>
      </w:tr>
      <w:tr w14:paraId="48CA374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1691ED7D">
            <w:pPr>
              <w:widowControl/>
              <w:jc w:val="center"/>
              <w:textAlignment w:val="center"/>
              <w:rPr>
                <w:color w:val="auto"/>
                <w:szCs w:val="21"/>
              </w:rPr>
            </w:pPr>
            <w:r>
              <w:rPr>
                <w:color w:val="auto"/>
                <w:kern w:val="0"/>
                <w:szCs w:val="21"/>
                <w:lang w:bidi="ar"/>
              </w:rPr>
              <w:t>东厂界处</w:t>
            </w:r>
          </w:p>
        </w:tc>
        <w:tc>
          <w:tcPr>
            <w:tcW w:w="831" w:type="pct"/>
            <w:vMerge w:val="restart"/>
            <w:tcBorders>
              <w:tl2br w:val="nil"/>
              <w:tr2bl w:val="nil"/>
            </w:tcBorders>
            <w:noWrap/>
            <w:vAlign w:val="center"/>
          </w:tcPr>
          <w:p w14:paraId="5F252D66">
            <w:pPr>
              <w:widowControl/>
              <w:jc w:val="center"/>
              <w:textAlignment w:val="center"/>
              <w:rPr>
                <w:color w:val="auto"/>
                <w:szCs w:val="21"/>
              </w:rPr>
            </w:pPr>
            <w:r>
              <w:rPr>
                <w:color w:val="auto"/>
                <w:kern w:val="0"/>
                <w:szCs w:val="21"/>
                <w:lang w:bidi="ar"/>
              </w:rPr>
              <w:t>厂界噪声</w:t>
            </w:r>
          </w:p>
        </w:tc>
        <w:tc>
          <w:tcPr>
            <w:tcW w:w="1669" w:type="pct"/>
            <w:tcBorders>
              <w:tl2br w:val="nil"/>
              <w:tr2bl w:val="nil"/>
            </w:tcBorders>
            <w:noWrap/>
            <w:vAlign w:val="center"/>
          </w:tcPr>
          <w:p w14:paraId="33F1B89F">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10</w:t>
            </w:r>
            <w:r>
              <w:rPr>
                <w:color w:val="auto"/>
                <w:kern w:val="0"/>
                <w:szCs w:val="21"/>
                <w:lang w:bidi="ar"/>
              </w:rPr>
              <w:t>:</w:t>
            </w:r>
            <w:r>
              <w:rPr>
                <w:rFonts w:hint="eastAsia"/>
                <w:color w:val="auto"/>
                <w:kern w:val="0"/>
                <w:szCs w:val="21"/>
                <w:lang w:val="en-US" w:eastAsia="zh-CN" w:bidi="ar"/>
              </w:rPr>
              <w:t>52</w:t>
            </w:r>
          </w:p>
        </w:tc>
        <w:tc>
          <w:tcPr>
            <w:tcW w:w="1669" w:type="pct"/>
            <w:tcBorders>
              <w:tl2br w:val="nil"/>
              <w:tr2bl w:val="nil"/>
            </w:tcBorders>
            <w:noWrap/>
            <w:vAlign w:val="center"/>
          </w:tcPr>
          <w:p w14:paraId="2D096A5D">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58.3</w:t>
            </w:r>
          </w:p>
        </w:tc>
      </w:tr>
      <w:tr w14:paraId="090AC9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360E8B9C">
            <w:pPr>
              <w:widowControl/>
              <w:jc w:val="center"/>
              <w:textAlignment w:val="center"/>
              <w:rPr>
                <w:color w:val="auto"/>
                <w:szCs w:val="21"/>
              </w:rPr>
            </w:pPr>
            <w:r>
              <w:rPr>
                <w:color w:val="auto"/>
                <w:kern w:val="0"/>
                <w:szCs w:val="21"/>
                <w:lang w:bidi="ar"/>
              </w:rPr>
              <w:t>南厂界处</w:t>
            </w:r>
          </w:p>
        </w:tc>
        <w:tc>
          <w:tcPr>
            <w:tcW w:w="831" w:type="pct"/>
            <w:vMerge w:val="continue"/>
            <w:tcBorders>
              <w:tl2br w:val="nil"/>
              <w:tr2bl w:val="nil"/>
            </w:tcBorders>
            <w:noWrap/>
            <w:vAlign w:val="center"/>
          </w:tcPr>
          <w:p w14:paraId="49E9AE3A">
            <w:pPr>
              <w:jc w:val="center"/>
              <w:rPr>
                <w:color w:val="auto"/>
                <w:szCs w:val="21"/>
              </w:rPr>
            </w:pPr>
          </w:p>
        </w:tc>
        <w:tc>
          <w:tcPr>
            <w:tcW w:w="1669" w:type="pct"/>
            <w:tcBorders>
              <w:tl2br w:val="nil"/>
              <w:tr2bl w:val="nil"/>
            </w:tcBorders>
            <w:noWrap/>
            <w:vAlign w:val="center"/>
          </w:tcPr>
          <w:p w14:paraId="7E8D4E37">
            <w:pPr>
              <w:widowControl/>
              <w:jc w:val="center"/>
              <w:textAlignment w:val="center"/>
              <w:rPr>
                <w:rFonts w:hint="default"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w:t>
            </w:r>
            <w:r>
              <w:rPr>
                <w:rFonts w:hint="eastAsia"/>
                <w:color w:val="auto"/>
                <w:kern w:val="0"/>
                <w:szCs w:val="21"/>
                <w:lang w:val="en-US" w:eastAsia="zh-CN" w:bidi="ar"/>
              </w:rPr>
              <w:t>23</w:t>
            </w:r>
          </w:p>
        </w:tc>
        <w:tc>
          <w:tcPr>
            <w:tcW w:w="1669" w:type="pct"/>
            <w:tcBorders>
              <w:tl2br w:val="nil"/>
              <w:tr2bl w:val="nil"/>
            </w:tcBorders>
            <w:noWrap/>
            <w:vAlign w:val="center"/>
          </w:tcPr>
          <w:p w14:paraId="202DAA19">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55.8</w:t>
            </w:r>
          </w:p>
        </w:tc>
      </w:tr>
      <w:tr w14:paraId="00C4E30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54592364">
            <w:pPr>
              <w:widowControl/>
              <w:jc w:val="center"/>
              <w:textAlignment w:val="center"/>
              <w:rPr>
                <w:color w:val="auto"/>
                <w:szCs w:val="21"/>
              </w:rPr>
            </w:pPr>
            <w:r>
              <w:rPr>
                <w:color w:val="auto"/>
                <w:kern w:val="0"/>
                <w:szCs w:val="21"/>
                <w:lang w:bidi="ar"/>
              </w:rPr>
              <w:t>西厂界处</w:t>
            </w:r>
          </w:p>
        </w:tc>
        <w:tc>
          <w:tcPr>
            <w:tcW w:w="831" w:type="pct"/>
            <w:vMerge w:val="continue"/>
            <w:tcBorders>
              <w:tl2br w:val="nil"/>
              <w:tr2bl w:val="nil"/>
            </w:tcBorders>
            <w:noWrap/>
            <w:vAlign w:val="center"/>
          </w:tcPr>
          <w:p w14:paraId="783D2119">
            <w:pPr>
              <w:jc w:val="center"/>
              <w:rPr>
                <w:color w:val="auto"/>
                <w:szCs w:val="21"/>
              </w:rPr>
            </w:pPr>
          </w:p>
        </w:tc>
        <w:tc>
          <w:tcPr>
            <w:tcW w:w="1669" w:type="pct"/>
            <w:tcBorders>
              <w:tl2br w:val="nil"/>
              <w:tr2bl w:val="nil"/>
            </w:tcBorders>
            <w:noWrap/>
            <w:vAlign w:val="center"/>
          </w:tcPr>
          <w:p w14:paraId="39E2B4DE">
            <w:pPr>
              <w:widowControl/>
              <w:jc w:val="center"/>
              <w:textAlignment w:val="center"/>
              <w:rPr>
                <w:rFonts w:hint="default"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w:t>
            </w:r>
            <w:r>
              <w:rPr>
                <w:rFonts w:hint="eastAsia"/>
                <w:color w:val="auto"/>
                <w:kern w:val="0"/>
                <w:szCs w:val="21"/>
                <w:lang w:val="en-US" w:eastAsia="zh-CN" w:bidi="ar"/>
              </w:rPr>
              <w:t>36</w:t>
            </w:r>
          </w:p>
        </w:tc>
        <w:tc>
          <w:tcPr>
            <w:tcW w:w="1669" w:type="pct"/>
            <w:tcBorders>
              <w:tl2br w:val="nil"/>
              <w:tr2bl w:val="nil"/>
            </w:tcBorders>
            <w:noWrap/>
            <w:vAlign w:val="center"/>
          </w:tcPr>
          <w:p w14:paraId="3EA19B41">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54.4</w:t>
            </w:r>
          </w:p>
        </w:tc>
      </w:tr>
      <w:tr w14:paraId="2BFA8CE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829" w:type="pct"/>
            <w:tcBorders>
              <w:tl2br w:val="nil"/>
              <w:tr2bl w:val="nil"/>
            </w:tcBorders>
            <w:noWrap/>
            <w:vAlign w:val="center"/>
          </w:tcPr>
          <w:p w14:paraId="07E87BC6">
            <w:pPr>
              <w:widowControl/>
              <w:jc w:val="center"/>
              <w:textAlignment w:val="center"/>
              <w:rPr>
                <w:color w:val="auto"/>
                <w:szCs w:val="21"/>
              </w:rPr>
            </w:pPr>
            <w:r>
              <w:rPr>
                <w:color w:val="auto"/>
                <w:kern w:val="0"/>
                <w:szCs w:val="21"/>
                <w:lang w:bidi="ar"/>
              </w:rPr>
              <w:t>北厂界处</w:t>
            </w:r>
          </w:p>
        </w:tc>
        <w:tc>
          <w:tcPr>
            <w:tcW w:w="831" w:type="pct"/>
            <w:vMerge w:val="continue"/>
            <w:tcBorders>
              <w:tl2br w:val="nil"/>
              <w:tr2bl w:val="nil"/>
            </w:tcBorders>
            <w:noWrap/>
            <w:vAlign w:val="center"/>
          </w:tcPr>
          <w:p w14:paraId="40E63FD2">
            <w:pPr>
              <w:jc w:val="center"/>
              <w:rPr>
                <w:color w:val="auto"/>
                <w:szCs w:val="21"/>
              </w:rPr>
            </w:pPr>
          </w:p>
        </w:tc>
        <w:tc>
          <w:tcPr>
            <w:tcW w:w="1669" w:type="pct"/>
            <w:tcBorders>
              <w:tl2br w:val="nil"/>
              <w:tr2bl w:val="nil"/>
            </w:tcBorders>
            <w:noWrap/>
            <w:vAlign w:val="center"/>
          </w:tcPr>
          <w:p w14:paraId="4B89F1A5">
            <w:pPr>
              <w:widowControl/>
              <w:jc w:val="center"/>
              <w:textAlignment w:val="center"/>
              <w:rPr>
                <w:rFonts w:hint="eastAsia" w:eastAsia="宋体"/>
                <w:color w:val="auto"/>
                <w:szCs w:val="21"/>
                <w:lang w:val="en-US" w:eastAsia="zh-CN"/>
              </w:rPr>
            </w:pPr>
            <w:r>
              <w:rPr>
                <w:color w:val="auto"/>
                <w:kern w:val="0"/>
                <w:szCs w:val="21"/>
                <w:lang w:bidi="ar"/>
              </w:rPr>
              <w:t>1</w:t>
            </w:r>
            <w:r>
              <w:rPr>
                <w:rFonts w:hint="eastAsia"/>
                <w:color w:val="auto"/>
                <w:kern w:val="0"/>
                <w:szCs w:val="21"/>
                <w:lang w:val="en-US" w:eastAsia="zh-CN" w:bidi="ar"/>
              </w:rPr>
              <w:t>0</w:t>
            </w:r>
            <w:r>
              <w:rPr>
                <w:color w:val="auto"/>
                <w:kern w:val="0"/>
                <w:szCs w:val="21"/>
                <w:lang w:bidi="ar"/>
              </w:rPr>
              <w:t>:0</w:t>
            </w:r>
            <w:r>
              <w:rPr>
                <w:rFonts w:hint="eastAsia"/>
                <w:color w:val="auto"/>
                <w:kern w:val="0"/>
                <w:szCs w:val="21"/>
                <w:lang w:val="en-US" w:eastAsia="zh-CN" w:bidi="ar"/>
              </w:rPr>
              <w:t>9</w:t>
            </w:r>
          </w:p>
        </w:tc>
        <w:tc>
          <w:tcPr>
            <w:tcW w:w="1669" w:type="pct"/>
            <w:tcBorders>
              <w:tl2br w:val="nil"/>
              <w:tr2bl w:val="nil"/>
            </w:tcBorders>
            <w:noWrap/>
            <w:vAlign w:val="center"/>
          </w:tcPr>
          <w:p w14:paraId="40B9F79D">
            <w:pPr>
              <w:widowControl/>
              <w:jc w:val="center"/>
              <w:textAlignment w:val="center"/>
              <w:rPr>
                <w:rFonts w:hint="default" w:eastAsia="宋体"/>
                <w:color w:val="auto"/>
                <w:szCs w:val="21"/>
                <w:lang w:val="en-US" w:eastAsia="zh-CN"/>
              </w:rPr>
            </w:pPr>
            <w:r>
              <w:rPr>
                <w:rFonts w:hint="eastAsia"/>
                <w:color w:val="auto"/>
                <w:kern w:val="0"/>
                <w:szCs w:val="21"/>
                <w:lang w:val="en-US" w:eastAsia="zh-CN" w:bidi="ar"/>
              </w:rPr>
              <w:t>54.9</w:t>
            </w:r>
          </w:p>
        </w:tc>
      </w:tr>
    </w:tbl>
    <w:p w14:paraId="5178D449">
      <w:pPr>
        <w:spacing w:line="360" w:lineRule="auto"/>
        <w:ind w:firstLine="480" w:firstLineChars="200"/>
        <w:rPr>
          <w:color w:val="auto"/>
          <w:sz w:val="24"/>
        </w:rPr>
      </w:pPr>
      <w:r>
        <w:rPr>
          <w:rFonts w:hint="eastAsia"/>
          <w:color w:val="auto"/>
          <w:sz w:val="24"/>
        </w:rPr>
        <w:t>由上表可知，</w:t>
      </w:r>
      <w:r>
        <w:rPr>
          <w:color w:val="auto"/>
          <w:sz w:val="24"/>
        </w:rPr>
        <w:t>厂界四周</w:t>
      </w:r>
      <w:r>
        <w:rPr>
          <w:rFonts w:hint="eastAsia"/>
          <w:color w:val="auto"/>
          <w:sz w:val="24"/>
        </w:rPr>
        <w:t>昼</w:t>
      </w:r>
      <w:r>
        <w:rPr>
          <w:rFonts w:hint="eastAsia"/>
          <w:color w:val="auto"/>
          <w:sz w:val="24"/>
          <w:lang w:val="en-US" w:eastAsia="zh-CN"/>
        </w:rPr>
        <w:t>间</w:t>
      </w:r>
      <w:r>
        <w:rPr>
          <w:color w:val="auto"/>
          <w:sz w:val="24"/>
        </w:rPr>
        <w:t>噪声符合《声环境质量标准》（GB3096-2008）中3类标准要求。</w:t>
      </w:r>
    </w:p>
    <w:p w14:paraId="2374CE83">
      <w:pPr>
        <w:spacing w:line="360" w:lineRule="auto"/>
        <w:outlineLvl w:val="1"/>
        <w:rPr>
          <w:b/>
          <w:bCs/>
          <w:color w:val="auto"/>
          <w:sz w:val="28"/>
          <w:szCs w:val="36"/>
        </w:rPr>
      </w:pPr>
      <w:bookmarkStart w:id="370" w:name="_Toc18517"/>
      <w:r>
        <w:rPr>
          <w:b/>
          <w:bCs/>
          <w:color w:val="auto"/>
          <w:sz w:val="28"/>
          <w:szCs w:val="36"/>
        </w:rPr>
        <w:t>5.4固废防治措施有效性评估</w:t>
      </w:r>
      <w:bookmarkEnd w:id="370"/>
    </w:p>
    <w:p w14:paraId="532330D6">
      <w:pPr>
        <w:spacing w:line="360" w:lineRule="auto"/>
        <w:outlineLvl w:val="2"/>
        <w:rPr>
          <w:b/>
          <w:bCs/>
          <w:color w:val="auto"/>
          <w:sz w:val="24"/>
          <w:szCs w:val="32"/>
        </w:rPr>
      </w:pPr>
      <w:r>
        <w:rPr>
          <w:b/>
          <w:bCs/>
          <w:color w:val="auto"/>
          <w:sz w:val="24"/>
          <w:szCs w:val="32"/>
        </w:rPr>
        <w:t>5.4.1 固体废物防治措施</w:t>
      </w:r>
    </w:p>
    <w:p w14:paraId="2432EA2F">
      <w:pPr>
        <w:spacing w:line="360" w:lineRule="auto"/>
        <w:ind w:firstLine="480" w:firstLineChars="200"/>
        <w:rPr>
          <w:rFonts w:hint="eastAsia"/>
          <w:color w:val="auto"/>
          <w:sz w:val="24"/>
          <w:szCs w:val="32"/>
          <w:highlight w:val="none"/>
          <w:lang w:val="en-US" w:eastAsia="zh-CN"/>
        </w:rPr>
      </w:pPr>
      <w:r>
        <w:rPr>
          <w:rFonts w:hint="eastAsia"/>
          <w:color w:val="auto"/>
          <w:sz w:val="24"/>
          <w:szCs w:val="32"/>
          <w:highlight w:val="none"/>
          <w:lang w:val="en-US" w:eastAsia="zh-CN"/>
        </w:rPr>
        <w:t>厂区设置1座200</w:t>
      </w:r>
      <w:r>
        <w:rPr>
          <w:rFonts w:hint="eastAsia"/>
          <w:color w:val="auto"/>
          <w:sz w:val="24"/>
          <w:szCs w:val="32"/>
          <w:highlight w:val="none"/>
        </w:rPr>
        <w:t>m</w:t>
      </w:r>
      <w:r>
        <w:rPr>
          <w:rFonts w:hint="eastAsia"/>
          <w:color w:val="auto"/>
          <w:sz w:val="24"/>
          <w:szCs w:val="32"/>
          <w:highlight w:val="none"/>
          <w:vertAlign w:val="superscript"/>
        </w:rPr>
        <w:t>2</w:t>
      </w:r>
      <w:r>
        <w:rPr>
          <w:rFonts w:hint="eastAsia"/>
          <w:color w:val="auto"/>
          <w:sz w:val="24"/>
          <w:szCs w:val="32"/>
          <w:highlight w:val="none"/>
          <w:lang w:val="en-US" w:eastAsia="zh-CN"/>
        </w:rPr>
        <w:t>危废暂存间（废铝灰与其他危险废物分区域暂存）</w:t>
      </w:r>
      <w:r>
        <w:rPr>
          <w:rFonts w:hint="eastAsia"/>
          <w:color w:val="auto"/>
          <w:sz w:val="24"/>
          <w:szCs w:val="32"/>
          <w:highlight w:val="none"/>
          <w:lang w:eastAsia="zh-CN"/>
        </w:rPr>
        <w:t>，</w:t>
      </w:r>
      <w:r>
        <w:rPr>
          <w:rFonts w:hint="eastAsia"/>
          <w:color w:val="auto"/>
          <w:sz w:val="24"/>
          <w:szCs w:val="32"/>
          <w:highlight w:val="none"/>
          <w:lang w:val="en-US" w:eastAsia="zh-CN"/>
        </w:rPr>
        <w:t>项目铝灰暂存时产生氨气经收集后采用一级水喷淋装置处理，处理后由1根15m高（DA002）排气筒排放。</w:t>
      </w:r>
    </w:p>
    <w:p w14:paraId="3519C3CE">
      <w:pPr>
        <w:spacing w:line="360" w:lineRule="auto"/>
        <w:ind w:firstLine="480" w:firstLineChars="200"/>
        <w:rPr>
          <w:color w:val="auto"/>
          <w:sz w:val="24"/>
          <w:szCs w:val="32"/>
          <w:highlight w:val="none"/>
        </w:rPr>
      </w:pPr>
      <w:r>
        <w:rPr>
          <w:color w:val="auto"/>
          <w:sz w:val="24"/>
          <w:szCs w:val="32"/>
          <w:highlight w:val="none"/>
        </w:rPr>
        <w:t>建设项目根据固体废物的不同类型，分别采用不同的切实可行的处理、处置方案，按照《危险废物贮存污染控制标准》（GB18597-2023）有关标准，建设了耐腐蚀的硬化地面、防渗和堵截泄漏的集液井等措施；仓库设置警示标志、废气处理设施；装有危险废物的容器等贴有标签</w:t>
      </w:r>
      <w:r>
        <w:rPr>
          <w:rFonts w:hint="eastAsia"/>
          <w:color w:val="auto"/>
          <w:sz w:val="24"/>
          <w:szCs w:val="32"/>
          <w:highlight w:val="none"/>
        </w:rPr>
        <w:t>，</w:t>
      </w:r>
      <w:r>
        <w:rPr>
          <w:color w:val="auto"/>
          <w:sz w:val="24"/>
          <w:szCs w:val="32"/>
          <w:highlight w:val="none"/>
        </w:rPr>
        <w:t>固体处置率达到了100%，不会产生二次污染，固废</w:t>
      </w:r>
      <w:bookmarkStart w:id="371" w:name="OLE_LINK66"/>
      <w:r>
        <w:rPr>
          <w:color w:val="auto"/>
          <w:sz w:val="24"/>
          <w:szCs w:val="32"/>
          <w:highlight w:val="none"/>
        </w:rPr>
        <w:t>污染防治措施有效</w:t>
      </w:r>
      <w:bookmarkEnd w:id="371"/>
      <w:r>
        <w:rPr>
          <w:color w:val="auto"/>
          <w:sz w:val="24"/>
          <w:szCs w:val="32"/>
          <w:highlight w:val="none"/>
        </w:rPr>
        <w:t>。</w:t>
      </w:r>
    </w:p>
    <w:p w14:paraId="38797A8C">
      <w:pPr>
        <w:spacing w:line="360" w:lineRule="auto"/>
        <w:outlineLvl w:val="2"/>
        <w:rPr>
          <w:color w:val="auto"/>
          <w:sz w:val="24"/>
          <w:szCs w:val="32"/>
        </w:rPr>
      </w:pPr>
      <w:r>
        <w:rPr>
          <w:b/>
          <w:bCs/>
          <w:color w:val="auto"/>
          <w:sz w:val="24"/>
          <w:szCs w:val="32"/>
        </w:rPr>
        <w:t>5.4.2 防渗措施有效性评估</w:t>
      </w:r>
    </w:p>
    <w:p w14:paraId="701F9DAF">
      <w:pPr>
        <w:pStyle w:val="15"/>
        <w:spacing w:line="360" w:lineRule="auto"/>
        <w:ind w:left="0" w:leftChars="0" w:right="0" w:rightChars="0" w:firstLine="480" w:firstLineChars="200"/>
        <w:rPr>
          <w:rFonts w:hint="default" w:ascii="Times New Roman" w:hAnsi="Times New Roman" w:cs="Times New Roman"/>
          <w:color w:val="auto"/>
          <w:sz w:val="24"/>
          <w:szCs w:val="32"/>
        </w:rPr>
      </w:pPr>
      <w:r>
        <w:rPr>
          <w:rFonts w:hint="default" w:ascii="Times New Roman" w:hAnsi="Times New Roman" w:cs="Times New Roman"/>
          <w:color w:val="auto"/>
          <w:sz w:val="24"/>
          <w:szCs w:val="32"/>
        </w:rPr>
        <w:t>本次后环评</w:t>
      </w:r>
      <w:r>
        <w:rPr>
          <w:rFonts w:hint="default" w:ascii="Times New Roman" w:hAnsi="Times New Roman" w:cs="Times New Roman"/>
          <w:color w:val="auto"/>
          <w:sz w:val="24"/>
          <w:szCs w:val="32"/>
          <w:lang w:val="en-US" w:eastAsia="zh-CN"/>
        </w:rPr>
        <w:t>委托合肥圆规监测技术有限公司于2026年3月14日</w:t>
      </w:r>
      <w:r>
        <w:rPr>
          <w:rFonts w:hint="default" w:ascii="Times New Roman" w:hAnsi="Times New Roman" w:cs="Times New Roman"/>
          <w:color w:val="auto"/>
          <w:sz w:val="24"/>
          <w:szCs w:val="32"/>
        </w:rPr>
        <w:t>对</w:t>
      </w:r>
      <w:r>
        <w:rPr>
          <w:rFonts w:hint="default" w:ascii="Times New Roman" w:hAnsi="Times New Roman" w:cs="Times New Roman"/>
          <w:color w:val="auto"/>
          <w:sz w:val="24"/>
          <w:szCs w:val="32"/>
          <w:lang w:val="en-US" w:eastAsia="zh-CN"/>
        </w:rPr>
        <w:t>项目</w:t>
      </w:r>
      <w:r>
        <w:rPr>
          <w:rFonts w:hint="default" w:ascii="Times New Roman" w:hAnsi="Times New Roman" w:cs="Times New Roman"/>
          <w:color w:val="auto"/>
          <w:sz w:val="24"/>
          <w:szCs w:val="32"/>
        </w:rPr>
        <w:t>所在地土壤进行了取样监测。厂区土壤环境监测数据</w:t>
      </w:r>
      <w:r>
        <w:rPr>
          <w:rFonts w:hint="default" w:ascii="Times New Roman" w:hAnsi="Times New Roman" w:cs="Times New Roman"/>
          <w:color w:val="auto"/>
          <w:sz w:val="24"/>
          <w:szCs w:val="32"/>
          <w:lang w:val="en-US" w:eastAsia="zh-CN"/>
        </w:rPr>
        <w:t>见4.3.5土壤环境现状监测与评价章节，根据监测结果可知，</w:t>
      </w:r>
      <w:r>
        <w:rPr>
          <w:rFonts w:hint="default" w:ascii="Times New Roman" w:hAnsi="Times New Roman" w:cs="Times New Roman"/>
          <w:color w:val="auto"/>
          <w:sz w:val="24"/>
          <w:szCs w:val="32"/>
        </w:rPr>
        <w:t>厂区土壤环境监测数据满足《土壤环境质量建设用地土壤污染风险管控标准（试行）》（GB36600-2018）中第二类用地筛选值。根据上述监测数据可知，厂区</w:t>
      </w:r>
      <w:r>
        <w:rPr>
          <w:rFonts w:hint="default" w:ascii="Times New Roman" w:hAnsi="Times New Roman" w:cs="Times New Roman"/>
          <w:color w:val="auto"/>
          <w:sz w:val="24"/>
          <w:szCs w:val="32"/>
          <w:lang w:val="en-US" w:eastAsia="zh-CN"/>
        </w:rPr>
        <w:t>的</w:t>
      </w:r>
      <w:r>
        <w:rPr>
          <w:rFonts w:hint="default" w:ascii="Times New Roman" w:hAnsi="Times New Roman" w:cs="Times New Roman"/>
          <w:color w:val="auto"/>
          <w:sz w:val="24"/>
          <w:szCs w:val="32"/>
        </w:rPr>
        <w:t>防渗设计和分区防渗处理等污染防治措施有效。</w:t>
      </w:r>
    </w:p>
    <w:p w14:paraId="07F141CE">
      <w:pPr>
        <w:spacing w:line="360" w:lineRule="auto"/>
        <w:outlineLvl w:val="1"/>
        <w:rPr>
          <w:b/>
          <w:bCs/>
          <w:color w:val="auto"/>
          <w:sz w:val="28"/>
          <w:szCs w:val="36"/>
        </w:rPr>
      </w:pPr>
      <w:bookmarkStart w:id="372" w:name="_Toc5641"/>
      <w:r>
        <w:rPr>
          <w:b/>
          <w:bCs/>
          <w:color w:val="auto"/>
          <w:sz w:val="28"/>
          <w:szCs w:val="36"/>
        </w:rPr>
        <w:t>5.5风险防范措施有效性评估</w:t>
      </w:r>
      <w:bookmarkEnd w:id="372"/>
    </w:p>
    <w:p w14:paraId="4C7A4548">
      <w:pPr>
        <w:spacing w:line="360" w:lineRule="auto"/>
        <w:outlineLvl w:val="2"/>
        <w:rPr>
          <w:b/>
          <w:bCs/>
          <w:color w:val="auto"/>
          <w:sz w:val="24"/>
          <w:szCs w:val="32"/>
        </w:rPr>
      </w:pPr>
      <w:r>
        <w:rPr>
          <w:b/>
          <w:bCs/>
          <w:color w:val="auto"/>
          <w:sz w:val="24"/>
          <w:szCs w:val="32"/>
        </w:rPr>
        <w:t>5.5.1厂区截流措施情况</w:t>
      </w:r>
    </w:p>
    <w:p w14:paraId="09C0C2A3">
      <w:pPr>
        <w:spacing w:line="360" w:lineRule="auto"/>
        <w:ind w:firstLine="480" w:firstLineChars="200"/>
        <w:rPr>
          <w:color w:val="auto"/>
          <w:sz w:val="24"/>
          <w:szCs w:val="32"/>
        </w:rPr>
      </w:pPr>
      <w:r>
        <w:rPr>
          <w:color w:val="auto"/>
          <w:sz w:val="24"/>
          <w:szCs w:val="32"/>
        </w:rPr>
        <w:t>（1）全厂排水实行</w:t>
      </w:r>
      <w:r>
        <w:rPr>
          <w:rFonts w:hint="eastAsia" w:ascii="宋体" w:hAnsi="宋体" w:eastAsia="宋体" w:cs="宋体"/>
          <w:color w:val="auto"/>
          <w:sz w:val="24"/>
          <w:szCs w:val="32"/>
        </w:rPr>
        <w:t>“</w:t>
      </w:r>
      <w:r>
        <w:rPr>
          <w:color w:val="auto"/>
          <w:sz w:val="24"/>
          <w:szCs w:val="32"/>
        </w:rPr>
        <w:t>清污分流、雨污分流</w:t>
      </w:r>
      <w:r>
        <w:rPr>
          <w:rFonts w:hint="eastAsia" w:ascii="宋体" w:hAnsi="宋体" w:eastAsia="宋体" w:cs="宋体"/>
          <w:color w:val="auto"/>
          <w:sz w:val="24"/>
          <w:szCs w:val="32"/>
        </w:rPr>
        <w:t>”</w:t>
      </w:r>
      <w:r>
        <w:rPr>
          <w:color w:val="auto"/>
          <w:sz w:val="24"/>
          <w:szCs w:val="32"/>
        </w:rPr>
        <w:t>。根据厂区管线布置图和现场调查，全厂区建设了较为完善的雨水管网、污水管网、冷却水循环水管网，基本可实现项目排水的雨污分流、清污分流。</w:t>
      </w:r>
    </w:p>
    <w:p w14:paraId="42F794C5">
      <w:pPr>
        <w:spacing w:line="360" w:lineRule="auto"/>
        <w:ind w:firstLine="480" w:firstLineChars="200"/>
        <w:rPr>
          <w:color w:val="auto"/>
          <w:sz w:val="24"/>
          <w:szCs w:val="32"/>
          <w:highlight w:val="none"/>
        </w:rPr>
      </w:pPr>
      <w:r>
        <w:rPr>
          <w:color w:val="auto"/>
          <w:sz w:val="24"/>
          <w:szCs w:val="32"/>
          <w:highlight w:val="none"/>
        </w:rPr>
        <w:t>（2）原辅材料设置专用原料库进行储存，原料库地面做硬化措施，各原料分区堆放储存，并保持干燥通风，危废间设置导流沟、收集池。</w:t>
      </w:r>
    </w:p>
    <w:p w14:paraId="0EC6017D">
      <w:pPr>
        <w:spacing w:line="360" w:lineRule="auto"/>
        <w:ind w:firstLine="480" w:firstLineChars="200"/>
        <w:rPr>
          <w:rFonts w:ascii="Times New Roman" w:hAnsi="Times New Roman"/>
          <w:color w:val="auto"/>
          <w:sz w:val="24"/>
          <w:szCs w:val="24"/>
          <w:highlight w:val="yellow"/>
        </w:rPr>
      </w:pPr>
      <w:r>
        <w:rPr>
          <w:color w:val="auto"/>
          <w:sz w:val="24"/>
          <w:szCs w:val="24"/>
          <w:highlight w:val="none"/>
        </w:rPr>
        <w:t>（3）</w:t>
      </w:r>
      <w:r>
        <w:rPr>
          <w:rFonts w:ascii="Times New Roman" w:hAnsi="Times New Roman"/>
          <w:color w:val="auto"/>
          <w:sz w:val="24"/>
          <w:szCs w:val="24"/>
          <w:highlight w:val="none"/>
        </w:rPr>
        <w:t>生产过程中选用密封良好的输送泵，工艺管线密封防腐防泄漏，设备配套的阀门、仪表接头等密闭，基本无跑、冒、滴、漏现象。</w:t>
      </w:r>
    </w:p>
    <w:p w14:paraId="48A62026">
      <w:pPr>
        <w:spacing w:line="360" w:lineRule="auto"/>
        <w:outlineLvl w:val="2"/>
        <w:rPr>
          <w:b/>
          <w:bCs/>
          <w:color w:val="auto"/>
          <w:sz w:val="24"/>
          <w:szCs w:val="32"/>
        </w:rPr>
      </w:pPr>
      <w:r>
        <w:rPr>
          <w:b/>
          <w:bCs/>
          <w:color w:val="auto"/>
          <w:sz w:val="24"/>
          <w:szCs w:val="32"/>
        </w:rPr>
        <w:t>5.5.</w:t>
      </w:r>
      <w:r>
        <w:rPr>
          <w:rFonts w:hint="eastAsia"/>
          <w:b/>
          <w:bCs/>
          <w:color w:val="auto"/>
          <w:sz w:val="24"/>
          <w:szCs w:val="32"/>
          <w:lang w:val="en-US" w:eastAsia="zh-CN"/>
        </w:rPr>
        <w:t>2</w:t>
      </w:r>
      <w:r>
        <w:rPr>
          <w:b/>
          <w:bCs/>
          <w:color w:val="auto"/>
          <w:sz w:val="24"/>
          <w:szCs w:val="32"/>
        </w:rPr>
        <w:t>应急物资及装备</w:t>
      </w:r>
    </w:p>
    <w:p w14:paraId="282C3B75">
      <w:pPr>
        <w:spacing w:line="360" w:lineRule="auto"/>
        <w:ind w:firstLine="480" w:firstLineChars="200"/>
        <w:rPr>
          <w:color w:val="auto"/>
          <w:sz w:val="24"/>
          <w:szCs w:val="32"/>
        </w:rPr>
      </w:pPr>
      <w:r>
        <w:rPr>
          <w:color w:val="auto"/>
          <w:sz w:val="24"/>
          <w:szCs w:val="32"/>
        </w:rPr>
        <w:t>公司现有应急物资及装备见下表：</w:t>
      </w:r>
    </w:p>
    <w:p w14:paraId="43F1AF53">
      <w:pPr>
        <w:spacing w:line="360" w:lineRule="auto"/>
        <w:jc w:val="center"/>
        <w:rPr>
          <w:b/>
          <w:bCs/>
          <w:color w:val="auto"/>
          <w:sz w:val="24"/>
          <w:szCs w:val="32"/>
        </w:rPr>
      </w:pPr>
      <w:r>
        <w:rPr>
          <w:b/>
          <w:bCs/>
          <w:color w:val="auto"/>
          <w:sz w:val="24"/>
          <w:szCs w:val="32"/>
        </w:rPr>
        <w:t>表5-</w:t>
      </w:r>
      <w:r>
        <w:rPr>
          <w:rFonts w:hint="eastAsia"/>
          <w:b/>
          <w:bCs/>
          <w:color w:val="auto"/>
          <w:sz w:val="24"/>
          <w:szCs w:val="32"/>
          <w:lang w:val="en-US" w:eastAsia="zh-CN"/>
        </w:rPr>
        <w:t>7</w:t>
      </w:r>
      <w:r>
        <w:rPr>
          <w:b/>
          <w:bCs/>
          <w:color w:val="auto"/>
          <w:sz w:val="24"/>
          <w:szCs w:val="32"/>
        </w:rPr>
        <w:t xml:space="preserve"> 公司现有应急物资及装备一览表</w:t>
      </w:r>
    </w:p>
    <w:tbl>
      <w:tblPr>
        <w:tblStyle w:val="31"/>
        <w:tblW w:w="525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616"/>
        <w:gridCol w:w="1480"/>
        <w:gridCol w:w="1631"/>
        <w:gridCol w:w="1187"/>
        <w:gridCol w:w="4320"/>
      </w:tblGrid>
      <w:tr w14:paraId="647333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tcBorders>
              <w:tl2br w:val="nil"/>
              <w:tr2bl w:val="nil"/>
            </w:tcBorders>
            <w:vAlign w:val="center"/>
          </w:tcPr>
          <w:p w14:paraId="29DFE95B">
            <w:pPr>
              <w:jc w:val="center"/>
              <w:rPr>
                <w:color w:val="auto"/>
              </w:rPr>
            </w:pPr>
            <w:r>
              <w:rPr>
                <w:b/>
                <w:color w:val="auto"/>
                <w:szCs w:val="21"/>
              </w:rPr>
              <w:t>类型</w:t>
            </w:r>
          </w:p>
        </w:tc>
        <w:tc>
          <w:tcPr>
            <w:tcW w:w="1480" w:type="dxa"/>
            <w:tcBorders>
              <w:tl2br w:val="nil"/>
              <w:tr2bl w:val="nil"/>
            </w:tcBorders>
            <w:vAlign w:val="center"/>
          </w:tcPr>
          <w:p w14:paraId="0E08189C">
            <w:pPr>
              <w:jc w:val="center"/>
              <w:rPr>
                <w:color w:val="auto"/>
              </w:rPr>
            </w:pPr>
            <w:r>
              <w:rPr>
                <w:b/>
                <w:color w:val="auto"/>
                <w:szCs w:val="21"/>
              </w:rPr>
              <w:t>种类</w:t>
            </w:r>
          </w:p>
        </w:tc>
        <w:tc>
          <w:tcPr>
            <w:tcW w:w="1631" w:type="dxa"/>
            <w:tcBorders>
              <w:tl2br w:val="nil"/>
              <w:tr2bl w:val="nil"/>
            </w:tcBorders>
            <w:vAlign w:val="center"/>
          </w:tcPr>
          <w:p w14:paraId="67A4D643">
            <w:pPr>
              <w:jc w:val="center"/>
              <w:rPr>
                <w:color w:val="auto"/>
              </w:rPr>
            </w:pPr>
            <w:r>
              <w:rPr>
                <w:b/>
                <w:color w:val="auto"/>
                <w:szCs w:val="21"/>
              </w:rPr>
              <w:t>名称</w:t>
            </w:r>
          </w:p>
        </w:tc>
        <w:tc>
          <w:tcPr>
            <w:tcW w:w="1187" w:type="dxa"/>
            <w:tcBorders>
              <w:tl2br w:val="nil"/>
              <w:tr2bl w:val="nil"/>
            </w:tcBorders>
            <w:vAlign w:val="center"/>
          </w:tcPr>
          <w:p w14:paraId="39BCAE05">
            <w:pPr>
              <w:jc w:val="center"/>
              <w:rPr>
                <w:color w:val="auto"/>
              </w:rPr>
            </w:pPr>
            <w:r>
              <w:rPr>
                <w:b/>
                <w:color w:val="auto"/>
                <w:szCs w:val="21"/>
              </w:rPr>
              <w:t>数量</w:t>
            </w:r>
          </w:p>
        </w:tc>
        <w:tc>
          <w:tcPr>
            <w:tcW w:w="4320" w:type="dxa"/>
            <w:tcBorders>
              <w:tl2br w:val="nil"/>
              <w:tr2bl w:val="nil"/>
            </w:tcBorders>
            <w:vAlign w:val="center"/>
          </w:tcPr>
          <w:p w14:paraId="166CBBF4">
            <w:pPr>
              <w:jc w:val="center"/>
              <w:rPr>
                <w:color w:val="auto"/>
              </w:rPr>
            </w:pPr>
            <w:r>
              <w:rPr>
                <w:b/>
                <w:color w:val="auto"/>
                <w:szCs w:val="21"/>
              </w:rPr>
              <w:t>物资所在位置</w:t>
            </w:r>
          </w:p>
        </w:tc>
      </w:tr>
      <w:tr w14:paraId="63DA47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8" w:hRule="atLeast"/>
          <w:jc w:val="center"/>
        </w:trPr>
        <w:tc>
          <w:tcPr>
            <w:tcW w:w="1616" w:type="dxa"/>
            <w:vMerge w:val="restart"/>
            <w:tcBorders>
              <w:tl2br w:val="nil"/>
              <w:tr2bl w:val="nil"/>
            </w:tcBorders>
            <w:vAlign w:val="center"/>
          </w:tcPr>
          <w:p w14:paraId="3293D689">
            <w:pPr>
              <w:pStyle w:val="118"/>
              <w:spacing w:line="240" w:lineRule="auto"/>
              <w:ind w:firstLine="0"/>
              <w:rPr>
                <w:rFonts w:ascii="Times New Roman" w:hAnsi="Times New Roman"/>
                <w:color w:val="auto"/>
              </w:rPr>
            </w:pPr>
            <w:r>
              <w:rPr>
                <w:rFonts w:ascii="Times New Roman" w:hAnsi="Times New Roman"/>
                <w:color w:val="auto"/>
              </w:rPr>
              <w:t>应急物资</w:t>
            </w:r>
          </w:p>
        </w:tc>
        <w:tc>
          <w:tcPr>
            <w:tcW w:w="1480" w:type="dxa"/>
            <w:vMerge w:val="restart"/>
            <w:tcBorders>
              <w:tl2br w:val="nil"/>
              <w:tr2bl w:val="nil"/>
            </w:tcBorders>
            <w:vAlign w:val="center"/>
          </w:tcPr>
          <w:p w14:paraId="6C9A248D">
            <w:pPr>
              <w:pStyle w:val="118"/>
              <w:spacing w:line="240" w:lineRule="auto"/>
              <w:ind w:firstLine="0"/>
              <w:rPr>
                <w:rFonts w:ascii="Times New Roman" w:hAnsi="Times New Roman"/>
                <w:color w:val="auto"/>
              </w:rPr>
            </w:pPr>
            <w:r>
              <w:rPr>
                <w:rFonts w:ascii="Times New Roman" w:hAnsi="Times New Roman"/>
                <w:color w:val="auto"/>
              </w:rPr>
              <w:t>污染源控制</w:t>
            </w:r>
          </w:p>
        </w:tc>
        <w:tc>
          <w:tcPr>
            <w:tcW w:w="1631" w:type="dxa"/>
            <w:tcBorders>
              <w:tl2br w:val="nil"/>
              <w:tr2bl w:val="nil"/>
            </w:tcBorders>
            <w:vAlign w:val="center"/>
          </w:tcPr>
          <w:p w14:paraId="70792CCE">
            <w:pPr>
              <w:pStyle w:val="118"/>
              <w:spacing w:line="240" w:lineRule="auto"/>
              <w:ind w:firstLine="0"/>
              <w:rPr>
                <w:rFonts w:ascii="Times New Roman" w:hAnsi="Times New Roman"/>
                <w:color w:val="auto"/>
              </w:rPr>
            </w:pPr>
            <w:r>
              <w:rPr>
                <w:rFonts w:ascii="Times New Roman" w:hAnsi="Times New Roman"/>
                <w:color w:val="auto"/>
              </w:rPr>
              <w:t>灭火器</w:t>
            </w:r>
          </w:p>
        </w:tc>
        <w:tc>
          <w:tcPr>
            <w:tcW w:w="1187" w:type="dxa"/>
            <w:tcBorders>
              <w:tl2br w:val="nil"/>
              <w:tr2bl w:val="nil"/>
            </w:tcBorders>
            <w:vAlign w:val="center"/>
          </w:tcPr>
          <w:p w14:paraId="73B8D724">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90</w:t>
            </w:r>
            <w:r>
              <w:rPr>
                <w:rFonts w:ascii="Times New Roman" w:hAnsi="Times New Roman"/>
                <w:color w:val="auto"/>
              </w:rPr>
              <w:t>个</w:t>
            </w:r>
          </w:p>
        </w:tc>
        <w:tc>
          <w:tcPr>
            <w:tcW w:w="4320" w:type="dxa"/>
            <w:tcBorders>
              <w:tl2br w:val="nil"/>
              <w:tr2bl w:val="nil"/>
            </w:tcBorders>
            <w:vAlign w:val="center"/>
          </w:tcPr>
          <w:p w14:paraId="1522671C">
            <w:pPr>
              <w:pStyle w:val="118"/>
              <w:spacing w:line="240" w:lineRule="auto"/>
              <w:ind w:firstLine="0"/>
              <w:rPr>
                <w:rFonts w:ascii="Times New Roman" w:hAnsi="Times New Roman"/>
                <w:color w:val="auto"/>
              </w:rPr>
            </w:pPr>
            <w:r>
              <w:rPr>
                <w:rFonts w:ascii="Times New Roman" w:hAnsi="Times New Roman"/>
                <w:color w:val="auto"/>
              </w:rPr>
              <w:t>厂区</w:t>
            </w:r>
          </w:p>
        </w:tc>
      </w:tr>
      <w:tr w14:paraId="5DDCC3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47F05203">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698722C4">
            <w:pPr>
              <w:pStyle w:val="118"/>
              <w:spacing w:line="240" w:lineRule="auto"/>
              <w:rPr>
                <w:rFonts w:ascii="Times New Roman" w:hAnsi="Times New Roman"/>
                <w:color w:val="auto"/>
              </w:rPr>
            </w:pPr>
          </w:p>
        </w:tc>
        <w:tc>
          <w:tcPr>
            <w:tcW w:w="1631" w:type="dxa"/>
            <w:tcBorders>
              <w:tl2br w:val="nil"/>
              <w:tr2bl w:val="nil"/>
            </w:tcBorders>
            <w:vAlign w:val="center"/>
          </w:tcPr>
          <w:p w14:paraId="004DA5B4">
            <w:pPr>
              <w:pStyle w:val="118"/>
              <w:spacing w:line="240" w:lineRule="auto"/>
              <w:ind w:firstLine="0"/>
              <w:rPr>
                <w:rFonts w:ascii="Times New Roman" w:hAnsi="Times New Roman"/>
                <w:color w:val="auto"/>
              </w:rPr>
            </w:pPr>
            <w:r>
              <w:rPr>
                <w:rFonts w:ascii="Times New Roman" w:hAnsi="Times New Roman"/>
                <w:color w:val="auto"/>
              </w:rPr>
              <w:t>消防栓</w:t>
            </w:r>
          </w:p>
        </w:tc>
        <w:tc>
          <w:tcPr>
            <w:tcW w:w="1187" w:type="dxa"/>
            <w:tcBorders>
              <w:tl2br w:val="nil"/>
              <w:tr2bl w:val="nil"/>
            </w:tcBorders>
            <w:vAlign w:val="center"/>
          </w:tcPr>
          <w:p w14:paraId="3DDA9E77">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40</w:t>
            </w:r>
            <w:r>
              <w:rPr>
                <w:rFonts w:ascii="Times New Roman" w:hAnsi="Times New Roman"/>
                <w:color w:val="auto"/>
              </w:rPr>
              <w:t>个</w:t>
            </w:r>
          </w:p>
        </w:tc>
        <w:tc>
          <w:tcPr>
            <w:tcW w:w="4320" w:type="dxa"/>
            <w:tcBorders>
              <w:tl2br w:val="nil"/>
              <w:tr2bl w:val="nil"/>
            </w:tcBorders>
            <w:vAlign w:val="center"/>
          </w:tcPr>
          <w:p w14:paraId="06FE1E4A">
            <w:pPr>
              <w:pStyle w:val="118"/>
              <w:spacing w:line="240" w:lineRule="auto"/>
              <w:ind w:firstLine="0"/>
              <w:rPr>
                <w:rFonts w:ascii="Times New Roman" w:hAnsi="Times New Roman"/>
                <w:color w:val="auto"/>
              </w:rPr>
            </w:pPr>
            <w:r>
              <w:rPr>
                <w:rFonts w:ascii="Times New Roman" w:hAnsi="Times New Roman"/>
                <w:color w:val="auto"/>
              </w:rPr>
              <w:t>厂区</w:t>
            </w:r>
          </w:p>
        </w:tc>
      </w:tr>
      <w:tr w14:paraId="11F363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163" w:hRule="atLeast"/>
          <w:jc w:val="center"/>
        </w:trPr>
        <w:tc>
          <w:tcPr>
            <w:tcW w:w="1616" w:type="dxa"/>
            <w:vMerge w:val="continue"/>
            <w:tcBorders>
              <w:tl2br w:val="nil"/>
              <w:tr2bl w:val="nil"/>
            </w:tcBorders>
            <w:vAlign w:val="center"/>
          </w:tcPr>
          <w:p w14:paraId="794C29B9">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79E9A8E5">
            <w:pPr>
              <w:pStyle w:val="118"/>
              <w:spacing w:line="240" w:lineRule="auto"/>
              <w:rPr>
                <w:rFonts w:ascii="Times New Roman" w:hAnsi="Times New Roman"/>
                <w:color w:val="auto"/>
              </w:rPr>
            </w:pPr>
          </w:p>
        </w:tc>
        <w:tc>
          <w:tcPr>
            <w:tcW w:w="1631" w:type="dxa"/>
            <w:tcBorders>
              <w:tl2br w:val="nil"/>
              <w:tr2bl w:val="nil"/>
            </w:tcBorders>
            <w:vAlign w:val="center"/>
          </w:tcPr>
          <w:p w14:paraId="140161CA">
            <w:pPr>
              <w:pStyle w:val="118"/>
              <w:spacing w:line="240" w:lineRule="auto"/>
              <w:ind w:firstLine="0"/>
              <w:rPr>
                <w:rFonts w:ascii="Times New Roman" w:hAnsi="Times New Roman"/>
                <w:color w:val="auto"/>
              </w:rPr>
            </w:pPr>
            <w:r>
              <w:rPr>
                <w:rFonts w:ascii="Times New Roman" w:hAnsi="Times New Roman"/>
                <w:color w:val="auto"/>
              </w:rPr>
              <w:t>警戒带</w:t>
            </w:r>
          </w:p>
        </w:tc>
        <w:tc>
          <w:tcPr>
            <w:tcW w:w="1187" w:type="dxa"/>
            <w:tcBorders>
              <w:tl2br w:val="nil"/>
              <w:tr2bl w:val="nil"/>
            </w:tcBorders>
            <w:vAlign w:val="center"/>
          </w:tcPr>
          <w:p w14:paraId="14113AF5">
            <w:pPr>
              <w:pStyle w:val="118"/>
              <w:spacing w:line="240" w:lineRule="auto"/>
              <w:ind w:firstLine="0"/>
              <w:rPr>
                <w:rFonts w:ascii="Times New Roman" w:hAnsi="Times New Roman"/>
                <w:color w:val="auto"/>
              </w:rPr>
            </w:pPr>
            <w:r>
              <w:rPr>
                <w:rFonts w:ascii="Times New Roman" w:hAnsi="Times New Roman"/>
                <w:color w:val="auto"/>
              </w:rPr>
              <w:t>10条</w:t>
            </w:r>
          </w:p>
        </w:tc>
        <w:tc>
          <w:tcPr>
            <w:tcW w:w="4320" w:type="dxa"/>
            <w:tcBorders>
              <w:tl2br w:val="nil"/>
              <w:tr2bl w:val="nil"/>
            </w:tcBorders>
            <w:vAlign w:val="center"/>
          </w:tcPr>
          <w:p w14:paraId="740F81CC">
            <w:pPr>
              <w:pStyle w:val="118"/>
              <w:spacing w:line="240" w:lineRule="auto"/>
              <w:ind w:firstLine="0"/>
              <w:rPr>
                <w:rFonts w:ascii="Times New Roman" w:hAnsi="Times New Roman"/>
                <w:color w:val="auto"/>
              </w:rPr>
            </w:pPr>
            <w:r>
              <w:rPr>
                <w:rFonts w:ascii="Times New Roman" w:hAnsi="Times New Roman"/>
                <w:color w:val="auto"/>
              </w:rPr>
              <w:t>仓库</w:t>
            </w:r>
          </w:p>
        </w:tc>
      </w:tr>
      <w:tr w14:paraId="4B2930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68B7A1DB">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67C93EA6">
            <w:pPr>
              <w:pStyle w:val="118"/>
              <w:spacing w:line="240" w:lineRule="auto"/>
              <w:rPr>
                <w:rFonts w:ascii="Times New Roman" w:hAnsi="Times New Roman"/>
                <w:color w:val="auto"/>
              </w:rPr>
            </w:pPr>
          </w:p>
        </w:tc>
        <w:tc>
          <w:tcPr>
            <w:tcW w:w="1631" w:type="dxa"/>
            <w:tcBorders>
              <w:tl2br w:val="nil"/>
              <w:tr2bl w:val="nil"/>
            </w:tcBorders>
            <w:vAlign w:val="center"/>
          </w:tcPr>
          <w:p w14:paraId="2E755C51">
            <w:pPr>
              <w:pStyle w:val="118"/>
              <w:spacing w:line="240" w:lineRule="auto"/>
              <w:ind w:firstLine="0"/>
              <w:rPr>
                <w:rFonts w:ascii="Times New Roman" w:hAnsi="Times New Roman"/>
                <w:color w:val="auto"/>
              </w:rPr>
            </w:pPr>
            <w:r>
              <w:rPr>
                <w:rFonts w:ascii="Times New Roman" w:hAnsi="Times New Roman"/>
                <w:color w:val="auto"/>
              </w:rPr>
              <w:t>消防水带</w:t>
            </w:r>
          </w:p>
        </w:tc>
        <w:tc>
          <w:tcPr>
            <w:tcW w:w="1187" w:type="dxa"/>
            <w:tcBorders>
              <w:tl2br w:val="nil"/>
              <w:tr2bl w:val="nil"/>
            </w:tcBorders>
            <w:vAlign w:val="center"/>
          </w:tcPr>
          <w:p w14:paraId="67636C7C">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40</w:t>
            </w:r>
            <w:r>
              <w:rPr>
                <w:rFonts w:ascii="Times New Roman" w:hAnsi="Times New Roman"/>
                <w:color w:val="auto"/>
              </w:rPr>
              <w:t>只</w:t>
            </w:r>
          </w:p>
        </w:tc>
        <w:tc>
          <w:tcPr>
            <w:tcW w:w="4320" w:type="dxa"/>
            <w:tcBorders>
              <w:tl2br w:val="nil"/>
              <w:tr2bl w:val="nil"/>
            </w:tcBorders>
            <w:vAlign w:val="center"/>
          </w:tcPr>
          <w:p w14:paraId="6C45C1D0">
            <w:pPr>
              <w:pStyle w:val="118"/>
              <w:spacing w:line="240" w:lineRule="auto"/>
              <w:ind w:firstLine="0"/>
              <w:rPr>
                <w:rFonts w:ascii="Times New Roman" w:hAnsi="Times New Roman"/>
                <w:color w:val="auto"/>
              </w:rPr>
            </w:pPr>
            <w:r>
              <w:rPr>
                <w:rFonts w:ascii="Times New Roman" w:hAnsi="Times New Roman"/>
                <w:color w:val="auto"/>
              </w:rPr>
              <w:t>厂区内、车间</w:t>
            </w:r>
          </w:p>
        </w:tc>
      </w:tr>
      <w:tr w14:paraId="409FF1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0638E2A7">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4F5BC814">
            <w:pPr>
              <w:pStyle w:val="118"/>
              <w:spacing w:line="240" w:lineRule="auto"/>
              <w:rPr>
                <w:rFonts w:ascii="Times New Roman" w:hAnsi="Times New Roman"/>
                <w:color w:val="auto"/>
              </w:rPr>
            </w:pPr>
          </w:p>
        </w:tc>
        <w:tc>
          <w:tcPr>
            <w:tcW w:w="1631" w:type="dxa"/>
            <w:tcBorders>
              <w:tl2br w:val="nil"/>
              <w:tr2bl w:val="nil"/>
            </w:tcBorders>
            <w:vAlign w:val="center"/>
          </w:tcPr>
          <w:p w14:paraId="0F1795F0">
            <w:pPr>
              <w:pStyle w:val="118"/>
              <w:spacing w:line="240" w:lineRule="auto"/>
              <w:ind w:firstLine="0"/>
              <w:rPr>
                <w:rFonts w:ascii="Times New Roman" w:hAnsi="Times New Roman"/>
                <w:color w:val="auto"/>
              </w:rPr>
            </w:pPr>
            <w:r>
              <w:rPr>
                <w:rFonts w:ascii="Times New Roman" w:hAnsi="Times New Roman"/>
                <w:color w:val="auto"/>
              </w:rPr>
              <w:t>沙箱</w:t>
            </w:r>
          </w:p>
        </w:tc>
        <w:tc>
          <w:tcPr>
            <w:tcW w:w="1187" w:type="dxa"/>
            <w:tcBorders>
              <w:tl2br w:val="nil"/>
              <w:tr2bl w:val="nil"/>
            </w:tcBorders>
            <w:vAlign w:val="center"/>
          </w:tcPr>
          <w:p w14:paraId="16DFD688">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5</w:t>
            </w:r>
            <w:r>
              <w:rPr>
                <w:rFonts w:ascii="Times New Roman" w:hAnsi="Times New Roman"/>
                <w:color w:val="auto"/>
              </w:rPr>
              <w:t>个</w:t>
            </w:r>
          </w:p>
        </w:tc>
        <w:tc>
          <w:tcPr>
            <w:tcW w:w="4320" w:type="dxa"/>
            <w:tcBorders>
              <w:tl2br w:val="nil"/>
              <w:tr2bl w:val="nil"/>
            </w:tcBorders>
            <w:vAlign w:val="center"/>
          </w:tcPr>
          <w:p w14:paraId="2435D7AE">
            <w:pPr>
              <w:pStyle w:val="118"/>
              <w:spacing w:line="240" w:lineRule="auto"/>
              <w:ind w:firstLine="0"/>
              <w:rPr>
                <w:rFonts w:ascii="Times New Roman" w:hAnsi="Times New Roman"/>
                <w:color w:val="auto"/>
              </w:rPr>
            </w:pPr>
            <w:r>
              <w:rPr>
                <w:rFonts w:ascii="Times New Roman" w:hAnsi="Times New Roman"/>
                <w:color w:val="auto"/>
              </w:rPr>
              <w:t>厂区内、车间</w:t>
            </w:r>
          </w:p>
        </w:tc>
      </w:tr>
      <w:tr w14:paraId="555F32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53007352">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5354F6FE">
            <w:pPr>
              <w:pStyle w:val="118"/>
              <w:spacing w:line="240" w:lineRule="auto"/>
              <w:rPr>
                <w:rFonts w:ascii="Times New Roman" w:hAnsi="Times New Roman"/>
                <w:color w:val="auto"/>
              </w:rPr>
            </w:pPr>
          </w:p>
        </w:tc>
        <w:tc>
          <w:tcPr>
            <w:tcW w:w="1631" w:type="dxa"/>
            <w:tcBorders>
              <w:tl2br w:val="nil"/>
              <w:tr2bl w:val="nil"/>
            </w:tcBorders>
            <w:vAlign w:val="center"/>
          </w:tcPr>
          <w:p w14:paraId="7D943ED1">
            <w:pPr>
              <w:pStyle w:val="118"/>
              <w:spacing w:line="240" w:lineRule="auto"/>
              <w:ind w:firstLine="0"/>
              <w:rPr>
                <w:rFonts w:ascii="Times New Roman" w:hAnsi="Times New Roman"/>
                <w:color w:val="auto"/>
              </w:rPr>
            </w:pPr>
            <w:r>
              <w:rPr>
                <w:rFonts w:ascii="Times New Roman" w:hAnsi="Times New Roman"/>
                <w:color w:val="auto"/>
              </w:rPr>
              <w:t>火灾报警器</w:t>
            </w:r>
          </w:p>
        </w:tc>
        <w:tc>
          <w:tcPr>
            <w:tcW w:w="1187" w:type="dxa"/>
            <w:tcBorders>
              <w:tl2br w:val="nil"/>
              <w:tr2bl w:val="nil"/>
            </w:tcBorders>
            <w:vAlign w:val="center"/>
          </w:tcPr>
          <w:p w14:paraId="3B3AE23E">
            <w:pPr>
              <w:pStyle w:val="118"/>
              <w:spacing w:line="240" w:lineRule="auto"/>
              <w:ind w:firstLine="0"/>
              <w:rPr>
                <w:rFonts w:ascii="Times New Roman" w:hAnsi="Times New Roman"/>
                <w:color w:val="auto"/>
              </w:rPr>
            </w:pPr>
            <w:r>
              <w:rPr>
                <w:rFonts w:ascii="Times New Roman" w:hAnsi="Times New Roman"/>
                <w:color w:val="auto"/>
              </w:rPr>
              <w:t>6个</w:t>
            </w:r>
          </w:p>
        </w:tc>
        <w:tc>
          <w:tcPr>
            <w:tcW w:w="4320" w:type="dxa"/>
            <w:tcBorders>
              <w:tl2br w:val="nil"/>
              <w:tr2bl w:val="nil"/>
            </w:tcBorders>
            <w:vAlign w:val="center"/>
          </w:tcPr>
          <w:p w14:paraId="5D064A59">
            <w:pPr>
              <w:pStyle w:val="118"/>
              <w:spacing w:line="240" w:lineRule="auto"/>
              <w:ind w:firstLine="0"/>
              <w:rPr>
                <w:rFonts w:ascii="Times New Roman" w:hAnsi="Times New Roman"/>
                <w:color w:val="auto"/>
              </w:rPr>
            </w:pPr>
            <w:r>
              <w:rPr>
                <w:rFonts w:ascii="Times New Roman" w:hAnsi="Times New Roman"/>
                <w:color w:val="auto"/>
              </w:rPr>
              <w:t>厂区</w:t>
            </w:r>
          </w:p>
        </w:tc>
      </w:tr>
      <w:tr w14:paraId="1D66C3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3B87E859">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67E96C8E">
            <w:pPr>
              <w:pStyle w:val="118"/>
              <w:spacing w:line="240" w:lineRule="auto"/>
              <w:ind w:firstLine="0"/>
              <w:rPr>
                <w:rFonts w:ascii="Times New Roman" w:hAnsi="Times New Roman"/>
                <w:color w:val="auto"/>
              </w:rPr>
            </w:pPr>
          </w:p>
        </w:tc>
        <w:tc>
          <w:tcPr>
            <w:tcW w:w="1631" w:type="dxa"/>
            <w:tcBorders>
              <w:tl2br w:val="nil"/>
              <w:tr2bl w:val="nil"/>
            </w:tcBorders>
            <w:vAlign w:val="center"/>
          </w:tcPr>
          <w:p w14:paraId="00F675B5">
            <w:pPr>
              <w:pStyle w:val="118"/>
              <w:spacing w:line="240" w:lineRule="auto"/>
              <w:ind w:firstLine="0"/>
              <w:rPr>
                <w:rFonts w:ascii="Times New Roman" w:hAnsi="Times New Roman"/>
                <w:color w:val="auto"/>
              </w:rPr>
            </w:pPr>
            <w:r>
              <w:rPr>
                <w:rFonts w:ascii="Times New Roman" w:hAnsi="Times New Roman"/>
                <w:color w:val="auto"/>
              </w:rPr>
              <w:t>吸油毡</w:t>
            </w:r>
          </w:p>
        </w:tc>
        <w:tc>
          <w:tcPr>
            <w:tcW w:w="1187" w:type="dxa"/>
            <w:tcBorders>
              <w:tl2br w:val="nil"/>
              <w:tr2bl w:val="nil"/>
            </w:tcBorders>
            <w:vAlign w:val="center"/>
          </w:tcPr>
          <w:p w14:paraId="0A0E465F">
            <w:pPr>
              <w:pStyle w:val="118"/>
              <w:spacing w:line="240" w:lineRule="auto"/>
              <w:ind w:firstLine="0"/>
              <w:rPr>
                <w:rFonts w:ascii="Times New Roman" w:hAnsi="Times New Roman"/>
                <w:color w:val="auto"/>
              </w:rPr>
            </w:pPr>
            <w:r>
              <w:rPr>
                <w:rFonts w:ascii="Times New Roman" w:hAnsi="Times New Roman"/>
                <w:color w:val="auto"/>
              </w:rPr>
              <w:t>5卷</w:t>
            </w:r>
          </w:p>
        </w:tc>
        <w:tc>
          <w:tcPr>
            <w:tcW w:w="4320" w:type="dxa"/>
            <w:tcBorders>
              <w:tl2br w:val="nil"/>
              <w:tr2bl w:val="nil"/>
            </w:tcBorders>
            <w:vAlign w:val="center"/>
          </w:tcPr>
          <w:p w14:paraId="60AE6508">
            <w:pPr>
              <w:pStyle w:val="118"/>
              <w:spacing w:line="240" w:lineRule="auto"/>
              <w:ind w:firstLine="0"/>
              <w:rPr>
                <w:rFonts w:ascii="Times New Roman" w:hAnsi="Times New Roman"/>
                <w:color w:val="auto"/>
              </w:rPr>
            </w:pPr>
            <w:r>
              <w:rPr>
                <w:rFonts w:hint="eastAsia" w:ascii="Times New Roman" w:hAnsi="Times New Roman"/>
                <w:color w:val="auto"/>
              </w:rPr>
              <w:t>危废库</w:t>
            </w:r>
            <w:r>
              <w:rPr>
                <w:rFonts w:ascii="Times New Roman" w:hAnsi="Times New Roman"/>
                <w:color w:val="auto"/>
              </w:rPr>
              <w:t>、车间、仓库</w:t>
            </w:r>
          </w:p>
        </w:tc>
      </w:tr>
      <w:tr w14:paraId="533E8B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0A773F5B">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1BC63AE3">
            <w:pPr>
              <w:pStyle w:val="118"/>
              <w:spacing w:line="240" w:lineRule="auto"/>
              <w:rPr>
                <w:rFonts w:ascii="Times New Roman" w:hAnsi="Times New Roman"/>
                <w:color w:val="auto"/>
              </w:rPr>
            </w:pPr>
          </w:p>
        </w:tc>
        <w:tc>
          <w:tcPr>
            <w:tcW w:w="1631" w:type="dxa"/>
            <w:tcBorders>
              <w:tl2br w:val="nil"/>
              <w:tr2bl w:val="nil"/>
            </w:tcBorders>
            <w:vAlign w:val="center"/>
          </w:tcPr>
          <w:p w14:paraId="1ECDCC1E">
            <w:pPr>
              <w:pStyle w:val="118"/>
              <w:spacing w:line="240" w:lineRule="auto"/>
              <w:ind w:firstLine="0"/>
              <w:rPr>
                <w:rFonts w:ascii="Times New Roman" w:hAnsi="Times New Roman"/>
                <w:color w:val="auto"/>
              </w:rPr>
            </w:pPr>
            <w:r>
              <w:rPr>
                <w:rFonts w:ascii="Times New Roman" w:hAnsi="Times New Roman"/>
                <w:color w:val="auto"/>
              </w:rPr>
              <w:t>空桶</w:t>
            </w:r>
          </w:p>
        </w:tc>
        <w:tc>
          <w:tcPr>
            <w:tcW w:w="1187" w:type="dxa"/>
            <w:tcBorders>
              <w:tl2br w:val="nil"/>
              <w:tr2bl w:val="nil"/>
            </w:tcBorders>
            <w:vAlign w:val="center"/>
          </w:tcPr>
          <w:p w14:paraId="581C5079">
            <w:pPr>
              <w:pStyle w:val="118"/>
              <w:spacing w:line="240" w:lineRule="auto"/>
              <w:ind w:firstLine="0"/>
              <w:rPr>
                <w:rFonts w:ascii="Times New Roman" w:hAnsi="Times New Roman"/>
                <w:color w:val="auto"/>
              </w:rPr>
            </w:pPr>
            <w:r>
              <w:rPr>
                <w:rFonts w:ascii="Times New Roman" w:hAnsi="Times New Roman"/>
                <w:color w:val="auto"/>
              </w:rPr>
              <w:t>2个</w:t>
            </w:r>
          </w:p>
        </w:tc>
        <w:tc>
          <w:tcPr>
            <w:tcW w:w="4320" w:type="dxa"/>
            <w:tcBorders>
              <w:tl2br w:val="nil"/>
              <w:tr2bl w:val="nil"/>
            </w:tcBorders>
            <w:vAlign w:val="center"/>
          </w:tcPr>
          <w:p w14:paraId="514806ED">
            <w:pPr>
              <w:pStyle w:val="118"/>
              <w:spacing w:line="240" w:lineRule="auto"/>
              <w:ind w:firstLine="0"/>
              <w:rPr>
                <w:rFonts w:ascii="Times New Roman" w:hAnsi="Times New Roman"/>
                <w:color w:val="auto"/>
              </w:rPr>
            </w:pPr>
            <w:r>
              <w:rPr>
                <w:rFonts w:ascii="Times New Roman" w:hAnsi="Times New Roman"/>
                <w:color w:val="auto"/>
              </w:rPr>
              <w:t>车间</w:t>
            </w:r>
          </w:p>
        </w:tc>
      </w:tr>
      <w:tr w14:paraId="1925E4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3B7AEE1C">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760D69F5">
            <w:pPr>
              <w:pStyle w:val="118"/>
              <w:spacing w:line="240" w:lineRule="auto"/>
              <w:rPr>
                <w:rFonts w:ascii="Times New Roman" w:hAnsi="Times New Roman"/>
                <w:color w:val="auto"/>
              </w:rPr>
            </w:pPr>
          </w:p>
        </w:tc>
        <w:tc>
          <w:tcPr>
            <w:tcW w:w="1631" w:type="dxa"/>
            <w:tcBorders>
              <w:tl2br w:val="nil"/>
              <w:tr2bl w:val="nil"/>
            </w:tcBorders>
            <w:vAlign w:val="center"/>
          </w:tcPr>
          <w:p w14:paraId="7BA6C846">
            <w:pPr>
              <w:pStyle w:val="118"/>
              <w:spacing w:line="240" w:lineRule="auto"/>
              <w:ind w:firstLine="0"/>
              <w:rPr>
                <w:rFonts w:ascii="Times New Roman" w:hAnsi="Times New Roman"/>
                <w:color w:val="auto"/>
              </w:rPr>
            </w:pPr>
            <w:r>
              <w:rPr>
                <w:rFonts w:ascii="Times New Roman" w:hAnsi="Times New Roman"/>
                <w:color w:val="auto"/>
              </w:rPr>
              <w:t>雨水切断阀</w:t>
            </w:r>
          </w:p>
        </w:tc>
        <w:tc>
          <w:tcPr>
            <w:tcW w:w="1187" w:type="dxa"/>
            <w:tcBorders>
              <w:tl2br w:val="nil"/>
              <w:tr2bl w:val="nil"/>
            </w:tcBorders>
            <w:vAlign w:val="center"/>
          </w:tcPr>
          <w:p w14:paraId="485E1167">
            <w:pPr>
              <w:pStyle w:val="118"/>
              <w:spacing w:line="240" w:lineRule="auto"/>
              <w:ind w:firstLine="0"/>
              <w:rPr>
                <w:rFonts w:ascii="Times New Roman" w:hAnsi="Times New Roman"/>
                <w:color w:val="auto"/>
              </w:rPr>
            </w:pPr>
            <w:r>
              <w:rPr>
                <w:rFonts w:ascii="Times New Roman" w:hAnsi="Times New Roman"/>
                <w:color w:val="auto"/>
              </w:rPr>
              <w:t>1个</w:t>
            </w:r>
          </w:p>
        </w:tc>
        <w:tc>
          <w:tcPr>
            <w:tcW w:w="4320" w:type="dxa"/>
            <w:tcBorders>
              <w:tl2br w:val="nil"/>
              <w:tr2bl w:val="nil"/>
            </w:tcBorders>
            <w:vAlign w:val="center"/>
          </w:tcPr>
          <w:p w14:paraId="5BCE6C84">
            <w:pPr>
              <w:pStyle w:val="118"/>
              <w:spacing w:line="240" w:lineRule="auto"/>
              <w:ind w:firstLine="0"/>
              <w:rPr>
                <w:rFonts w:ascii="Times New Roman" w:hAnsi="Times New Roman"/>
                <w:color w:val="auto"/>
              </w:rPr>
            </w:pPr>
            <w:r>
              <w:rPr>
                <w:rFonts w:ascii="Times New Roman" w:hAnsi="Times New Roman"/>
                <w:color w:val="auto"/>
              </w:rPr>
              <w:t>雨水排口</w:t>
            </w:r>
          </w:p>
        </w:tc>
      </w:tr>
      <w:tr w14:paraId="2D686E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5DBA5AE8">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513E6087">
            <w:pPr>
              <w:pStyle w:val="118"/>
              <w:spacing w:line="240" w:lineRule="auto"/>
              <w:rPr>
                <w:rFonts w:ascii="Times New Roman" w:hAnsi="Times New Roman"/>
                <w:color w:val="auto"/>
              </w:rPr>
            </w:pPr>
          </w:p>
        </w:tc>
        <w:tc>
          <w:tcPr>
            <w:tcW w:w="1631" w:type="dxa"/>
            <w:tcBorders>
              <w:tl2br w:val="nil"/>
              <w:tr2bl w:val="nil"/>
            </w:tcBorders>
            <w:vAlign w:val="center"/>
          </w:tcPr>
          <w:p w14:paraId="610A0A9C">
            <w:pPr>
              <w:pStyle w:val="118"/>
              <w:spacing w:line="240" w:lineRule="auto"/>
              <w:ind w:firstLine="0"/>
              <w:rPr>
                <w:rFonts w:ascii="Times New Roman" w:hAnsi="Times New Roman"/>
                <w:color w:val="auto"/>
              </w:rPr>
            </w:pPr>
            <w:r>
              <w:rPr>
                <w:rFonts w:ascii="Times New Roman" w:hAnsi="Times New Roman"/>
                <w:color w:val="auto"/>
              </w:rPr>
              <w:t>污水切断阀</w:t>
            </w:r>
          </w:p>
        </w:tc>
        <w:tc>
          <w:tcPr>
            <w:tcW w:w="1187" w:type="dxa"/>
            <w:tcBorders>
              <w:tl2br w:val="nil"/>
              <w:tr2bl w:val="nil"/>
            </w:tcBorders>
            <w:vAlign w:val="center"/>
          </w:tcPr>
          <w:p w14:paraId="5945EE45">
            <w:pPr>
              <w:pStyle w:val="118"/>
              <w:spacing w:line="240" w:lineRule="auto"/>
              <w:ind w:firstLine="0"/>
              <w:rPr>
                <w:rFonts w:ascii="Times New Roman" w:hAnsi="Times New Roman"/>
                <w:color w:val="auto"/>
              </w:rPr>
            </w:pPr>
            <w:r>
              <w:rPr>
                <w:rFonts w:ascii="Times New Roman" w:hAnsi="Times New Roman"/>
                <w:color w:val="auto"/>
              </w:rPr>
              <w:t>1个</w:t>
            </w:r>
          </w:p>
        </w:tc>
        <w:tc>
          <w:tcPr>
            <w:tcW w:w="4320" w:type="dxa"/>
            <w:tcBorders>
              <w:tl2br w:val="nil"/>
              <w:tr2bl w:val="nil"/>
            </w:tcBorders>
            <w:vAlign w:val="center"/>
          </w:tcPr>
          <w:p w14:paraId="6AD2A09C">
            <w:pPr>
              <w:pStyle w:val="118"/>
              <w:spacing w:line="240" w:lineRule="auto"/>
              <w:ind w:firstLine="0"/>
              <w:rPr>
                <w:rFonts w:ascii="Times New Roman" w:hAnsi="Times New Roman"/>
                <w:color w:val="auto"/>
              </w:rPr>
            </w:pPr>
            <w:r>
              <w:rPr>
                <w:rFonts w:ascii="Times New Roman" w:hAnsi="Times New Roman"/>
                <w:color w:val="auto"/>
              </w:rPr>
              <w:t>污水总排口</w:t>
            </w:r>
          </w:p>
        </w:tc>
      </w:tr>
      <w:tr w14:paraId="2A613E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1A70225E">
            <w:pPr>
              <w:pStyle w:val="118"/>
              <w:spacing w:line="240" w:lineRule="auto"/>
              <w:rPr>
                <w:rFonts w:ascii="Times New Roman" w:hAnsi="Times New Roman"/>
                <w:color w:val="auto"/>
              </w:rPr>
            </w:pPr>
          </w:p>
        </w:tc>
        <w:tc>
          <w:tcPr>
            <w:tcW w:w="1480" w:type="dxa"/>
            <w:vMerge w:val="restart"/>
            <w:tcBorders>
              <w:tl2br w:val="nil"/>
              <w:tr2bl w:val="nil"/>
            </w:tcBorders>
            <w:vAlign w:val="center"/>
          </w:tcPr>
          <w:p w14:paraId="5AE32CD7">
            <w:pPr>
              <w:pStyle w:val="118"/>
              <w:spacing w:line="240" w:lineRule="auto"/>
              <w:jc w:val="both"/>
              <w:rPr>
                <w:rFonts w:ascii="Times New Roman" w:hAnsi="Times New Roman"/>
                <w:color w:val="auto"/>
              </w:rPr>
            </w:pPr>
            <w:r>
              <w:rPr>
                <w:rFonts w:ascii="Times New Roman" w:hAnsi="Times New Roman"/>
                <w:color w:val="auto"/>
              </w:rPr>
              <w:t>安全防护</w:t>
            </w:r>
          </w:p>
        </w:tc>
        <w:tc>
          <w:tcPr>
            <w:tcW w:w="1631" w:type="dxa"/>
            <w:tcBorders>
              <w:tl2br w:val="nil"/>
              <w:tr2bl w:val="nil"/>
            </w:tcBorders>
            <w:vAlign w:val="center"/>
          </w:tcPr>
          <w:p w14:paraId="583C12E3">
            <w:pPr>
              <w:pStyle w:val="118"/>
              <w:spacing w:line="240" w:lineRule="auto"/>
              <w:ind w:firstLine="0"/>
              <w:rPr>
                <w:rFonts w:ascii="Times New Roman" w:hAnsi="Times New Roman"/>
                <w:color w:val="auto"/>
              </w:rPr>
            </w:pPr>
            <w:r>
              <w:rPr>
                <w:rFonts w:ascii="Times New Roman" w:hAnsi="Times New Roman"/>
                <w:color w:val="auto"/>
              </w:rPr>
              <w:t>空气呼吸器</w:t>
            </w:r>
          </w:p>
        </w:tc>
        <w:tc>
          <w:tcPr>
            <w:tcW w:w="1187" w:type="dxa"/>
            <w:tcBorders>
              <w:tl2br w:val="nil"/>
              <w:tr2bl w:val="nil"/>
            </w:tcBorders>
            <w:vAlign w:val="center"/>
          </w:tcPr>
          <w:p w14:paraId="13AD860E">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4</w:t>
            </w:r>
            <w:r>
              <w:rPr>
                <w:rFonts w:ascii="Times New Roman" w:hAnsi="Times New Roman"/>
                <w:color w:val="auto"/>
              </w:rPr>
              <w:t>具</w:t>
            </w:r>
          </w:p>
        </w:tc>
        <w:tc>
          <w:tcPr>
            <w:tcW w:w="4320" w:type="dxa"/>
            <w:tcBorders>
              <w:tl2br w:val="nil"/>
              <w:tr2bl w:val="nil"/>
            </w:tcBorders>
            <w:vAlign w:val="center"/>
          </w:tcPr>
          <w:p w14:paraId="02FC76AB">
            <w:pPr>
              <w:pStyle w:val="118"/>
              <w:spacing w:line="240" w:lineRule="auto"/>
              <w:ind w:firstLine="0"/>
              <w:rPr>
                <w:rFonts w:ascii="Times New Roman" w:hAnsi="Times New Roman"/>
                <w:color w:val="auto"/>
              </w:rPr>
            </w:pPr>
            <w:r>
              <w:rPr>
                <w:rFonts w:ascii="Times New Roman" w:hAnsi="Times New Roman"/>
                <w:color w:val="auto"/>
              </w:rPr>
              <w:t>车间、仓库</w:t>
            </w:r>
          </w:p>
        </w:tc>
      </w:tr>
      <w:tr w14:paraId="1AE12E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0BE2419C">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01FBAAC8">
            <w:pPr>
              <w:pStyle w:val="118"/>
              <w:spacing w:line="240" w:lineRule="auto"/>
              <w:jc w:val="both"/>
              <w:rPr>
                <w:rFonts w:ascii="Times New Roman" w:hAnsi="Times New Roman"/>
                <w:color w:val="auto"/>
              </w:rPr>
            </w:pPr>
          </w:p>
        </w:tc>
        <w:tc>
          <w:tcPr>
            <w:tcW w:w="1631" w:type="dxa"/>
            <w:tcBorders>
              <w:tl2br w:val="nil"/>
              <w:tr2bl w:val="nil"/>
            </w:tcBorders>
            <w:vAlign w:val="center"/>
          </w:tcPr>
          <w:p w14:paraId="2ED37B78">
            <w:pPr>
              <w:pStyle w:val="118"/>
              <w:spacing w:line="240" w:lineRule="auto"/>
              <w:ind w:firstLine="0"/>
              <w:rPr>
                <w:rFonts w:ascii="Times New Roman" w:hAnsi="Times New Roman"/>
                <w:color w:val="auto"/>
              </w:rPr>
            </w:pPr>
            <w:r>
              <w:rPr>
                <w:rFonts w:ascii="Times New Roman" w:hAnsi="Times New Roman"/>
                <w:color w:val="auto"/>
              </w:rPr>
              <w:t>防火毛毡</w:t>
            </w:r>
          </w:p>
        </w:tc>
        <w:tc>
          <w:tcPr>
            <w:tcW w:w="1187" w:type="dxa"/>
            <w:tcBorders>
              <w:tl2br w:val="nil"/>
              <w:tr2bl w:val="nil"/>
            </w:tcBorders>
            <w:vAlign w:val="center"/>
          </w:tcPr>
          <w:p w14:paraId="02348903">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4</w:t>
            </w:r>
            <w:r>
              <w:rPr>
                <w:rFonts w:ascii="Times New Roman" w:hAnsi="Times New Roman"/>
                <w:color w:val="auto"/>
              </w:rPr>
              <w:t>条</w:t>
            </w:r>
          </w:p>
        </w:tc>
        <w:tc>
          <w:tcPr>
            <w:tcW w:w="4320" w:type="dxa"/>
            <w:tcBorders>
              <w:tl2br w:val="nil"/>
              <w:tr2bl w:val="nil"/>
            </w:tcBorders>
            <w:vAlign w:val="center"/>
          </w:tcPr>
          <w:p w14:paraId="3478D71C">
            <w:pPr>
              <w:jc w:val="center"/>
              <w:rPr>
                <w:color w:val="auto"/>
              </w:rPr>
            </w:pPr>
            <w:r>
              <w:rPr>
                <w:color w:val="auto"/>
              </w:rPr>
              <w:t>车间、仓库</w:t>
            </w:r>
          </w:p>
        </w:tc>
      </w:tr>
      <w:tr w14:paraId="40F813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4BC7B993">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48270E60">
            <w:pPr>
              <w:pStyle w:val="118"/>
              <w:spacing w:line="240" w:lineRule="auto"/>
              <w:jc w:val="both"/>
              <w:rPr>
                <w:rFonts w:ascii="Times New Roman" w:hAnsi="Times New Roman"/>
                <w:color w:val="auto"/>
              </w:rPr>
            </w:pPr>
          </w:p>
        </w:tc>
        <w:tc>
          <w:tcPr>
            <w:tcW w:w="1631" w:type="dxa"/>
            <w:tcBorders>
              <w:tl2br w:val="nil"/>
              <w:tr2bl w:val="nil"/>
            </w:tcBorders>
            <w:vAlign w:val="center"/>
          </w:tcPr>
          <w:p w14:paraId="1D5F47C7">
            <w:pPr>
              <w:pStyle w:val="118"/>
              <w:spacing w:line="240" w:lineRule="auto"/>
              <w:ind w:firstLine="0"/>
              <w:rPr>
                <w:rFonts w:ascii="Times New Roman" w:hAnsi="Times New Roman"/>
                <w:color w:val="auto"/>
              </w:rPr>
            </w:pPr>
            <w:r>
              <w:rPr>
                <w:rFonts w:ascii="Times New Roman" w:hAnsi="Times New Roman"/>
                <w:color w:val="auto"/>
              </w:rPr>
              <w:t>安全绳</w:t>
            </w:r>
          </w:p>
        </w:tc>
        <w:tc>
          <w:tcPr>
            <w:tcW w:w="1187" w:type="dxa"/>
            <w:tcBorders>
              <w:tl2br w:val="nil"/>
              <w:tr2bl w:val="nil"/>
            </w:tcBorders>
            <w:vAlign w:val="center"/>
          </w:tcPr>
          <w:p w14:paraId="6B515B08">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4</w:t>
            </w:r>
            <w:r>
              <w:rPr>
                <w:rFonts w:ascii="Times New Roman" w:hAnsi="Times New Roman"/>
                <w:color w:val="auto"/>
              </w:rPr>
              <w:t>条</w:t>
            </w:r>
          </w:p>
        </w:tc>
        <w:tc>
          <w:tcPr>
            <w:tcW w:w="4320" w:type="dxa"/>
            <w:tcBorders>
              <w:tl2br w:val="nil"/>
              <w:tr2bl w:val="nil"/>
            </w:tcBorders>
            <w:vAlign w:val="center"/>
          </w:tcPr>
          <w:p w14:paraId="2B1E3586">
            <w:pPr>
              <w:jc w:val="center"/>
              <w:rPr>
                <w:color w:val="auto"/>
              </w:rPr>
            </w:pPr>
            <w:r>
              <w:rPr>
                <w:color w:val="auto"/>
              </w:rPr>
              <w:t>车间、仓库</w:t>
            </w:r>
          </w:p>
        </w:tc>
      </w:tr>
      <w:tr w14:paraId="7C9D82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0816831A">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62B02DF9">
            <w:pPr>
              <w:pStyle w:val="118"/>
              <w:spacing w:line="240" w:lineRule="auto"/>
              <w:jc w:val="both"/>
              <w:rPr>
                <w:rFonts w:ascii="Times New Roman" w:hAnsi="Times New Roman"/>
                <w:color w:val="auto"/>
              </w:rPr>
            </w:pPr>
          </w:p>
        </w:tc>
        <w:tc>
          <w:tcPr>
            <w:tcW w:w="1631" w:type="dxa"/>
            <w:tcBorders>
              <w:tl2br w:val="nil"/>
              <w:tr2bl w:val="nil"/>
            </w:tcBorders>
            <w:vAlign w:val="center"/>
          </w:tcPr>
          <w:p w14:paraId="1BE085C5">
            <w:pPr>
              <w:pStyle w:val="118"/>
              <w:spacing w:line="240" w:lineRule="auto"/>
              <w:ind w:firstLine="0"/>
              <w:rPr>
                <w:rFonts w:ascii="Times New Roman" w:hAnsi="Times New Roman"/>
                <w:color w:val="auto"/>
              </w:rPr>
            </w:pPr>
            <w:r>
              <w:rPr>
                <w:rFonts w:ascii="Times New Roman" w:hAnsi="Times New Roman"/>
                <w:color w:val="auto"/>
              </w:rPr>
              <w:t>安全带</w:t>
            </w:r>
          </w:p>
        </w:tc>
        <w:tc>
          <w:tcPr>
            <w:tcW w:w="1187" w:type="dxa"/>
            <w:tcBorders>
              <w:tl2br w:val="nil"/>
              <w:tr2bl w:val="nil"/>
            </w:tcBorders>
            <w:vAlign w:val="center"/>
          </w:tcPr>
          <w:p w14:paraId="0F78A804">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6</w:t>
            </w:r>
            <w:r>
              <w:rPr>
                <w:rFonts w:ascii="Times New Roman" w:hAnsi="Times New Roman"/>
                <w:color w:val="auto"/>
              </w:rPr>
              <w:t>条</w:t>
            </w:r>
          </w:p>
        </w:tc>
        <w:tc>
          <w:tcPr>
            <w:tcW w:w="4320" w:type="dxa"/>
            <w:tcBorders>
              <w:tl2br w:val="nil"/>
              <w:tr2bl w:val="nil"/>
            </w:tcBorders>
            <w:vAlign w:val="center"/>
          </w:tcPr>
          <w:p w14:paraId="22D265F1">
            <w:pPr>
              <w:jc w:val="center"/>
              <w:rPr>
                <w:color w:val="auto"/>
              </w:rPr>
            </w:pPr>
            <w:r>
              <w:rPr>
                <w:color w:val="auto"/>
              </w:rPr>
              <w:t>车间、仓库</w:t>
            </w:r>
          </w:p>
        </w:tc>
      </w:tr>
      <w:tr w14:paraId="1DDCA0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41AED6EC">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6B77F246">
            <w:pPr>
              <w:pStyle w:val="118"/>
              <w:spacing w:line="240" w:lineRule="auto"/>
              <w:jc w:val="both"/>
              <w:rPr>
                <w:rFonts w:ascii="Times New Roman" w:hAnsi="Times New Roman"/>
                <w:color w:val="auto"/>
              </w:rPr>
            </w:pPr>
          </w:p>
        </w:tc>
        <w:tc>
          <w:tcPr>
            <w:tcW w:w="1631" w:type="dxa"/>
            <w:tcBorders>
              <w:tl2br w:val="nil"/>
              <w:tr2bl w:val="nil"/>
            </w:tcBorders>
            <w:vAlign w:val="center"/>
          </w:tcPr>
          <w:p w14:paraId="73965FC3">
            <w:pPr>
              <w:pStyle w:val="118"/>
              <w:spacing w:line="240" w:lineRule="auto"/>
              <w:ind w:firstLine="0"/>
              <w:rPr>
                <w:rFonts w:ascii="Times New Roman" w:hAnsi="Times New Roman"/>
                <w:color w:val="auto"/>
              </w:rPr>
            </w:pPr>
            <w:r>
              <w:rPr>
                <w:rFonts w:ascii="Times New Roman" w:hAnsi="Times New Roman"/>
                <w:color w:val="auto"/>
              </w:rPr>
              <w:t>消防锹、钩</w:t>
            </w:r>
          </w:p>
        </w:tc>
        <w:tc>
          <w:tcPr>
            <w:tcW w:w="1187" w:type="dxa"/>
            <w:tcBorders>
              <w:tl2br w:val="nil"/>
              <w:tr2bl w:val="nil"/>
            </w:tcBorders>
            <w:vAlign w:val="center"/>
          </w:tcPr>
          <w:p w14:paraId="6AE4B140">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5</w:t>
            </w:r>
            <w:r>
              <w:rPr>
                <w:rFonts w:ascii="Times New Roman" w:hAnsi="Times New Roman"/>
                <w:color w:val="auto"/>
              </w:rPr>
              <w:t>个</w:t>
            </w:r>
          </w:p>
        </w:tc>
        <w:tc>
          <w:tcPr>
            <w:tcW w:w="4320" w:type="dxa"/>
            <w:tcBorders>
              <w:tl2br w:val="nil"/>
              <w:tr2bl w:val="nil"/>
            </w:tcBorders>
            <w:vAlign w:val="center"/>
          </w:tcPr>
          <w:p w14:paraId="6270D65D">
            <w:pPr>
              <w:jc w:val="center"/>
              <w:rPr>
                <w:color w:val="auto"/>
              </w:rPr>
            </w:pPr>
            <w:r>
              <w:rPr>
                <w:color w:val="auto"/>
              </w:rPr>
              <w:t>车间、仓库</w:t>
            </w:r>
          </w:p>
        </w:tc>
      </w:tr>
      <w:tr w14:paraId="6D4479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33FAAC61">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32B3D5A3">
            <w:pPr>
              <w:pStyle w:val="118"/>
              <w:spacing w:line="240" w:lineRule="auto"/>
              <w:jc w:val="both"/>
              <w:rPr>
                <w:rFonts w:ascii="Times New Roman" w:hAnsi="Times New Roman"/>
                <w:color w:val="auto"/>
              </w:rPr>
            </w:pPr>
          </w:p>
        </w:tc>
        <w:tc>
          <w:tcPr>
            <w:tcW w:w="1631" w:type="dxa"/>
            <w:tcBorders>
              <w:tl2br w:val="nil"/>
              <w:tr2bl w:val="nil"/>
            </w:tcBorders>
            <w:vAlign w:val="center"/>
          </w:tcPr>
          <w:p w14:paraId="3817A43C">
            <w:pPr>
              <w:pStyle w:val="118"/>
              <w:spacing w:line="240" w:lineRule="auto"/>
              <w:ind w:firstLine="0"/>
              <w:rPr>
                <w:rFonts w:ascii="Times New Roman" w:hAnsi="Times New Roman"/>
                <w:color w:val="auto"/>
              </w:rPr>
            </w:pPr>
            <w:r>
              <w:rPr>
                <w:rFonts w:ascii="Times New Roman" w:hAnsi="Times New Roman"/>
                <w:color w:val="auto"/>
              </w:rPr>
              <w:t>耐高温服</w:t>
            </w:r>
          </w:p>
        </w:tc>
        <w:tc>
          <w:tcPr>
            <w:tcW w:w="1187" w:type="dxa"/>
            <w:tcBorders>
              <w:tl2br w:val="nil"/>
              <w:tr2bl w:val="nil"/>
            </w:tcBorders>
            <w:vAlign w:val="center"/>
          </w:tcPr>
          <w:p w14:paraId="7E04595A">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6</w:t>
            </w:r>
            <w:r>
              <w:rPr>
                <w:rFonts w:ascii="Times New Roman" w:hAnsi="Times New Roman"/>
                <w:color w:val="auto"/>
              </w:rPr>
              <w:t>套</w:t>
            </w:r>
          </w:p>
        </w:tc>
        <w:tc>
          <w:tcPr>
            <w:tcW w:w="4320" w:type="dxa"/>
            <w:tcBorders>
              <w:tl2br w:val="nil"/>
              <w:tr2bl w:val="nil"/>
            </w:tcBorders>
            <w:vAlign w:val="center"/>
          </w:tcPr>
          <w:p w14:paraId="07E4BD72">
            <w:pPr>
              <w:jc w:val="center"/>
              <w:rPr>
                <w:color w:val="auto"/>
              </w:rPr>
            </w:pPr>
            <w:r>
              <w:rPr>
                <w:color w:val="auto"/>
              </w:rPr>
              <w:t>车间、仓库</w:t>
            </w:r>
          </w:p>
        </w:tc>
      </w:tr>
      <w:tr w14:paraId="607B76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76FCFC0C">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625E51AB">
            <w:pPr>
              <w:pStyle w:val="118"/>
              <w:spacing w:line="240" w:lineRule="auto"/>
              <w:jc w:val="both"/>
              <w:rPr>
                <w:rFonts w:ascii="Times New Roman" w:hAnsi="Times New Roman"/>
                <w:color w:val="auto"/>
              </w:rPr>
            </w:pPr>
          </w:p>
        </w:tc>
        <w:tc>
          <w:tcPr>
            <w:tcW w:w="1631" w:type="dxa"/>
            <w:tcBorders>
              <w:tl2br w:val="nil"/>
              <w:tr2bl w:val="nil"/>
            </w:tcBorders>
            <w:vAlign w:val="center"/>
          </w:tcPr>
          <w:p w14:paraId="576FE9F5">
            <w:pPr>
              <w:pStyle w:val="118"/>
              <w:spacing w:line="240" w:lineRule="auto"/>
              <w:ind w:firstLine="0"/>
              <w:rPr>
                <w:rFonts w:ascii="Times New Roman" w:hAnsi="Times New Roman"/>
                <w:color w:val="auto"/>
              </w:rPr>
            </w:pPr>
            <w:r>
              <w:rPr>
                <w:rFonts w:ascii="Times New Roman" w:hAnsi="Times New Roman"/>
                <w:color w:val="auto"/>
              </w:rPr>
              <w:t>正压式送风机</w:t>
            </w:r>
          </w:p>
        </w:tc>
        <w:tc>
          <w:tcPr>
            <w:tcW w:w="1187" w:type="dxa"/>
            <w:tcBorders>
              <w:tl2br w:val="nil"/>
              <w:tr2bl w:val="nil"/>
            </w:tcBorders>
            <w:vAlign w:val="center"/>
          </w:tcPr>
          <w:p w14:paraId="7B6F37DD">
            <w:pPr>
              <w:pStyle w:val="118"/>
              <w:spacing w:line="240" w:lineRule="auto"/>
              <w:ind w:firstLine="0"/>
              <w:rPr>
                <w:rFonts w:ascii="Times New Roman" w:hAnsi="Times New Roman"/>
                <w:color w:val="auto"/>
              </w:rPr>
            </w:pPr>
            <w:r>
              <w:rPr>
                <w:rFonts w:ascii="Times New Roman" w:hAnsi="Times New Roman"/>
                <w:color w:val="auto"/>
              </w:rPr>
              <w:t>1台</w:t>
            </w:r>
          </w:p>
        </w:tc>
        <w:tc>
          <w:tcPr>
            <w:tcW w:w="4320" w:type="dxa"/>
            <w:tcBorders>
              <w:tl2br w:val="nil"/>
              <w:tr2bl w:val="nil"/>
            </w:tcBorders>
            <w:vAlign w:val="center"/>
          </w:tcPr>
          <w:p w14:paraId="74BF0DA5">
            <w:pPr>
              <w:jc w:val="center"/>
              <w:rPr>
                <w:color w:val="auto"/>
              </w:rPr>
            </w:pPr>
            <w:r>
              <w:rPr>
                <w:color w:val="auto"/>
              </w:rPr>
              <w:t>车间、仓库</w:t>
            </w:r>
          </w:p>
        </w:tc>
      </w:tr>
      <w:tr w14:paraId="19C920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616" w:type="dxa"/>
            <w:vMerge w:val="continue"/>
            <w:tcBorders>
              <w:tl2br w:val="nil"/>
              <w:tr2bl w:val="nil"/>
            </w:tcBorders>
            <w:vAlign w:val="center"/>
          </w:tcPr>
          <w:p w14:paraId="7B815E3C">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2D092CC4">
            <w:pPr>
              <w:pStyle w:val="118"/>
              <w:spacing w:line="240" w:lineRule="auto"/>
              <w:jc w:val="both"/>
              <w:rPr>
                <w:rFonts w:ascii="Times New Roman" w:hAnsi="Times New Roman"/>
                <w:color w:val="auto"/>
              </w:rPr>
            </w:pPr>
          </w:p>
        </w:tc>
        <w:tc>
          <w:tcPr>
            <w:tcW w:w="1631" w:type="dxa"/>
            <w:tcBorders>
              <w:tl2br w:val="nil"/>
              <w:tr2bl w:val="nil"/>
            </w:tcBorders>
            <w:vAlign w:val="center"/>
          </w:tcPr>
          <w:p w14:paraId="5407368A">
            <w:pPr>
              <w:pStyle w:val="118"/>
              <w:spacing w:line="240" w:lineRule="auto"/>
              <w:ind w:firstLine="0"/>
              <w:rPr>
                <w:rFonts w:ascii="Times New Roman" w:hAnsi="Times New Roman"/>
                <w:color w:val="auto"/>
              </w:rPr>
            </w:pPr>
            <w:r>
              <w:rPr>
                <w:rFonts w:ascii="Times New Roman" w:hAnsi="Times New Roman"/>
                <w:color w:val="auto"/>
              </w:rPr>
              <w:t>防火服</w:t>
            </w:r>
          </w:p>
        </w:tc>
        <w:tc>
          <w:tcPr>
            <w:tcW w:w="1187" w:type="dxa"/>
            <w:tcBorders>
              <w:tl2br w:val="nil"/>
              <w:tr2bl w:val="nil"/>
            </w:tcBorders>
            <w:vAlign w:val="center"/>
          </w:tcPr>
          <w:p w14:paraId="33C43615">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4</w:t>
            </w:r>
            <w:r>
              <w:rPr>
                <w:rFonts w:ascii="Times New Roman" w:hAnsi="Times New Roman"/>
                <w:color w:val="auto"/>
              </w:rPr>
              <w:t>套</w:t>
            </w:r>
          </w:p>
        </w:tc>
        <w:tc>
          <w:tcPr>
            <w:tcW w:w="4320" w:type="dxa"/>
            <w:tcBorders>
              <w:tl2br w:val="nil"/>
              <w:tr2bl w:val="nil"/>
            </w:tcBorders>
            <w:vAlign w:val="center"/>
          </w:tcPr>
          <w:p w14:paraId="095B9754">
            <w:pPr>
              <w:jc w:val="center"/>
              <w:rPr>
                <w:color w:val="auto"/>
              </w:rPr>
            </w:pPr>
            <w:r>
              <w:rPr>
                <w:color w:val="auto"/>
              </w:rPr>
              <w:t>车间、仓库</w:t>
            </w:r>
          </w:p>
        </w:tc>
      </w:tr>
      <w:tr w14:paraId="7B639D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46C55C73">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1C787122">
            <w:pPr>
              <w:pStyle w:val="118"/>
              <w:spacing w:line="240" w:lineRule="auto"/>
              <w:jc w:val="both"/>
              <w:rPr>
                <w:rFonts w:ascii="Times New Roman" w:hAnsi="Times New Roman"/>
                <w:color w:val="auto"/>
              </w:rPr>
            </w:pPr>
          </w:p>
        </w:tc>
        <w:tc>
          <w:tcPr>
            <w:tcW w:w="1631" w:type="dxa"/>
            <w:tcBorders>
              <w:tl2br w:val="nil"/>
              <w:tr2bl w:val="nil"/>
            </w:tcBorders>
            <w:vAlign w:val="center"/>
          </w:tcPr>
          <w:p w14:paraId="5398F885">
            <w:pPr>
              <w:pStyle w:val="118"/>
              <w:spacing w:line="240" w:lineRule="auto"/>
              <w:ind w:firstLine="0"/>
              <w:rPr>
                <w:rFonts w:ascii="Times New Roman" w:hAnsi="Times New Roman"/>
                <w:color w:val="auto"/>
              </w:rPr>
            </w:pPr>
            <w:r>
              <w:rPr>
                <w:rFonts w:ascii="Times New Roman" w:hAnsi="Times New Roman"/>
                <w:color w:val="auto"/>
              </w:rPr>
              <w:t>应急急救药箱</w:t>
            </w:r>
          </w:p>
        </w:tc>
        <w:tc>
          <w:tcPr>
            <w:tcW w:w="1187" w:type="dxa"/>
            <w:tcBorders>
              <w:tl2br w:val="nil"/>
              <w:tr2bl w:val="nil"/>
            </w:tcBorders>
            <w:vAlign w:val="center"/>
          </w:tcPr>
          <w:p w14:paraId="2E82F7FC">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2</w:t>
            </w:r>
            <w:r>
              <w:rPr>
                <w:rFonts w:ascii="Times New Roman" w:hAnsi="Times New Roman"/>
                <w:color w:val="auto"/>
              </w:rPr>
              <w:t>个</w:t>
            </w:r>
          </w:p>
        </w:tc>
        <w:tc>
          <w:tcPr>
            <w:tcW w:w="4320" w:type="dxa"/>
            <w:tcBorders>
              <w:tl2br w:val="nil"/>
              <w:tr2bl w:val="nil"/>
            </w:tcBorders>
            <w:vAlign w:val="center"/>
          </w:tcPr>
          <w:p w14:paraId="71704713">
            <w:pPr>
              <w:jc w:val="center"/>
              <w:rPr>
                <w:color w:val="auto"/>
              </w:rPr>
            </w:pPr>
            <w:r>
              <w:rPr>
                <w:color w:val="auto"/>
              </w:rPr>
              <w:t>车间、仓库</w:t>
            </w:r>
          </w:p>
        </w:tc>
      </w:tr>
      <w:tr w14:paraId="73D00B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379E7CF0">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562BCEA4">
            <w:pPr>
              <w:pStyle w:val="118"/>
              <w:spacing w:line="240" w:lineRule="auto"/>
              <w:jc w:val="both"/>
              <w:rPr>
                <w:rFonts w:ascii="Times New Roman" w:hAnsi="Times New Roman"/>
                <w:color w:val="auto"/>
              </w:rPr>
            </w:pPr>
          </w:p>
        </w:tc>
        <w:tc>
          <w:tcPr>
            <w:tcW w:w="1631" w:type="dxa"/>
            <w:tcBorders>
              <w:tl2br w:val="nil"/>
              <w:tr2bl w:val="nil"/>
            </w:tcBorders>
            <w:vAlign w:val="center"/>
          </w:tcPr>
          <w:p w14:paraId="69A3400B">
            <w:pPr>
              <w:pStyle w:val="118"/>
              <w:spacing w:line="240" w:lineRule="auto"/>
              <w:ind w:firstLine="0"/>
              <w:rPr>
                <w:rFonts w:ascii="Times New Roman" w:hAnsi="Times New Roman"/>
                <w:color w:val="auto"/>
              </w:rPr>
            </w:pPr>
            <w:r>
              <w:rPr>
                <w:rFonts w:ascii="Times New Roman" w:hAnsi="Times New Roman"/>
                <w:color w:val="auto"/>
              </w:rPr>
              <w:t>氧气袋</w:t>
            </w:r>
          </w:p>
        </w:tc>
        <w:tc>
          <w:tcPr>
            <w:tcW w:w="1187" w:type="dxa"/>
            <w:tcBorders>
              <w:tl2br w:val="nil"/>
              <w:tr2bl w:val="nil"/>
            </w:tcBorders>
            <w:vAlign w:val="center"/>
          </w:tcPr>
          <w:p w14:paraId="36DCD75D">
            <w:pPr>
              <w:pStyle w:val="118"/>
              <w:spacing w:line="240" w:lineRule="auto"/>
              <w:ind w:firstLine="0"/>
              <w:rPr>
                <w:rFonts w:ascii="Times New Roman" w:hAnsi="Times New Roman"/>
                <w:color w:val="auto"/>
              </w:rPr>
            </w:pPr>
            <w:r>
              <w:rPr>
                <w:rFonts w:ascii="Times New Roman" w:hAnsi="Times New Roman"/>
                <w:color w:val="auto"/>
              </w:rPr>
              <w:t>2袋</w:t>
            </w:r>
          </w:p>
        </w:tc>
        <w:tc>
          <w:tcPr>
            <w:tcW w:w="4320" w:type="dxa"/>
            <w:tcBorders>
              <w:tl2br w:val="nil"/>
              <w:tr2bl w:val="nil"/>
            </w:tcBorders>
            <w:vAlign w:val="center"/>
          </w:tcPr>
          <w:p w14:paraId="513EDDCE">
            <w:pPr>
              <w:jc w:val="center"/>
              <w:rPr>
                <w:color w:val="auto"/>
              </w:rPr>
            </w:pPr>
            <w:r>
              <w:rPr>
                <w:color w:val="auto"/>
              </w:rPr>
              <w:t>车间、仓库</w:t>
            </w:r>
          </w:p>
        </w:tc>
      </w:tr>
      <w:tr w14:paraId="3B5585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0F588A74">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52C4306C">
            <w:pPr>
              <w:pStyle w:val="118"/>
              <w:spacing w:line="240" w:lineRule="auto"/>
              <w:jc w:val="both"/>
              <w:rPr>
                <w:rFonts w:ascii="Times New Roman" w:hAnsi="Times New Roman"/>
                <w:color w:val="auto"/>
              </w:rPr>
            </w:pPr>
          </w:p>
        </w:tc>
        <w:tc>
          <w:tcPr>
            <w:tcW w:w="1631" w:type="dxa"/>
            <w:tcBorders>
              <w:tl2br w:val="nil"/>
              <w:tr2bl w:val="nil"/>
            </w:tcBorders>
            <w:vAlign w:val="center"/>
          </w:tcPr>
          <w:p w14:paraId="4B82867C">
            <w:pPr>
              <w:pStyle w:val="118"/>
              <w:spacing w:line="240" w:lineRule="auto"/>
              <w:ind w:firstLine="0"/>
              <w:rPr>
                <w:rFonts w:ascii="Times New Roman" w:hAnsi="Times New Roman"/>
                <w:color w:val="auto"/>
              </w:rPr>
            </w:pPr>
            <w:r>
              <w:rPr>
                <w:rFonts w:ascii="Times New Roman" w:hAnsi="Times New Roman"/>
                <w:color w:val="auto"/>
              </w:rPr>
              <w:t>担架</w:t>
            </w:r>
          </w:p>
        </w:tc>
        <w:tc>
          <w:tcPr>
            <w:tcW w:w="1187" w:type="dxa"/>
            <w:tcBorders>
              <w:tl2br w:val="nil"/>
              <w:tr2bl w:val="nil"/>
            </w:tcBorders>
            <w:vAlign w:val="center"/>
          </w:tcPr>
          <w:p w14:paraId="696E286C">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1</w:t>
            </w:r>
            <w:r>
              <w:rPr>
                <w:rFonts w:ascii="Times New Roman" w:hAnsi="Times New Roman"/>
                <w:color w:val="auto"/>
              </w:rPr>
              <w:t>个</w:t>
            </w:r>
          </w:p>
        </w:tc>
        <w:tc>
          <w:tcPr>
            <w:tcW w:w="4320" w:type="dxa"/>
            <w:tcBorders>
              <w:tl2br w:val="nil"/>
              <w:tr2bl w:val="nil"/>
            </w:tcBorders>
            <w:vAlign w:val="center"/>
          </w:tcPr>
          <w:p w14:paraId="4211AE38">
            <w:pPr>
              <w:jc w:val="center"/>
              <w:rPr>
                <w:color w:val="auto"/>
              </w:rPr>
            </w:pPr>
            <w:r>
              <w:rPr>
                <w:color w:val="auto"/>
              </w:rPr>
              <w:t>车间、仓库</w:t>
            </w:r>
          </w:p>
        </w:tc>
      </w:tr>
      <w:tr w14:paraId="5477B4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5AE66342">
            <w:pPr>
              <w:pStyle w:val="118"/>
              <w:spacing w:line="240" w:lineRule="auto"/>
              <w:rPr>
                <w:rFonts w:ascii="Times New Roman" w:hAnsi="Times New Roman"/>
                <w:color w:val="auto"/>
              </w:rPr>
            </w:pPr>
          </w:p>
        </w:tc>
        <w:tc>
          <w:tcPr>
            <w:tcW w:w="1480" w:type="dxa"/>
            <w:vMerge w:val="restart"/>
            <w:tcBorders>
              <w:tl2br w:val="nil"/>
              <w:tr2bl w:val="nil"/>
            </w:tcBorders>
            <w:vAlign w:val="center"/>
          </w:tcPr>
          <w:p w14:paraId="537AC7D9">
            <w:pPr>
              <w:pStyle w:val="118"/>
              <w:spacing w:line="240" w:lineRule="auto"/>
              <w:ind w:firstLine="0"/>
              <w:rPr>
                <w:rFonts w:ascii="Times New Roman" w:hAnsi="Times New Roman"/>
                <w:color w:val="auto"/>
              </w:rPr>
            </w:pPr>
            <w:r>
              <w:rPr>
                <w:rFonts w:ascii="Times New Roman" w:hAnsi="Times New Roman"/>
                <w:color w:val="auto"/>
              </w:rPr>
              <w:t>应急检测</w:t>
            </w:r>
          </w:p>
        </w:tc>
        <w:tc>
          <w:tcPr>
            <w:tcW w:w="1631" w:type="dxa"/>
            <w:tcBorders>
              <w:tl2br w:val="nil"/>
              <w:tr2bl w:val="nil"/>
            </w:tcBorders>
            <w:vAlign w:val="center"/>
          </w:tcPr>
          <w:p w14:paraId="2851A6C0">
            <w:pPr>
              <w:pStyle w:val="118"/>
              <w:spacing w:line="240" w:lineRule="auto"/>
              <w:ind w:firstLine="0"/>
              <w:rPr>
                <w:rFonts w:ascii="Times New Roman" w:hAnsi="Times New Roman"/>
                <w:color w:val="auto"/>
              </w:rPr>
            </w:pPr>
            <w:r>
              <w:rPr>
                <w:rFonts w:ascii="Times New Roman" w:hAnsi="Times New Roman"/>
                <w:color w:val="auto"/>
              </w:rPr>
              <w:t>便携式</w:t>
            </w:r>
            <w:r>
              <w:rPr>
                <w:rFonts w:hint="eastAsia" w:ascii="Times New Roman" w:hAnsi="Times New Roman"/>
                <w:color w:val="auto"/>
                <w:lang w:val="en-US" w:eastAsia="zh-CN"/>
              </w:rPr>
              <w:t>辐射监测</w:t>
            </w:r>
            <w:r>
              <w:rPr>
                <w:rFonts w:ascii="Times New Roman" w:hAnsi="Times New Roman"/>
                <w:color w:val="auto"/>
              </w:rPr>
              <w:t>仪</w:t>
            </w:r>
          </w:p>
        </w:tc>
        <w:tc>
          <w:tcPr>
            <w:tcW w:w="1187" w:type="dxa"/>
            <w:tcBorders>
              <w:tl2br w:val="nil"/>
              <w:tr2bl w:val="nil"/>
            </w:tcBorders>
            <w:vAlign w:val="center"/>
          </w:tcPr>
          <w:p w14:paraId="5F76E233">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1</w:t>
            </w:r>
            <w:r>
              <w:rPr>
                <w:rFonts w:ascii="Times New Roman" w:hAnsi="Times New Roman"/>
                <w:color w:val="auto"/>
              </w:rPr>
              <w:t>台</w:t>
            </w:r>
          </w:p>
        </w:tc>
        <w:tc>
          <w:tcPr>
            <w:tcW w:w="4320" w:type="dxa"/>
            <w:tcBorders>
              <w:tl2br w:val="nil"/>
              <w:tr2bl w:val="nil"/>
            </w:tcBorders>
            <w:vAlign w:val="center"/>
          </w:tcPr>
          <w:p w14:paraId="6ED09F2F">
            <w:pPr>
              <w:jc w:val="center"/>
              <w:rPr>
                <w:color w:val="auto"/>
              </w:rPr>
            </w:pPr>
            <w:r>
              <w:rPr>
                <w:color w:val="auto"/>
              </w:rPr>
              <w:t>厂区</w:t>
            </w:r>
          </w:p>
        </w:tc>
      </w:tr>
      <w:tr w14:paraId="040A6A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0F4338CF">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20E707C3">
            <w:pPr>
              <w:pStyle w:val="118"/>
              <w:spacing w:line="240" w:lineRule="auto"/>
              <w:rPr>
                <w:rFonts w:ascii="Times New Roman" w:hAnsi="Times New Roman"/>
                <w:color w:val="auto"/>
              </w:rPr>
            </w:pPr>
          </w:p>
        </w:tc>
        <w:tc>
          <w:tcPr>
            <w:tcW w:w="1631" w:type="dxa"/>
            <w:tcBorders>
              <w:tl2br w:val="nil"/>
              <w:tr2bl w:val="nil"/>
            </w:tcBorders>
            <w:vAlign w:val="center"/>
          </w:tcPr>
          <w:p w14:paraId="5A217DE8">
            <w:pPr>
              <w:pStyle w:val="118"/>
              <w:spacing w:line="240" w:lineRule="auto"/>
              <w:ind w:firstLine="0"/>
              <w:rPr>
                <w:rFonts w:ascii="Times New Roman" w:hAnsi="Times New Roman"/>
                <w:color w:val="auto"/>
              </w:rPr>
            </w:pPr>
            <w:r>
              <w:rPr>
                <w:rFonts w:ascii="Times New Roman" w:hAnsi="Times New Roman"/>
                <w:color w:val="auto"/>
              </w:rPr>
              <w:t>可燃气体检测器</w:t>
            </w:r>
          </w:p>
        </w:tc>
        <w:tc>
          <w:tcPr>
            <w:tcW w:w="1187" w:type="dxa"/>
            <w:tcBorders>
              <w:tl2br w:val="nil"/>
              <w:tr2bl w:val="nil"/>
            </w:tcBorders>
            <w:vAlign w:val="center"/>
          </w:tcPr>
          <w:p w14:paraId="51E824B7">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2</w:t>
            </w:r>
            <w:r>
              <w:rPr>
                <w:rFonts w:ascii="Times New Roman" w:hAnsi="Times New Roman"/>
                <w:color w:val="auto"/>
              </w:rPr>
              <w:t>个</w:t>
            </w:r>
          </w:p>
        </w:tc>
        <w:tc>
          <w:tcPr>
            <w:tcW w:w="4320" w:type="dxa"/>
            <w:tcBorders>
              <w:tl2br w:val="nil"/>
              <w:tr2bl w:val="nil"/>
            </w:tcBorders>
            <w:vAlign w:val="center"/>
          </w:tcPr>
          <w:p w14:paraId="51D56ED9">
            <w:pPr>
              <w:jc w:val="center"/>
              <w:rPr>
                <w:color w:val="auto"/>
              </w:rPr>
            </w:pPr>
            <w:r>
              <w:rPr>
                <w:color w:val="auto"/>
              </w:rPr>
              <w:t>厂区</w:t>
            </w:r>
          </w:p>
        </w:tc>
      </w:tr>
      <w:tr w14:paraId="4AB7FF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581C459C">
            <w:pPr>
              <w:pStyle w:val="118"/>
              <w:spacing w:line="240" w:lineRule="auto"/>
              <w:rPr>
                <w:rFonts w:ascii="Times New Roman" w:hAnsi="Times New Roman"/>
                <w:color w:val="auto"/>
              </w:rPr>
            </w:pPr>
          </w:p>
        </w:tc>
        <w:tc>
          <w:tcPr>
            <w:tcW w:w="1480" w:type="dxa"/>
            <w:vMerge w:val="restart"/>
            <w:tcBorders>
              <w:tl2br w:val="nil"/>
              <w:tr2bl w:val="nil"/>
            </w:tcBorders>
            <w:vAlign w:val="center"/>
          </w:tcPr>
          <w:p w14:paraId="4FA75819">
            <w:pPr>
              <w:pStyle w:val="118"/>
              <w:spacing w:line="240" w:lineRule="auto"/>
              <w:ind w:firstLine="0"/>
              <w:rPr>
                <w:rFonts w:ascii="Times New Roman" w:hAnsi="Times New Roman"/>
                <w:color w:val="auto"/>
              </w:rPr>
            </w:pPr>
            <w:r>
              <w:rPr>
                <w:rFonts w:ascii="Times New Roman" w:hAnsi="Times New Roman"/>
                <w:color w:val="auto"/>
              </w:rPr>
              <w:t>应急通信和指挥</w:t>
            </w:r>
          </w:p>
        </w:tc>
        <w:tc>
          <w:tcPr>
            <w:tcW w:w="1631" w:type="dxa"/>
            <w:tcBorders>
              <w:tl2br w:val="nil"/>
              <w:tr2bl w:val="nil"/>
            </w:tcBorders>
            <w:vAlign w:val="center"/>
          </w:tcPr>
          <w:p w14:paraId="61EB9C88">
            <w:pPr>
              <w:pStyle w:val="118"/>
              <w:spacing w:line="240" w:lineRule="auto"/>
              <w:ind w:firstLine="0"/>
              <w:rPr>
                <w:rFonts w:ascii="Times New Roman" w:hAnsi="Times New Roman"/>
                <w:color w:val="auto"/>
              </w:rPr>
            </w:pPr>
            <w:r>
              <w:rPr>
                <w:rFonts w:ascii="Times New Roman" w:hAnsi="Times New Roman"/>
                <w:color w:val="auto"/>
              </w:rPr>
              <w:t>值班车</w:t>
            </w:r>
          </w:p>
        </w:tc>
        <w:tc>
          <w:tcPr>
            <w:tcW w:w="1187" w:type="dxa"/>
            <w:tcBorders>
              <w:tl2br w:val="nil"/>
              <w:tr2bl w:val="nil"/>
            </w:tcBorders>
            <w:vAlign w:val="center"/>
          </w:tcPr>
          <w:p w14:paraId="26E10B5D">
            <w:pPr>
              <w:pStyle w:val="118"/>
              <w:spacing w:line="240" w:lineRule="auto"/>
              <w:ind w:firstLine="0"/>
              <w:rPr>
                <w:rFonts w:ascii="Times New Roman" w:hAnsi="Times New Roman"/>
                <w:color w:val="auto"/>
              </w:rPr>
            </w:pPr>
            <w:r>
              <w:rPr>
                <w:rFonts w:ascii="Times New Roman" w:hAnsi="Times New Roman"/>
                <w:color w:val="auto"/>
              </w:rPr>
              <w:t>2辆</w:t>
            </w:r>
          </w:p>
        </w:tc>
        <w:tc>
          <w:tcPr>
            <w:tcW w:w="4320" w:type="dxa"/>
            <w:tcBorders>
              <w:tl2br w:val="nil"/>
              <w:tr2bl w:val="nil"/>
            </w:tcBorders>
            <w:vAlign w:val="center"/>
          </w:tcPr>
          <w:p w14:paraId="227DAF3A">
            <w:pPr>
              <w:pStyle w:val="118"/>
              <w:spacing w:line="240" w:lineRule="auto"/>
              <w:ind w:firstLine="0"/>
              <w:rPr>
                <w:rFonts w:ascii="Times New Roman" w:hAnsi="Times New Roman"/>
                <w:color w:val="auto"/>
              </w:rPr>
            </w:pPr>
            <w:r>
              <w:rPr>
                <w:rFonts w:ascii="Times New Roman" w:hAnsi="Times New Roman"/>
                <w:color w:val="auto"/>
              </w:rPr>
              <w:t>应急物资库</w:t>
            </w:r>
          </w:p>
        </w:tc>
      </w:tr>
      <w:tr w14:paraId="09691C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0FD6F991">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4530F1FD">
            <w:pPr>
              <w:pStyle w:val="118"/>
              <w:spacing w:line="240" w:lineRule="auto"/>
              <w:rPr>
                <w:rFonts w:ascii="Times New Roman" w:hAnsi="Times New Roman"/>
                <w:color w:val="auto"/>
              </w:rPr>
            </w:pPr>
          </w:p>
        </w:tc>
        <w:tc>
          <w:tcPr>
            <w:tcW w:w="1631" w:type="dxa"/>
            <w:tcBorders>
              <w:tl2br w:val="nil"/>
              <w:tr2bl w:val="nil"/>
            </w:tcBorders>
            <w:vAlign w:val="center"/>
          </w:tcPr>
          <w:p w14:paraId="01C0473D">
            <w:pPr>
              <w:pStyle w:val="118"/>
              <w:spacing w:line="240" w:lineRule="auto"/>
              <w:ind w:firstLine="0"/>
              <w:rPr>
                <w:rFonts w:ascii="Times New Roman" w:hAnsi="Times New Roman"/>
                <w:color w:val="auto"/>
              </w:rPr>
            </w:pPr>
            <w:r>
              <w:rPr>
                <w:rFonts w:ascii="Times New Roman" w:hAnsi="Times New Roman"/>
                <w:color w:val="auto"/>
              </w:rPr>
              <w:t>监控视频</w:t>
            </w:r>
          </w:p>
        </w:tc>
        <w:tc>
          <w:tcPr>
            <w:tcW w:w="1187" w:type="dxa"/>
            <w:tcBorders>
              <w:tl2br w:val="nil"/>
              <w:tr2bl w:val="nil"/>
            </w:tcBorders>
            <w:vAlign w:val="center"/>
          </w:tcPr>
          <w:p w14:paraId="487997D9">
            <w:pPr>
              <w:pStyle w:val="118"/>
              <w:spacing w:line="240" w:lineRule="auto"/>
              <w:ind w:firstLine="0"/>
              <w:rPr>
                <w:rFonts w:ascii="Times New Roman" w:hAnsi="Times New Roman"/>
                <w:color w:val="auto"/>
              </w:rPr>
            </w:pPr>
            <w:r>
              <w:rPr>
                <w:rFonts w:ascii="Times New Roman" w:hAnsi="Times New Roman"/>
                <w:color w:val="auto"/>
              </w:rPr>
              <w:t>1套</w:t>
            </w:r>
          </w:p>
        </w:tc>
        <w:tc>
          <w:tcPr>
            <w:tcW w:w="4320" w:type="dxa"/>
            <w:tcBorders>
              <w:tl2br w:val="nil"/>
              <w:tr2bl w:val="nil"/>
            </w:tcBorders>
            <w:vAlign w:val="center"/>
          </w:tcPr>
          <w:p w14:paraId="7BC32B82">
            <w:pPr>
              <w:pStyle w:val="118"/>
              <w:spacing w:line="240" w:lineRule="auto"/>
              <w:ind w:firstLine="0"/>
              <w:rPr>
                <w:rFonts w:ascii="Times New Roman" w:hAnsi="Times New Roman"/>
                <w:color w:val="auto"/>
              </w:rPr>
            </w:pPr>
            <w:r>
              <w:rPr>
                <w:rFonts w:ascii="Times New Roman" w:hAnsi="Times New Roman"/>
                <w:color w:val="auto"/>
              </w:rPr>
              <w:t>应急物资库</w:t>
            </w:r>
          </w:p>
        </w:tc>
      </w:tr>
      <w:tr w14:paraId="510FC1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207B1BE2">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2DE98212">
            <w:pPr>
              <w:pStyle w:val="118"/>
              <w:spacing w:line="240" w:lineRule="auto"/>
              <w:rPr>
                <w:rFonts w:ascii="Times New Roman" w:hAnsi="Times New Roman"/>
                <w:color w:val="auto"/>
              </w:rPr>
            </w:pPr>
          </w:p>
        </w:tc>
        <w:tc>
          <w:tcPr>
            <w:tcW w:w="1631" w:type="dxa"/>
            <w:tcBorders>
              <w:tl2br w:val="nil"/>
              <w:tr2bl w:val="nil"/>
            </w:tcBorders>
            <w:vAlign w:val="center"/>
          </w:tcPr>
          <w:p w14:paraId="722FC5A0">
            <w:pPr>
              <w:pStyle w:val="118"/>
              <w:spacing w:line="240" w:lineRule="auto"/>
              <w:ind w:firstLine="0"/>
              <w:rPr>
                <w:rFonts w:ascii="Times New Roman" w:hAnsi="Times New Roman"/>
                <w:color w:val="auto"/>
              </w:rPr>
            </w:pPr>
            <w:r>
              <w:rPr>
                <w:rFonts w:ascii="Times New Roman" w:hAnsi="Times New Roman"/>
                <w:color w:val="auto"/>
              </w:rPr>
              <w:t>对讲机</w:t>
            </w:r>
          </w:p>
        </w:tc>
        <w:tc>
          <w:tcPr>
            <w:tcW w:w="1187" w:type="dxa"/>
            <w:tcBorders>
              <w:tl2br w:val="nil"/>
              <w:tr2bl w:val="nil"/>
            </w:tcBorders>
            <w:vAlign w:val="center"/>
          </w:tcPr>
          <w:p w14:paraId="2DBD8A34">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8</w:t>
            </w:r>
            <w:r>
              <w:rPr>
                <w:rFonts w:ascii="Times New Roman" w:hAnsi="Times New Roman"/>
                <w:color w:val="auto"/>
              </w:rPr>
              <w:t>个</w:t>
            </w:r>
          </w:p>
        </w:tc>
        <w:tc>
          <w:tcPr>
            <w:tcW w:w="4320" w:type="dxa"/>
            <w:tcBorders>
              <w:tl2br w:val="nil"/>
              <w:tr2bl w:val="nil"/>
            </w:tcBorders>
            <w:vAlign w:val="center"/>
          </w:tcPr>
          <w:p w14:paraId="5B6BC920">
            <w:pPr>
              <w:pStyle w:val="118"/>
              <w:spacing w:line="240" w:lineRule="auto"/>
              <w:ind w:firstLine="0"/>
              <w:rPr>
                <w:rFonts w:ascii="Times New Roman" w:hAnsi="Times New Roman"/>
                <w:color w:val="auto"/>
              </w:rPr>
            </w:pPr>
            <w:r>
              <w:rPr>
                <w:rFonts w:ascii="Times New Roman" w:hAnsi="Times New Roman"/>
                <w:color w:val="auto"/>
              </w:rPr>
              <w:t>应急物资库</w:t>
            </w:r>
          </w:p>
        </w:tc>
      </w:tr>
      <w:tr w14:paraId="4E90CD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647DE133">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4C353BBE">
            <w:pPr>
              <w:pStyle w:val="118"/>
              <w:spacing w:line="240" w:lineRule="auto"/>
              <w:rPr>
                <w:rFonts w:ascii="Times New Roman" w:hAnsi="Times New Roman"/>
                <w:color w:val="auto"/>
              </w:rPr>
            </w:pPr>
          </w:p>
        </w:tc>
        <w:tc>
          <w:tcPr>
            <w:tcW w:w="1631" w:type="dxa"/>
            <w:tcBorders>
              <w:tl2br w:val="nil"/>
              <w:tr2bl w:val="nil"/>
            </w:tcBorders>
            <w:vAlign w:val="center"/>
          </w:tcPr>
          <w:p w14:paraId="3141B62D">
            <w:pPr>
              <w:pStyle w:val="118"/>
              <w:spacing w:line="240" w:lineRule="auto"/>
              <w:ind w:firstLine="0"/>
              <w:rPr>
                <w:rFonts w:ascii="Times New Roman" w:hAnsi="Times New Roman"/>
                <w:color w:val="auto"/>
              </w:rPr>
            </w:pPr>
            <w:r>
              <w:rPr>
                <w:rFonts w:ascii="Times New Roman" w:hAnsi="Times New Roman"/>
                <w:color w:val="auto"/>
              </w:rPr>
              <w:t>防爆型电筒</w:t>
            </w:r>
          </w:p>
        </w:tc>
        <w:tc>
          <w:tcPr>
            <w:tcW w:w="1187" w:type="dxa"/>
            <w:tcBorders>
              <w:tl2br w:val="nil"/>
              <w:tr2bl w:val="nil"/>
            </w:tcBorders>
            <w:vAlign w:val="center"/>
          </w:tcPr>
          <w:p w14:paraId="40F6A122">
            <w:pPr>
              <w:pStyle w:val="118"/>
              <w:spacing w:line="240" w:lineRule="auto"/>
              <w:ind w:firstLine="0"/>
              <w:rPr>
                <w:rFonts w:ascii="Times New Roman" w:hAnsi="Times New Roman"/>
                <w:color w:val="auto"/>
              </w:rPr>
            </w:pPr>
            <w:r>
              <w:rPr>
                <w:rFonts w:ascii="Times New Roman" w:hAnsi="Times New Roman"/>
                <w:color w:val="auto"/>
              </w:rPr>
              <w:t>6个</w:t>
            </w:r>
          </w:p>
        </w:tc>
        <w:tc>
          <w:tcPr>
            <w:tcW w:w="4320" w:type="dxa"/>
            <w:tcBorders>
              <w:tl2br w:val="nil"/>
              <w:tr2bl w:val="nil"/>
            </w:tcBorders>
            <w:vAlign w:val="center"/>
          </w:tcPr>
          <w:p w14:paraId="50906573">
            <w:pPr>
              <w:pStyle w:val="118"/>
              <w:spacing w:line="240" w:lineRule="auto"/>
              <w:ind w:firstLine="0"/>
              <w:rPr>
                <w:rFonts w:ascii="Times New Roman" w:hAnsi="Times New Roman"/>
                <w:color w:val="auto"/>
              </w:rPr>
            </w:pPr>
            <w:r>
              <w:rPr>
                <w:rFonts w:ascii="Times New Roman" w:hAnsi="Times New Roman"/>
                <w:color w:val="auto"/>
              </w:rPr>
              <w:t>应急物资库</w:t>
            </w:r>
          </w:p>
        </w:tc>
      </w:tr>
      <w:tr w14:paraId="5BA39B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616" w:type="dxa"/>
            <w:vMerge w:val="continue"/>
            <w:tcBorders>
              <w:tl2br w:val="nil"/>
              <w:tr2bl w:val="nil"/>
            </w:tcBorders>
            <w:vAlign w:val="center"/>
          </w:tcPr>
          <w:p w14:paraId="24204190">
            <w:pPr>
              <w:pStyle w:val="118"/>
              <w:spacing w:line="240" w:lineRule="auto"/>
              <w:rPr>
                <w:rFonts w:ascii="Times New Roman" w:hAnsi="Times New Roman"/>
                <w:color w:val="auto"/>
              </w:rPr>
            </w:pPr>
          </w:p>
        </w:tc>
        <w:tc>
          <w:tcPr>
            <w:tcW w:w="1480" w:type="dxa"/>
            <w:vMerge w:val="continue"/>
            <w:tcBorders>
              <w:tl2br w:val="nil"/>
              <w:tr2bl w:val="nil"/>
            </w:tcBorders>
            <w:vAlign w:val="center"/>
          </w:tcPr>
          <w:p w14:paraId="047FF534">
            <w:pPr>
              <w:pStyle w:val="118"/>
              <w:spacing w:line="240" w:lineRule="auto"/>
              <w:rPr>
                <w:rFonts w:ascii="Times New Roman" w:hAnsi="Times New Roman"/>
                <w:color w:val="auto"/>
              </w:rPr>
            </w:pPr>
          </w:p>
        </w:tc>
        <w:tc>
          <w:tcPr>
            <w:tcW w:w="1631" w:type="dxa"/>
            <w:tcBorders>
              <w:tl2br w:val="nil"/>
              <w:tr2bl w:val="nil"/>
            </w:tcBorders>
            <w:vAlign w:val="center"/>
          </w:tcPr>
          <w:p w14:paraId="3BEE6EBC">
            <w:pPr>
              <w:pStyle w:val="118"/>
              <w:spacing w:line="240" w:lineRule="auto"/>
              <w:ind w:firstLine="0"/>
              <w:rPr>
                <w:rFonts w:ascii="Times New Roman" w:hAnsi="Times New Roman"/>
                <w:color w:val="auto"/>
              </w:rPr>
            </w:pPr>
            <w:r>
              <w:rPr>
                <w:rFonts w:ascii="Times New Roman" w:hAnsi="Times New Roman"/>
                <w:color w:val="auto"/>
              </w:rPr>
              <w:t>现场应急电源和照明设备</w:t>
            </w:r>
          </w:p>
        </w:tc>
        <w:tc>
          <w:tcPr>
            <w:tcW w:w="1187" w:type="dxa"/>
            <w:tcBorders>
              <w:tl2br w:val="nil"/>
              <w:tr2bl w:val="nil"/>
            </w:tcBorders>
            <w:vAlign w:val="center"/>
          </w:tcPr>
          <w:p w14:paraId="451AE788">
            <w:pPr>
              <w:pStyle w:val="118"/>
              <w:spacing w:line="240" w:lineRule="auto"/>
              <w:ind w:firstLine="0"/>
              <w:rPr>
                <w:rFonts w:ascii="Times New Roman" w:hAnsi="Times New Roman"/>
                <w:color w:val="auto"/>
              </w:rPr>
            </w:pPr>
            <w:r>
              <w:rPr>
                <w:rFonts w:hint="eastAsia" w:ascii="Times New Roman" w:hAnsi="Times New Roman"/>
                <w:color w:val="auto"/>
                <w:lang w:val="en-US" w:eastAsia="zh-CN"/>
              </w:rPr>
              <w:t>14</w:t>
            </w:r>
            <w:r>
              <w:rPr>
                <w:rFonts w:ascii="Times New Roman" w:hAnsi="Times New Roman"/>
                <w:color w:val="auto"/>
              </w:rPr>
              <w:t>个</w:t>
            </w:r>
          </w:p>
        </w:tc>
        <w:tc>
          <w:tcPr>
            <w:tcW w:w="4320" w:type="dxa"/>
            <w:tcBorders>
              <w:tl2br w:val="nil"/>
              <w:tr2bl w:val="nil"/>
            </w:tcBorders>
            <w:vAlign w:val="center"/>
          </w:tcPr>
          <w:p w14:paraId="34311FF4">
            <w:pPr>
              <w:pStyle w:val="118"/>
              <w:spacing w:line="240" w:lineRule="auto"/>
              <w:ind w:firstLine="0"/>
              <w:rPr>
                <w:rFonts w:ascii="Times New Roman" w:hAnsi="Times New Roman"/>
                <w:color w:val="auto"/>
              </w:rPr>
            </w:pPr>
            <w:r>
              <w:rPr>
                <w:rFonts w:ascii="Times New Roman" w:hAnsi="Times New Roman"/>
                <w:color w:val="auto"/>
              </w:rPr>
              <w:t>应急物资库</w:t>
            </w:r>
          </w:p>
        </w:tc>
      </w:tr>
    </w:tbl>
    <w:p w14:paraId="66DF4506">
      <w:pPr>
        <w:jc w:val="left"/>
        <w:rPr>
          <w:b/>
          <w:bCs/>
          <w:color w:val="auto"/>
          <w:sz w:val="24"/>
        </w:rPr>
      </w:pPr>
    </w:p>
    <w:p w14:paraId="0699264C">
      <w:pPr>
        <w:spacing w:line="360" w:lineRule="auto"/>
        <w:jc w:val="left"/>
        <w:rPr>
          <w:b/>
          <w:bCs/>
          <w:color w:val="auto"/>
          <w:sz w:val="24"/>
        </w:rPr>
      </w:pPr>
      <w:r>
        <w:rPr>
          <w:b/>
          <w:bCs/>
          <w:color w:val="auto"/>
          <w:sz w:val="24"/>
        </w:rPr>
        <w:t>5.5.</w:t>
      </w:r>
      <w:r>
        <w:rPr>
          <w:rFonts w:hint="eastAsia"/>
          <w:b/>
          <w:bCs/>
          <w:color w:val="auto"/>
          <w:sz w:val="24"/>
          <w:lang w:val="en-US" w:eastAsia="zh-CN"/>
        </w:rPr>
        <w:t>3</w:t>
      </w:r>
      <w:r>
        <w:rPr>
          <w:b/>
          <w:bCs/>
          <w:color w:val="auto"/>
          <w:sz w:val="24"/>
        </w:rPr>
        <w:t>污染源监测计划</w:t>
      </w:r>
    </w:p>
    <w:p w14:paraId="135E0C16">
      <w:pPr>
        <w:spacing w:line="360" w:lineRule="auto"/>
        <w:jc w:val="both"/>
        <w:rPr>
          <w:rFonts w:hint="default" w:eastAsia="宋体"/>
          <w:b/>
          <w:bCs/>
          <w:color w:val="auto"/>
          <w:sz w:val="24"/>
          <w:lang w:val="en-US" w:eastAsia="zh-CN"/>
        </w:rPr>
      </w:pPr>
      <w:r>
        <w:rPr>
          <w:rFonts w:hint="eastAsia"/>
          <w:b/>
          <w:bCs/>
          <w:color w:val="auto"/>
          <w:sz w:val="24"/>
          <w:lang w:val="en-US" w:eastAsia="zh-CN"/>
        </w:rPr>
        <w:t>5.5.3.1 项目污染源监测计划</w:t>
      </w:r>
    </w:p>
    <w:p w14:paraId="37406199">
      <w:pPr>
        <w:spacing w:line="360" w:lineRule="auto"/>
        <w:ind w:firstLine="480" w:firstLineChars="200"/>
        <w:jc w:val="left"/>
        <w:rPr>
          <w:rFonts w:hint="default" w:eastAsia="宋体"/>
          <w:b w:val="0"/>
          <w:bCs w:val="0"/>
          <w:color w:val="auto"/>
          <w:sz w:val="24"/>
          <w:lang w:val="en-US" w:eastAsia="zh-CN"/>
        </w:rPr>
      </w:pPr>
      <w:r>
        <w:rPr>
          <w:rFonts w:hint="eastAsia"/>
          <w:b w:val="0"/>
          <w:bCs w:val="0"/>
          <w:color w:val="auto"/>
          <w:sz w:val="24"/>
          <w:lang w:val="en-US" w:eastAsia="zh-CN"/>
        </w:rPr>
        <w:t>项目污染源监测计划如下表所示：</w:t>
      </w:r>
    </w:p>
    <w:p w14:paraId="731BC9CC">
      <w:pPr>
        <w:spacing w:line="360" w:lineRule="auto"/>
        <w:jc w:val="center"/>
        <w:rPr>
          <w:b/>
          <w:bCs/>
          <w:color w:val="auto"/>
          <w:sz w:val="24"/>
        </w:rPr>
      </w:pPr>
      <w:r>
        <w:rPr>
          <w:b/>
          <w:bCs/>
          <w:color w:val="auto"/>
          <w:sz w:val="24"/>
        </w:rPr>
        <w:t>表5-</w:t>
      </w:r>
      <w:r>
        <w:rPr>
          <w:rFonts w:hint="eastAsia"/>
          <w:b/>
          <w:bCs/>
          <w:color w:val="auto"/>
          <w:sz w:val="24"/>
          <w:lang w:val="en-US" w:eastAsia="zh-CN"/>
        </w:rPr>
        <w:t>8</w:t>
      </w:r>
      <w:r>
        <w:rPr>
          <w:b/>
          <w:bCs/>
          <w:color w:val="auto"/>
          <w:sz w:val="24"/>
        </w:rPr>
        <w:t xml:space="preserve"> 项目污染源监测计划一览表</w:t>
      </w:r>
    </w:p>
    <w:tbl>
      <w:tblPr>
        <w:tblStyle w:val="31"/>
        <w:tblW w:w="4973" w:type="pct"/>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1409"/>
        <w:gridCol w:w="2480"/>
        <w:gridCol w:w="3374"/>
        <w:gridCol w:w="2645"/>
      </w:tblGrid>
      <w:tr w14:paraId="3463600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tcBorders>
              <w:tl2br w:val="nil"/>
              <w:tr2bl w:val="nil"/>
            </w:tcBorders>
            <w:vAlign w:val="center"/>
          </w:tcPr>
          <w:p w14:paraId="0C198F99">
            <w:pPr>
              <w:jc w:val="center"/>
              <w:rPr>
                <w:b/>
                <w:bCs/>
                <w:color w:val="auto"/>
              </w:rPr>
            </w:pPr>
            <w:r>
              <w:rPr>
                <w:b/>
                <w:bCs/>
                <w:color w:val="auto"/>
              </w:rPr>
              <w:t>环境要素</w:t>
            </w:r>
          </w:p>
        </w:tc>
        <w:tc>
          <w:tcPr>
            <w:tcW w:w="1251" w:type="pct"/>
            <w:tcBorders>
              <w:tl2br w:val="nil"/>
              <w:tr2bl w:val="nil"/>
            </w:tcBorders>
            <w:vAlign w:val="center"/>
          </w:tcPr>
          <w:p w14:paraId="4BA6970E">
            <w:pPr>
              <w:jc w:val="center"/>
              <w:rPr>
                <w:b/>
                <w:bCs/>
                <w:color w:val="auto"/>
              </w:rPr>
            </w:pPr>
            <w:r>
              <w:rPr>
                <w:b/>
                <w:bCs/>
                <w:color w:val="auto"/>
              </w:rPr>
              <w:t>监测位置</w:t>
            </w:r>
          </w:p>
        </w:tc>
        <w:tc>
          <w:tcPr>
            <w:tcW w:w="1702" w:type="pct"/>
            <w:tcBorders>
              <w:tl2br w:val="nil"/>
              <w:tr2bl w:val="nil"/>
            </w:tcBorders>
            <w:vAlign w:val="center"/>
          </w:tcPr>
          <w:p w14:paraId="50FDCFF3">
            <w:pPr>
              <w:jc w:val="center"/>
              <w:rPr>
                <w:b/>
                <w:bCs/>
                <w:color w:val="auto"/>
              </w:rPr>
            </w:pPr>
            <w:r>
              <w:rPr>
                <w:b/>
                <w:bCs/>
                <w:color w:val="auto"/>
              </w:rPr>
              <w:t>监测项目</w:t>
            </w:r>
          </w:p>
        </w:tc>
        <w:tc>
          <w:tcPr>
            <w:tcW w:w="1334" w:type="pct"/>
            <w:tcBorders>
              <w:tl2br w:val="nil"/>
              <w:tr2bl w:val="nil"/>
            </w:tcBorders>
            <w:vAlign w:val="center"/>
          </w:tcPr>
          <w:p w14:paraId="341F6B47">
            <w:pPr>
              <w:jc w:val="center"/>
              <w:rPr>
                <w:b/>
                <w:bCs/>
                <w:color w:val="auto"/>
              </w:rPr>
            </w:pPr>
            <w:r>
              <w:rPr>
                <w:b/>
                <w:bCs/>
                <w:color w:val="auto"/>
              </w:rPr>
              <w:t>监测频次</w:t>
            </w:r>
          </w:p>
        </w:tc>
      </w:tr>
      <w:tr w14:paraId="277851A5">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vMerge w:val="restart"/>
            <w:tcBorders>
              <w:tl2br w:val="nil"/>
              <w:tr2bl w:val="nil"/>
            </w:tcBorders>
            <w:vAlign w:val="center"/>
          </w:tcPr>
          <w:p w14:paraId="6366DEB4">
            <w:pPr>
              <w:jc w:val="center"/>
              <w:rPr>
                <w:color w:val="auto"/>
              </w:rPr>
            </w:pPr>
            <w:r>
              <w:rPr>
                <w:color w:val="auto"/>
              </w:rPr>
              <w:t>废气</w:t>
            </w:r>
          </w:p>
        </w:tc>
        <w:tc>
          <w:tcPr>
            <w:tcW w:w="1251" w:type="pct"/>
            <w:vMerge w:val="restart"/>
            <w:tcBorders>
              <w:tl2br w:val="nil"/>
              <w:tr2bl w:val="nil"/>
            </w:tcBorders>
            <w:vAlign w:val="center"/>
          </w:tcPr>
          <w:p w14:paraId="7C7A7F25">
            <w:pPr>
              <w:jc w:val="center"/>
              <w:rPr>
                <w:color w:val="auto"/>
              </w:rPr>
            </w:pPr>
            <w:r>
              <w:rPr>
                <w:color w:val="auto"/>
              </w:rPr>
              <w:t>DA001</w:t>
            </w:r>
          </w:p>
        </w:tc>
        <w:tc>
          <w:tcPr>
            <w:tcW w:w="1702" w:type="pct"/>
            <w:tcBorders>
              <w:tl2br w:val="nil"/>
              <w:tr2bl w:val="nil"/>
            </w:tcBorders>
            <w:vAlign w:val="center"/>
          </w:tcPr>
          <w:p w14:paraId="026CB3E5">
            <w:pPr>
              <w:jc w:val="center"/>
              <w:rPr>
                <w:rFonts w:hint="default" w:eastAsia="宋体"/>
                <w:color w:val="auto"/>
                <w:lang w:val="en-US" w:eastAsia="zh-CN"/>
              </w:rPr>
            </w:pPr>
            <w:r>
              <w:rPr>
                <w:rFonts w:hint="eastAsia"/>
                <w:color w:val="auto"/>
                <w:lang w:val="en-US" w:eastAsia="zh-CN"/>
              </w:rPr>
              <w:t>颗粒物、二氧化硫、氮氧化物</w:t>
            </w:r>
          </w:p>
        </w:tc>
        <w:tc>
          <w:tcPr>
            <w:tcW w:w="1334" w:type="pct"/>
            <w:tcBorders>
              <w:tl2br w:val="nil"/>
              <w:tr2bl w:val="nil"/>
            </w:tcBorders>
            <w:vAlign w:val="center"/>
          </w:tcPr>
          <w:p w14:paraId="1F3DF8A3">
            <w:pPr>
              <w:jc w:val="center"/>
              <w:rPr>
                <w:rFonts w:hint="default" w:eastAsia="宋体"/>
                <w:color w:val="auto"/>
                <w:lang w:val="en-US" w:eastAsia="zh-CN"/>
              </w:rPr>
            </w:pPr>
            <w:r>
              <w:rPr>
                <w:rFonts w:hint="eastAsia"/>
                <w:color w:val="auto"/>
                <w:lang w:val="en-US" w:eastAsia="zh-CN"/>
              </w:rPr>
              <w:t>自动监测</w:t>
            </w:r>
          </w:p>
        </w:tc>
      </w:tr>
      <w:tr w14:paraId="69E4364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vMerge w:val="continue"/>
            <w:tcBorders>
              <w:tl2br w:val="nil"/>
              <w:tr2bl w:val="nil"/>
            </w:tcBorders>
            <w:vAlign w:val="center"/>
          </w:tcPr>
          <w:p w14:paraId="4C64E21F">
            <w:pPr>
              <w:jc w:val="center"/>
              <w:rPr>
                <w:color w:val="auto"/>
              </w:rPr>
            </w:pPr>
          </w:p>
        </w:tc>
        <w:tc>
          <w:tcPr>
            <w:tcW w:w="1251" w:type="pct"/>
            <w:vMerge w:val="continue"/>
            <w:tcBorders>
              <w:tl2br w:val="nil"/>
              <w:tr2bl w:val="nil"/>
            </w:tcBorders>
            <w:vAlign w:val="center"/>
          </w:tcPr>
          <w:p w14:paraId="20DB241E">
            <w:pPr>
              <w:jc w:val="center"/>
              <w:rPr>
                <w:color w:val="auto"/>
              </w:rPr>
            </w:pPr>
          </w:p>
        </w:tc>
        <w:tc>
          <w:tcPr>
            <w:tcW w:w="1702" w:type="pct"/>
            <w:tcBorders>
              <w:tl2br w:val="nil"/>
              <w:tr2bl w:val="nil"/>
            </w:tcBorders>
            <w:vAlign w:val="center"/>
          </w:tcPr>
          <w:p w14:paraId="4EBE1002">
            <w:pPr>
              <w:jc w:val="center"/>
              <w:rPr>
                <w:rFonts w:hint="default" w:eastAsia="宋体"/>
                <w:color w:val="auto"/>
                <w:lang w:val="en-US" w:eastAsia="zh-CN"/>
              </w:rPr>
            </w:pPr>
            <w:r>
              <w:rPr>
                <w:rFonts w:hint="eastAsia"/>
                <w:color w:val="auto"/>
                <w:lang w:val="en-US" w:eastAsia="zh-CN"/>
              </w:rPr>
              <w:t>砷及其化合物、镉及其化合物、铬及其化合物、铅及其化合物、锡及其化合物、氟化物、氯化氢</w:t>
            </w:r>
          </w:p>
        </w:tc>
        <w:tc>
          <w:tcPr>
            <w:tcW w:w="1334" w:type="pct"/>
            <w:tcBorders>
              <w:tl2br w:val="nil"/>
              <w:tr2bl w:val="nil"/>
            </w:tcBorders>
            <w:vAlign w:val="center"/>
          </w:tcPr>
          <w:p w14:paraId="1B94729C">
            <w:pPr>
              <w:jc w:val="center"/>
              <w:rPr>
                <w:rFonts w:hint="eastAsia" w:eastAsia="宋体"/>
                <w:color w:val="auto"/>
                <w:lang w:val="en-US" w:eastAsia="zh-CN"/>
              </w:rPr>
            </w:pPr>
            <w:r>
              <w:rPr>
                <w:color w:val="auto"/>
              </w:rPr>
              <w:t>1次/</w:t>
            </w:r>
            <w:r>
              <w:rPr>
                <w:rFonts w:hint="eastAsia"/>
                <w:color w:val="auto"/>
                <w:lang w:val="en-US" w:eastAsia="zh-CN"/>
              </w:rPr>
              <w:t>季度</w:t>
            </w:r>
          </w:p>
        </w:tc>
      </w:tr>
      <w:tr w14:paraId="64EE746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vMerge w:val="continue"/>
            <w:tcBorders>
              <w:tl2br w:val="nil"/>
              <w:tr2bl w:val="nil"/>
            </w:tcBorders>
            <w:vAlign w:val="center"/>
          </w:tcPr>
          <w:p w14:paraId="4307E081">
            <w:pPr>
              <w:jc w:val="center"/>
              <w:rPr>
                <w:color w:val="auto"/>
              </w:rPr>
            </w:pPr>
          </w:p>
        </w:tc>
        <w:tc>
          <w:tcPr>
            <w:tcW w:w="1251" w:type="pct"/>
            <w:vMerge w:val="continue"/>
            <w:tcBorders>
              <w:tl2br w:val="nil"/>
              <w:tr2bl w:val="nil"/>
            </w:tcBorders>
            <w:vAlign w:val="center"/>
          </w:tcPr>
          <w:p w14:paraId="67E6E5DE">
            <w:pPr>
              <w:jc w:val="center"/>
              <w:rPr>
                <w:color w:val="auto"/>
              </w:rPr>
            </w:pPr>
          </w:p>
        </w:tc>
        <w:tc>
          <w:tcPr>
            <w:tcW w:w="1702" w:type="pct"/>
            <w:tcBorders>
              <w:tl2br w:val="nil"/>
              <w:tr2bl w:val="nil"/>
            </w:tcBorders>
            <w:vAlign w:val="center"/>
          </w:tcPr>
          <w:p w14:paraId="42AEDC81">
            <w:pPr>
              <w:jc w:val="center"/>
              <w:rPr>
                <w:rFonts w:hint="eastAsia" w:eastAsia="宋体"/>
                <w:color w:val="auto"/>
                <w:lang w:val="en-US" w:eastAsia="zh-CN"/>
              </w:rPr>
            </w:pPr>
            <w:r>
              <w:rPr>
                <w:rFonts w:hint="eastAsia"/>
                <w:color w:val="auto"/>
                <w:lang w:val="en-US" w:eastAsia="zh-CN"/>
              </w:rPr>
              <w:t>二噁英</w:t>
            </w:r>
          </w:p>
        </w:tc>
        <w:tc>
          <w:tcPr>
            <w:tcW w:w="1334" w:type="pct"/>
            <w:tcBorders>
              <w:tl2br w:val="nil"/>
              <w:tr2bl w:val="nil"/>
            </w:tcBorders>
            <w:vAlign w:val="center"/>
          </w:tcPr>
          <w:p w14:paraId="35D5365E">
            <w:pPr>
              <w:jc w:val="center"/>
              <w:rPr>
                <w:color w:val="auto"/>
              </w:rPr>
            </w:pPr>
            <w:r>
              <w:rPr>
                <w:color w:val="auto"/>
              </w:rPr>
              <w:t>1次/年</w:t>
            </w:r>
          </w:p>
        </w:tc>
      </w:tr>
      <w:tr w14:paraId="4A7FBAF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vMerge w:val="continue"/>
            <w:tcBorders>
              <w:tl2br w:val="nil"/>
              <w:tr2bl w:val="nil"/>
            </w:tcBorders>
            <w:vAlign w:val="center"/>
          </w:tcPr>
          <w:p w14:paraId="606172C4">
            <w:pPr>
              <w:jc w:val="center"/>
              <w:rPr>
                <w:color w:val="auto"/>
              </w:rPr>
            </w:pPr>
          </w:p>
        </w:tc>
        <w:tc>
          <w:tcPr>
            <w:tcW w:w="1251" w:type="pct"/>
            <w:tcBorders>
              <w:tl2br w:val="nil"/>
              <w:tr2bl w:val="nil"/>
            </w:tcBorders>
            <w:vAlign w:val="center"/>
          </w:tcPr>
          <w:p w14:paraId="4B2CF2BC">
            <w:pPr>
              <w:jc w:val="center"/>
              <w:rPr>
                <w:color w:val="auto"/>
              </w:rPr>
            </w:pPr>
            <w:r>
              <w:rPr>
                <w:color w:val="auto"/>
              </w:rPr>
              <w:t>DA002</w:t>
            </w:r>
          </w:p>
        </w:tc>
        <w:tc>
          <w:tcPr>
            <w:tcW w:w="1702" w:type="pct"/>
            <w:tcBorders>
              <w:tl2br w:val="nil"/>
              <w:tr2bl w:val="nil"/>
            </w:tcBorders>
            <w:vAlign w:val="center"/>
          </w:tcPr>
          <w:p w14:paraId="1668EF04">
            <w:pPr>
              <w:jc w:val="center"/>
              <w:rPr>
                <w:rFonts w:hint="eastAsia" w:eastAsia="宋体"/>
                <w:color w:val="auto"/>
                <w:lang w:eastAsia="zh-CN"/>
              </w:rPr>
            </w:pPr>
            <w:r>
              <w:rPr>
                <w:rFonts w:hint="eastAsia"/>
                <w:color w:val="auto"/>
                <w:lang w:val="en-US" w:eastAsia="zh-CN"/>
              </w:rPr>
              <w:t>氨</w:t>
            </w:r>
          </w:p>
        </w:tc>
        <w:tc>
          <w:tcPr>
            <w:tcW w:w="1334" w:type="pct"/>
            <w:tcBorders>
              <w:tl2br w:val="nil"/>
              <w:tr2bl w:val="nil"/>
            </w:tcBorders>
            <w:vAlign w:val="center"/>
          </w:tcPr>
          <w:p w14:paraId="52A62253">
            <w:pPr>
              <w:jc w:val="center"/>
              <w:rPr>
                <w:color w:val="auto"/>
              </w:rPr>
            </w:pPr>
            <w:r>
              <w:rPr>
                <w:color w:val="auto"/>
              </w:rPr>
              <w:t>1次/半年</w:t>
            </w:r>
          </w:p>
        </w:tc>
      </w:tr>
      <w:tr w14:paraId="070B64F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vMerge w:val="continue"/>
            <w:tcBorders>
              <w:tl2br w:val="nil"/>
              <w:tr2bl w:val="nil"/>
            </w:tcBorders>
            <w:vAlign w:val="center"/>
          </w:tcPr>
          <w:p w14:paraId="14D38479">
            <w:pPr>
              <w:jc w:val="center"/>
              <w:rPr>
                <w:color w:val="auto"/>
              </w:rPr>
            </w:pPr>
          </w:p>
        </w:tc>
        <w:tc>
          <w:tcPr>
            <w:tcW w:w="1251" w:type="pct"/>
            <w:tcBorders>
              <w:tl2br w:val="nil"/>
              <w:tr2bl w:val="nil"/>
            </w:tcBorders>
            <w:vAlign w:val="center"/>
          </w:tcPr>
          <w:p w14:paraId="0AD062A3">
            <w:pPr>
              <w:jc w:val="center"/>
              <w:rPr>
                <w:color w:val="auto"/>
              </w:rPr>
            </w:pPr>
            <w:r>
              <w:rPr>
                <w:color w:val="auto"/>
              </w:rPr>
              <w:t>厂界</w:t>
            </w:r>
          </w:p>
        </w:tc>
        <w:tc>
          <w:tcPr>
            <w:tcW w:w="1702" w:type="pct"/>
            <w:tcBorders>
              <w:tl2br w:val="nil"/>
              <w:tr2bl w:val="nil"/>
            </w:tcBorders>
            <w:vAlign w:val="center"/>
          </w:tcPr>
          <w:p w14:paraId="7764CB19">
            <w:pPr>
              <w:jc w:val="center"/>
              <w:rPr>
                <w:rFonts w:hint="default" w:eastAsia="宋体"/>
                <w:color w:val="auto"/>
                <w:lang w:val="en-US" w:eastAsia="zh-CN"/>
              </w:rPr>
            </w:pPr>
            <w:r>
              <w:rPr>
                <w:rFonts w:hint="eastAsia"/>
                <w:color w:val="auto"/>
                <w:lang w:val="en-US" w:eastAsia="zh-CN"/>
              </w:rPr>
              <w:t>砷及其化合物、镉及其化合物、铬及其化合物、铅及其化合物、锡及其化合物、氟化物、氯化氢</w:t>
            </w:r>
          </w:p>
        </w:tc>
        <w:tc>
          <w:tcPr>
            <w:tcW w:w="1334" w:type="pct"/>
            <w:tcBorders>
              <w:tl2br w:val="nil"/>
              <w:tr2bl w:val="nil"/>
            </w:tcBorders>
            <w:vAlign w:val="center"/>
          </w:tcPr>
          <w:p w14:paraId="70D06DA6">
            <w:pPr>
              <w:jc w:val="center"/>
              <w:rPr>
                <w:rFonts w:hint="eastAsia" w:eastAsia="宋体"/>
                <w:color w:val="auto"/>
                <w:lang w:val="en-US" w:eastAsia="zh-CN"/>
              </w:rPr>
            </w:pPr>
            <w:r>
              <w:rPr>
                <w:color w:val="auto"/>
              </w:rPr>
              <w:t>1次/</w:t>
            </w:r>
            <w:r>
              <w:rPr>
                <w:rFonts w:hint="eastAsia"/>
                <w:color w:val="auto"/>
                <w:lang w:val="en-US" w:eastAsia="zh-CN"/>
              </w:rPr>
              <w:t>季度</w:t>
            </w:r>
          </w:p>
        </w:tc>
      </w:tr>
      <w:tr w14:paraId="2FCF2EF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vMerge w:val="restart"/>
            <w:tcBorders>
              <w:tl2br w:val="nil"/>
              <w:tr2bl w:val="nil"/>
            </w:tcBorders>
            <w:vAlign w:val="center"/>
          </w:tcPr>
          <w:p w14:paraId="048FACD1">
            <w:pPr>
              <w:jc w:val="center"/>
              <w:rPr>
                <w:color w:val="auto"/>
              </w:rPr>
            </w:pPr>
            <w:r>
              <w:rPr>
                <w:color w:val="auto"/>
              </w:rPr>
              <w:t>废水</w:t>
            </w:r>
          </w:p>
        </w:tc>
        <w:tc>
          <w:tcPr>
            <w:tcW w:w="1251" w:type="pct"/>
            <w:tcBorders>
              <w:tl2br w:val="nil"/>
              <w:tr2bl w:val="nil"/>
            </w:tcBorders>
            <w:vAlign w:val="center"/>
          </w:tcPr>
          <w:p w14:paraId="16E57079">
            <w:pPr>
              <w:jc w:val="center"/>
              <w:rPr>
                <w:rFonts w:hint="default" w:eastAsia="宋体"/>
                <w:color w:val="auto"/>
                <w:lang w:val="en-US" w:eastAsia="zh-CN"/>
              </w:rPr>
            </w:pPr>
            <w:r>
              <w:rPr>
                <w:rFonts w:hint="eastAsia"/>
                <w:color w:val="auto"/>
                <w:lang w:val="en-US" w:eastAsia="zh-CN"/>
              </w:rPr>
              <w:t>DW001</w:t>
            </w:r>
          </w:p>
        </w:tc>
        <w:tc>
          <w:tcPr>
            <w:tcW w:w="1702" w:type="pct"/>
            <w:tcBorders>
              <w:tl2br w:val="nil"/>
              <w:tr2bl w:val="nil"/>
            </w:tcBorders>
            <w:vAlign w:val="center"/>
          </w:tcPr>
          <w:p w14:paraId="7B188926">
            <w:pPr>
              <w:jc w:val="center"/>
              <w:rPr>
                <w:rFonts w:hint="default" w:eastAsia="宋体"/>
                <w:color w:val="auto"/>
                <w:lang w:val="en-US" w:eastAsia="zh-CN"/>
              </w:rPr>
            </w:pPr>
            <w:r>
              <w:rPr>
                <w:rFonts w:hint="eastAsia"/>
                <w:color w:val="auto"/>
                <w:lang w:val="en-US" w:eastAsia="zh-CN"/>
              </w:rPr>
              <w:t>pH值、SS、BOD</w:t>
            </w:r>
            <w:r>
              <w:rPr>
                <w:rFonts w:hint="eastAsia"/>
                <w:color w:val="auto"/>
                <w:vertAlign w:val="subscript"/>
                <w:lang w:val="en-US" w:eastAsia="zh-CN"/>
              </w:rPr>
              <w:t>5</w:t>
            </w:r>
            <w:r>
              <w:rPr>
                <w:rFonts w:hint="eastAsia"/>
                <w:color w:val="auto"/>
                <w:lang w:val="en-US" w:eastAsia="zh-CN"/>
              </w:rPr>
              <w:t>、</w:t>
            </w:r>
            <w:r>
              <w:rPr>
                <w:color w:val="auto"/>
              </w:rPr>
              <w:t>COD</w:t>
            </w:r>
            <w:r>
              <w:rPr>
                <w:rFonts w:hint="eastAsia"/>
                <w:color w:val="auto"/>
                <w:lang w:eastAsia="zh-CN"/>
              </w:rPr>
              <w:t>、</w:t>
            </w:r>
            <w:r>
              <w:rPr>
                <w:rFonts w:hint="eastAsia"/>
                <w:color w:val="auto"/>
                <w:lang w:val="en-US" w:eastAsia="zh-CN"/>
              </w:rPr>
              <w:t>NH</w:t>
            </w:r>
            <w:r>
              <w:rPr>
                <w:rFonts w:hint="eastAsia"/>
                <w:color w:val="auto"/>
                <w:vertAlign w:val="subscript"/>
                <w:lang w:val="en-US" w:eastAsia="zh-CN"/>
              </w:rPr>
              <w:t>3</w:t>
            </w:r>
            <w:r>
              <w:rPr>
                <w:rFonts w:hint="eastAsia"/>
                <w:color w:val="auto"/>
                <w:lang w:val="en-US" w:eastAsia="zh-CN"/>
              </w:rPr>
              <w:t>-N</w:t>
            </w:r>
          </w:p>
        </w:tc>
        <w:tc>
          <w:tcPr>
            <w:tcW w:w="1334" w:type="pct"/>
            <w:tcBorders>
              <w:tl2br w:val="nil"/>
              <w:tr2bl w:val="nil"/>
            </w:tcBorders>
            <w:vAlign w:val="center"/>
          </w:tcPr>
          <w:p w14:paraId="77526A91">
            <w:pPr>
              <w:jc w:val="center"/>
              <w:rPr>
                <w:rFonts w:hint="default" w:eastAsia="宋体"/>
                <w:color w:val="auto"/>
                <w:lang w:val="en-US" w:eastAsia="zh-CN"/>
              </w:rPr>
            </w:pPr>
            <w:r>
              <w:rPr>
                <w:rFonts w:hint="eastAsia"/>
                <w:color w:val="auto"/>
                <w:lang w:val="en-US" w:eastAsia="zh-CN"/>
              </w:rPr>
              <w:t>一次/年</w:t>
            </w:r>
          </w:p>
        </w:tc>
      </w:tr>
      <w:tr w14:paraId="7EA342F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vMerge w:val="continue"/>
            <w:tcBorders>
              <w:tl2br w:val="nil"/>
              <w:tr2bl w:val="nil"/>
            </w:tcBorders>
            <w:vAlign w:val="center"/>
          </w:tcPr>
          <w:p w14:paraId="47112018">
            <w:pPr>
              <w:jc w:val="center"/>
              <w:rPr>
                <w:color w:val="auto"/>
              </w:rPr>
            </w:pPr>
          </w:p>
        </w:tc>
        <w:tc>
          <w:tcPr>
            <w:tcW w:w="1251" w:type="pct"/>
            <w:tcBorders>
              <w:tl2br w:val="nil"/>
              <w:tr2bl w:val="nil"/>
            </w:tcBorders>
            <w:shd w:val="clear" w:color="auto" w:fill="auto"/>
            <w:vAlign w:val="center"/>
          </w:tcPr>
          <w:p w14:paraId="50307B62">
            <w:pPr>
              <w:jc w:val="center"/>
              <w:rPr>
                <w:rFonts w:ascii="Times New Roman" w:hAnsi="Times New Roman" w:eastAsia="宋体" w:cs="Times New Roman"/>
                <w:color w:val="auto"/>
                <w:kern w:val="2"/>
                <w:sz w:val="21"/>
                <w:szCs w:val="24"/>
                <w:lang w:val="en-US" w:eastAsia="zh-CN" w:bidi="ar-SA"/>
              </w:rPr>
            </w:pPr>
            <w:r>
              <w:rPr>
                <w:color w:val="auto"/>
              </w:rPr>
              <w:t>雨水排口</w:t>
            </w:r>
          </w:p>
        </w:tc>
        <w:tc>
          <w:tcPr>
            <w:tcW w:w="1702" w:type="pct"/>
            <w:tcBorders>
              <w:tl2br w:val="nil"/>
              <w:tr2bl w:val="nil"/>
            </w:tcBorders>
            <w:shd w:val="clear" w:color="auto" w:fill="auto"/>
            <w:vAlign w:val="center"/>
          </w:tcPr>
          <w:p w14:paraId="069FA4E0">
            <w:pPr>
              <w:jc w:val="center"/>
              <w:rPr>
                <w:rFonts w:hint="default" w:ascii="Times New Roman" w:hAnsi="Times New Roman" w:eastAsia="宋体" w:cs="Times New Roman"/>
                <w:color w:val="auto"/>
                <w:kern w:val="2"/>
                <w:sz w:val="21"/>
                <w:szCs w:val="24"/>
                <w:lang w:val="en-US" w:eastAsia="zh-CN" w:bidi="ar-SA"/>
              </w:rPr>
            </w:pPr>
            <w:r>
              <w:rPr>
                <w:color w:val="auto"/>
              </w:rPr>
              <w:t>SS、COD</w:t>
            </w:r>
            <w:r>
              <w:rPr>
                <w:rFonts w:hint="eastAsia"/>
                <w:color w:val="auto"/>
                <w:lang w:eastAsia="zh-CN"/>
              </w:rPr>
              <w:t>、</w:t>
            </w:r>
            <w:r>
              <w:rPr>
                <w:rFonts w:hint="eastAsia"/>
                <w:color w:val="auto"/>
                <w:lang w:val="en-US" w:eastAsia="zh-CN"/>
              </w:rPr>
              <w:t>石油类</w:t>
            </w:r>
          </w:p>
        </w:tc>
        <w:tc>
          <w:tcPr>
            <w:tcW w:w="1334" w:type="pct"/>
            <w:tcBorders>
              <w:tl2br w:val="nil"/>
              <w:tr2bl w:val="nil"/>
            </w:tcBorders>
            <w:shd w:val="clear" w:color="auto" w:fill="auto"/>
            <w:vAlign w:val="center"/>
          </w:tcPr>
          <w:p w14:paraId="2EE5EADB">
            <w:pPr>
              <w:jc w:val="center"/>
              <w:rPr>
                <w:rFonts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kern w:val="2"/>
                <w:sz w:val="21"/>
                <w:szCs w:val="24"/>
                <w:lang w:val="en-US" w:eastAsia="zh-CN" w:bidi="ar-SA"/>
              </w:rPr>
              <w:t>排放期间每日至少开展一次监测</w:t>
            </w:r>
          </w:p>
        </w:tc>
      </w:tr>
      <w:tr w14:paraId="3F2EC83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711" w:type="pct"/>
            <w:tcBorders>
              <w:tl2br w:val="nil"/>
              <w:tr2bl w:val="nil"/>
            </w:tcBorders>
            <w:vAlign w:val="center"/>
          </w:tcPr>
          <w:p w14:paraId="3A48AD8A">
            <w:pPr>
              <w:jc w:val="center"/>
              <w:rPr>
                <w:color w:val="auto"/>
              </w:rPr>
            </w:pPr>
            <w:r>
              <w:rPr>
                <w:color w:val="auto"/>
              </w:rPr>
              <w:t>噪声</w:t>
            </w:r>
          </w:p>
        </w:tc>
        <w:tc>
          <w:tcPr>
            <w:tcW w:w="1251" w:type="pct"/>
            <w:tcBorders>
              <w:tl2br w:val="nil"/>
              <w:tr2bl w:val="nil"/>
            </w:tcBorders>
            <w:vAlign w:val="center"/>
          </w:tcPr>
          <w:p w14:paraId="113666BF">
            <w:pPr>
              <w:jc w:val="center"/>
              <w:rPr>
                <w:color w:val="auto"/>
              </w:rPr>
            </w:pPr>
            <w:r>
              <w:rPr>
                <w:color w:val="auto"/>
              </w:rPr>
              <w:t>厂界四周</w:t>
            </w:r>
          </w:p>
        </w:tc>
        <w:tc>
          <w:tcPr>
            <w:tcW w:w="1702" w:type="pct"/>
            <w:tcBorders>
              <w:tl2br w:val="nil"/>
              <w:tr2bl w:val="nil"/>
            </w:tcBorders>
            <w:vAlign w:val="center"/>
          </w:tcPr>
          <w:p w14:paraId="6F10582B">
            <w:pPr>
              <w:jc w:val="center"/>
              <w:rPr>
                <w:color w:val="auto"/>
              </w:rPr>
            </w:pPr>
            <w:r>
              <w:rPr>
                <w:color w:val="auto"/>
              </w:rPr>
              <w:t>Leq（A）</w:t>
            </w:r>
          </w:p>
        </w:tc>
        <w:tc>
          <w:tcPr>
            <w:tcW w:w="1334" w:type="pct"/>
            <w:tcBorders>
              <w:tl2br w:val="nil"/>
              <w:tr2bl w:val="nil"/>
            </w:tcBorders>
            <w:vAlign w:val="center"/>
          </w:tcPr>
          <w:p w14:paraId="61135EF5">
            <w:pPr>
              <w:jc w:val="center"/>
              <w:rPr>
                <w:color w:val="auto"/>
              </w:rPr>
            </w:pPr>
            <w:r>
              <w:rPr>
                <w:color w:val="auto"/>
              </w:rPr>
              <w:t>每季度一次，每次连续监测1天，每天昼夜各测一次</w:t>
            </w:r>
          </w:p>
        </w:tc>
      </w:tr>
    </w:tbl>
    <w:p w14:paraId="0B4BBC4D">
      <w:pPr>
        <w:spacing w:line="360" w:lineRule="auto"/>
        <w:rPr>
          <w:rFonts w:hint="eastAsia"/>
          <w:b/>
          <w:bCs/>
          <w:color w:val="0000FF"/>
          <w:sz w:val="24"/>
          <w:szCs w:val="32"/>
          <w:lang w:val="en-US" w:eastAsia="zh-CN"/>
        </w:rPr>
      </w:pPr>
      <w:r>
        <w:rPr>
          <w:rFonts w:hint="eastAsia"/>
          <w:b/>
          <w:bCs/>
          <w:color w:val="0000FF"/>
          <w:sz w:val="24"/>
          <w:szCs w:val="32"/>
          <w:lang w:val="en-US" w:eastAsia="zh-CN"/>
        </w:rPr>
        <w:t>5.5.3.2 环境质量监测计划</w:t>
      </w:r>
    </w:p>
    <w:p w14:paraId="4DE6A5C9">
      <w:pPr>
        <w:spacing w:line="360" w:lineRule="auto"/>
        <w:ind w:firstLine="480" w:firstLineChars="200"/>
        <w:rPr>
          <w:rFonts w:hint="eastAsia"/>
          <w:b w:val="0"/>
          <w:bCs w:val="0"/>
          <w:color w:val="0000FF"/>
          <w:sz w:val="24"/>
          <w:szCs w:val="32"/>
          <w:lang w:val="en-US" w:eastAsia="zh-CN"/>
        </w:rPr>
      </w:pPr>
      <w:r>
        <w:rPr>
          <w:rFonts w:hint="default" w:ascii="Times New Roman" w:hAnsi="Times New Roman" w:eastAsia="宋体" w:cs="Times New Roman"/>
          <w:b w:val="0"/>
          <w:bCs w:val="0"/>
          <w:color w:val="0000FF"/>
          <w:sz w:val="24"/>
          <w:szCs w:val="24"/>
          <w:highlight w:val="none"/>
          <w:lang w:val="en-US" w:eastAsia="zh-CN"/>
        </w:rPr>
        <w:t>根据《环境影响评价技术导则 大气环境》（HJ2.2-2018）、《环境影响评价技术导则 地下水环境》（HJ610-2016）、《环境影响评价技术导则 土壤环境（试行）》（HJ964-2018），《工业企业土壤和地下水自行监测技术指南（试行）》（ HJ1209-2021）结合项目特征，项目运营期环境质量监测计划制定见下表</w:t>
      </w:r>
      <w:r>
        <w:rPr>
          <w:rFonts w:hint="eastAsia" w:cs="Times New Roman"/>
          <w:b w:val="0"/>
          <w:bCs w:val="0"/>
          <w:color w:val="0000FF"/>
          <w:sz w:val="24"/>
          <w:szCs w:val="24"/>
          <w:highlight w:val="none"/>
          <w:lang w:val="en-US" w:eastAsia="zh-CN"/>
        </w:rPr>
        <w:t>。</w:t>
      </w:r>
    </w:p>
    <w:p w14:paraId="52DE02B5">
      <w:pPr>
        <w:pStyle w:val="9"/>
        <w:spacing w:line="360" w:lineRule="auto"/>
        <w:jc w:val="center"/>
        <w:rPr>
          <w:rFonts w:hint="default" w:ascii="Times New Roman" w:hAnsi="Times New Roman" w:eastAsia="宋体" w:cs="Times New Roman"/>
          <w:b/>
          <w:bCs/>
          <w:color w:val="0000FF"/>
          <w:sz w:val="24"/>
          <w:szCs w:val="24"/>
          <w:highlight w:val="none"/>
          <w:lang w:val="en-US" w:eastAsia="zh-CN"/>
        </w:rPr>
      </w:pPr>
      <w:r>
        <w:rPr>
          <w:rFonts w:hint="eastAsia" w:ascii="Times New Roman" w:hAnsi="Times New Roman" w:eastAsia="宋体" w:cs="Times New Roman"/>
          <w:b/>
          <w:bCs/>
          <w:color w:val="0000FF"/>
          <w:sz w:val="24"/>
          <w:szCs w:val="24"/>
          <w:highlight w:val="none"/>
          <w:lang w:val="en-US" w:eastAsia="zh-CN"/>
        </w:rPr>
        <w:t>表</w:t>
      </w:r>
      <w:r>
        <w:rPr>
          <w:rFonts w:hint="eastAsia" w:cs="Times New Roman"/>
          <w:b/>
          <w:bCs/>
          <w:color w:val="0000FF"/>
          <w:sz w:val="24"/>
          <w:szCs w:val="24"/>
          <w:highlight w:val="none"/>
          <w:lang w:val="en-US" w:eastAsia="zh-CN"/>
        </w:rPr>
        <w:t>5-6</w:t>
      </w:r>
      <w:r>
        <w:rPr>
          <w:rFonts w:hint="eastAsia" w:ascii="Times New Roman" w:hAnsi="Times New Roman" w:eastAsia="宋体" w:cs="Times New Roman"/>
          <w:b/>
          <w:bCs/>
          <w:color w:val="0000FF"/>
          <w:sz w:val="24"/>
          <w:szCs w:val="24"/>
          <w:highlight w:val="none"/>
          <w:lang w:val="en-US" w:eastAsia="zh-CN"/>
        </w:rPr>
        <w:t xml:space="preserve"> 项目环境质量监测计划一览表</w:t>
      </w:r>
    </w:p>
    <w:tbl>
      <w:tblPr>
        <w:tblStyle w:val="31"/>
        <w:tblW w:w="5000"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682"/>
        <w:gridCol w:w="2881"/>
        <w:gridCol w:w="1362"/>
        <w:gridCol w:w="1701"/>
        <w:gridCol w:w="3336"/>
      </w:tblGrid>
      <w:tr w14:paraId="5011774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42" w:type="pct"/>
            <w:shd w:val="clear" w:color="auto" w:fill="auto"/>
            <w:vAlign w:val="center"/>
          </w:tcPr>
          <w:p w14:paraId="7E5FB3F8">
            <w:pPr>
              <w:spacing w:line="240" w:lineRule="auto"/>
              <w:jc w:val="center"/>
              <w:rPr>
                <w:rFonts w:hint="default" w:ascii="Times New Roman" w:hAnsi="Times New Roman" w:eastAsia="新宋体" w:cs="Times New Roman"/>
                <w:b/>
                <w:bCs/>
                <w:color w:val="0000FF"/>
                <w:kern w:val="24"/>
                <w:sz w:val="21"/>
                <w:szCs w:val="21"/>
                <w:lang w:val="en-US" w:eastAsia="zh-CN"/>
              </w:rPr>
            </w:pPr>
            <w:r>
              <w:rPr>
                <w:rFonts w:hint="default" w:ascii="Times New Roman" w:hAnsi="Times New Roman" w:eastAsia="新宋体" w:cs="Times New Roman"/>
                <w:b/>
                <w:bCs/>
                <w:color w:val="0000FF"/>
                <w:kern w:val="24"/>
                <w:sz w:val="21"/>
                <w:szCs w:val="21"/>
                <w:lang w:val="en-US" w:eastAsia="zh-CN"/>
              </w:rPr>
              <w:t>序号</w:t>
            </w:r>
          </w:p>
        </w:tc>
        <w:tc>
          <w:tcPr>
            <w:tcW w:w="1445" w:type="pct"/>
            <w:shd w:val="clear" w:color="auto" w:fill="auto"/>
            <w:vAlign w:val="center"/>
          </w:tcPr>
          <w:p w14:paraId="5798545B">
            <w:pPr>
              <w:spacing w:line="240" w:lineRule="auto"/>
              <w:jc w:val="center"/>
              <w:rPr>
                <w:rFonts w:hint="default" w:ascii="Times New Roman" w:hAnsi="Times New Roman" w:eastAsia="新宋体" w:cs="Times New Roman"/>
                <w:b/>
                <w:bCs/>
                <w:color w:val="0000FF"/>
                <w:kern w:val="24"/>
                <w:sz w:val="21"/>
                <w:szCs w:val="21"/>
                <w:lang w:val="en-US" w:eastAsia="zh-CN"/>
              </w:rPr>
            </w:pPr>
            <w:r>
              <w:rPr>
                <w:rFonts w:hint="default" w:ascii="Times New Roman" w:hAnsi="Times New Roman" w:eastAsia="新宋体" w:cs="Times New Roman"/>
                <w:b/>
                <w:bCs/>
                <w:color w:val="0000FF"/>
                <w:kern w:val="24"/>
                <w:sz w:val="21"/>
                <w:szCs w:val="21"/>
                <w:lang w:val="en-US" w:eastAsia="zh-CN"/>
              </w:rPr>
              <w:t>监测项目</w:t>
            </w:r>
          </w:p>
        </w:tc>
        <w:tc>
          <w:tcPr>
            <w:tcW w:w="683" w:type="pct"/>
            <w:vAlign w:val="center"/>
          </w:tcPr>
          <w:p w14:paraId="4D5D5726">
            <w:pPr>
              <w:spacing w:line="240" w:lineRule="auto"/>
              <w:jc w:val="center"/>
              <w:rPr>
                <w:rFonts w:hint="default" w:ascii="Times New Roman" w:hAnsi="Times New Roman" w:eastAsia="新宋体" w:cs="Times New Roman"/>
                <w:b/>
                <w:bCs/>
                <w:color w:val="0000FF"/>
                <w:kern w:val="24"/>
                <w:sz w:val="21"/>
                <w:szCs w:val="21"/>
                <w:lang w:val="en-US" w:eastAsia="zh-CN"/>
              </w:rPr>
            </w:pPr>
            <w:r>
              <w:rPr>
                <w:rFonts w:hint="default" w:ascii="Times New Roman" w:hAnsi="Times New Roman" w:eastAsia="新宋体" w:cs="Times New Roman"/>
                <w:b/>
                <w:bCs/>
                <w:color w:val="0000FF"/>
                <w:kern w:val="24"/>
                <w:sz w:val="21"/>
                <w:szCs w:val="21"/>
                <w:lang w:val="en-US" w:eastAsia="zh-CN"/>
              </w:rPr>
              <w:t>监测点位</w:t>
            </w:r>
          </w:p>
        </w:tc>
        <w:tc>
          <w:tcPr>
            <w:tcW w:w="853" w:type="pct"/>
            <w:shd w:val="clear" w:color="auto" w:fill="auto"/>
            <w:vAlign w:val="center"/>
          </w:tcPr>
          <w:p w14:paraId="0F946701">
            <w:pPr>
              <w:spacing w:line="240" w:lineRule="auto"/>
              <w:jc w:val="center"/>
              <w:rPr>
                <w:rFonts w:hint="default" w:ascii="Times New Roman" w:hAnsi="Times New Roman" w:eastAsia="新宋体" w:cs="Times New Roman"/>
                <w:b/>
                <w:bCs/>
                <w:color w:val="0000FF"/>
                <w:kern w:val="24"/>
                <w:sz w:val="21"/>
                <w:szCs w:val="21"/>
                <w:lang w:val="en-US" w:eastAsia="zh-CN"/>
              </w:rPr>
            </w:pPr>
            <w:r>
              <w:rPr>
                <w:rFonts w:hint="default" w:ascii="Times New Roman" w:hAnsi="Times New Roman" w:eastAsia="新宋体" w:cs="Times New Roman"/>
                <w:b/>
                <w:bCs/>
                <w:color w:val="0000FF"/>
                <w:kern w:val="24"/>
                <w:sz w:val="21"/>
                <w:szCs w:val="21"/>
                <w:lang w:val="en-US" w:eastAsia="zh-CN"/>
              </w:rPr>
              <w:t>监测时间及频率</w:t>
            </w:r>
          </w:p>
        </w:tc>
        <w:tc>
          <w:tcPr>
            <w:tcW w:w="1673" w:type="pct"/>
            <w:vAlign w:val="center"/>
          </w:tcPr>
          <w:p w14:paraId="2F2D6546">
            <w:pPr>
              <w:spacing w:line="240" w:lineRule="auto"/>
              <w:jc w:val="center"/>
              <w:rPr>
                <w:rFonts w:hint="default" w:ascii="Times New Roman" w:hAnsi="Times New Roman" w:eastAsia="新宋体" w:cs="Times New Roman"/>
                <w:b/>
                <w:bCs/>
                <w:color w:val="0000FF"/>
                <w:kern w:val="24"/>
                <w:sz w:val="21"/>
                <w:szCs w:val="21"/>
                <w:lang w:val="en-US" w:eastAsia="zh-CN"/>
              </w:rPr>
            </w:pPr>
            <w:r>
              <w:rPr>
                <w:rFonts w:hint="default" w:ascii="Times New Roman" w:hAnsi="Times New Roman" w:eastAsia="新宋体" w:cs="Times New Roman"/>
                <w:b/>
                <w:bCs/>
                <w:color w:val="0000FF"/>
                <w:kern w:val="24"/>
                <w:sz w:val="21"/>
                <w:szCs w:val="21"/>
                <w:lang w:val="en-US" w:eastAsia="zh-CN"/>
              </w:rPr>
              <w:t>执行标准</w:t>
            </w:r>
          </w:p>
        </w:tc>
      </w:tr>
      <w:tr w14:paraId="404227A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42" w:type="pct"/>
            <w:shd w:val="clear" w:color="auto" w:fill="auto"/>
            <w:vAlign w:val="center"/>
          </w:tcPr>
          <w:p w14:paraId="1DD27543">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default" w:ascii="Times New Roman" w:hAnsi="Times New Roman" w:eastAsia="新宋体" w:cs="Times New Roman"/>
                <w:b w:val="0"/>
                <w:bCs w:val="0"/>
                <w:color w:val="0000FF"/>
                <w:kern w:val="24"/>
                <w:sz w:val="21"/>
                <w:szCs w:val="21"/>
                <w:lang w:val="en-US" w:eastAsia="zh-CN"/>
              </w:rPr>
              <w:t>地下水</w:t>
            </w:r>
          </w:p>
        </w:tc>
        <w:tc>
          <w:tcPr>
            <w:tcW w:w="1445" w:type="pct"/>
            <w:shd w:val="clear" w:color="auto" w:fill="auto"/>
            <w:vAlign w:val="center"/>
          </w:tcPr>
          <w:p w14:paraId="7637D049">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eastAsia" w:eastAsia="新宋体" w:cs="Times New Roman"/>
                <w:b w:val="0"/>
                <w:bCs w:val="0"/>
                <w:color w:val="0000FF"/>
                <w:kern w:val="24"/>
                <w:sz w:val="21"/>
                <w:szCs w:val="21"/>
                <w:lang w:val="en-US" w:eastAsia="zh-CN"/>
              </w:rPr>
              <w:t>pH值、溶解性总固体、总硬度、耗氧量、汞、镉、六价铬、砷、铅、铜、锌、铁、氨氮、氟化物</w:t>
            </w:r>
          </w:p>
        </w:tc>
        <w:tc>
          <w:tcPr>
            <w:tcW w:w="683" w:type="pct"/>
            <w:vAlign w:val="center"/>
          </w:tcPr>
          <w:p w14:paraId="4BE89DAA">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default" w:ascii="Times New Roman" w:hAnsi="Times New Roman" w:eastAsia="新宋体" w:cs="Times New Roman"/>
                <w:b w:val="0"/>
                <w:bCs w:val="0"/>
                <w:color w:val="0000FF"/>
                <w:kern w:val="24"/>
                <w:sz w:val="21"/>
                <w:szCs w:val="21"/>
                <w:lang w:val="en-US" w:eastAsia="zh-CN"/>
              </w:rPr>
              <w:t>地下水监控井</w:t>
            </w:r>
          </w:p>
        </w:tc>
        <w:tc>
          <w:tcPr>
            <w:tcW w:w="853" w:type="pct"/>
            <w:shd w:val="clear" w:color="auto" w:fill="auto"/>
            <w:vAlign w:val="center"/>
          </w:tcPr>
          <w:p w14:paraId="53A6AF6A">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default" w:ascii="Times New Roman" w:hAnsi="Times New Roman" w:eastAsia="新宋体" w:cs="Times New Roman"/>
                <w:b w:val="0"/>
                <w:bCs w:val="0"/>
                <w:color w:val="0000FF"/>
                <w:kern w:val="24"/>
                <w:sz w:val="21"/>
                <w:szCs w:val="21"/>
                <w:lang w:val="en-US" w:eastAsia="zh-CN"/>
              </w:rPr>
              <w:t>每年1次</w:t>
            </w:r>
          </w:p>
        </w:tc>
        <w:tc>
          <w:tcPr>
            <w:tcW w:w="1673" w:type="pct"/>
            <w:vAlign w:val="center"/>
          </w:tcPr>
          <w:p w14:paraId="6E72AECC">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default" w:ascii="Times New Roman" w:hAnsi="Times New Roman" w:eastAsia="新宋体" w:cs="Times New Roman"/>
                <w:b w:val="0"/>
                <w:bCs w:val="0"/>
                <w:color w:val="0000FF"/>
                <w:kern w:val="24"/>
                <w:sz w:val="21"/>
                <w:szCs w:val="21"/>
                <w:lang w:val="en-US" w:eastAsia="zh-CN"/>
              </w:rPr>
              <w:t>《地下水环境质量标准》（GB/T14848-2017）</w:t>
            </w:r>
          </w:p>
        </w:tc>
      </w:tr>
      <w:tr w14:paraId="4A7B63B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342" w:type="pct"/>
            <w:shd w:val="clear" w:color="auto" w:fill="auto"/>
            <w:vAlign w:val="center"/>
          </w:tcPr>
          <w:p w14:paraId="099B38FA">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default" w:ascii="Times New Roman" w:hAnsi="Times New Roman" w:eastAsia="新宋体" w:cs="Times New Roman"/>
                <w:b w:val="0"/>
                <w:bCs w:val="0"/>
                <w:color w:val="0000FF"/>
                <w:kern w:val="24"/>
                <w:sz w:val="21"/>
                <w:szCs w:val="21"/>
                <w:lang w:val="en-US" w:eastAsia="zh-CN"/>
              </w:rPr>
              <w:t>土壤</w:t>
            </w:r>
          </w:p>
        </w:tc>
        <w:tc>
          <w:tcPr>
            <w:tcW w:w="1445" w:type="pct"/>
            <w:shd w:val="clear" w:color="auto" w:fill="auto"/>
            <w:vAlign w:val="center"/>
          </w:tcPr>
          <w:p w14:paraId="09DA9921">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default" w:ascii="Times New Roman" w:hAnsi="Times New Roman" w:eastAsia="新宋体" w:cs="Times New Roman"/>
                <w:b w:val="0"/>
                <w:bCs w:val="0"/>
                <w:color w:val="0000FF"/>
                <w:kern w:val="24"/>
                <w:sz w:val="21"/>
                <w:szCs w:val="21"/>
                <w:lang w:val="en-US" w:eastAsia="zh-CN"/>
              </w:rPr>
              <w:t>pH+</w:t>
            </w:r>
            <w:r>
              <w:rPr>
                <w:rFonts w:hint="eastAsia" w:eastAsia="新宋体" w:cs="Times New Roman"/>
                <w:b w:val="0"/>
                <w:bCs w:val="0"/>
                <w:color w:val="0000FF"/>
                <w:kern w:val="24"/>
                <w:sz w:val="21"/>
                <w:szCs w:val="21"/>
                <w:lang w:val="en-US" w:eastAsia="zh-CN"/>
              </w:rPr>
              <w:t>总镉、六价铬、总砷、总铅、总镍、总铜、总锌、二噁英类</w:t>
            </w:r>
          </w:p>
        </w:tc>
        <w:tc>
          <w:tcPr>
            <w:tcW w:w="683" w:type="pct"/>
            <w:vAlign w:val="center"/>
          </w:tcPr>
          <w:p w14:paraId="1A09C122">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eastAsia" w:eastAsia="新宋体" w:cs="Times New Roman"/>
                <w:b w:val="0"/>
                <w:bCs w:val="0"/>
                <w:color w:val="0000FF"/>
                <w:kern w:val="24"/>
                <w:sz w:val="21"/>
                <w:szCs w:val="21"/>
                <w:lang w:val="en-US" w:eastAsia="zh-CN"/>
              </w:rPr>
              <w:t>厂区土壤监测点位</w:t>
            </w:r>
          </w:p>
        </w:tc>
        <w:tc>
          <w:tcPr>
            <w:tcW w:w="853" w:type="pct"/>
            <w:shd w:val="clear" w:color="auto" w:fill="auto"/>
            <w:vAlign w:val="center"/>
          </w:tcPr>
          <w:p w14:paraId="7A360123">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default" w:ascii="Times New Roman" w:hAnsi="Times New Roman" w:eastAsia="新宋体" w:cs="Times New Roman"/>
                <w:b w:val="0"/>
                <w:bCs w:val="0"/>
                <w:color w:val="0000FF"/>
                <w:kern w:val="24"/>
                <w:sz w:val="21"/>
                <w:szCs w:val="21"/>
                <w:lang w:val="en-US" w:eastAsia="zh-CN"/>
              </w:rPr>
              <w:t>每年</w:t>
            </w:r>
            <w:r>
              <w:rPr>
                <w:rFonts w:hint="eastAsia" w:ascii="Times New Roman" w:hAnsi="Times New Roman" w:eastAsia="新宋体" w:cs="Times New Roman"/>
                <w:b w:val="0"/>
                <w:bCs w:val="0"/>
                <w:color w:val="0000FF"/>
                <w:kern w:val="24"/>
                <w:sz w:val="21"/>
                <w:szCs w:val="21"/>
                <w:lang w:val="en-US" w:eastAsia="zh-CN"/>
              </w:rPr>
              <w:t>1</w:t>
            </w:r>
            <w:r>
              <w:rPr>
                <w:rFonts w:hint="default" w:ascii="Times New Roman" w:hAnsi="Times New Roman" w:eastAsia="新宋体" w:cs="Times New Roman"/>
                <w:b w:val="0"/>
                <w:bCs w:val="0"/>
                <w:color w:val="0000FF"/>
                <w:kern w:val="24"/>
                <w:sz w:val="21"/>
                <w:szCs w:val="21"/>
                <w:lang w:val="en-US" w:eastAsia="zh-CN"/>
              </w:rPr>
              <w:t>次</w:t>
            </w:r>
          </w:p>
        </w:tc>
        <w:tc>
          <w:tcPr>
            <w:tcW w:w="1673" w:type="pct"/>
            <w:vAlign w:val="center"/>
          </w:tcPr>
          <w:p w14:paraId="37B58BA6">
            <w:pPr>
              <w:spacing w:line="240" w:lineRule="auto"/>
              <w:jc w:val="center"/>
              <w:rPr>
                <w:rFonts w:hint="default" w:ascii="Times New Roman" w:hAnsi="Times New Roman" w:eastAsia="新宋体" w:cs="Times New Roman"/>
                <w:b w:val="0"/>
                <w:bCs w:val="0"/>
                <w:color w:val="0000FF"/>
                <w:kern w:val="24"/>
                <w:sz w:val="21"/>
                <w:szCs w:val="21"/>
                <w:lang w:val="en-US" w:eastAsia="zh-CN"/>
              </w:rPr>
            </w:pPr>
            <w:r>
              <w:rPr>
                <w:rFonts w:hint="default" w:ascii="Times New Roman" w:hAnsi="Times New Roman" w:eastAsia="新宋体" w:cs="Times New Roman"/>
                <w:b w:val="0"/>
                <w:bCs w:val="0"/>
                <w:color w:val="0000FF"/>
                <w:kern w:val="24"/>
                <w:sz w:val="21"/>
                <w:szCs w:val="21"/>
                <w:lang w:val="en-US" w:eastAsia="zh-CN"/>
              </w:rPr>
              <w:t>执行（GB36600-2018）第二类用地筛选值</w:t>
            </w:r>
          </w:p>
        </w:tc>
      </w:tr>
    </w:tbl>
    <w:p w14:paraId="7197FF5A">
      <w:pPr>
        <w:spacing w:line="360" w:lineRule="auto"/>
        <w:rPr>
          <w:rFonts w:hint="eastAsia"/>
          <w:b w:val="0"/>
          <w:bCs w:val="0"/>
          <w:color w:val="auto"/>
          <w:sz w:val="24"/>
          <w:szCs w:val="32"/>
          <w:lang w:val="en-US" w:eastAsia="zh-CN"/>
        </w:rPr>
      </w:pPr>
    </w:p>
    <w:p w14:paraId="248A00CE">
      <w:pPr>
        <w:spacing w:line="360" w:lineRule="auto"/>
        <w:rPr>
          <w:rFonts w:hint="default" w:eastAsia="宋体"/>
          <w:b w:val="0"/>
          <w:bCs w:val="0"/>
          <w:color w:val="auto"/>
          <w:sz w:val="24"/>
          <w:szCs w:val="32"/>
          <w:lang w:val="en-US" w:eastAsia="zh-CN"/>
        </w:rPr>
        <w:sectPr>
          <w:pgSz w:w="11906" w:h="16838"/>
          <w:pgMar w:top="1440" w:right="1080" w:bottom="144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14:paraId="01778B1B">
      <w:pPr>
        <w:spacing w:line="360" w:lineRule="auto"/>
        <w:jc w:val="center"/>
        <w:outlineLvl w:val="0"/>
        <w:rPr>
          <w:b/>
          <w:bCs/>
          <w:color w:val="auto"/>
          <w:sz w:val="32"/>
          <w:szCs w:val="40"/>
        </w:rPr>
      </w:pPr>
      <w:bookmarkStart w:id="373" w:name="_Toc26181"/>
      <w:r>
        <w:rPr>
          <w:b/>
          <w:bCs/>
          <w:color w:val="auto"/>
          <w:sz w:val="32"/>
          <w:szCs w:val="40"/>
        </w:rPr>
        <w:t>6 环境影响预测验证</w:t>
      </w:r>
      <w:bookmarkEnd w:id="373"/>
    </w:p>
    <w:p w14:paraId="62203CDC">
      <w:pPr>
        <w:spacing w:line="360" w:lineRule="auto"/>
        <w:rPr>
          <w:color w:val="auto"/>
          <w:sz w:val="24"/>
          <w:szCs w:val="32"/>
        </w:rPr>
      </w:pPr>
    </w:p>
    <w:p w14:paraId="09CBB627">
      <w:pPr>
        <w:spacing w:line="360" w:lineRule="auto"/>
        <w:outlineLvl w:val="1"/>
        <w:rPr>
          <w:b/>
          <w:bCs/>
          <w:color w:val="auto"/>
          <w:sz w:val="28"/>
          <w:szCs w:val="36"/>
        </w:rPr>
      </w:pPr>
      <w:bookmarkStart w:id="374" w:name="_Toc6645"/>
      <w:r>
        <w:rPr>
          <w:b/>
          <w:bCs/>
          <w:color w:val="auto"/>
          <w:sz w:val="28"/>
          <w:szCs w:val="36"/>
        </w:rPr>
        <w:t>6.1大气预测影响差异分析</w:t>
      </w:r>
      <w:bookmarkEnd w:id="374"/>
    </w:p>
    <w:p w14:paraId="0F5E3441">
      <w:pPr>
        <w:spacing w:line="360" w:lineRule="auto"/>
        <w:ind w:firstLine="482" w:firstLineChars="200"/>
        <w:rPr>
          <w:rFonts w:hint="eastAsia"/>
          <w:color w:val="auto"/>
          <w:sz w:val="24"/>
          <w:szCs w:val="32"/>
          <w:lang w:val="en-US" w:eastAsia="zh-CN"/>
        </w:rPr>
      </w:pPr>
      <w:r>
        <w:rPr>
          <w:b/>
          <w:bCs/>
          <w:color w:val="auto"/>
          <w:sz w:val="24"/>
          <w:szCs w:val="32"/>
        </w:rPr>
        <w:t>原环评阶段：</w:t>
      </w:r>
      <w:r>
        <w:rPr>
          <w:color w:val="auto"/>
          <w:sz w:val="24"/>
          <w:szCs w:val="32"/>
        </w:rPr>
        <w:t>原环评中选取</w:t>
      </w:r>
      <w:r>
        <w:rPr>
          <w:color w:val="auto"/>
          <w:sz w:val="24"/>
        </w:rPr>
        <w:t>PM</w:t>
      </w:r>
      <w:r>
        <w:rPr>
          <w:color w:val="auto"/>
          <w:sz w:val="24"/>
          <w:vertAlign w:val="subscript"/>
        </w:rPr>
        <w:t>10</w:t>
      </w:r>
      <w:r>
        <w:rPr>
          <w:color w:val="auto"/>
          <w:sz w:val="24"/>
        </w:rPr>
        <w:t>、SO</w:t>
      </w:r>
      <w:r>
        <w:rPr>
          <w:color w:val="auto"/>
          <w:sz w:val="24"/>
          <w:vertAlign w:val="subscript"/>
        </w:rPr>
        <w:t>2</w:t>
      </w:r>
      <w:r>
        <w:rPr>
          <w:color w:val="auto"/>
          <w:sz w:val="24"/>
        </w:rPr>
        <w:t>、NO</w:t>
      </w:r>
      <w:r>
        <w:rPr>
          <w:color w:val="auto"/>
          <w:sz w:val="24"/>
          <w:vertAlign w:val="subscript"/>
        </w:rPr>
        <w:t>X</w:t>
      </w:r>
      <w:r>
        <w:rPr>
          <w:color w:val="auto"/>
          <w:sz w:val="24"/>
        </w:rPr>
        <w:t>、HCl、二噁英类</w:t>
      </w:r>
      <w:r>
        <w:rPr>
          <w:color w:val="auto"/>
          <w:sz w:val="24"/>
          <w:szCs w:val="32"/>
        </w:rPr>
        <w:t>作为预测因子，原评价预测模式为《环境影响评价技术导则——大气环境》(HJ2.2 -2008)中推荐的AERMOD模式和大气环境防护距离计算软件</w:t>
      </w:r>
      <w:r>
        <w:rPr>
          <w:rFonts w:hint="eastAsia"/>
          <w:color w:val="auto"/>
          <w:sz w:val="24"/>
          <w:szCs w:val="32"/>
          <w:lang w:val="en-US" w:eastAsia="zh-CN"/>
        </w:rPr>
        <w:t>进行</w:t>
      </w:r>
      <w:r>
        <w:rPr>
          <w:color w:val="auto"/>
          <w:sz w:val="24"/>
          <w:szCs w:val="32"/>
        </w:rPr>
        <w:t>预测</w:t>
      </w:r>
      <w:r>
        <w:rPr>
          <w:rFonts w:hint="eastAsia"/>
          <w:color w:val="auto"/>
          <w:sz w:val="24"/>
          <w:szCs w:val="32"/>
          <w:lang w:eastAsia="zh-CN"/>
        </w:rPr>
        <w:t>，</w:t>
      </w:r>
      <w:r>
        <w:rPr>
          <w:rFonts w:hint="eastAsia"/>
          <w:color w:val="auto"/>
          <w:sz w:val="24"/>
          <w:szCs w:val="32"/>
          <w:lang w:val="en-US" w:eastAsia="zh-CN"/>
        </w:rPr>
        <w:t>预测</w:t>
      </w:r>
      <w:r>
        <w:rPr>
          <w:color w:val="auto"/>
          <w:sz w:val="24"/>
          <w:szCs w:val="32"/>
        </w:rPr>
        <w:t>结果</w:t>
      </w:r>
      <w:r>
        <w:rPr>
          <w:rFonts w:hint="eastAsia"/>
          <w:color w:val="auto"/>
          <w:sz w:val="24"/>
          <w:szCs w:val="32"/>
          <w:lang w:val="en-US" w:eastAsia="zh-CN"/>
        </w:rPr>
        <w:t>如下：</w:t>
      </w:r>
    </w:p>
    <w:p w14:paraId="5B19C7B1">
      <w:pPr>
        <w:spacing w:line="360" w:lineRule="auto"/>
        <w:ind w:firstLine="480" w:firstLineChars="200"/>
        <w:rPr>
          <w:color w:val="auto"/>
          <w:sz w:val="24"/>
          <w:szCs w:val="32"/>
        </w:rPr>
      </w:pPr>
      <w:r>
        <w:rPr>
          <w:color w:val="auto"/>
          <w:sz w:val="24"/>
        </w:rPr>
        <w:t>PM</w:t>
      </w:r>
      <w:r>
        <w:rPr>
          <w:color w:val="auto"/>
          <w:sz w:val="24"/>
          <w:vertAlign w:val="subscript"/>
        </w:rPr>
        <w:t>10</w:t>
      </w:r>
      <w:r>
        <w:rPr>
          <w:color w:val="auto"/>
          <w:sz w:val="24"/>
        </w:rPr>
        <w:t>年均最大落地浓度贡献值为6.811ug/m</w:t>
      </w:r>
      <w:r>
        <w:rPr>
          <w:color w:val="auto"/>
          <w:sz w:val="24"/>
          <w:vertAlign w:val="superscript"/>
        </w:rPr>
        <w:t>3</w:t>
      </w:r>
      <w:r>
        <w:rPr>
          <w:color w:val="auto"/>
          <w:sz w:val="24"/>
        </w:rPr>
        <w:t>，占标率为9.73%。评价范围内各关心点处的PM</w:t>
      </w:r>
      <w:r>
        <w:rPr>
          <w:color w:val="auto"/>
          <w:sz w:val="24"/>
          <w:vertAlign w:val="subscript"/>
        </w:rPr>
        <w:t>10</w:t>
      </w:r>
      <w:r>
        <w:rPr>
          <w:color w:val="auto"/>
          <w:sz w:val="24"/>
        </w:rPr>
        <w:t>最大年均浓度贡献值范围为</w:t>
      </w:r>
      <w:r>
        <w:rPr>
          <w:rFonts w:hint="eastAsia"/>
          <w:color w:val="auto"/>
          <w:sz w:val="24"/>
        </w:rPr>
        <w:t>0.235</w:t>
      </w:r>
      <w:r>
        <w:rPr>
          <w:color w:val="auto"/>
          <w:sz w:val="24"/>
        </w:rPr>
        <w:t>ug/m</w:t>
      </w:r>
      <w:r>
        <w:rPr>
          <w:color w:val="auto"/>
          <w:sz w:val="24"/>
          <w:vertAlign w:val="superscript"/>
        </w:rPr>
        <w:t>3</w:t>
      </w:r>
      <w:r>
        <w:rPr>
          <w:color w:val="auto"/>
          <w:sz w:val="24"/>
        </w:rPr>
        <w:t>~3.886ug/m</w:t>
      </w:r>
      <w:r>
        <w:rPr>
          <w:color w:val="auto"/>
          <w:sz w:val="24"/>
          <w:vertAlign w:val="superscript"/>
        </w:rPr>
        <w:t>3</w:t>
      </w:r>
      <w:r>
        <w:rPr>
          <w:color w:val="auto"/>
          <w:sz w:val="24"/>
        </w:rPr>
        <w:t>，均低于评价标准限值</w:t>
      </w:r>
      <w:r>
        <w:rPr>
          <w:color w:val="auto"/>
          <w:sz w:val="24"/>
          <w:szCs w:val="32"/>
        </w:rPr>
        <w:t>；</w:t>
      </w:r>
    </w:p>
    <w:p w14:paraId="52B6F777">
      <w:pPr>
        <w:spacing w:line="360" w:lineRule="auto"/>
        <w:ind w:firstLine="480" w:firstLineChars="200"/>
        <w:rPr>
          <w:color w:val="auto"/>
          <w:sz w:val="24"/>
          <w:szCs w:val="32"/>
        </w:rPr>
      </w:pPr>
      <w:r>
        <w:rPr>
          <w:color w:val="auto"/>
          <w:sz w:val="24"/>
        </w:rPr>
        <w:t>SO</w:t>
      </w:r>
      <w:r>
        <w:rPr>
          <w:color w:val="auto"/>
          <w:sz w:val="24"/>
          <w:vertAlign w:val="subscript"/>
        </w:rPr>
        <w:t>2</w:t>
      </w:r>
      <w:r>
        <w:rPr>
          <w:color w:val="auto"/>
          <w:sz w:val="24"/>
        </w:rPr>
        <w:t>年均最大落地浓度贡献值为0.00</w:t>
      </w:r>
      <w:r>
        <w:rPr>
          <w:rFonts w:hint="eastAsia"/>
          <w:color w:val="auto"/>
          <w:sz w:val="24"/>
        </w:rPr>
        <w:t>154</w:t>
      </w:r>
      <w:r>
        <w:rPr>
          <w:color w:val="auto"/>
          <w:sz w:val="24"/>
        </w:rPr>
        <w:t>ug/m</w:t>
      </w:r>
      <w:r>
        <w:rPr>
          <w:color w:val="auto"/>
          <w:sz w:val="24"/>
          <w:vertAlign w:val="superscript"/>
        </w:rPr>
        <w:t>3</w:t>
      </w:r>
      <w:r>
        <w:rPr>
          <w:color w:val="auto"/>
          <w:sz w:val="24"/>
        </w:rPr>
        <w:t>，占标率为0.0</w:t>
      </w:r>
      <w:r>
        <w:rPr>
          <w:rFonts w:hint="eastAsia"/>
          <w:color w:val="auto"/>
          <w:sz w:val="24"/>
        </w:rPr>
        <w:t>026</w:t>
      </w:r>
      <w:r>
        <w:rPr>
          <w:color w:val="auto"/>
          <w:sz w:val="24"/>
        </w:rPr>
        <w:t>%。评价范围内各关心点处的SO</w:t>
      </w:r>
      <w:r>
        <w:rPr>
          <w:color w:val="auto"/>
          <w:sz w:val="24"/>
          <w:vertAlign w:val="subscript"/>
        </w:rPr>
        <w:t>2</w:t>
      </w:r>
      <w:r>
        <w:rPr>
          <w:color w:val="auto"/>
          <w:sz w:val="24"/>
        </w:rPr>
        <w:t>最大年均浓度贡献值范围为0.00</w:t>
      </w:r>
      <w:r>
        <w:rPr>
          <w:rFonts w:hint="eastAsia"/>
          <w:color w:val="auto"/>
          <w:sz w:val="24"/>
        </w:rPr>
        <w:t>007</w:t>
      </w:r>
      <w:r>
        <w:rPr>
          <w:color w:val="auto"/>
          <w:sz w:val="24"/>
        </w:rPr>
        <w:t>ug/m</w:t>
      </w:r>
      <w:r>
        <w:rPr>
          <w:color w:val="auto"/>
          <w:sz w:val="24"/>
          <w:vertAlign w:val="superscript"/>
        </w:rPr>
        <w:t>3</w:t>
      </w:r>
      <w:r>
        <w:rPr>
          <w:color w:val="auto"/>
          <w:sz w:val="24"/>
        </w:rPr>
        <w:t>~0.00</w:t>
      </w:r>
      <w:r>
        <w:rPr>
          <w:rFonts w:hint="eastAsia"/>
          <w:color w:val="auto"/>
          <w:sz w:val="24"/>
        </w:rPr>
        <w:t>111</w:t>
      </w:r>
      <w:r>
        <w:rPr>
          <w:color w:val="auto"/>
          <w:sz w:val="24"/>
        </w:rPr>
        <w:t xml:space="preserve"> ug/m</w:t>
      </w:r>
      <w:r>
        <w:rPr>
          <w:color w:val="auto"/>
          <w:sz w:val="24"/>
          <w:vertAlign w:val="superscript"/>
        </w:rPr>
        <w:t>3</w:t>
      </w:r>
      <w:r>
        <w:rPr>
          <w:color w:val="auto"/>
          <w:sz w:val="24"/>
        </w:rPr>
        <w:t>，均低于评价标准限值</w:t>
      </w:r>
      <w:r>
        <w:rPr>
          <w:color w:val="auto"/>
          <w:sz w:val="24"/>
          <w:szCs w:val="32"/>
        </w:rPr>
        <w:t>；</w:t>
      </w:r>
    </w:p>
    <w:p w14:paraId="5312D8AB">
      <w:pPr>
        <w:spacing w:line="360" w:lineRule="auto"/>
        <w:ind w:firstLine="480" w:firstLineChars="200"/>
        <w:rPr>
          <w:color w:val="auto"/>
          <w:sz w:val="24"/>
          <w:szCs w:val="32"/>
        </w:rPr>
      </w:pPr>
      <w:r>
        <w:rPr>
          <w:color w:val="auto"/>
          <w:sz w:val="24"/>
        </w:rPr>
        <w:t>NO</w:t>
      </w:r>
      <w:r>
        <w:rPr>
          <w:color w:val="auto"/>
          <w:sz w:val="24"/>
          <w:vertAlign w:val="subscript"/>
        </w:rPr>
        <w:t>X</w:t>
      </w:r>
      <w:r>
        <w:rPr>
          <w:color w:val="auto"/>
          <w:sz w:val="24"/>
        </w:rPr>
        <w:t>年均最大落地浓度贡献值为0.</w:t>
      </w:r>
      <w:r>
        <w:rPr>
          <w:rFonts w:hint="eastAsia"/>
          <w:color w:val="auto"/>
          <w:sz w:val="24"/>
        </w:rPr>
        <w:t>059</w:t>
      </w:r>
      <w:r>
        <w:rPr>
          <w:color w:val="auto"/>
          <w:sz w:val="24"/>
        </w:rPr>
        <w:t>ug/m</w:t>
      </w:r>
      <w:r>
        <w:rPr>
          <w:color w:val="auto"/>
          <w:sz w:val="24"/>
          <w:vertAlign w:val="superscript"/>
        </w:rPr>
        <w:t>3</w:t>
      </w:r>
      <w:r>
        <w:rPr>
          <w:color w:val="auto"/>
          <w:sz w:val="24"/>
        </w:rPr>
        <w:t>，占标率为</w:t>
      </w:r>
      <w:r>
        <w:rPr>
          <w:rFonts w:hint="eastAsia"/>
          <w:color w:val="auto"/>
          <w:sz w:val="24"/>
        </w:rPr>
        <w:t>0.119</w:t>
      </w:r>
      <w:r>
        <w:rPr>
          <w:color w:val="auto"/>
          <w:sz w:val="24"/>
        </w:rPr>
        <w:t>%。评价范围内各关心点处的NO</w:t>
      </w:r>
      <w:r>
        <w:rPr>
          <w:color w:val="auto"/>
          <w:sz w:val="24"/>
          <w:vertAlign w:val="subscript"/>
        </w:rPr>
        <w:t>X</w:t>
      </w:r>
      <w:r>
        <w:rPr>
          <w:color w:val="auto"/>
          <w:sz w:val="24"/>
        </w:rPr>
        <w:t>最大年均浓度贡献值范围为0.0</w:t>
      </w:r>
      <w:r>
        <w:rPr>
          <w:rFonts w:hint="eastAsia"/>
          <w:color w:val="auto"/>
          <w:sz w:val="24"/>
        </w:rPr>
        <w:t>03</w:t>
      </w:r>
      <w:r>
        <w:rPr>
          <w:color w:val="auto"/>
          <w:sz w:val="24"/>
        </w:rPr>
        <w:t>ug/m</w:t>
      </w:r>
      <w:r>
        <w:rPr>
          <w:color w:val="auto"/>
          <w:sz w:val="24"/>
          <w:vertAlign w:val="superscript"/>
        </w:rPr>
        <w:t>3</w:t>
      </w:r>
      <w:r>
        <w:rPr>
          <w:color w:val="auto"/>
          <w:sz w:val="24"/>
        </w:rPr>
        <w:t>~0.</w:t>
      </w:r>
      <w:r>
        <w:rPr>
          <w:rFonts w:hint="eastAsia"/>
          <w:color w:val="auto"/>
          <w:sz w:val="24"/>
        </w:rPr>
        <w:t>043</w:t>
      </w:r>
      <w:r>
        <w:rPr>
          <w:color w:val="auto"/>
          <w:sz w:val="24"/>
        </w:rPr>
        <w:t>ug/m</w:t>
      </w:r>
      <w:r>
        <w:rPr>
          <w:color w:val="auto"/>
          <w:sz w:val="24"/>
          <w:vertAlign w:val="superscript"/>
        </w:rPr>
        <w:t>3</w:t>
      </w:r>
      <w:r>
        <w:rPr>
          <w:color w:val="auto"/>
          <w:sz w:val="24"/>
        </w:rPr>
        <w:t>，均低于评价标准限值</w:t>
      </w:r>
      <w:r>
        <w:rPr>
          <w:color w:val="auto"/>
          <w:sz w:val="24"/>
          <w:szCs w:val="32"/>
        </w:rPr>
        <w:t>；</w:t>
      </w:r>
    </w:p>
    <w:p w14:paraId="4D2F43BA">
      <w:pPr>
        <w:spacing w:line="360" w:lineRule="auto"/>
        <w:ind w:firstLine="480" w:firstLineChars="200"/>
        <w:rPr>
          <w:rFonts w:hint="eastAsia"/>
          <w:color w:val="auto"/>
          <w:sz w:val="24"/>
          <w:lang w:eastAsia="zh-CN"/>
        </w:rPr>
      </w:pPr>
      <w:r>
        <w:rPr>
          <w:color w:val="auto"/>
          <w:sz w:val="24"/>
        </w:rPr>
        <w:t>HCl日均最大落地浓度贡献值为</w:t>
      </w:r>
      <w:r>
        <w:rPr>
          <w:rFonts w:hint="eastAsia"/>
          <w:color w:val="auto"/>
          <w:sz w:val="24"/>
        </w:rPr>
        <w:t>0.198</w:t>
      </w:r>
      <w:r>
        <w:rPr>
          <w:color w:val="auto"/>
          <w:sz w:val="24"/>
        </w:rPr>
        <w:t>ug/m</w:t>
      </w:r>
      <w:r>
        <w:rPr>
          <w:color w:val="auto"/>
          <w:sz w:val="24"/>
          <w:vertAlign w:val="superscript"/>
        </w:rPr>
        <w:t>3</w:t>
      </w:r>
      <w:r>
        <w:rPr>
          <w:color w:val="auto"/>
          <w:sz w:val="24"/>
        </w:rPr>
        <w:t>，占标率为</w:t>
      </w:r>
      <w:r>
        <w:rPr>
          <w:rFonts w:hint="eastAsia"/>
          <w:color w:val="auto"/>
          <w:sz w:val="24"/>
        </w:rPr>
        <w:t>1.321</w:t>
      </w:r>
      <w:r>
        <w:rPr>
          <w:color w:val="auto"/>
          <w:sz w:val="24"/>
        </w:rPr>
        <w:t>%。评价范围内各关心点处的HCl最大日均浓度贡献值范围为0.0</w:t>
      </w:r>
      <w:r>
        <w:rPr>
          <w:rFonts w:hint="eastAsia"/>
          <w:color w:val="auto"/>
          <w:sz w:val="24"/>
        </w:rPr>
        <w:t>15</w:t>
      </w:r>
      <w:r>
        <w:rPr>
          <w:color w:val="auto"/>
          <w:sz w:val="24"/>
        </w:rPr>
        <w:t>ug/m</w:t>
      </w:r>
      <w:r>
        <w:rPr>
          <w:color w:val="auto"/>
          <w:sz w:val="24"/>
          <w:vertAlign w:val="superscript"/>
        </w:rPr>
        <w:t>3</w:t>
      </w:r>
      <w:r>
        <w:rPr>
          <w:color w:val="auto"/>
          <w:sz w:val="24"/>
        </w:rPr>
        <w:t>~0.</w:t>
      </w:r>
      <w:r>
        <w:rPr>
          <w:rFonts w:hint="eastAsia"/>
          <w:color w:val="auto"/>
          <w:sz w:val="24"/>
        </w:rPr>
        <w:t>078</w:t>
      </w:r>
      <w:r>
        <w:rPr>
          <w:color w:val="auto"/>
          <w:sz w:val="24"/>
        </w:rPr>
        <w:t>ug/m</w:t>
      </w:r>
      <w:r>
        <w:rPr>
          <w:color w:val="auto"/>
          <w:sz w:val="24"/>
          <w:vertAlign w:val="superscript"/>
        </w:rPr>
        <w:t>3</w:t>
      </w:r>
      <w:r>
        <w:rPr>
          <w:color w:val="auto"/>
          <w:sz w:val="24"/>
        </w:rPr>
        <w:t>，均低于评价标准限值</w:t>
      </w:r>
      <w:r>
        <w:rPr>
          <w:rFonts w:hint="eastAsia"/>
          <w:color w:val="auto"/>
          <w:sz w:val="24"/>
          <w:lang w:eastAsia="zh-CN"/>
        </w:rPr>
        <w:t>；</w:t>
      </w:r>
    </w:p>
    <w:p w14:paraId="7B835859">
      <w:pPr>
        <w:spacing w:line="360" w:lineRule="auto"/>
        <w:ind w:firstLine="480" w:firstLineChars="200"/>
        <w:rPr>
          <w:rFonts w:hint="eastAsia" w:eastAsia="宋体"/>
          <w:color w:val="auto"/>
          <w:sz w:val="24"/>
          <w:lang w:val="en-US" w:eastAsia="zh-CN"/>
        </w:rPr>
      </w:pPr>
      <w:r>
        <w:rPr>
          <w:color w:val="auto"/>
          <w:sz w:val="24"/>
        </w:rPr>
        <w:t>二噁英年均最大落地浓度贡献值为0.0007pg/m</w:t>
      </w:r>
      <w:r>
        <w:rPr>
          <w:color w:val="auto"/>
          <w:sz w:val="24"/>
          <w:vertAlign w:val="superscript"/>
        </w:rPr>
        <w:t>3</w:t>
      </w:r>
      <w:r>
        <w:rPr>
          <w:color w:val="auto"/>
          <w:sz w:val="24"/>
        </w:rPr>
        <w:t>，占标率为0.116%。评价范围内各关心点处的二噁英最大年均浓度贡献值范围为0.00003pg/m</w:t>
      </w:r>
      <w:r>
        <w:rPr>
          <w:color w:val="auto"/>
          <w:sz w:val="24"/>
          <w:vertAlign w:val="superscript"/>
        </w:rPr>
        <w:t>3</w:t>
      </w:r>
      <w:r>
        <w:rPr>
          <w:color w:val="auto"/>
          <w:sz w:val="24"/>
        </w:rPr>
        <w:t>~0.00</w:t>
      </w:r>
      <w:r>
        <w:rPr>
          <w:rFonts w:hint="eastAsia"/>
          <w:color w:val="auto"/>
          <w:sz w:val="24"/>
        </w:rPr>
        <w:t>051</w:t>
      </w:r>
      <w:r>
        <w:rPr>
          <w:color w:val="auto"/>
          <w:sz w:val="24"/>
        </w:rPr>
        <w:t>pg/m</w:t>
      </w:r>
      <w:r>
        <w:rPr>
          <w:color w:val="auto"/>
          <w:sz w:val="24"/>
          <w:vertAlign w:val="superscript"/>
        </w:rPr>
        <w:t>3</w:t>
      </w:r>
      <w:r>
        <w:rPr>
          <w:color w:val="auto"/>
          <w:sz w:val="24"/>
        </w:rPr>
        <w:t>，均低于评价标准限值</w:t>
      </w:r>
      <w:r>
        <w:rPr>
          <w:rFonts w:hint="eastAsia"/>
          <w:color w:val="auto"/>
          <w:sz w:val="24"/>
          <w:lang w:eastAsia="zh-CN"/>
        </w:rPr>
        <w:t>。</w:t>
      </w:r>
    </w:p>
    <w:p w14:paraId="10BFFD08">
      <w:pPr>
        <w:spacing w:line="360" w:lineRule="auto"/>
        <w:ind w:firstLine="480" w:firstLineChars="200"/>
        <w:rPr>
          <w:color w:val="auto"/>
          <w:sz w:val="24"/>
          <w:szCs w:val="32"/>
        </w:rPr>
      </w:pPr>
      <w:r>
        <w:rPr>
          <w:color w:val="auto"/>
          <w:sz w:val="24"/>
          <w:szCs w:val="32"/>
        </w:rPr>
        <w:t>根据</w:t>
      </w:r>
      <w:r>
        <w:rPr>
          <w:rFonts w:hint="eastAsia" w:ascii="宋体" w:hAnsi="宋体" w:eastAsia="宋体" w:cs="宋体"/>
          <w:color w:val="auto"/>
          <w:sz w:val="24"/>
          <w:szCs w:val="32"/>
        </w:rPr>
        <w:t>“</w:t>
      </w:r>
      <w:r>
        <w:rPr>
          <w:color w:val="auto"/>
          <w:sz w:val="24"/>
          <w:szCs w:val="32"/>
        </w:rPr>
        <w:t>4.3.1大气环境质量现状</w:t>
      </w:r>
      <w:r>
        <w:rPr>
          <w:rFonts w:hint="eastAsia" w:ascii="宋体" w:hAnsi="宋体" w:eastAsia="宋体" w:cs="宋体"/>
          <w:color w:val="auto"/>
          <w:sz w:val="24"/>
          <w:szCs w:val="32"/>
        </w:rPr>
        <w:t>”</w:t>
      </w:r>
      <w:r>
        <w:rPr>
          <w:color w:val="auto"/>
          <w:sz w:val="24"/>
          <w:szCs w:val="32"/>
        </w:rPr>
        <w:t>章节可知，项目所在区域为不达标区，与历史监测数据对比，主要环境空气污染物浓度与环评阶段变化不大</w:t>
      </w:r>
      <w:r>
        <w:rPr>
          <w:rFonts w:hint="eastAsia"/>
          <w:color w:val="auto"/>
          <w:sz w:val="24"/>
          <w:szCs w:val="32"/>
          <w:lang w:eastAsia="zh-CN"/>
        </w:rPr>
        <w:t>，</w:t>
      </w:r>
      <w:r>
        <w:rPr>
          <w:color w:val="auto"/>
          <w:sz w:val="24"/>
          <w:szCs w:val="32"/>
        </w:rPr>
        <w:t>与原环评大气环境影响评价结论一致。</w:t>
      </w:r>
    </w:p>
    <w:p w14:paraId="305ADAEC">
      <w:pPr>
        <w:spacing w:line="360" w:lineRule="auto"/>
        <w:outlineLvl w:val="1"/>
        <w:rPr>
          <w:b/>
          <w:bCs/>
          <w:color w:val="auto"/>
          <w:sz w:val="28"/>
          <w:szCs w:val="36"/>
        </w:rPr>
      </w:pPr>
      <w:bookmarkStart w:id="375" w:name="_Toc24682"/>
      <w:r>
        <w:rPr>
          <w:b/>
          <w:bCs/>
          <w:color w:val="auto"/>
          <w:sz w:val="28"/>
          <w:szCs w:val="36"/>
        </w:rPr>
        <w:t>6.2废水影响和实际影响差异性分析</w:t>
      </w:r>
      <w:bookmarkEnd w:id="375"/>
    </w:p>
    <w:p w14:paraId="6DE99A87">
      <w:pPr>
        <w:spacing w:line="360" w:lineRule="auto"/>
        <w:ind w:firstLine="480" w:firstLineChars="200"/>
        <w:rPr>
          <w:color w:val="auto"/>
          <w:sz w:val="24"/>
        </w:rPr>
      </w:pPr>
      <w:r>
        <w:rPr>
          <w:rFonts w:hint="eastAsia"/>
          <w:color w:val="auto"/>
          <w:sz w:val="24"/>
        </w:rPr>
        <w:t>和原环评对比，项目废水</w:t>
      </w:r>
      <w:r>
        <w:rPr>
          <w:rFonts w:hint="eastAsia"/>
          <w:color w:val="auto"/>
          <w:sz w:val="24"/>
          <w:lang w:val="en-US" w:eastAsia="zh-CN"/>
        </w:rPr>
        <w:t>产生与排放未发生变化。项目无生产废水外排，项目采用“雨污分流、清污分流”系统。循环冷却水回用于生产，不外排；生活污水经化粪池处理后排入开发区污水管网进入滩溪县第二污水处理厂集中处理。</w:t>
      </w:r>
    </w:p>
    <w:p w14:paraId="35DA2A53">
      <w:pPr>
        <w:spacing w:line="360" w:lineRule="auto"/>
        <w:outlineLvl w:val="1"/>
        <w:rPr>
          <w:b/>
          <w:bCs/>
          <w:color w:val="auto"/>
          <w:sz w:val="28"/>
          <w:szCs w:val="36"/>
        </w:rPr>
      </w:pPr>
      <w:bookmarkStart w:id="376" w:name="_Toc15470"/>
      <w:r>
        <w:rPr>
          <w:b/>
          <w:bCs/>
          <w:color w:val="auto"/>
          <w:sz w:val="28"/>
          <w:szCs w:val="36"/>
        </w:rPr>
        <w:t>6.3固废预测影响差异分析</w:t>
      </w:r>
      <w:bookmarkEnd w:id="376"/>
    </w:p>
    <w:p w14:paraId="3D1DD4E3">
      <w:pPr>
        <w:spacing w:line="360" w:lineRule="auto"/>
        <w:ind w:firstLine="480" w:firstLineChars="200"/>
        <w:rPr>
          <w:color w:val="auto"/>
          <w:sz w:val="24"/>
          <w:szCs w:val="32"/>
        </w:rPr>
      </w:pPr>
      <w:r>
        <w:rPr>
          <w:color w:val="auto"/>
          <w:sz w:val="24"/>
          <w:szCs w:val="32"/>
        </w:rPr>
        <w:t>环评中</w:t>
      </w:r>
      <w:r>
        <w:rPr>
          <w:rFonts w:hint="eastAsia"/>
          <w:color w:val="auto"/>
          <w:sz w:val="24"/>
          <w:szCs w:val="32"/>
        </w:rPr>
        <w:t>一期</w:t>
      </w:r>
      <w:r>
        <w:rPr>
          <w:color w:val="auto"/>
          <w:sz w:val="24"/>
          <w:szCs w:val="32"/>
        </w:rPr>
        <w:t>项目产生的固体废物全部得到妥善处理处置。危险废物送有资质的危险废物处置中心集中处置，不会产生二次污染。因此，项目产生的固废不会对周围环境产生的影响</w:t>
      </w:r>
      <w:r>
        <w:rPr>
          <w:rFonts w:hint="eastAsia"/>
          <w:color w:val="auto"/>
          <w:sz w:val="24"/>
          <w:szCs w:val="32"/>
        </w:rPr>
        <w:t>。</w:t>
      </w:r>
    </w:p>
    <w:p w14:paraId="0D96809B">
      <w:pPr>
        <w:spacing w:line="360" w:lineRule="auto"/>
        <w:ind w:firstLine="480" w:firstLineChars="200"/>
        <w:rPr>
          <w:color w:val="auto"/>
          <w:sz w:val="24"/>
          <w:szCs w:val="32"/>
        </w:rPr>
      </w:pPr>
      <w:r>
        <w:rPr>
          <w:color w:val="auto"/>
          <w:sz w:val="24"/>
          <w:szCs w:val="32"/>
        </w:rPr>
        <w:t>项目实际固废产生及治理措施见</w:t>
      </w:r>
      <w:r>
        <w:rPr>
          <w:rFonts w:hint="eastAsia"/>
          <w:color w:val="auto"/>
          <w:sz w:val="24"/>
          <w:szCs w:val="32"/>
        </w:rPr>
        <w:t>下表：</w:t>
      </w:r>
    </w:p>
    <w:p w14:paraId="61D0749A">
      <w:pPr>
        <w:spacing w:line="360" w:lineRule="auto"/>
        <w:jc w:val="center"/>
        <w:rPr>
          <w:b/>
          <w:bCs/>
          <w:color w:val="auto"/>
          <w:sz w:val="24"/>
          <w:szCs w:val="32"/>
        </w:rPr>
      </w:pPr>
      <w:r>
        <w:rPr>
          <w:b/>
          <w:bCs/>
          <w:color w:val="auto"/>
          <w:sz w:val="24"/>
          <w:szCs w:val="32"/>
        </w:rPr>
        <w:t xml:space="preserve">表6-1 </w:t>
      </w:r>
      <w:r>
        <w:rPr>
          <w:rFonts w:hint="eastAsia"/>
          <w:b/>
          <w:bCs/>
          <w:color w:val="auto"/>
          <w:sz w:val="24"/>
          <w:szCs w:val="32"/>
        </w:rPr>
        <w:t>项目一期</w:t>
      </w:r>
      <w:r>
        <w:rPr>
          <w:rFonts w:hint="eastAsia"/>
          <w:b/>
          <w:bCs/>
          <w:color w:val="auto"/>
          <w:sz w:val="24"/>
          <w:szCs w:val="32"/>
          <w:lang w:val="en-US" w:eastAsia="zh-CN"/>
        </w:rPr>
        <w:t>工程</w:t>
      </w:r>
      <w:r>
        <w:rPr>
          <w:b/>
          <w:bCs/>
          <w:color w:val="auto"/>
          <w:sz w:val="24"/>
          <w:szCs w:val="32"/>
        </w:rPr>
        <w:t>实际产生的固体废弃物和处理处置去向</w:t>
      </w:r>
      <w:r>
        <w:rPr>
          <w:rFonts w:hint="eastAsia"/>
          <w:b/>
          <w:bCs/>
          <w:color w:val="auto"/>
          <w:sz w:val="24"/>
          <w:szCs w:val="32"/>
          <w:lang w:val="en-US" w:eastAsia="zh-CN"/>
        </w:rPr>
        <w:t>一览表</w:t>
      </w:r>
    </w:p>
    <w:tbl>
      <w:tblPr>
        <w:tblStyle w:val="3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 w:type="dxa"/>
          <w:bottom w:w="0" w:type="dxa"/>
          <w:right w:w="10" w:type="dxa"/>
        </w:tblCellMar>
      </w:tblPr>
      <w:tblGrid>
        <w:gridCol w:w="756"/>
        <w:gridCol w:w="1258"/>
        <w:gridCol w:w="1430"/>
        <w:gridCol w:w="1383"/>
        <w:gridCol w:w="1910"/>
        <w:gridCol w:w="914"/>
        <w:gridCol w:w="2111"/>
      </w:tblGrid>
      <w:tr w14:paraId="63E98E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54" w:hRule="atLeast"/>
          <w:jc w:val="center"/>
        </w:trPr>
        <w:tc>
          <w:tcPr>
            <w:tcW w:w="387" w:type="pct"/>
            <w:tcBorders>
              <w:tl2br w:val="nil"/>
              <w:tr2bl w:val="nil"/>
            </w:tcBorders>
            <w:vAlign w:val="center"/>
          </w:tcPr>
          <w:p w14:paraId="6A9BBD3D">
            <w:pPr>
              <w:jc w:val="center"/>
              <w:rPr>
                <w:b/>
                <w:bCs/>
                <w:color w:val="auto"/>
              </w:rPr>
            </w:pPr>
            <w:r>
              <w:rPr>
                <w:b/>
                <w:bCs/>
                <w:color w:val="auto"/>
              </w:rPr>
              <w:t>序号</w:t>
            </w:r>
          </w:p>
        </w:tc>
        <w:tc>
          <w:tcPr>
            <w:tcW w:w="644" w:type="pct"/>
            <w:tcBorders>
              <w:tl2br w:val="nil"/>
              <w:tr2bl w:val="nil"/>
            </w:tcBorders>
            <w:vAlign w:val="center"/>
          </w:tcPr>
          <w:p w14:paraId="00464DDF">
            <w:pPr>
              <w:jc w:val="center"/>
              <w:rPr>
                <w:b/>
                <w:bCs/>
                <w:color w:val="auto"/>
              </w:rPr>
            </w:pPr>
            <w:r>
              <w:rPr>
                <w:b/>
                <w:bCs/>
                <w:color w:val="auto"/>
              </w:rPr>
              <w:t>名称</w:t>
            </w:r>
          </w:p>
        </w:tc>
        <w:tc>
          <w:tcPr>
            <w:tcW w:w="732" w:type="pct"/>
            <w:tcBorders>
              <w:tl2br w:val="nil"/>
              <w:tr2bl w:val="nil"/>
            </w:tcBorders>
            <w:vAlign w:val="center"/>
          </w:tcPr>
          <w:p w14:paraId="3BBF73C5">
            <w:pPr>
              <w:jc w:val="center"/>
              <w:rPr>
                <w:b/>
                <w:bCs/>
                <w:color w:val="auto"/>
              </w:rPr>
            </w:pPr>
            <w:r>
              <w:rPr>
                <w:b/>
                <w:bCs/>
                <w:color w:val="auto"/>
              </w:rPr>
              <w:t>主要成分</w:t>
            </w:r>
          </w:p>
        </w:tc>
        <w:tc>
          <w:tcPr>
            <w:tcW w:w="708" w:type="pct"/>
            <w:tcBorders>
              <w:tl2br w:val="nil"/>
              <w:tr2bl w:val="nil"/>
            </w:tcBorders>
            <w:vAlign w:val="center"/>
          </w:tcPr>
          <w:p w14:paraId="35E223B5">
            <w:pPr>
              <w:jc w:val="center"/>
              <w:rPr>
                <w:rFonts w:hint="default" w:eastAsia="宋体"/>
                <w:b/>
                <w:bCs/>
                <w:color w:val="auto"/>
                <w:lang w:val="en-US" w:eastAsia="zh-CN"/>
              </w:rPr>
            </w:pPr>
            <w:r>
              <w:rPr>
                <w:rFonts w:hint="eastAsia"/>
                <w:b/>
                <w:bCs/>
                <w:color w:val="auto"/>
                <w:lang w:val="en-US" w:eastAsia="zh-CN"/>
              </w:rPr>
              <w:t>固废属性</w:t>
            </w:r>
          </w:p>
        </w:tc>
        <w:tc>
          <w:tcPr>
            <w:tcW w:w="978" w:type="pct"/>
            <w:tcBorders>
              <w:tl2br w:val="nil"/>
              <w:tr2bl w:val="nil"/>
            </w:tcBorders>
            <w:vAlign w:val="center"/>
          </w:tcPr>
          <w:p w14:paraId="0824FBDB">
            <w:pPr>
              <w:jc w:val="center"/>
              <w:rPr>
                <w:b/>
                <w:bCs/>
                <w:color w:val="auto"/>
              </w:rPr>
            </w:pPr>
            <w:r>
              <w:rPr>
                <w:rFonts w:hint="eastAsia"/>
                <w:b/>
                <w:bCs/>
                <w:color w:val="auto"/>
                <w:lang w:val="en-US" w:eastAsia="zh-CN"/>
              </w:rPr>
              <w:t>固废类别及</w:t>
            </w:r>
            <w:r>
              <w:rPr>
                <w:b/>
                <w:bCs/>
                <w:color w:val="auto"/>
              </w:rPr>
              <w:t>代码</w:t>
            </w:r>
          </w:p>
        </w:tc>
        <w:tc>
          <w:tcPr>
            <w:tcW w:w="468" w:type="pct"/>
            <w:tcBorders>
              <w:tl2br w:val="nil"/>
              <w:tr2bl w:val="nil"/>
            </w:tcBorders>
            <w:vAlign w:val="center"/>
          </w:tcPr>
          <w:p w14:paraId="1D62B705">
            <w:pPr>
              <w:jc w:val="center"/>
              <w:rPr>
                <w:b/>
                <w:bCs/>
                <w:color w:val="auto"/>
              </w:rPr>
            </w:pPr>
            <w:r>
              <w:rPr>
                <w:b/>
                <w:bCs/>
                <w:color w:val="auto"/>
              </w:rPr>
              <w:t>排放量</w:t>
            </w:r>
          </w:p>
        </w:tc>
        <w:tc>
          <w:tcPr>
            <w:tcW w:w="1081" w:type="pct"/>
            <w:tcBorders>
              <w:tl2br w:val="nil"/>
              <w:tr2bl w:val="nil"/>
            </w:tcBorders>
            <w:vAlign w:val="center"/>
          </w:tcPr>
          <w:p w14:paraId="0625CB57">
            <w:pPr>
              <w:jc w:val="center"/>
              <w:rPr>
                <w:b/>
                <w:bCs/>
                <w:color w:val="auto"/>
              </w:rPr>
            </w:pPr>
            <w:r>
              <w:rPr>
                <w:b/>
                <w:bCs/>
                <w:color w:val="auto"/>
              </w:rPr>
              <w:t>处置去向</w:t>
            </w:r>
          </w:p>
        </w:tc>
      </w:tr>
      <w:tr w14:paraId="385B3B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387" w:type="pct"/>
            <w:tcBorders>
              <w:tl2br w:val="nil"/>
              <w:tr2bl w:val="nil"/>
            </w:tcBorders>
            <w:vAlign w:val="center"/>
          </w:tcPr>
          <w:p w14:paraId="3205B573">
            <w:pPr>
              <w:jc w:val="center"/>
              <w:rPr>
                <w:color w:val="auto"/>
              </w:rPr>
            </w:pPr>
            <w:r>
              <w:rPr>
                <w:color w:val="auto"/>
              </w:rPr>
              <w:t>1</w:t>
            </w:r>
          </w:p>
        </w:tc>
        <w:tc>
          <w:tcPr>
            <w:tcW w:w="644" w:type="pct"/>
            <w:tcBorders>
              <w:tl2br w:val="nil"/>
              <w:tr2bl w:val="nil"/>
            </w:tcBorders>
            <w:vAlign w:val="center"/>
          </w:tcPr>
          <w:p w14:paraId="1D784982">
            <w:pPr>
              <w:jc w:val="center"/>
              <w:rPr>
                <w:color w:val="auto"/>
              </w:rPr>
            </w:pPr>
            <w:r>
              <w:rPr>
                <w:rFonts w:hint="eastAsia"/>
                <w:color w:val="auto"/>
                <w:lang w:val="en-US" w:eastAsia="zh-CN"/>
              </w:rPr>
              <w:t>废铁、废塑料杂质</w:t>
            </w:r>
          </w:p>
        </w:tc>
        <w:tc>
          <w:tcPr>
            <w:tcW w:w="732" w:type="pct"/>
            <w:tcBorders>
              <w:tl2br w:val="nil"/>
              <w:tr2bl w:val="nil"/>
            </w:tcBorders>
            <w:vAlign w:val="center"/>
          </w:tcPr>
          <w:p w14:paraId="1943AC8A">
            <w:pPr>
              <w:jc w:val="center"/>
              <w:rPr>
                <w:rFonts w:hint="default"/>
                <w:color w:val="auto"/>
                <w:lang w:val="en-US"/>
              </w:rPr>
            </w:pPr>
            <w:r>
              <w:rPr>
                <w:rFonts w:hint="eastAsia"/>
                <w:color w:val="auto"/>
                <w:lang w:val="en-US" w:eastAsia="zh-CN"/>
              </w:rPr>
              <w:t>废铁、废塑料等</w:t>
            </w:r>
          </w:p>
        </w:tc>
        <w:tc>
          <w:tcPr>
            <w:tcW w:w="708" w:type="pct"/>
            <w:tcBorders>
              <w:tl2br w:val="nil"/>
              <w:tr2bl w:val="nil"/>
            </w:tcBorders>
            <w:vAlign w:val="center"/>
          </w:tcPr>
          <w:p w14:paraId="19DB90FA">
            <w:pPr>
              <w:jc w:val="center"/>
              <w:rPr>
                <w:rFonts w:hint="default"/>
                <w:color w:val="auto"/>
                <w:lang w:val="en-US" w:eastAsia="zh-CN"/>
              </w:rPr>
            </w:pPr>
            <w:r>
              <w:rPr>
                <w:rFonts w:hint="eastAsia"/>
                <w:color w:val="auto"/>
                <w:lang w:val="en-US" w:eastAsia="zh-CN"/>
              </w:rPr>
              <w:t>一般固废</w:t>
            </w:r>
          </w:p>
        </w:tc>
        <w:tc>
          <w:tcPr>
            <w:tcW w:w="978" w:type="pct"/>
            <w:tcBorders>
              <w:tl2br w:val="nil"/>
              <w:tr2bl w:val="nil"/>
            </w:tcBorders>
            <w:vAlign w:val="center"/>
          </w:tcPr>
          <w:p w14:paraId="3501D374">
            <w:pPr>
              <w:jc w:val="center"/>
              <w:rPr>
                <w:rFonts w:hint="eastAsia" w:eastAsia="宋体"/>
                <w:color w:val="auto"/>
                <w:lang w:eastAsia="zh-CN"/>
              </w:rPr>
            </w:pPr>
            <w:r>
              <w:rPr>
                <w:rFonts w:hint="eastAsia"/>
                <w:color w:val="auto"/>
                <w:lang w:val="en-US" w:eastAsia="zh-CN"/>
              </w:rPr>
              <w:t>/</w:t>
            </w:r>
          </w:p>
        </w:tc>
        <w:tc>
          <w:tcPr>
            <w:tcW w:w="468" w:type="pct"/>
            <w:tcBorders>
              <w:tl2br w:val="nil"/>
              <w:tr2bl w:val="nil"/>
            </w:tcBorders>
            <w:vAlign w:val="center"/>
          </w:tcPr>
          <w:p w14:paraId="3B8EF62C">
            <w:pPr>
              <w:jc w:val="center"/>
              <w:rPr>
                <w:rFonts w:hint="default" w:eastAsia="宋体"/>
                <w:color w:val="auto"/>
                <w:lang w:val="en-US" w:eastAsia="zh-CN"/>
              </w:rPr>
            </w:pPr>
            <w:r>
              <w:rPr>
                <w:rFonts w:hint="eastAsia"/>
                <w:color w:val="auto"/>
                <w:lang w:val="en-US" w:eastAsia="zh-CN"/>
              </w:rPr>
              <w:t>233.22</w:t>
            </w:r>
          </w:p>
        </w:tc>
        <w:tc>
          <w:tcPr>
            <w:tcW w:w="1081" w:type="pct"/>
            <w:tcBorders>
              <w:tl2br w:val="nil"/>
              <w:tr2bl w:val="nil"/>
            </w:tcBorders>
            <w:vAlign w:val="center"/>
          </w:tcPr>
          <w:p w14:paraId="672CC8A3">
            <w:pPr>
              <w:jc w:val="center"/>
              <w:rPr>
                <w:rFonts w:hint="default" w:eastAsia="宋体"/>
                <w:color w:val="auto"/>
                <w:lang w:val="en-US" w:eastAsia="zh-CN"/>
              </w:rPr>
            </w:pPr>
            <w:r>
              <w:rPr>
                <w:rFonts w:hint="eastAsia"/>
                <w:color w:val="auto"/>
                <w:lang w:val="en-US" w:eastAsia="zh-CN"/>
              </w:rPr>
              <w:t>外售</w:t>
            </w:r>
          </w:p>
        </w:tc>
      </w:tr>
      <w:tr w14:paraId="5453FF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387" w:type="pct"/>
            <w:tcBorders>
              <w:tl2br w:val="nil"/>
              <w:tr2bl w:val="nil"/>
            </w:tcBorders>
            <w:vAlign w:val="center"/>
          </w:tcPr>
          <w:p w14:paraId="2EC32A92">
            <w:pPr>
              <w:jc w:val="center"/>
              <w:rPr>
                <w:color w:val="auto"/>
              </w:rPr>
            </w:pPr>
            <w:r>
              <w:rPr>
                <w:color w:val="auto"/>
              </w:rPr>
              <w:t>2</w:t>
            </w:r>
          </w:p>
        </w:tc>
        <w:tc>
          <w:tcPr>
            <w:tcW w:w="644" w:type="pct"/>
            <w:tcBorders>
              <w:tl2br w:val="nil"/>
              <w:tr2bl w:val="nil"/>
            </w:tcBorders>
            <w:vAlign w:val="center"/>
          </w:tcPr>
          <w:p w14:paraId="4F23B2C3">
            <w:pPr>
              <w:jc w:val="center"/>
              <w:rPr>
                <w:rFonts w:hint="default" w:eastAsia="宋体"/>
                <w:color w:val="auto"/>
                <w:lang w:val="en-US" w:eastAsia="zh-CN"/>
              </w:rPr>
            </w:pPr>
            <w:r>
              <w:rPr>
                <w:rFonts w:hint="eastAsia"/>
                <w:color w:val="auto"/>
                <w:lang w:val="en-US" w:eastAsia="zh-CN"/>
              </w:rPr>
              <w:t>废除尘灰</w:t>
            </w:r>
          </w:p>
        </w:tc>
        <w:tc>
          <w:tcPr>
            <w:tcW w:w="732" w:type="pct"/>
            <w:tcBorders>
              <w:tl2br w:val="nil"/>
              <w:tr2bl w:val="nil"/>
            </w:tcBorders>
            <w:vAlign w:val="center"/>
          </w:tcPr>
          <w:p w14:paraId="01F8B9B9">
            <w:pPr>
              <w:jc w:val="center"/>
              <w:rPr>
                <w:rFonts w:hint="eastAsia" w:eastAsia="宋体"/>
                <w:color w:val="auto"/>
                <w:lang w:val="en-US" w:eastAsia="zh-CN"/>
              </w:rPr>
            </w:pPr>
            <w:r>
              <w:rPr>
                <w:rFonts w:hint="eastAsia"/>
                <w:color w:val="auto"/>
                <w:lang w:val="en-US" w:eastAsia="zh-CN"/>
              </w:rPr>
              <w:t>铝灰</w:t>
            </w:r>
          </w:p>
        </w:tc>
        <w:tc>
          <w:tcPr>
            <w:tcW w:w="708" w:type="pct"/>
            <w:tcBorders>
              <w:tl2br w:val="nil"/>
              <w:tr2bl w:val="nil"/>
            </w:tcBorders>
            <w:vAlign w:val="center"/>
          </w:tcPr>
          <w:p w14:paraId="2495F386">
            <w:pPr>
              <w:jc w:val="center"/>
              <w:rPr>
                <w:rFonts w:hint="default" w:eastAsia="宋体"/>
                <w:color w:val="auto"/>
                <w:lang w:val="en-US" w:eastAsia="zh-CN"/>
              </w:rPr>
            </w:pPr>
            <w:r>
              <w:rPr>
                <w:rFonts w:hint="eastAsia"/>
                <w:color w:val="auto"/>
                <w:lang w:val="en-US" w:eastAsia="zh-CN"/>
              </w:rPr>
              <w:t>危险废物</w:t>
            </w:r>
          </w:p>
        </w:tc>
        <w:tc>
          <w:tcPr>
            <w:tcW w:w="978" w:type="pct"/>
            <w:tcBorders>
              <w:tl2br w:val="nil"/>
              <w:tr2bl w:val="nil"/>
            </w:tcBorders>
            <w:vAlign w:val="center"/>
          </w:tcPr>
          <w:p w14:paraId="57DAEE9A">
            <w:pPr>
              <w:jc w:val="center"/>
              <w:rPr>
                <w:rFonts w:hint="default" w:eastAsia="宋体"/>
                <w:color w:val="auto"/>
                <w:lang w:val="en-US" w:eastAsia="zh-CN"/>
              </w:rPr>
            </w:pPr>
            <w:r>
              <w:rPr>
                <w:color w:val="auto"/>
              </w:rPr>
              <w:t>HW4</w:t>
            </w:r>
            <w:r>
              <w:rPr>
                <w:rFonts w:hint="eastAsia"/>
                <w:color w:val="auto"/>
                <w:lang w:val="en-US" w:eastAsia="zh-CN"/>
              </w:rPr>
              <w:t>8</w:t>
            </w:r>
            <w:r>
              <w:rPr>
                <w:rFonts w:hint="eastAsia"/>
                <w:color w:val="auto"/>
                <w:lang w:eastAsia="zh-CN"/>
              </w:rPr>
              <w:t>，</w:t>
            </w:r>
            <w:r>
              <w:rPr>
                <w:rFonts w:hint="eastAsia"/>
                <w:color w:val="auto"/>
                <w:lang w:val="en-US" w:eastAsia="zh-CN"/>
              </w:rPr>
              <w:t>321-034-48</w:t>
            </w:r>
          </w:p>
        </w:tc>
        <w:tc>
          <w:tcPr>
            <w:tcW w:w="468" w:type="pct"/>
            <w:tcBorders>
              <w:tl2br w:val="nil"/>
              <w:tr2bl w:val="nil"/>
            </w:tcBorders>
            <w:vAlign w:val="center"/>
          </w:tcPr>
          <w:p w14:paraId="1575EBA5">
            <w:pPr>
              <w:jc w:val="center"/>
              <w:rPr>
                <w:rFonts w:hint="default" w:eastAsia="宋体"/>
                <w:color w:val="auto"/>
                <w:lang w:val="en-US" w:eastAsia="zh-CN"/>
              </w:rPr>
            </w:pPr>
            <w:r>
              <w:rPr>
                <w:rFonts w:hint="eastAsia"/>
                <w:color w:val="auto"/>
                <w:lang w:val="en-US" w:eastAsia="zh-CN"/>
              </w:rPr>
              <w:t>1518.82</w:t>
            </w:r>
          </w:p>
        </w:tc>
        <w:tc>
          <w:tcPr>
            <w:tcW w:w="1081" w:type="pct"/>
            <w:tcBorders>
              <w:tl2br w:val="nil"/>
              <w:tr2bl w:val="nil"/>
            </w:tcBorders>
            <w:vAlign w:val="center"/>
          </w:tcPr>
          <w:p w14:paraId="15331364">
            <w:pPr>
              <w:jc w:val="center"/>
              <w:rPr>
                <w:rFonts w:hint="default" w:eastAsia="宋体"/>
                <w:color w:val="auto"/>
                <w:lang w:val="en-US" w:eastAsia="zh-CN"/>
              </w:rPr>
            </w:pPr>
            <w:r>
              <w:rPr>
                <w:color w:val="auto"/>
              </w:rPr>
              <w:t>委托</w:t>
            </w:r>
            <w:r>
              <w:rPr>
                <w:rFonts w:hint="eastAsia"/>
                <w:color w:val="auto"/>
                <w:lang w:val="en-US" w:eastAsia="zh-CN"/>
              </w:rPr>
              <w:t>有资质单位处置</w:t>
            </w:r>
          </w:p>
        </w:tc>
      </w:tr>
      <w:tr w14:paraId="4A4AB2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387" w:type="pct"/>
            <w:tcBorders>
              <w:tl2br w:val="nil"/>
              <w:tr2bl w:val="nil"/>
            </w:tcBorders>
            <w:vAlign w:val="center"/>
          </w:tcPr>
          <w:p w14:paraId="2C5B80A0">
            <w:pPr>
              <w:jc w:val="center"/>
              <w:rPr>
                <w:color w:val="auto"/>
              </w:rPr>
            </w:pPr>
            <w:r>
              <w:rPr>
                <w:color w:val="auto"/>
              </w:rPr>
              <w:t>3</w:t>
            </w:r>
          </w:p>
        </w:tc>
        <w:tc>
          <w:tcPr>
            <w:tcW w:w="644" w:type="pct"/>
            <w:tcBorders>
              <w:tl2br w:val="nil"/>
              <w:tr2bl w:val="nil"/>
            </w:tcBorders>
            <w:vAlign w:val="center"/>
          </w:tcPr>
          <w:p w14:paraId="57ED1FCD">
            <w:pPr>
              <w:jc w:val="center"/>
              <w:rPr>
                <w:rFonts w:hint="eastAsia" w:eastAsia="宋体"/>
                <w:color w:val="auto"/>
                <w:lang w:eastAsia="zh-CN"/>
              </w:rPr>
            </w:pPr>
            <w:r>
              <w:rPr>
                <w:rFonts w:hint="eastAsia" w:eastAsia="宋体"/>
                <w:color w:val="auto"/>
                <w:lang w:val="en-US" w:eastAsia="zh-CN"/>
              </w:rPr>
              <w:t>铝灰渣</w:t>
            </w:r>
          </w:p>
        </w:tc>
        <w:tc>
          <w:tcPr>
            <w:tcW w:w="732" w:type="pct"/>
            <w:tcBorders>
              <w:tl2br w:val="nil"/>
              <w:tr2bl w:val="nil"/>
            </w:tcBorders>
            <w:vAlign w:val="center"/>
          </w:tcPr>
          <w:p w14:paraId="1CAD4D72">
            <w:pPr>
              <w:jc w:val="center"/>
              <w:rPr>
                <w:color w:val="auto"/>
              </w:rPr>
            </w:pPr>
            <w:r>
              <w:rPr>
                <w:rFonts w:hint="default" w:ascii="Times New Roman" w:hAnsi="Times New Roman" w:eastAsia="宋体" w:cs="Times New Roman"/>
                <w:color w:val="auto"/>
                <w:kern w:val="0"/>
                <w:sz w:val="21"/>
                <w:szCs w:val="21"/>
              </w:rPr>
              <w:t>铝灰</w:t>
            </w:r>
          </w:p>
        </w:tc>
        <w:tc>
          <w:tcPr>
            <w:tcW w:w="708" w:type="pct"/>
            <w:tcBorders>
              <w:tl2br w:val="nil"/>
              <w:tr2bl w:val="nil"/>
            </w:tcBorders>
            <w:vAlign w:val="center"/>
          </w:tcPr>
          <w:p w14:paraId="4F026D9F">
            <w:pPr>
              <w:jc w:val="center"/>
              <w:rPr>
                <w:rFonts w:hint="default" w:eastAsia="宋体"/>
                <w:color w:val="auto"/>
                <w:lang w:val="en-US" w:eastAsia="zh-CN"/>
              </w:rPr>
            </w:pPr>
            <w:r>
              <w:rPr>
                <w:rFonts w:hint="eastAsia"/>
                <w:color w:val="auto"/>
                <w:lang w:val="en-US" w:eastAsia="zh-CN"/>
              </w:rPr>
              <w:t>危险废物</w:t>
            </w:r>
          </w:p>
        </w:tc>
        <w:tc>
          <w:tcPr>
            <w:tcW w:w="978" w:type="pct"/>
            <w:tcBorders>
              <w:tl2br w:val="nil"/>
              <w:tr2bl w:val="nil"/>
            </w:tcBorders>
            <w:vAlign w:val="center"/>
          </w:tcPr>
          <w:p w14:paraId="462832A4">
            <w:pPr>
              <w:jc w:val="center"/>
              <w:rPr>
                <w:color w:val="auto"/>
              </w:rPr>
            </w:pPr>
            <w:r>
              <w:rPr>
                <w:color w:val="auto"/>
              </w:rPr>
              <w:t>HW4</w:t>
            </w:r>
            <w:r>
              <w:rPr>
                <w:rFonts w:hint="eastAsia"/>
                <w:color w:val="auto"/>
                <w:lang w:val="en-US" w:eastAsia="zh-CN"/>
              </w:rPr>
              <w:t>8</w:t>
            </w:r>
            <w:r>
              <w:rPr>
                <w:rFonts w:hint="eastAsia"/>
                <w:color w:val="auto"/>
                <w:lang w:eastAsia="zh-CN"/>
              </w:rPr>
              <w:t>，</w:t>
            </w:r>
            <w:r>
              <w:rPr>
                <w:rFonts w:hint="eastAsia"/>
                <w:color w:val="auto"/>
                <w:lang w:val="en-US" w:eastAsia="zh-CN"/>
              </w:rPr>
              <w:t>321-026-48</w:t>
            </w:r>
          </w:p>
        </w:tc>
        <w:tc>
          <w:tcPr>
            <w:tcW w:w="468" w:type="pct"/>
            <w:tcBorders>
              <w:tl2br w:val="nil"/>
              <w:tr2bl w:val="nil"/>
            </w:tcBorders>
            <w:vAlign w:val="center"/>
          </w:tcPr>
          <w:p w14:paraId="42578E9E">
            <w:pPr>
              <w:jc w:val="center"/>
              <w:rPr>
                <w:rFonts w:hint="default" w:eastAsia="宋体"/>
                <w:color w:val="auto"/>
                <w:lang w:val="en-US" w:eastAsia="zh-CN"/>
              </w:rPr>
            </w:pPr>
            <w:r>
              <w:rPr>
                <w:rFonts w:hint="eastAsia"/>
                <w:color w:val="auto"/>
                <w:lang w:val="en-US" w:eastAsia="zh-CN"/>
              </w:rPr>
              <w:t>1880.43</w:t>
            </w:r>
          </w:p>
        </w:tc>
        <w:tc>
          <w:tcPr>
            <w:tcW w:w="1081" w:type="pct"/>
            <w:tcBorders>
              <w:tl2br w:val="nil"/>
              <w:tr2bl w:val="nil"/>
            </w:tcBorders>
            <w:vAlign w:val="center"/>
          </w:tcPr>
          <w:p w14:paraId="52538D81">
            <w:pPr>
              <w:jc w:val="center"/>
              <w:rPr>
                <w:color w:val="auto"/>
              </w:rPr>
            </w:pPr>
            <w:r>
              <w:rPr>
                <w:color w:val="auto"/>
              </w:rPr>
              <w:t>委托</w:t>
            </w:r>
            <w:r>
              <w:rPr>
                <w:rFonts w:hint="eastAsia"/>
                <w:color w:val="auto"/>
                <w:lang w:val="en-US" w:eastAsia="zh-CN"/>
              </w:rPr>
              <w:t>有资质单位处置</w:t>
            </w:r>
          </w:p>
        </w:tc>
      </w:tr>
    </w:tbl>
    <w:p w14:paraId="1DD0ABA0">
      <w:pPr>
        <w:spacing w:line="360" w:lineRule="auto"/>
        <w:ind w:firstLine="480" w:firstLineChars="200"/>
        <w:rPr>
          <w:color w:val="auto"/>
          <w:sz w:val="24"/>
          <w:szCs w:val="32"/>
        </w:rPr>
      </w:pPr>
      <w:r>
        <w:rPr>
          <w:color w:val="auto"/>
          <w:sz w:val="24"/>
          <w:szCs w:val="32"/>
        </w:rPr>
        <w:t>根据上表可知，项目固体废弃物均得到有效处理处置。企业严格按照《危险废物贮存污染控制标准》（GB18597-2023）相关规定建设</w:t>
      </w:r>
      <w:r>
        <w:rPr>
          <w:rFonts w:hint="eastAsia"/>
          <w:color w:val="auto"/>
          <w:sz w:val="24"/>
          <w:szCs w:val="32"/>
        </w:rPr>
        <w:t>危废库</w:t>
      </w:r>
      <w:r>
        <w:rPr>
          <w:color w:val="auto"/>
          <w:sz w:val="24"/>
          <w:szCs w:val="32"/>
        </w:rPr>
        <w:t>，地面进行了防腐防渗，危险废物分类存放，并建立危险废物管理制度，明确责任人，对</w:t>
      </w:r>
      <w:r>
        <w:rPr>
          <w:rFonts w:hint="eastAsia"/>
          <w:color w:val="auto"/>
          <w:sz w:val="24"/>
          <w:szCs w:val="32"/>
        </w:rPr>
        <w:t>危废库</w:t>
      </w:r>
      <w:r>
        <w:rPr>
          <w:color w:val="auto"/>
          <w:sz w:val="24"/>
          <w:szCs w:val="32"/>
        </w:rPr>
        <w:t>加强环境管理，宣贯落实环境保护法、环境影响评价法等法律文件精神，提高员工环境保护意识，加强环境管理，杜绝倾倒危废或其他危废流失现象的发生。总体来说固废对环境影响较环评期预测影响变小。</w:t>
      </w:r>
    </w:p>
    <w:p w14:paraId="6954E506">
      <w:pPr>
        <w:spacing w:line="360" w:lineRule="auto"/>
        <w:outlineLvl w:val="1"/>
        <w:rPr>
          <w:b/>
          <w:bCs/>
          <w:color w:val="auto"/>
          <w:sz w:val="28"/>
          <w:szCs w:val="36"/>
        </w:rPr>
      </w:pPr>
      <w:bookmarkStart w:id="377" w:name="_Toc24168"/>
      <w:r>
        <w:rPr>
          <w:b/>
          <w:bCs/>
          <w:color w:val="auto"/>
          <w:sz w:val="28"/>
          <w:szCs w:val="36"/>
        </w:rPr>
        <w:t>6.4噪声预测影响差异分析</w:t>
      </w:r>
      <w:bookmarkEnd w:id="377"/>
    </w:p>
    <w:p w14:paraId="78E31774">
      <w:pPr>
        <w:spacing w:line="360" w:lineRule="auto"/>
        <w:ind w:firstLine="480" w:firstLineChars="200"/>
        <w:rPr>
          <w:color w:val="auto"/>
          <w:sz w:val="24"/>
          <w:szCs w:val="32"/>
        </w:rPr>
      </w:pPr>
      <w:r>
        <w:rPr>
          <w:color w:val="auto"/>
          <w:sz w:val="24"/>
          <w:szCs w:val="32"/>
        </w:rPr>
        <w:t>根据原环评预测结果，建设项目建成后，厂区的噪声设备在所有测点均能达标排放。与本底值叠加后，噪声值虽有小幅上升，但基本能维持现状。因此设备噪声对环境影响不大，且厂界附近无居民区，不会出现噪声扰民现象。</w:t>
      </w:r>
    </w:p>
    <w:p w14:paraId="3B07BC25">
      <w:pPr>
        <w:spacing w:line="360" w:lineRule="auto"/>
        <w:ind w:firstLine="480" w:firstLineChars="200"/>
        <w:rPr>
          <w:color w:val="auto"/>
          <w:sz w:val="24"/>
          <w:szCs w:val="32"/>
        </w:rPr>
        <w:sectPr>
          <w:pgSz w:w="11906" w:h="16838"/>
          <w:pgMar w:top="1440" w:right="1080" w:bottom="144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pPr>
      <w:r>
        <w:rPr>
          <w:color w:val="auto"/>
          <w:sz w:val="24"/>
          <w:szCs w:val="32"/>
        </w:rPr>
        <w:t>根据调查和实际监测结果，由于项目位于工业园区，且厂界附近无居民区，项目噪声的环境影响与原环评基本一致。</w:t>
      </w:r>
    </w:p>
    <w:p w14:paraId="32C9ACC9">
      <w:pPr>
        <w:spacing w:line="360" w:lineRule="auto"/>
        <w:jc w:val="center"/>
        <w:outlineLvl w:val="0"/>
        <w:rPr>
          <w:b/>
          <w:bCs/>
          <w:color w:val="auto"/>
          <w:sz w:val="32"/>
          <w:szCs w:val="40"/>
        </w:rPr>
      </w:pPr>
      <w:bookmarkStart w:id="378" w:name="_Toc18905"/>
      <w:r>
        <w:rPr>
          <w:b/>
          <w:bCs/>
          <w:color w:val="auto"/>
          <w:sz w:val="32"/>
          <w:szCs w:val="40"/>
        </w:rPr>
        <w:t>7 环境保护措施补救方案和改进措施</w:t>
      </w:r>
      <w:bookmarkEnd w:id="378"/>
    </w:p>
    <w:p w14:paraId="52D072E3">
      <w:pPr>
        <w:spacing w:line="360" w:lineRule="auto"/>
        <w:jc w:val="left"/>
        <w:outlineLvl w:val="1"/>
        <w:rPr>
          <w:rFonts w:hint="default" w:cs="Times New Roman"/>
          <w:b/>
          <w:bCs/>
          <w:color w:val="auto"/>
          <w:sz w:val="28"/>
          <w:szCs w:val="28"/>
          <w:lang w:val="en-US" w:eastAsia="zh-CN"/>
        </w:rPr>
      </w:pPr>
      <w:bookmarkStart w:id="379" w:name="_Toc31004"/>
      <w:bookmarkStart w:id="380" w:name="_Toc4609"/>
      <w:r>
        <w:rPr>
          <w:rFonts w:hint="eastAsia" w:cs="Times New Roman"/>
          <w:b/>
          <w:bCs/>
          <w:color w:val="auto"/>
          <w:sz w:val="28"/>
          <w:szCs w:val="28"/>
          <w:lang w:val="en-US" w:eastAsia="zh-CN"/>
        </w:rPr>
        <w:t>7.1 现存的主要环境问题及整改措施</w:t>
      </w:r>
      <w:bookmarkEnd w:id="379"/>
      <w:bookmarkEnd w:id="380"/>
    </w:p>
    <w:p w14:paraId="342DC773">
      <w:pPr>
        <w:spacing w:line="360" w:lineRule="auto"/>
        <w:ind w:firstLine="480" w:firstLineChars="200"/>
        <w:jc w:val="left"/>
        <w:rPr>
          <w:rFonts w:hint="eastAsia" w:cs="Times New Roman"/>
          <w:b w:val="0"/>
          <w:bCs w:val="0"/>
          <w:color w:val="auto"/>
          <w:sz w:val="24"/>
          <w:szCs w:val="24"/>
          <w:lang w:val="en-US" w:eastAsia="zh-CN"/>
        </w:rPr>
      </w:pPr>
      <w:r>
        <w:rPr>
          <w:rFonts w:hint="eastAsia" w:cs="Times New Roman"/>
          <w:b w:val="0"/>
          <w:bCs w:val="0"/>
          <w:color w:val="auto"/>
          <w:sz w:val="24"/>
          <w:szCs w:val="24"/>
          <w:lang w:val="en-US" w:eastAsia="zh-CN"/>
        </w:rPr>
        <w:t>根据现场调查，本项目厂区内存在的主要环境问题及整改建议如下表所述：</w:t>
      </w:r>
    </w:p>
    <w:p w14:paraId="51E732AC">
      <w:pPr>
        <w:spacing w:line="360" w:lineRule="auto"/>
        <w:jc w:val="center"/>
        <w:rPr>
          <w:rFonts w:hint="eastAsia" w:cs="Times New Roman"/>
          <w:b/>
          <w:bCs/>
          <w:color w:val="auto"/>
          <w:sz w:val="24"/>
          <w:szCs w:val="24"/>
          <w:lang w:val="en-US" w:eastAsia="zh-CN"/>
        </w:rPr>
      </w:pPr>
      <w:r>
        <w:rPr>
          <w:rFonts w:hint="eastAsia" w:cs="Times New Roman"/>
          <w:b/>
          <w:bCs/>
          <w:color w:val="auto"/>
          <w:sz w:val="24"/>
          <w:szCs w:val="24"/>
          <w:lang w:val="en-US" w:eastAsia="zh-CN"/>
        </w:rPr>
        <w:t>表7-1 项目目前存在的主要环境问题及整改措施一览表</w:t>
      </w:r>
    </w:p>
    <w:tbl>
      <w:tblPr>
        <w:tblStyle w:val="3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76"/>
        <w:gridCol w:w="3904"/>
        <w:gridCol w:w="5182"/>
      </w:tblGrid>
      <w:tr w14:paraId="14ED19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0FF106BE">
            <w:pPr>
              <w:pStyle w:val="6"/>
              <w:spacing w:line="320" w:lineRule="exact"/>
              <w:ind w:firstLine="0"/>
              <w:jc w:val="center"/>
              <w:rPr>
                <w:rFonts w:ascii="Times New Roman" w:hAnsi="Times New Roman" w:cs="Times New Roman"/>
                <w:b/>
                <w:bCs/>
                <w:color w:val="auto"/>
                <w:szCs w:val="21"/>
              </w:rPr>
            </w:pPr>
            <w:r>
              <w:rPr>
                <w:rFonts w:ascii="Times New Roman" w:hAnsi="Times New Roman" w:cs="Times New Roman"/>
                <w:b/>
                <w:bCs/>
                <w:color w:val="auto"/>
                <w:szCs w:val="21"/>
              </w:rPr>
              <w:t>序号</w:t>
            </w:r>
          </w:p>
        </w:tc>
        <w:tc>
          <w:tcPr>
            <w:tcW w:w="3904" w:type="dxa"/>
            <w:tcBorders>
              <w:tl2br w:val="nil"/>
              <w:tr2bl w:val="nil"/>
            </w:tcBorders>
            <w:vAlign w:val="center"/>
          </w:tcPr>
          <w:p w14:paraId="1A0ACF5F">
            <w:pPr>
              <w:pStyle w:val="6"/>
              <w:spacing w:line="320" w:lineRule="exact"/>
              <w:ind w:firstLine="480"/>
              <w:jc w:val="center"/>
              <w:rPr>
                <w:rFonts w:ascii="Times New Roman" w:hAnsi="Times New Roman" w:cs="Times New Roman"/>
                <w:b/>
                <w:bCs/>
                <w:color w:val="auto"/>
                <w:szCs w:val="21"/>
              </w:rPr>
            </w:pPr>
            <w:r>
              <w:rPr>
                <w:rFonts w:ascii="Times New Roman" w:hAnsi="Times New Roman" w:cs="Times New Roman"/>
                <w:b/>
                <w:bCs/>
                <w:color w:val="auto"/>
                <w:szCs w:val="21"/>
              </w:rPr>
              <w:t>现有工程存在问题</w:t>
            </w:r>
          </w:p>
        </w:tc>
        <w:tc>
          <w:tcPr>
            <w:tcW w:w="5182" w:type="dxa"/>
            <w:tcBorders>
              <w:tl2br w:val="nil"/>
              <w:tr2bl w:val="nil"/>
            </w:tcBorders>
            <w:vAlign w:val="center"/>
          </w:tcPr>
          <w:p w14:paraId="0E8C1156">
            <w:pPr>
              <w:pStyle w:val="6"/>
              <w:spacing w:line="320" w:lineRule="exact"/>
              <w:ind w:firstLine="0"/>
              <w:jc w:val="center"/>
              <w:rPr>
                <w:rFonts w:ascii="Times New Roman" w:hAnsi="Times New Roman" w:cs="Times New Roman"/>
                <w:b/>
                <w:bCs/>
                <w:color w:val="auto"/>
                <w:szCs w:val="21"/>
              </w:rPr>
            </w:pPr>
            <w:r>
              <w:rPr>
                <w:rFonts w:ascii="Times New Roman" w:hAnsi="Times New Roman" w:cs="Times New Roman"/>
                <w:b/>
                <w:bCs/>
                <w:color w:val="auto"/>
                <w:szCs w:val="21"/>
              </w:rPr>
              <w:t>整改措施</w:t>
            </w:r>
          </w:p>
        </w:tc>
      </w:tr>
      <w:tr w14:paraId="184FC6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5955C7A4">
            <w:pPr>
              <w:pStyle w:val="6"/>
              <w:spacing w:line="320" w:lineRule="exact"/>
              <w:ind w:firstLine="0"/>
              <w:jc w:val="center"/>
              <w:rPr>
                <w:rFonts w:ascii="Times New Roman" w:hAnsi="Times New Roman" w:cs="Times New Roman"/>
                <w:color w:val="auto"/>
                <w:szCs w:val="21"/>
              </w:rPr>
            </w:pPr>
            <w:r>
              <w:rPr>
                <w:rFonts w:ascii="Times New Roman" w:hAnsi="Times New Roman" w:cs="Times New Roman"/>
                <w:color w:val="auto"/>
                <w:szCs w:val="21"/>
              </w:rPr>
              <w:t>1</w:t>
            </w:r>
          </w:p>
        </w:tc>
        <w:tc>
          <w:tcPr>
            <w:tcW w:w="3904" w:type="dxa"/>
            <w:tcBorders>
              <w:tl2br w:val="nil"/>
              <w:tr2bl w:val="nil"/>
            </w:tcBorders>
            <w:vAlign w:val="center"/>
          </w:tcPr>
          <w:p w14:paraId="56242A76">
            <w:pPr>
              <w:spacing w:line="320" w:lineRule="exact"/>
              <w:ind w:left="105" w:hanging="105" w:hangingChars="50"/>
              <w:jc w:val="center"/>
              <w:rPr>
                <w:rFonts w:hint="eastAsia" w:eastAsiaTheme="minorEastAsia"/>
                <w:color w:val="auto"/>
                <w:szCs w:val="21"/>
                <w:lang w:eastAsia="zh-CN"/>
              </w:rPr>
            </w:pPr>
            <w:r>
              <w:rPr>
                <w:rFonts w:eastAsiaTheme="minorEastAsia"/>
                <w:color w:val="auto"/>
                <w:szCs w:val="21"/>
              </w:rPr>
              <w:t>企业生产车间地面硬化局部破</w:t>
            </w:r>
            <w:r>
              <w:rPr>
                <w:rFonts w:hint="eastAsia" w:eastAsiaTheme="minorEastAsia"/>
                <w:color w:val="auto"/>
                <w:szCs w:val="21"/>
                <w:lang w:val="en-US" w:eastAsia="zh-CN"/>
              </w:rPr>
              <w:t>损</w:t>
            </w:r>
          </w:p>
        </w:tc>
        <w:tc>
          <w:tcPr>
            <w:tcW w:w="5182" w:type="dxa"/>
            <w:tcBorders>
              <w:tl2br w:val="nil"/>
              <w:tr2bl w:val="nil"/>
            </w:tcBorders>
            <w:vAlign w:val="center"/>
          </w:tcPr>
          <w:p w14:paraId="0D9A346D">
            <w:pPr>
              <w:pStyle w:val="6"/>
              <w:spacing w:line="320" w:lineRule="exact"/>
              <w:ind w:firstLine="0"/>
              <w:jc w:val="center"/>
              <w:rPr>
                <w:rFonts w:ascii="Times New Roman" w:hAnsi="Times New Roman" w:cs="Times New Roman"/>
                <w:color w:val="auto"/>
                <w:szCs w:val="21"/>
              </w:rPr>
            </w:pPr>
            <w:r>
              <w:rPr>
                <w:rFonts w:ascii="Times New Roman" w:hAnsi="Times New Roman" w:cs="Times New Roman"/>
                <w:color w:val="auto"/>
                <w:szCs w:val="21"/>
              </w:rPr>
              <w:t>对生产车间局部破裂地面重新硬化，建议表层铺设环氧地坪漆。</w:t>
            </w:r>
          </w:p>
        </w:tc>
      </w:tr>
      <w:tr w14:paraId="1A15C7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16E4EF1F">
            <w:pPr>
              <w:pStyle w:val="6"/>
              <w:spacing w:line="320" w:lineRule="exact"/>
              <w:ind w:firstLine="0"/>
              <w:jc w:val="center"/>
              <w:rPr>
                <w:rFonts w:ascii="Times New Roman" w:hAnsi="Times New Roman" w:cs="Times New Roman"/>
                <w:color w:val="auto"/>
                <w:szCs w:val="21"/>
              </w:rPr>
            </w:pPr>
            <w:r>
              <w:rPr>
                <w:rFonts w:ascii="Times New Roman" w:hAnsi="Times New Roman" w:cs="Times New Roman"/>
                <w:color w:val="auto"/>
                <w:szCs w:val="21"/>
              </w:rPr>
              <w:t>2</w:t>
            </w:r>
          </w:p>
        </w:tc>
        <w:tc>
          <w:tcPr>
            <w:tcW w:w="3904" w:type="dxa"/>
            <w:tcBorders>
              <w:tl2br w:val="nil"/>
              <w:tr2bl w:val="nil"/>
            </w:tcBorders>
            <w:vAlign w:val="center"/>
          </w:tcPr>
          <w:p w14:paraId="03A4B94F">
            <w:pPr>
              <w:spacing w:line="320" w:lineRule="exact"/>
              <w:ind w:firstLine="0"/>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废气在线监测设备及日常管理需加强完善</w:t>
            </w:r>
          </w:p>
        </w:tc>
        <w:tc>
          <w:tcPr>
            <w:tcW w:w="5182" w:type="dxa"/>
            <w:tcBorders>
              <w:tl2br w:val="nil"/>
              <w:tr2bl w:val="nil"/>
            </w:tcBorders>
            <w:vAlign w:val="center"/>
          </w:tcPr>
          <w:p w14:paraId="54D0B7D6">
            <w:pPr>
              <w:pStyle w:val="6"/>
              <w:spacing w:line="320" w:lineRule="exact"/>
              <w:ind w:firstLine="0"/>
              <w:jc w:val="center"/>
              <w:rPr>
                <w:rFonts w:hint="default" w:ascii="Times New Roman" w:hAnsi="Times New Roman" w:cs="Times New Roman" w:eastAsiaTheme="minorEastAsia"/>
                <w:color w:val="auto"/>
                <w:szCs w:val="21"/>
                <w:lang w:val="en-US" w:eastAsia="zh-CN"/>
              </w:rPr>
            </w:pPr>
            <w:r>
              <w:rPr>
                <w:rFonts w:hint="eastAsia" w:cs="Times New Roman"/>
                <w:b w:val="0"/>
                <w:bCs w:val="0"/>
                <w:color w:val="auto"/>
                <w:sz w:val="21"/>
                <w:szCs w:val="21"/>
                <w:vertAlign w:val="baseline"/>
                <w:lang w:val="en-US" w:eastAsia="zh-CN"/>
              </w:rPr>
              <w:t>建立健全有组织废气在线监测设备的日常监控、管理</w:t>
            </w:r>
          </w:p>
        </w:tc>
      </w:tr>
      <w:tr w14:paraId="1C6F37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7E2BB789">
            <w:pPr>
              <w:pStyle w:val="6"/>
              <w:spacing w:line="320" w:lineRule="exact"/>
              <w:ind w:firstLine="0"/>
              <w:jc w:val="center"/>
              <w:rPr>
                <w:rFonts w:hint="eastAsia" w:ascii="Times New Roman" w:hAnsi="Times New Roman" w:cs="Times New Roman" w:eastAsiaTheme="minorEastAsia"/>
                <w:color w:val="0000FF"/>
                <w:szCs w:val="21"/>
                <w:lang w:val="en-US" w:eastAsia="zh-CN"/>
              </w:rPr>
            </w:pPr>
            <w:bookmarkStart w:id="381" w:name="_Toc9597"/>
            <w:r>
              <w:rPr>
                <w:rFonts w:hint="eastAsia" w:ascii="Times New Roman" w:hAnsi="Times New Roman" w:cs="Times New Roman"/>
                <w:color w:val="0000FF"/>
                <w:szCs w:val="21"/>
                <w:lang w:val="en-US" w:eastAsia="zh-CN"/>
              </w:rPr>
              <w:t>3</w:t>
            </w:r>
          </w:p>
        </w:tc>
        <w:tc>
          <w:tcPr>
            <w:tcW w:w="3904" w:type="dxa"/>
            <w:tcBorders>
              <w:tl2br w:val="nil"/>
              <w:tr2bl w:val="nil"/>
            </w:tcBorders>
            <w:vAlign w:val="center"/>
          </w:tcPr>
          <w:p w14:paraId="61C93C85">
            <w:pPr>
              <w:spacing w:line="320" w:lineRule="exact"/>
              <w:ind w:firstLine="0"/>
              <w:jc w:val="center"/>
              <w:rPr>
                <w:rFonts w:hint="default" w:ascii="Times New Roman" w:hAnsi="Times New Roman" w:eastAsia="宋体" w:cs="Times New Roman"/>
                <w:color w:val="0000FF"/>
                <w:szCs w:val="21"/>
                <w:lang w:val="en-US" w:eastAsia="zh-CN"/>
              </w:rPr>
            </w:pPr>
            <w:r>
              <w:rPr>
                <w:rFonts w:hint="default" w:ascii="Times New Roman" w:hAnsi="Times New Roman" w:eastAsia="宋体" w:cs="Times New Roman"/>
                <w:color w:val="0000FF"/>
                <w:szCs w:val="21"/>
                <w:lang w:val="en-US" w:eastAsia="zh-CN"/>
              </w:rPr>
              <w:t>厂区未建立土壤及地下水环境例行监测制度，未按要求开展土壤及地下水环境质量监测，未设置地下水监测井，无法及时掌握土壤及地下水环境质量状况</w:t>
            </w:r>
          </w:p>
        </w:tc>
        <w:tc>
          <w:tcPr>
            <w:tcW w:w="5182" w:type="dxa"/>
            <w:tcBorders>
              <w:tl2br w:val="nil"/>
              <w:tr2bl w:val="nil"/>
            </w:tcBorders>
            <w:vAlign w:val="center"/>
          </w:tcPr>
          <w:p w14:paraId="4908E507">
            <w:pPr>
              <w:pStyle w:val="6"/>
              <w:spacing w:line="320" w:lineRule="exact"/>
              <w:ind w:firstLine="0"/>
              <w:jc w:val="center"/>
              <w:rPr>
                <w:rFonts w:hint="default" w:cs="Times New Roman"/>
                <w:b w:val="0"/>
                <w:bCs w:val="0"/>
                <w:color w:val="0000FF"/>
                <w:sz w:val="21"/>
                <w:szCs w:val="21"/>
                <w:vertAlign w:val="baseline"/>
                <w:lang w:val="en-US" w:eastAsia="zh-CN"/>
              </w:rPr>
            </w:pPr>
            <w:r>
              <w:rPr>
                <w:rFonts w:hint="default" w:ascii="Times New Roman" w:hAnsi="Times New Roman" w:cs="Times New Roman"/>
                <w:b w:val="0"/>
                <w:bCs w:val="0"/>
                <w:color w:val="0000FF"/>
                <w:sz w:val="21"/>
                <w:szCs w:val="21"/>
                <w:vertAlign w:val="baseline"/>
                <w:lang w:val="en-US" w:eastAsia="zh-CN"/>
              </w:rPr>
              <w:t>结合厂区水文地质条件，设置地下水监测井</w:t>
            </w:r>
            <w:r>
              <w:rPr>
                <w:rFonts w:hint="eastAsia" w:ascii="Times New Roman" w:hAnsi="Times New Roman" w:cs="Times New Roman"/>
                <w:b w:val="0"/>
                <w:bCs w:val="0"/>
                <w:color w:val="0000FF"/>
                <w:sz w:val="21"/>
                <w:szCs w:val="21"/>
                <w:vertAlign w:val="baseline"/>
                <w:lang w:val="en-US" w:eastAsia="zh-CN"/>
              </w:rPr>
              <w:t>，并</w:t>
            </w:r>
            <w:r>
              <w:rPr>
                <w:rFonts w:hint="default" w:ascii="Times New Roman" w:hAnsi="Times New Roman" w:cs="Times New Roman"/>
                <w:b w:val="0"/>
                <w:bCs w:val="0"/>
                <w:color w:val="0000FF"/>
                <w:sz w:val="21"/>
                <w:szCs w:val="21"/>
                <w:vertAlign w:val="baseline"/>
                <w:lang w:val="en-US" w:eastAsia="zh-CN"/>
              </w:rPr>
              <w:t>按照《排污单位自行监测技术指南有色金属工业一再生金属》（HJ1208-2021）</w:t>
            </w:r>
            <w:r>
              <w:rPr>
                <w:rFonts w:hint="eastAsia" w:ascii="Times New Roman" w:hAnsi="Times New Roman" w:cs="Times New Roman"/>
                <w:b w:val="0"/>
                <w:bCs w:val="0"/>
                <w:color w:val="0000FF"/>
                <w:sz w:val="21"/>
                <w:szCs w:val="21"/>
                <w:vertAlign w:val="baseline"/>
                <w:lang w:val="en-US" w:eastAsia="zh-CN"/>
              </w:rPr>
              <w:t>相关要求定期开展</w:t>
            </w:r>
            <w:r>
              <w:rPr>
                <w:rFonts w:hint="default" w:ascii="Times New Roman" w:hAnsi="Times New Roman" w:eastAsia="宋体" w:cs="Times New Roman"/>
                <w:color w:val="0000FF"/>
                <w:szCs w:val="21"/>
                <w:lang w:val="en-US" w:eastAsia="zh-CN"/>
              </w:rPr>
              <w:t>土壤及地下水环境例行监测</w:t>
            </w:r>
          </w:p>
        </w:tc>
      </w:tr>
      <w:tr w14:paraId="79019A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6" w:type="dxa"/>
            <w:tcBorders>
              <w:tl2br w:val="nil"/>
              <w:tr2bl w:val="nil"/>
            </w:tcBorders>
            <w:vAlign w:val="center"/>
          </w:tcPr>
          <w:p w14:paraId="07419154">
            <w:pPr>
              <w:pStyle w:val="6"/>
              <w:spacing w:line="320" w:lineRule="exact"/>
              <w:ind w:firstLine="0"/>
              <w:jc w:val="center"/>
              <w:rPr>
                <w:rFonts w:hint="default" w:ascii="Times New Roman" w:hAnsi="Times New Roman" w:cs="Times New Roman"/>
                <w:color w:val="0000FF"/>
                <w:szCs w:val="21"/>
                <w:lang w:val="en-US" w:eastAsia="zh-CN"/>
              </w:rPr>
            </w:pPr>
            <w:r>
              <w:rPr>
                <w:rFonts w:hint="eastAsia" w:ascii="Times New Roman" w:hAnsi="Times New Roman" w:cs="Times New Roman"/>
                <w:color w:val="0000FF"/>
                <w:szCs w:val="21"/>
                <w:lang w:val="en-US" w:eastAsia="zh-CN"/>
              </w:rPr>
              <w:t>4</w:t>
            </w:r>
          </w:p>
        </w:tc>
        <w:tc>
          <w:tcPr>
            <w:tcW w:w="3904" w:type="dxa"/>
            <w:tcBorders>
              <w:tl2br w:val="nil"/>
              <w:tr2bl w:val="nil"/>
            </w:tcBorders>
            <w:vAlign w:val="center"/>
          </w:tcPr>
          <w:p w14:paraId="7B97F695">
            <w:pPr>
              <w:spacing w:line="320" w:lineRule="exact"/>
              <w:ind w:firstLine="0"/>
              <w:jc w:val="center"/>
              <w:rPr>
                <w:rFonts w:hint="default" w:ascii="Times New Roman" w:hAnsi="Times New Roman" w:eastAsia="宋体" w:cs="Times New Roman"/>
                <w:color w:val="0000FF"/>
                <w:szCs w:val="21"/>
                <w:lang w:val="en-US" w:eastAsia="zh-CN"/>
              </w:rPr>
            </w:pPr>
            <w:r>
              <w:rPr>
                <w:rFonts w:hint="default" w:ascii="Times New Roman" w:hAnsi="Times New Roman" w:eastAsia="宋体" w:cs="Times New Roman"/>
                <w:color w:val="0000FF"/>
                <w:szCs w:val="21"/>
                <w:lang w:val="en-US" w:eastAsia="zh-CN"/>
              </w:rPr>
              <w:t>厂区未按《企业事业单位突发环境事件应急预案备案管理办法》《突发环境事件应急管理办法》等相关规定编制企业突发环境事件应急预案</w:t>
            </w:r>
          </w:p>
        </w:tc>
        <w:tc>
          <w:tcPr>
            <w:tcW w:w="5182" w:type="dxa"/>
            <w:tcBorders>
              <w:tl2br w:val="nil"/>
              <w:tr2bl w:val="nil"/>
            </w:tcBorders>
            <w:vAlign w:val="center"/>
          </w:tcPr>
          <w:p w14:paraId="1C338F0D">
            <w:pPr>
              <w:pStyle w:val="6"/>
              <w:spacing w:line="320" w:lineRule="exact"/>
              <w:ind w:firstLine="0"/>
              <w:jc w:val="center"/>
              <w:rPr>
                <w:rFonts w:hint="default" w:ascii="Times New Roman" w:hAnsi="Times New Roman" w:cs="Times New Roman"/>
                <w:b w:val="0"/>
                <w:bCs w:val="0"/>
                <w:color w:val="0000FF"/>
                <w:sz w:val="21"/>
                <w:szCs w:val="21"/>
                <w:vertAlign w:val="baseline"/>
                <w:lang w:val="en-US" w:eastAsia="zh-CN"/>
              </w:rPr>
            </w:pPr>
            <w:r>
              <w:rPr>
                <w:rFonts w:hint="default" w:ascii="Times New Roman" w:hAnsi="Times New Roman" w:cs="Times New Roman"/>
                <w:b w:val="0"/>
                <w:bCs w:val="0"/>
                <w:color w:val="0000FF"/>
                <w:sz w:val="21"/>
                <w:szCs w:val="21"/>
                <w:vertAlign w:val="baseline"/>
                <w:lang w:val="en-US" w:eastAsia="zh-CN"/>
              </w:rPr>
              <w:t>限期开展突发环境事件风险评估，编制符合厂区实际的突发环境事件应急预案并完成备案；定期组织应急培训与演练，配备必要应急物资与器材，完善环境应急防控体系</w:t>
            </w:r>
          </w:p>
        </w:tc>
      </w:tr>
    </w:tbl>
    <w:p w14:paraId="168D5C4C">
      <w:pPr>
        <w:spacing w:line="360" w:lineRule="auto"/>
        <w:jc w:val="left"/>
        <w:outlineLvl w:val="1"/>
        <w:rPr>
          <w:b/>
          <w:bCs/>
          <w:color w:val="auto"/>
          <w:sz w:val="28"/>
          <w:szCs w:val="28"/>
        </w:rPr>
      </w:pPr>
      <w:r>
        <w:rPr>
          <w:b/>
          <w:bCs/>
          <w:color w:val="auto"/>
          <w:sz w:val="28"/>
          <w:szCs w:val="28"/>
        </w:rPr>
        <w:t>7.</w:t>
      </w:r>
      <w:r>
        <w:rPr>
          <w:rFonts w:hint="eastAsia"/>
          <w:b/>
          <w:bCs/>
          <w:color w:val="auto"/>
          <w:sz w:val="28"/>
          <w:szCs w:val="28"/>
          <w:lang w:val="en-US" w:eastAsia="zh-CN"/>
        </w:rPr>
        <w:t>2</w:t>
      </w:r>
      <w:r>
        <w:rPr>
          <w:b/>
          <w:bCs/>
          <w:color w:val="auto"/>
          <w:sz w:val="28"/>
          <w:szCs w:val="28"/>
        </w:rPr>
        <w:t xml:space="preserve"> 其他补救及改进措施</w:t>
      </w:r>
      <w:bookmarkEnd w:id="381"/>
    </w:p>
    <w:p w14:paraId="481A7CA4">
      <w:pPr>
        <w:spacing w:line="360" w:lineRule="auto"/>
        <w:jc w:val="left"/>
        <w:outlineLvl w:val="2"/>
        <w:rPr>
          <w:b/>
          <w:bCs/>
          <w:color w:val="auto"/>
          <w:sz w:val="24"/>
        </w:rPr>
      </w:pPr>
      <w:r>
        <w:rPr>
          <w:b/>
          <w:bCs/>
          <w:color w:val="auto"/>
          <w:sz w:val="24"/>
        </w:rPr>
        <w:t>7.</w:t>
      </w:r>
      <w:r>
        <w:rPr>
          <w:rFonts w:hint="eastAsia"/>
          <w:b/>
          <w:bCs/>
          <w:color w:val="auto"/>
          <w:sz w:val="24"/>
          <w:lang w:val="en-US" w:eastAsia="zh-CN"/>
        </w:rPr>
        <w:t>1</w:t>
      </w:r>
      <w:r>
        <w:rPr>
          <w:b/>
          <w:bCs/>
          <w:color w:val="auto"/>
          <w:sz w:val="24"/>
        </w:rPr>
        <w:t>.1 危废库运行环境管理措施改进</w:t>
      </w:r>
    </w:p>
    <w:p w14:paraId="3B2C7FC9">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rPr>
      </w:pPr>
      <w:r>
        <w:rPr>
          <w:color w:val="auto"/>
          <w:sz w:val="24"/>
        </w:rPr>
        <w:t>（1）严格遵守</w:t>
      </w:r>
      <w:r>
        <w:rPr>
          <w:rFonts w:hint="eastAsia"/>
          <w:color w:val="auto"/>
          <w:sz w:val="24"/>
          <w:lang w:val="en-US" w:eastAsia="zh-CN"/>
        </w:rPr>
        <w:t>废除尘灰</w:t>
      </w:r>
      <w:r>
        <w:rPr>
          <w:color w:val="auto"/>
          <w:sz w:val="24"/>
        </w:rPr>
        <w:t>等危险废物的暂存要求。</w:t>
      </w:r>
    </w:p>
    <w:p w14:paraId="352F248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rPr>
      </w:pPr>
      <w:r>
        <w:rPr>
          <w:color w:val="auto"/>
          <w:sz w:val="24"/>
        </w:rPr>
        <w:t>（2）危险废物存入贮存设施前应对危险废物类别和特性与危险废物标签等危险废物识别标志的一致性进行核验，不一致的或类别、特性不明的不应存入。应定期检查危险废物的贮存状况，及时清理贮存设施地面，更换破损泄漏的危险废物贮存容器和包装物。</w:t>
      </w:r>
    </w:p>
    <w:p w14:paraId="0F21E9F7">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rFonts w:hint="eastAsia"/>
          <w:color w:val="auto"/>
          <w:sz w:val="24"/>
          <w:lang w:eastAsia="zh-CN"/>
        </w:rPr>
      </w:pPr>
      <w:r>
        <w:rPr>
          <w:color w:val="auto"/>
          <w:sz w:val="24"/>
        </w:rPr>
        <w:t>（3）</w:t>
      </w:r>
      <w:r>
        <w:rPr>
          <w:rFonts w:hint="eastAsia"/>
          <w:color w:val="auto"/>
          <w:sz w:val="24"/>
        </w:rPr>
        <w:t>危废库</w:t>
      </w:r>
      <w:r>
        <w:rPr>
          <w:color w:val="auto"/>
          <w:sz w:val="24"/>
        </w:rPr>
        <w:t>运行期间应按国家有关标准和规定建立危险废物管理台账并保存，并建立贮存设施环境管理制度、管理人员岗位职责制度、设施运行操作制度、人员岗位培训制度等，结合贮存设施特点建立土壤和地下水污染隐患排査制度，并定期开展隐患排查；发现隐患应及时采取措施消除隐患，并建立档案</w:t>
      </w:r>
      <w:r>
        <w:rPr>
          <w:rFonts w:hint="eastAsia"/>
          <w:color w:val="auto"/>
          <w:sz w:val="24"/>
          <w:lang w:eastAsia="zh-CN"/>
        </w:rPr>
        <w:t>。</w:t>
      </w:r>
    </w:p>
    <w:p w14:paraId="6CF37920">
      <w:pPr>
        <w:keepNext w:val="0"/>
        <w:keepLines w:val="0"/>
        <w:pageBreakBefore w:val="0"/>
        <w:widowControl w:val="0"/>
        <w:kinsoku/>
        <w:wordWrap/>
        <w:overflowPunct/>
        <w:topLinePunct w:val="0"/>
        <w:autoSpaceDE/>
        <w:autoSpaceDN/>
        <w:bidi w:val="0"/>
        <w:adjustRightInd/>
        <w:snapToGrid/>
        <w:spacing w:line="360" w:lineRule="auto"/>
        <w:jc w:val="both"/>
        <w:textAlignment w:val="auto"/>
        <w:outlineLvl w:val="9"/>
        <w:rPr>
          <w:rFonts w:hint="default" w:eastAsia="宋体"/>
          <w:b/>
          <w:bCs/>
          <w:color w:val="auto"/>
          <w:sz w:val="24"/>
          <w:lang w:val="en-US" w:eastAsia="zh-CN"/>
        </w:rPr>
      </w:pPr>
      <w:r>
        <w:rPr>
          <w:rFonts w:hint="eastAsia"/>
          <w:b/>
          <w:bCs/>
          <w:color w:val="auto"/>
          <w:sz w:val="24"/>
          <w:lang w:val="en-US" w:eastAsia="zh-CN"/>
        </w:rPr>
        <w:t>7.1.2 在线监测设施</w:t>
      </w:r>
      <w:r>
        <w:rPr>
          <w:b/>
          <w:bCs/>
          <w:color w:val="auto"/>
          <w:sz w:val="24"/>
        </w:rPr>
        <w:t>运行环境管理措施</w:t>
      </w:r>
    </w:p>
    <w:p w14:paraId="31660B48">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rFonts w:hint="default" w:ascii="Times New Roman" w:hAnsi="Times New Roman" w:eastAsia="宋体" w:cs="Times New Roman"/>
          <w:color w:val="auto"/>
          <w:sz w:val="24"/>
          <w:lang w:eastAsia="zh-CN"/>
        </w:rPr>
      </w:pPr>
      <w:r>
        <w:rPr>
          <w:rFonts w:hint="eastAsia"/>
          <w:color w:val="auto"/>
          <w:sz w:val="24"/>
          <w:lang w:eastAsia="zh-CN"/>
        </w:rPr>
        <w:t>（</w:t>
      </w:r>
      <w:r>
        <w:rPr>
          <w:rFonts w:hint="eastAsia"/>
          <w:color w:val="auto"/>
          <w:sz w:val="24"/>
          <w:lang w:val="en-US" w:eastAsia="zh-CN"/>
        </w:rPr>
        <w:t>1</w:t>
      </w:r>
      <w:r>
        <w:rPr>
          <w:rFonts w:hint="eastAsia"/>
          <w:color w:val="auto"/>
          <w:sz w:val="24"/>
          <w:lang w:eastAsia="zh-CN"/>
        </w:rPr>
        <w:t>）</w:t>
      </w:r>
      <w:r>
        <w:rPr>
          <w:rFonts w:hint="default" w:ascii="Times New Roman" w:hAnsi="Times New Roman" w:eastAsia="宋体" w:cs="Times New Roman"/>
          <w:color w:val="auto"/>
          <w:sz w:val="24"/>
          <w:szCs w:val="24"/>
        </w:rPr>
        <w:t>日常运行与维护管理</w:t>
      </w:r>
    </w:p>
    <w:p w14:paraId="7B372E4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outlineLvl w:val="9"/>
        <w:rPr>
          <w:color w:val="auto"/>
          <w:sz w:val="24"/>
        </w:rPr>
      </w:pPr>
      <w:r>
        <w:rPr>
          <w:rFonts w:hint="eastAsia"/>
          <w:color w:val="auto"/>
          <w:sz w:val="24"/>
          <w:lang w:eastAsia="zh-CN"/>
        </w:rPr>
        <w:t>严格遵循《固定污染源烟气（SO</w:t>
      </w:r>
      <w:r>
        <w:rPr>
          <w:rFonts w:hint="eastAsia"/>
          <w:color w:val="auto"/>
          <w:sz w:val="24"/>
          <w:vertAlign w:val="subscript"/>
          <w:lang w:val="en-US" w:eastAsia="zh-CN"/>
        </w:rPr>
        <w:t>2</w:t>
      </w:r>
      <w:r>
        <w:rPr>
          <w:rFonts w:hint="eastAsia"/>
          <w:color w:val="auto"/>
          <w:sz w:val="24"/>
          <w:lang w:eastAsia="zh-CN"/>
        </w:rPr>
        <w:t>、NOx、颗粒物）排放连续监测技术规范》（HJ75</w:t>
      </w:r>
      <w:r>
        <w:rPr>
          <w:rFonts w:hint="eastAsia"/>
          <w:color w:val="auto"/>
          <w:sz w:val="24"/>
          <w:lang w:val="en-US" w:eastAsia="zh-CN"/>
        </w:rPr>
        <w:t>-2017</w:t>
      </w:r>
      <w:r>
        <w:rPr>
          <w:rFonts w:hint="eastAsia"/>
          <w:color w:val="auto"/>
          <w:sz w:val="24"/>
          <w:lang w:eastAsia="zh-CN"/>
        </w:rPr>
        <w:t>）及设备说明书要求，制定标准化操作规程；每周现场巡检设备运行状态（如采样探头堵塞、管路泄漏、冷凝器效能等），并记录异常情况。</w:t>
      </w:r>
    </w:p>
    <w:p w14:paraId="197EA753">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rFonts w:hint="eastAsia" w:eastAsia="宋体"/>
          <w:color w:val="auto"/>
          <w:sz w:val="24"/>
          <w:lang w:eastAsia="zh-CN"/>
        </w:rPr>
      </w:pPr>
      <w:r>
        <w:rPr>
          <w:rFonts w:hint="eastAsia"/>
          <w:color w:val="auto"/>
          <w:sz w:val="24"/>
          <w:lang w:eastAsia="zh-CN"/>
        </w:rPr>
        <w:t>（</w:t>
      </w:r>
      <w:r>
        <w:rPr>
          <w:rFonts w:hint="eastAsia"/>
          <w:color w:val="auto"/>
          <w:sz w:val="24"/>
          <w:lang w:val="en-US" w:eastAsia="zh-CN"/>
        </w:rPr>
        <w:t>2</w:t>
      </w:r>
      <w:r>
        <w:rPr>
          <w:rFonts w:hint="eastAsia"/>
          <w:color w:val="auto"/>
          <w:sz w:val="24"/>
          <w:lang w:eastAsia="zh-CN"/>
        </w:rPr>
        <w:t>）质量保证与质量控制</w:t>
      </w:r>
    </w:p>
    <w:p w14:paraId="2D517D71">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rPr>
      </w:pPr>
      <w:r>
        <w:rPr>
          <w:color w:val="auto"/>
          <w:sz w:val="24"/>
        </w:rPr>
        <w:t>设备故障超24小时无法修复时，启动手工监测替代方案（如每日至少4次手工采样），并报送监测结果</w:t>
      </w:r>
      <w:r>
        <w:rPr>
          <w:rFonts w:hint="eastAsia"/>
          <w:color w:val="auto"/>
          <w:sz w:val="24"/>
          <w:lang w:eastAsia="zh-CN"/>
        </w:rPr>
        <w:t>；</w:t>
      </w:r>
      <w:r>
        <w:rPr>
          <w:rFonts w:hint="default" w:ascii="Times New Roman" w:hAnsi="Times New Roman" w:eastAsia="宋体" w:cs="Times New Roman"/>
          <w:color w:val="auto"/>
          <w:sz w:val="24"/>
          <w:szCs w:val="24"/>
        </w:rPr>
        <w:t>对因故障导致的超标数据，需在24小时内向监管部门报告，并提交故障分析报告及整改计划</w:t>
      </w:r>
      <w:r>
        <w:rPr>
          <w:rFonts w:hint="default" w:ascii="Times New Roman" w:hAnsi="Times New Roman" w:cs="Times New Roman"/>
          <w:color w:val="auto"/>
          <w:sz w:val="24"/>
        </w:rPr>
        <w:t>。</w:t>
      </w:r>
    </w:p>
    <w:p w14:paraId="1203061F">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rFonts w:hint="eastAsia" w:eastAsia="宋体"/>
          <w:color w:val="auto"/>
          <w:sz w:val="24"/>
          <w:lang w:eastAsia="zh-CN"/>
        </w:rPr>
      </w:pPr>
      <w:r>
        <w:rPr>
          <w:rFonts w:hint="eastAsia"/>
          <w:color w:val="auto"/>
          <w:sz w:val="24"/>
          <w:lang w:eastAsia="zh-CN"/>
        </w:rPr>
        <w:t>（</w:t>
      </w:r>
      <w:r>
        <w:rPr>
          <w:rFonts w:hint="eastAsia"/>
          <w:color w:val="auto"/>
          <w:sz w:val="24"/>
          <w:lang w:val="en-US" w:eastAsia="zh-CN"/>
        </w:rPr>
        <w:t>3</w:t>
      </w:r>
      <w:r>
        <w:rPr>
          <w:rFonts w:hint="eastAsia"/>
          <w:color w:val="auto"/>
          <w:sz w:val="24"/>
          <w:lang w:eastAsia="zh-CN"/>
        </w:rPr>
        <w:t>）合规与风险防范</w:t>
      </w:r>
    </w:p>
    <w:p w14:paraId="08281168">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rFonts w:hint="default" w:ascii="Times New Roman" w:hAnsi="Times New Roman" w:cs="Times New Roman"/>
          <w:color w:val="auto"/>
          <w:sz w:val="24"/>
        </w:rPr>
      </w:pPr>
      <w:r>
        <w:rPr>
          <w:rFonts w:hint="default" w:ascii="Times New Roman" w:hAnsi="Times New Roman" w:cs="Times New Roman"/>
          <w:color w:val="auto"/>
          <w:sz w:val="24"/>
        </w:rPr>
        <w:t>确保CEMS实时联网，数据传输率≥90%（按地方要求），严禁篡改、屏蔽或伪造数据</w:t>
      </w:r>
      <w:r>
        <w:rPr>
          <w:rFonts w:hint="default" w:ascii="Times New Roman" w:hAnsi="Times New Roman" w:cs="Times New Roman"/>
          <w:color w:val="auto"/>
          <w:sz w:val="24"/>
          <w:lang w:eastAsia="zh-CN"/>
        </w:rPr>
        <w:t>；定期检查数据采集传输仪（DTU）的防病毒设置，防止网络攻击导致数据异常；</w:t>
      </w:r>
      <w:r>
        <w:rPr>
          <w:rFonts w:hint="default" w:ascii="Times New Roman" w:hAnsi="Times New Roman" w:eastAsia="宋体" w:cs="Times New Roman"/>
          <w:color w:val="auto"/>
          <w:sz w:val="24"/>
          <w:szCs w:val="24"/>
        </w:rPr>
        <w:t>建立“日巡查、周维护、月总结”的管理制度，明确责任人及考核指标</w:t>
      </w:r>
      <w:r>
        <w:rPr>
          <w:rFonts w:hint="default" w:ascii="Times New Roman" w:hAnsi="Times New Roman" w:cs="Times New Roman"/>
          <w:color w:val="auto"/>
          <w:sz w:val="24"/>
        </w:rPr>
        <w:t>。</w:t>
      </w:r>
    </w:p>
    <w:p w14:paraId="6C6ED3EC">
      <w:pPr>
        <w:spacing w:line="360" w:lineRule="auto"/>
        <w:jc w:val="left"/>
        <w:outlineLvl w:val="2"/>
        <w:rPr>
          <w:rFonts w:eastAsia="宋体"/>
          <w:b/>
          <w:bCs/>
          <w:color w:val="auto"/>
          <w:sz w:val="24"/>
        </w:rPr>
      </w:pPr>
      <w:r>
        <w:rPr>
          <w:rFonts w:eastAsia="宋体"/>
          <w:b/>
          <w:bCs/>
          <w:color w:val="auto"/>
          <w:sz w:val="24"/>
        </w:rPr>
        <w:t>7.</w:t>
      </w:r>
      <w:r>
        <w:rPr>
          <w:rFonts w:hint="eastAsia" w:eastAsia="宋体"/>
          <w:b/>
          <w:bCs/>
          <w:color w:val="auto"/>
          <w:sz w:val="24"/>
          <w:lang w:val="en-US" w:eastAsia="zh-CN"/>
        </w:rPr>
        <w:t>1</w:t>
      </w:r>
      <w:r>
        <w:rPr>
          <w:rFonts w:eastAsia="宋体"/>
          <w:b/>
          <w:bCs/>
          <w:color w:val="auto"/>
          <w:sz w:val="24"/>
        </w:rPr>
        <w:t>.2 声环境保护措施改进</w:t>
      </w:r>
    </w:p>
    <w:p w14:paraId="72C4FE7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rPr>
      </w:pPr>
      <w:r>
        <w:rPr>
          <w:color w:val="auto"/>
          <w:sz w:val="24"/>
        </w:rPr>
        <w:t>（1）严格按照噪声污染源监测计划要求开展例行监测和自行监测。</w:t>
      </w:r>
    </w:p>
    <w:p w14:paraId="0A64080F">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rPr>
      </w:pPr>
      <w:r>
        <w:rPr>
          <w:color w:val="auto"/>
          <w:sz w:val="24"/>
        </w:rPr>
        <w:t>（2）加强产噪设备维检工作，发现隔振减震等噪声防治设施老化或防治效果明显降低时，及时进行更换。</w:t>
      </w:r>
    </w:p>
    <w:p w14:paraId="3A95EAA9">
      <w:pPr>
        <w:spacing w:line="360" w:lineRule="auto"/>
        <w:jc w:val="left"/>
        <w:outlineLvl w:val="2"/>
        <w:rPr>
          <w:rFonts w:eastAsia="宋体"/>
          <w:b/>
          <w:bCs/>
          <w:color w:val="auto"/>
          <w:sz w:val="24"/>
        </w:rPr>
      </w:pPr>
      <w:r>
        <w:rPr>
          <w:rFonts w:eastAsia="宋体"/>
          <w:b/>
          <w:bCs/>
          <w:color w:val="auto"/>
          <w:sz w:val="24"/>
        </w:rPr>
        <w:t>7.</w:t>
      </w:r>
      <w:r>
        <w:rPr>
          <w:rFonts w:hint="eastAsia" w:eastAsia="宋体"/>
          <w:b/>
          <w:bCs/>
          <w:color w:val="auto"/>
          <w:sz w:val="24"/>
          <w:lang w:val="en-US" w:eastAsia="zh-CN"/>
        </w:rPr>
        <w:t>1</w:t>
      </w:r>
      <w:r>
        <w:rPr>
          <w:rFonts w:eastAsia="宋体"/>
          <w:b/>
          <w:bCs/>
          <w:color w:val="auto"/>
          <w:sz w:val="24"/>
        </w:rPr>
        <w:t>.3 地下水污染防治改进措施</w:t>
      </w:r>
    </w:p>
    <w:p w14:paraId="24582C9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b/>
          <w:bCs/>
          <w:color w:val="auto"/>
          <w:sz w:val="24"/>
        </w:rPr>
      </w:pPr>
      <w:r>
        <w:rPr>
          <w:color w:val="auto"/>
          <w:sz w:val="24"/>
        </w:rPr>
        <w:t>完善厂区地下水环境监控体系，包括地下水监控制度和环境管理体系、监测计划、配备必要的检测仪器设备，以便及时发现问题，及时采取措施。</w:t>
      </w:r>
    </w:p>
    <w:p w14:paraId="65B446FE">
      <w:pPr>
        <w:spacing w:line="360" w:lineRule="auto"/>
        <w:jc w:val="left"/>
        <w:outlineLvl w:val="2"/>
        <w:rPr>
          <w:rFonts w:eastAsia="宋体"/>
          <w:b/>
          <w:bCs/>
          <w:color w:val="auto"/>
          <w:sz w:val="24"/>
        </w:rPr>
      </w:pPr>
      <w:r>
        <w:rPr>
          <w:rFonts w:eastAsia="宋体"/>
          <w:b/>
          <w:bCs/>
          <w:color w:val="auto"/>
          <w:sz w:val="24"/>
        </w:rPr>
        <w:t>7.</w:t>
      </w:r>
      <w:r>
        <w:rPr>
          <w:rFonts w:hint="eastAsia" w:eastAsia="宋体"/>
          <w:b/>
          <w:bCs/>
          <w:color w:val="auto"/>
          <w:sz w:val="24"/>
          <w:lang w:val="en-US" w:eastAsia="zh-CN"/>
        </w:rPr>
        <w:t>1</w:t>
      </w:r>
      <w:r>
        <w:rPr>
          <w:rFonts w:eastAsia="宋体"/>
          <w:b/>
          <w:bCs/>
          <w:color w:val="auto"/>
          <w:sz w:val="24"/>
        </w:rPr>
        <w:t>.4 环保管理制度</w:t>
      </w:r>
    </w:p>
    <w:p w14:paraId="501474CF">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rPr>
      </w:pPr>
      <w:r>
        <w:rPr>
          <w:color w:val="auto"/>
          <w:sz w:val="24"/>
        </w:rPr>
        <w:t>建立完善的环境管理文件和档案管理制度，明确责任部门、人员、流程、形式、权限及各类环境管理档案及保存要求等，确保企业环境管理规章制度和操作规程编制、使用、评审、修订符合有关要求。</w:t>
      </w:r>
    </w:p>
    <w:p w14:paraId="3BD210A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rPr>
      </w:pPr>
      <w:r>
        <w:rPr>
          <w:color w:val="auto"/>
          <w:sz w:val="24"/>
        </w:rPr>
        <w:t>通过对各项环境管理制度建立和严格执行，形成目标管理、监督反馈紧密配合的环保工作管理体系，可有效防止非正常生产和突发性事故造成的危害。</w:t>
      </w:r>
    </w:p>
    <w:p w14:paraId="04D690C5">
      <w:pPr>
        <w:spacing w:line="360" w:lineRule="auto"/>
        <w:jc w:val="left"/>
        <w:outlineLvl w:val="1"/>
        <w:rPr>
          <w:rFonts w:hint="eastAsia" w:eastAsia="宋体" w:cs="Times New Roman"/>
          <w:b/>
          <w:bCs/>
          <w:color w:val="auto"/>
          <w:sz w:val="28"/>
          <w:szCs w:val="28"/>
          <w:lang w:val="en-US" w:eastAsia="zh-CN"/>
        </w:rPr>
      </w:pPr>
      <w:bookmarkStart w:id="382" w:name="_Toc1291"/>
      <w:r>
        <w:rPr>
          <w:rFonts w:hint="eastAsia" w:eastAsia="宋体" w:cs="Times New Roman"/>
          <w:b/>
          <w:bCs/>
          <w:color w:val="auto"/>
          <w:sz w:val="28"/>
          <w:szCs w:val="28"/>
          <w:lang w:val="en-US" w:eastAsia="zh-CN"/>
        </w:rPr>
        <w:t>7.3 排污许可证证后管理要求</w:t>
      </w:r>
      <w:bookmarkEnd w:id="382"/>
    </w:p>
    <w:p w14:paraId="367C99D4">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szCs w:val="32"/>
        </w:rPr>
      </w:pPr>
      <w:r>
        <w:rPr>
          <w:color w:val="auto"/>
          <w:sz w:val="24"/>
          <w:szCs w:val="32"/>
        </w:rPr>
        <w:t>①开展自行监测：排污单位须按排污许可证规定的监测点位、监测因子、监测频次和相关监测技术规范开展自行监测并保留原始监测记录。手工监测记录内容包括监测日期、采样及测定方法、监测结果等。自动监测运维记录需包含自动监测及辅助设备运行状态、系统校准、校验记录、定期比对监测记录、维护保养记录、是否故障、故障维修记录、巡检日期等。排污单位应在全国排污许可证管理信息平台企业端监测记录块进行公开。</w:t>
      </w:r>
    </w:p>
    <w:p w14:paraId="65261FB2">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szCs w:val="32"/>
        </w:rPr>
      </w:pPr>
      <w:r>
        <w:rPr>
          <w:color w:val="auto"/>
          <w:sz w:val="24"/>
          <w:szCs w:val="32"/>
        </w:rPr>
        <w:t>②建立台账管理制度：排污单位应建立环境管理台账制度，设置专职人员开展台账记录、整理、维护等管理工作，并对台账记录结果的真实性、准确性、完整性负责。台账应按照电子化储存和纸质储存两种形式同步管理，保存期限不得少于五年。排污单位环境管理台账应真实记录生产运行、污染治理设施运行、自行监测和其他环境管理信息，其中记录频次和内容需满足排污许可证环境管理要求。台账记录模板可在全国排污许可证管理信息平台公开端台账记录模块下载。填报好的电子版台账可在该模块上传。</w:t>
      </w:r>
    </w:p>
    <w:p w14:paraId="029AED06">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szCs w:val="32"/>
        </w:rPr>
      </w:pPr>
      <w:r>
        <w:rPr>
          <w:color w:val="auto"/>
          <w:sz w:val="24"/>
          <w:szCs w:val="32"/>
        </w:rPr>
        <w:t>③按时提交执行（守法）报告：排污单位应当按照排污许可证规定的关于执行报告内容和频次的要求，编制排污许可证执行报告。执行报告包括年度执行报告、季度执行报告和月执行报告。季度（月度）执行报告于当季（月）结束后15日内提交；年度执行报告于每年结束后15日内提交。执行报告电子版在全国排污许可证管理信息平台上报送。书面执行报告应当由法定代表人或者主要负责人签字或者盖章。执行报告必须按时提交，根据企业真实情况进行填报，是企业生产与排污的真实反映。</w:t>
      </w:r>
    </w:p>
    <w:p w14:paraId="0C83AE3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szCs w:val="32"/>
        </w:rPr>
      </w:pPr>
      <w:r>
        <w:rPr>
          <w:color w:val="auto"/>
          <w:sz w:val="24"/>
          <w:szCs w:val="32"/>
        </w:rPr>
        <w:t>④及时信息公开：在国家排污许可证信息公开系统或其他便于公众知晓的方式按照《企业事业单位信息公开办法》和《排污许可证管理办法》相关规定进行信息公开。信息公开内容包括：建设项目环境影响评价及其他环境保护行政许可情况；突发环境事件应急预案；月/季度、半年及年度排污许可证执行报告中相关内容；其他应当公开的环境信息。</w:t>
      </w:r>
    </w:p>
    <w:p w14:paraId="32C01056">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szCs w:val="32"/>
        </w:rPr>
      </w:pPr>
      <w:r>
        <w:rPr>
          <w:color w:val="auto"/>
          <w:sz w:val="24"/>
          <w:szCs w:val="32"/>
        </w:rPr>
        <w:t>⑤按期完成整改：排污单位应当在整改期满前取得排污许可证，鼓励排污单位提前完成整改并报送申请材料。排污单位未按照整改通知书要求完成整改的，将不予核发排污许可证；按要求整改完成并经主管部门审核通过的排污单位换发排污许可证。限期整改排污单位将纳入双随机、一公开监管，适当提高抽查比例。排污单位逾期未完成整改，未在整改期限内取得排污许可证且继续排放污染物的，生态环境主管部门应当依据《中华人民共和国大气污染防治法》第九十九条、第一百条，《中华人民共和国水污染防治法》第八十二条、第八十三条，《中华人民共和国环境影响评价法》第三十一条，《建设项目环境保护管理条例》第二十一条等法律法规予以处理。</w:t>
      </w:r>
    </w:p>
    <w:p w14:paraId="5B29C91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color w:val="auto"/>
          <w:sz w:val="24"/>
          <w:szCs w:val="32"/>
        </w:rPr>
      </w:pPr>
      <w:r>
        <w:rPr>
          <w:color w:val="auto"/>
          <w:sz w:val="24"/>
          <w:szCs w:val="32"/>
        </w:rPr>
        <w:t>⑥及时变更排污许可证：企业若出现《排污许可管理办法》中第四十三条中的任一情形，均应按办法要求及时变更排污许可证，排污许可证所载明的内容应与企业实际保持一致，确保排污许可证的真实性、准确性、完整性。</w:t>
      </w:r>
    </w:p>
    <w:p w14:paraId="2EA2D18F">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9"/>
        <w:rPr>
          <w:b/>
          <w:bCs/>
          <w:color w:val="auto"/>
          <w:sz w:val="32"/>
          <w:szCs w:val="40"/>
        </w:rPr>
      </w:pPr>
      <w:r>
        <w:rPr>
          <w:color w:val="auto"/>
          <w:sz w:val="24"/>
          <w:szCs w:val="32"/>
        </w:rPr>
        <w:t>⑦有效期内及时办理延续：首次发放的排污许可证有效期为三年，延续换发的排污许可证有效期为五年。排污单位需要延续依法取得的排污许可证的有效期的，应当在排污许可证届满三十个工作日前向原核发环保部门提出申请。到期未延续的排污许可证视为无效，排污单位继续排污的视为无证排污，将依法进行处罚。</w:t>
      </w:r>
      <w:r>
        <w:rPr>
          <w:b/>
          <w:bCs/>
          <w:color w:val="auto"/>
          <w:sz w:val="32"/>
          <w:szCs w:val="40"/>
        </w:rPr>
        <w:br w:type="page"/>
      </w:r>
    </w:p>
    <w:p w14:paraId="20A7846B">
      <w:pPr>
        <w:spacing w:line="360" w:lineRule="auto"/>
        <w:jc w:val="center"/>
        <w:outlineLvl w:val="0"/>
        <w:rPr>
          <w:b/>
          <w:bCs/>
          <w:color w:val="auto"/>
          <w:sz w:val="32"/>
          <w:szCs w:val="40"/>
        </w:rPr>
      </w:pPr>
      <w:bookmarkStart w:id="383" w:name="_Toc5809"/>
      <w:bookmarkStart w:id="384" w:name="_Toc16068"/>
      <w:r>
        <w:rPr>
          <w:rFonts w:hint="eastAsia"/>
          <w:b/>
          <w:bCs/>
          <w:color w:val="auto"/>
          <w:sz w:val="32"/>
          <w:szCs w:val="40"/>
          <w:lang w:val="en-US" w:eastAsia="zh-CN"/>
        </w:rPr>
        <w:t xml:space="preserve">8 </w:t>
      </w:r>
      <w:r>
        <w:rPr>
          <w:b/>
          <w:bCs/>
          <w:color w:val="auto"/>
          <w:sz w:val="32"/>
          <w:szCs w:val="40"/>
        </w:rPr>
        <w:t>评价结论</w:t>
      </w:r>
      <w:bookmarkEnd w:id="383"/>
      <w:bookmarkEnd w:id="384"/>
    </w:p>
    <w:p w14:paraId="0F91469B">
      <w:pPr>
        <w:spacing w:line="360" w:lineRule="auto"/>
        <w:rPr>
          <w:color w:val="auto"/>
          <w:sz w:val="24"/>
          <w:szCs w:val="32"/>
        </w:rPr>
      </w:pPr>
    </w:p>
    <w:p w14:paraId="1B2F66CE">
      <w:pPr>
        <w:spacing w:line="360" w:lineRule="auto"/>
        <w:ind w:firstLine="480" w:firstLineChars="200"/>
        <w:rPr>
          <w:rFonts w:hint="eastAsia"/>
          <w:color w:val="auto"/>
          <w:sz w:val="24"/>
          <w:szCs w:val="32"/>
          <w:lang w:val="en-US" w:eastAsia="zh-CN"/>
        </w:rPr>
      </w:pPr>
      <w:r>
        <w:rPr>
          <w:rFonts w:hint="eastAsia"/>
          <w:color w:val="auto"/>
          <w:sz w:val="24"/>
          <w:szCs w:val="32"/>
          <w:lang w:val="en-US" w:eastAsia="zh-CN"/>
        </w:rPr>
        <w:t>原安徽华中天力铝业有限公司年产11万吨再生铝建设项目于</w:t>
      </w:r>
      <w:r>
        <w:rPr>
          <w:rFonts w:hint="eastAsia"/>
          <w:color w:val="auto"/>
          <w:kern w:val="24"/>
          <w:sz w:val="24"/>
        </w:rPr>
        <w:t>于2016年6月30日取得原淮北市环境保护局环评批复</w:t>
      </w:r>
      <w:r>
        <w:rPr>
          <w:rFonts w:hint="eastAsia"/>
          <w:color w:val="auto"/>
          <w:kern w:val="24"/>
          <w:sz w:val="24"/>
          <w:lang w:eastAsia="zh-CN"/>
        </w:rPr>
        <w:t>，</w:t>
      </w:r>
      <w:r>
        <w:rPr>
          <w:rFonts w:hint="eastAsia"/>
          <w:color w:val="auto"/>
          <w:kern w:val="24"/>
          <w:sz w:val="24"/>
        </w:rPr>
        <w:t>批复文号</w:t>
      </w:r>
      <w:r>
        <w:rPr>
          <w:rFonts w:hint="eastAsia"/>
          <w:color w:val="auto"/>
          <w:kern w:val="24"/>
          <w:sz w:val="24"/>
          <w:lang w:eastAsia="zh-CN"/>
        </w:rPr>
        <w:t>：</w:t>
      </w:r>
      <w:r>
        <w:rPr>
          <w:rFonts w:hint="eastAsia"/>
          <w:color w:val="auto"/>
          <w:kern w:val="24"/>
          <w:sz w:val="24"/>
          <w:lang w:val="en-US" w:eastAsia="zh-CN"/>
        </w:rPr>
        <w:t>淮环行【2016】27号</w:t>
      </w:r>
      <w:r>
        <w:rPr>
          <w:rFonts w:hint="eastAsia"/>
          <w:color w:val="auto"/>
          <w:sz w:val="24"/>
          <w:szCs w:val="32"/>
          <w:lang w:eastAsia="zh-CN"/>
        </w:rPr>
        <w:t>，</w:t>
      </w:r>
      <w:r>
        <w:rPr>
          <w:rFonts w:hint="eastAsia"/>
          <w:color w:val="auto"/>
          <w:kern w:val="24"/>
          <w:sz w:val="24"/>
          <w:lang w:val="en-US" w:eastAsia="zh-CN"/>
        </w:rPr>
        <w:t>项目分两期建设，其中一期产能5.05万吨/年，二期产能5.95万吨/年。</w:t>
      </w:r>
      <w:r>
        <w:rPr>
          <w:rFonts w:hint="eastAsia"/>
          <w:color w:val="auto"/>
          <w:sz w:val="24"/>
          <w:szCs w:val="32"/>
          <w:lang w:val="en-US" w:eastAsia="zh-CN"/>
        </w:rPr>
        <w:t>该项目一期工程</w:t>
      </w:r>
      <w:r>
        <w:rPr>
          <w:rFonts w:hint="eastAsia"/>
          <w:color w:val="auto"/>
          <w:kern w:val="24"/>
          <w:sz w:val="24"/>
          <w:lang w:val="en-US" w:eastAsia="zh-CN"/>
        </w:rPr>
        <w:t>于2018年建成，主要生产设备为</w:t>
      </w:r>
      <w:r>
        <w:rPr>
          <w:rFonts w:hint="eastAsia"/>
          <w:color w:val="auto"/>
          <w:kern w:val="24"/>
          <w:sz w:val="24"/>
          <w:highlight w:val="none"/>
          <w:lang w:val="en-US" w:eastAsia="zh-CN"/>
        </w:rPr>
        <w:t>1台40t熔炼炉、1台30t熔炼炉、1台10t熔炼精炼两用炉、1台30t精炼炉、1台20t精炼炉及2条260模铸锭叠锭生产线，</w:t>
      </w:r>
      <w:r>
        <w:rPr>
          <w:rFonts w:hint="eastAsia"/>
          <w:color w:val="auto"/>
          <w:kern w:val="24"/>
          <w:sz w:val="24"/>
          <w:lang w:val="en-US" w:eastAsia="zh-CN"/>
        </w:rPr>
        <w:t>由于项目资金问题一期一直处于停产状态，2020年10月开始进行设备调试工作，于2021年9月通过自主竣工环境保护验收。</w:t>
      </w:r>
    </w:p>
    <w:p w14:paraId="3EA0CC7D">
      <w:pPr>
        <w:spacing w:line="360" w:lineRule="auto"/>
        <w:ind w:firstLine="480" w:firstLineChars="200"/>
        <w:rPr>
          <w:rFonts w:hint="default"/>
          <w:color w:val="auto"/>
          <w:sz w:val="24"/>
          <w:szCs w:val="32"/>
          <w:lang w:val="en-US" w:eastAsia="zh-CN"/>
        </w:rPr>
      </w:pPr>
      <w:r>
        <w:rPr>
          <w:rFonts w:hint="eastAsia"/>
          <w:color w:val="auto"/>
          <w:sz w:val="24"/>
          <w:szCs w:val="32"/>
          <w:lang w:val="en-US" w:eastAsia="zh-CN"/>
        </w:rPr>
        <w:t>在实际生产过程中，与原环评报告书相比，项目地点、规模、生产工艺和运行调度方式基本不变，但部分建设内容和污染防治措施发生了调整，主要调整内容有：</w:t>
      </w:r>
    </w:p>
    <w:p w14:paraId="4D76705B">
      <w:pPr>
        <w:numPr>
          <w:ilvl w:val="0"/>
          <w:numId w:val="0"/>
        </w:numPr>
        <w:spacing w:line="360" w:lineRule="auto"/>
        <w:ind w:left="0" w:leftChars="0" w:firstLine="480" w:firstLineChars="200"/>
        <w:rPr>
          <w:rFonts w:hint="eastAsia" w:eastAsia="宋体"/>
          <w:color w:val="auto"/>
          <w:kern w:val="0"/>
          <w:sz w:val="24"/>
          <w:szCs w:val="24"/>
          <w:lang w:val="en-US" w:eastAsia="zh-CN" w:bidi="ar"/>
        </w:rPr>
      </w:pPr>
      <w:r>
        <w:rPr>
          <w:rFonts w:hint="eastAsia" w:ascii="Times New Roman" w:hAnsi="Times New Roman" w:eastAsia="宋体" w:cs="Times New Roman"/>
          <w:color w:val="auto"/>
          <w:kern w:val="0"/>
          <w:sz w:val="24"/>
          <w:szCs w:val="24"/>
          <w:lang w:val="en-US" w:eastAsia="zh-CN" w:bidi="ar"/>
        </w:rPr>
        <w:t>①</w:t>
      </w:r>
      <w:r>
        <w:rPr>
          <w:rFonts w:hint="eastAsia" w:eastAsia="宋体"/>
          <w:color w:val="auto"/>
          <w:kern w:val="0"/>
          <w:sz w:val="24"/>
          <w:szCs w:val="24"/>
          <w:lang w:val="en-US" w:eastAsia="zh-CN" w:bidi="ar"/>
        </w:rPr>
        <w:t>企业淘汰并拆除现有1台10吨再生铝用熔炼精炼两用炉</w:t>
      </w:r>
      <w:r>
        <w:rPr>
          <w:rFonts w:hint="eastAsia"/>
          <w:color w:val="auto"/>
          <w:kern w:val="0"/>
          <w:sz w:val="24"/>
          <w:szCs w:val="24"/>
          <w:lang w:val="en-US" w:eastAsia="zh-CN" w:bidi="ar"/>
        </w:rPr>
        <w:t>和1台20吨精炼炉</w:t>
      </w:r>
      <w:r>
        <w:rPr>
          <w:rFonts w:hint="eastAsia" w:eastAsia="宋体"/>
          <w:color w:val="auto"/>
          <w:kern w:val="0"/>
          <w:sz w:val="24"/>
          <w:szCs w:val="24"/>
          <w:lang w:val="en-US" w:eastAsia="zh-CN" w:bidi="ar"/>
        </w:rPr>
        <w:t>，同时对现有1台40吨熔炼炉</w:t>
      </w:r>
      <w:r>
        <w:rPr>
          <w:rFonts w:hint="eastAsia"/>
          <w:color w:val="auto"/>
          <w:kern w:val="0"/>
          <w:sz w:val="24"/>
          <w:szCs w:val="24"/>
          <w:lang w:val="en-US" w:eastAsia="zh-CN" w:bidi="ar"/>
        </w:rPr>
        <w:t>、</w:t>
      </w:r>
      <w:r>
        <w:rPr>
          <w:rFonts w:hint="eastAsia" w:eastAsia="宋体"/>
          <w:color w:val="auto"/>
          <w:kern w:val="0"/>
          <w:sz w:val="24"/>
          <w:szCs w:val="24"/>
          <w:lang w:val="en-US" w:eastAsia="zh-CN" w:bidi="ar"/>
        </w:rPr>
        <w:t>1台30吨熔炼炉</w:t>
      </w:r>
      <w:r>
        <w:rPr>
          <w:rFonts w:hint="eastAsia"/>
          <w:color w:val="auto"/>
          <w:kern w:val="0"/>
          <w:sz w:val="24"/>
          <w:szCs w:val="24"/>
          <w:lang w:val="en-US" w:eastAsia="zh-CN" w:bidi="ar"/>
        </w:rPr>
        <w:t>和1台30吨精炼炉</w:t>
      </w:r>
      <w:r>
        <w:rPr>
          <w:rFonts w:hint="eastAsia" w:eastAsia="宋体"/>
          <w:color w:val="auto"/>
          <w:kern w:val="0"/>
          <w:sz w:val="24"/>
          <w:szCs w:val="24"/>
          <w:lang w:val="en-US" w:eastAsia="zh-CN" w:bidi="ar"/>
        </w:rPr>
        <w:t>实施设备更新与升级。</w:t>
      </w:r>
    </w:p>
    <w:p w14:paraId="70C6EDB6">
      <w:pPr>
        <w:numPr>
          <w:ilvl w:val="0"/>
          <w:numId w:val="0"/>
        </w:numPr>
        <w:spacing w:line="360" w:lineRule="auto"/>
        <w:ind w:left="0" w:leftChars="0" w:firstLine="480" w:firstLineChars="200"/>
        <w:rPr>
          <w:rFonts w:hint="eastAsia"/>
          <w:color w:val="auto"/>
          <w:sz w:val="24"/>
          <w:szCs w:val="24"/>
        </w:rPr>
      </w:pPr>
      <w:r>
        <w:rPr>
          <w:rFonts w:hint="eastAsia" w:ascii="Times New Roman" w:hAnsi="Times New Roman" w:eastAsia="宋体" w:cs="Times New Roman"/>
          <w:color w:val="auto"/>
          <w:kern w:val="2"/>
          <w:sz w:val="24"/>
          <w:szCs w:val="24"/>
          <w:lang w:val="en-US" w:eastAsia="zh-CN" w:bidi="ar-SA"/>
        </w:rPr>
        <w:t>②</w:t>
      </w:r>
      <w:r>
        <w:rPr>
          <w:rFonts w:hint="eastAsia"/>
          <w:color w:val="auto"/>
          <w:sz w:val="24"/>
          <w:szCs w:val="24"/>
          <w:lang w:val="en-US" w:eastAsia="zh-CN"/>
        </w:rPr>
        <w:t>项目生产废气处理措施由2套改为1套，并新增1套</w:t>
      </w:r>
      <w:r>
        <w:rPr>
          <w:rFonts w:hint="eastAsia"/>
          <w:bCs/>
          <w:color w:val="auto"/>
          <w:spacing w:val="6"/>
          <w:sz w:val="24"/>
          <w:szCs w:val="24"/>
          <w:lang w:val="en-US" w:eastAsia="zh-CN"/>
        </w:rPr>
        <w:t>SNCR脱硝设施用于处理氮氧化物、新增1套活性炭喷粉装置用于处理二噁英，项目实际废气处理措施为“SNCR+烟气急冷+活性炭喷粉+重力沉降除尘器+布袋除尘器+碱喷淋”装置。</w:t>
      </w:r>
    </w:p>
    <w:p w14:paraId="3096245E">
      <w:pPr>
        <w:numPr>
          <w:ilvl w:val="0"/>
          <w:numId w:val="0"/>
        </w:numPr>
        <w:spacing w:line="360" w:lineRule="auto"/>
        <w:ind w:left="0" w:leftChars="0"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kern w:val="2"/>
          <w:sz w:val="24"/>
          <w:szCs w:val="24"/>
          <w:lang w:val="en-US" w:eastAsia="zh-CN" w:bidi="ar-SA"/>
        </w:rPr>
        <w:t>③</w:t>
      </w:r>
      <w:r>
        <w:rPr>
          <w:rFonts w:hint="default" w:ascii="Times New Roman" w:hAnsi="Times New Roman" w:eastAsia="宋体" w:cs="Times New Roman"/>
          <w:color w:val="auto"/>
          <w:sz w:val="24"/>
          <w:szCs w:val="24"/>
          <w:lang w:val="en-US" w:eastAsia="zh-CN"/>
        </w:rPr>
        <w:t>铝灰暂存废气由无组织排放改为有组织排放</w:t>
      </w:r>
      <w:r>
        <w:rPr>
          <w:rFonts w:hint="eastAsia" w:ascii="Times New Roman" w:hAnsi="Times New Roman" w:eastAsia="宋体" w:cs="Times New Roman"/>
          <w:color w:val="auto"/>
          <w:sz w:val="24"/>
          <w:szCs w:val="24"/>
          <w:lang w:val="en-US" w:eastAsia="zh-CN"/>
        </w:rPr>
        <w:t>，新增一套</w:t>
      </w:r>
      <w:r>
        <w:rPr>
          <w:rFonts w:hint="eastAsia" w:cs="Times New Roman"/>
          <w:color w:val="auto"/>
          <w:sz w:val="24"/>
          <w:highlight w:val="none"/>
          <w:lang w:val="en-US" w:eastAsia="zh-CN"/>
        </w:rPr>
        <w:t>“一级水喷淋装置”用于处理</w:t>
      </w:r>
      <w:r>
        <w:rPr>
          <w:rFonts w:hint="eastAsia" w:cs="Times New Roman"/>
          <w:b w:val="0"/>
          <w:bCs w:val="0"/>
          <w:color w:val="auto"/>
          <w:sz w:val="24"/>
          <w:szCs w:val="24"/>
          <w:lang w:val="en-US" w:eastAsia="zh-CN"/>
        </w:rPr>
        <w:t>危废库在</w:t>
      </w:r>
      <w:r>
        <w:rPr>
          <w:rFonts w:hint="default" w:ascii="Times New Roman" w:hAnsi="Times New Roman" w:eastAsia="宋体" w:cs="Times New Roman"/>
          <w:color w:val="auto"/>
          <w:sz w:val="24"/>
          <w:highlight w:val="none"/>
          <w:lang w:val="en-US" w:eastAsia="zh-CN"/>
        </w:rPr>
        <w:t>铝灰渣</w:t>
      </w:r>
      <w:r>
        <w:rPr>
          <w:rFonts w:hint="eastAsia" w:cs="Times New Roman"/>
          <w:color w:val="auto"/>
          <w:sz w:val="24"/>
          <w:highlight w:val="none"/>
          <w:lang w:val="en-US" w:eastAsia="zh-CN"/>
        </w:rPr>
        <w:t>暂存过程</w:t>
      </w:r>
      <w:r>
        <w:rPr>
          <w:rFonts w:hint="default" w:ascii="Times New Roman" w:hAnsi="Times New Roman" w:eastAsia="宋体" w:cs="Times New Roman"/>
          <w:color w:val="auto"/>
          <w:sz w:val="24"/>
          <w:highlight w:val="none"/>
          <w:lang w:val="en-US" w:eastAsia="zh-CN"/>
        </w:rPr>
        <w:t>中的氮化铝与空气中的水蒸气反应生成氨气</w:t>
      </w:r>
      <w:r>
        <w:rPr>
          <w:rFonts w:hint="eastAsia" w:ascii="Times New Roman" w:hAnsi="Times New Roman" w:eastAsia="宋体" w:cs="Times New Roman"/>
          <w:color w:val="auto"/>
          <w:sz w:val="24"/>
          <w:szCs w:val="24"/>
          <w:lang w:val="en-US" w:eastAsia="zh-CN"/>
        </w:rPr>
        <w:t>。</w:t>
      </w:r>
    </w:p>
    <w:p w14:paraId="18BE9CC3">
      <w:pPr>
        <w:spacing w:line="360" w:lineRule="auto"/>
        <w:ind w:firstLine="480" w:firstLineChars="200"/>
        <w:rPr>
          <w:color w:val="auto"/>
          <w:sz w:val="24"/>
          <w:szCs w:val="32"/>
        </w:rPr>
      </w:pPr>
      <w:r>
        <w:rPr>
          <w:rFonts w:hint="eastAsia"/>
          <w:color w:val="auto"/>
          <w:sz w:val="24"/>
          <w:szCs w:val="32"/>
        </w:rPr>
        <w:t>根据调查，项目建设后，项目所在地区</w:t>
      </w:r>
      <w:r>
        <w:rPr>
          <w:rFonts w:hint="eastAsia"/>
          <w:color w:val="auto"/>
          <w:sz w:val="24"/>
          <w:szCs w:val="32"/>
          <w:lang w:val="en-US" w:eastAsia="zh-CN"/>
        </w:rPr>
        <w:t>安徽濉溪经济技术开发区</w:t>
      </w:r>
      <w:r>
        <w:rPr>
          <w:rFonts w:hint="eastAsia"/>
          <w:color w:val="auto"/>
          <w:sz w:val="24"/>
          <w:szCs w:val="32"/>
        </w:rPr>
        <w:t>及周边地区的地表水</w:t>
      </w:r>
      <w:r>
        <w:rPr>
          <w:rFonts w:hint="eastAsia"/>
          <w:color w:val="auto"/>
          <w:sz w:val="24"/>
          <w:szCs w:val="32"/>
          <w:lang w:eastAsia="zh-CN"/>
        </w:rPr>
        <w:t>、</w:t>
      </w:r>
      <w:r>
        <w:rPr>
          <w:rFonts w:hint="eastAsia"/>
          <w:color w:val="auto"/>
          <w:sz w:val="24"/>
          <w:szCs w:val="32"/>
          <w:lang w:val="en-US" w:eastAsia="zh-CN"/>
        </w:rPr>
        <w:t>地下水、土壤</w:t>
      </w:r>
      <w:r>
        <w:rPr>
          <w:rFonts w:hint="eastAsia"/>
          <w:color w:val="auto"/>
          <w:sz w:val="24"/>
          <w:szCs w:val="32"/>
        </w:rPr>
        <w:t>环境质量仍可以达到相应标准，总体趋势较为平稳</w:t>
      </w:r>
      <w:r>
        <w:rPr>
          <w:rFonts w:hint="eastAsia"/>
          <w:color w:val="auto"/>
          <w:sz w:val="24"/>
          <w:szCs w:val="32"/>
          <w:lang w:eastAsia="zh-CN"/>
        </w:rPr>
        <w:t>；</w:t>
      </w:r>
      <w:r>
        <w:rPr>
          <w:rFonts w:hint="eastAsia"/>
          <w:color w:val="auto"/>
          <w:sz w:val="24"/>
          <w:szCs w:val="32"/>
          <w:lang w:val="en-US" w:eastAsia="zh-CN"/>
        </w:rPr>
        <w:t>环境空气质量总体变化不大</w:t>
      </w:r>
      <w:r>
        <w:rPr>
          <w:rFonts w:hint="eastAsia"/>
          <w:color w:val="auto"/>
          <w:sz w:val="24"/>
          <w:szCs w:val="32"/>
        </w:rPr>
        <w:t>。</w:t>
      </w:r>
    </w:p>
    <w:p w14:paraId="08154B9E">
      <w:pPr>
        <w:spacing w:line="360" w:lineRule="auto"/>
        <w:ind w:firstLine="480" w:firstLineChars="200"/>
        <w:rPr>
          <w:rFonts w:hint="eastAsia"/>
          <w:color w:val="auto"/>
          <w:sz w:val="24"/>
          <w:szCs w:val="32"/>
        </w:rPr>
      </w:pPr>
      <w:r>
        <w:rPr>
          <w:rFonts w:hint="eastAsia"/>
          <w:color w:val="auto"/>
          <w:sz w:val="24"/>
          <w:szCs w:val="32"/>
        </w:rPr>
        <w:t>综上所述，公司进行以上调整措施是合理可行的。</w:t>
      </w:r>
    </w:p>
    <w:sectPr>
      <w:pgSz w:w="11906" w:h="16838"/>
      <w:pgMar w:top="1440" w:right="1080" w:bottom="144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4F"/>
    <w:family w:val="auto"/>
    <w:pitch w:val="default"/>
    <w:sig w:usb0="E0002EFF" w:usb1="C000785B" w:usb2="00000009" w:usb3="00000000" w:csb0="400001FF" w:csb1="FFFF0000"/>
  </w:font>
  <w:font w:name="宋体">
    <w:panose1 w:val="02010600030101010101"/>
    <w:charset w:val="8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PMingLiU">
    <w:altName w:val="Microsoft JhengHei UI"/>
    <w:panose1 w:val="02010601000101010101"/>
    <w:charset w:val="88"/>
    <w:family w:val="auto"/>
    <w:pitch w:val="default"/>
    <w:sig w:usb0="00000000" w:usb1="00000000" w:usb2="00000016" w:usb3="00000000" w:csb0="00100001" w:csb1="00000000"/>
  </w:font>
  <w:font w:name="Microsoft JhengHei UI">
    <w:panose1 w:val="020B0604030504040204"/>
    <w:charset w:val="88"/>
    <w:family w:val="auto"/>
    <w:pitch w:val="default"/>
    <w:sig w:usb0="000002A7" w:usb1="28CF4400" w:usb2="00000016" w:usb3="00000000" w:csb0="00100009" w:csb1="00000000"/>
  </w:font>
  <w:font w:name="楷体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 w:name="Arial Unicode MS">
    <w:altName w:val="宋体"/>
    <w:panose1 w:val="020B0604020202020204"/>
    <w:charset w:val="86"/>
    <w:family w:val="swiss"/>
    <w:pitch w:val="default"/>
    <w:sig w:usb0="00000000" w:usb1="00000000" w:usb2="0000007F" w:usb3="00000000" w:csb0="203F01FF" w:csb1="DFFF0000"/>
  </w:font>
  <w:font w:name="仿宋">
    <w:panose1 w:val="02010609060101010101"/>
    <w:charset w:val="86"/>
    <w:family w:val="modern"/>
    <w:pitch w:val="default"/>
    <w:sig w:usb0="800002BF" w:usb1="38CF7CFA" w:usb2="00000016" w:usb3="00000000" w:csb0="00040001" w:csb1="00000000"/>
  </w:font>
  <w:font w:name="新宋体">
    <w:panose1 w:val="02010609030101010101"/>
    <w:charset w:val="86"/>
    <w:family w:val="auto"/>
    <w:pitch w:val="default"/>
    <w:sig w:usb0="00000203" w:usb1="288F0000" w:usb2="00000006"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FA1C21">
    <w:pPr>
      <w:pStyle w:val="20"/>
      <w:jc w:val="center"/>
      <w:rPr>
        <w:rFonts w:ascii="Times New Roman" w:hAnsi="Times New Roman" w:cs="Times New Roman"/>
      </w:rPr>
    </w:pPr>
    <w:sdt>
      <w:sdtPr>
        <w:id w:val="-466125460"/>
        <w:showingPlcHdr/>
      </w:sdtPr>
      <w:sdtEndPr>
        <w:rPr>
          <w:rFonts w:ascii="Times New Roman" w:hAnsi="Times New Roman" w:cs="Times New Roman"/>
        </w:rPr>
      </w:sdtEndP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327409">
    <w:pPr>
      <w:pStyle w:val="22"/>
    </w:pPr>
  </w:p>
  <w:p w14:paraId="649A3983"/>
  <w:p w14:paraId="0B9D31EF"/>
  <w:p w14:paraId="2891520D"/>
  <w:p w14:paraId="6A058759">
    <w:r>
      <w:t>PAGE 14590</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0366D6">
    <w:pPr>
      <w:pStyle w:val="20"/>
      <w:jc w:val="center"/>
      <w:rPr>
        <w:rFonts w:ascii="Times New Roman" w:hAnsi="Times New Roman" w:cs="Times New Roman"/>
      </w:rPr>
    </w:pPr>
    <w:sdt>
      <w:sdtPr>
        <w:id w:val="147477865"/>
        <w:showingPlcHdr/>
      </w:sdtPr>
      <w:sdtEndPr>
        <w:rPr>
          <w:rFonts w:ascii="Times New Roman" w:hAnsi="Times New Roman" w:cs="Times New Roman"/>
        </w:rPr>
      </w:sdtEndPr>
      <w:sdtContent/>
    </w:sdt>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2EC943">
    <w:pPr>
      <w:pStyle w:val="20"/>
      <w:jc w:val="center"/>
      <w:rPr>
        <w:rFonts w:ascii="Times New Roman" w:hAnsi="Times New Roman" w:cs="Times New Roman"/>
      </w:rPr>
    </w:pPr>
    <w:sdt>
      <w:sdtPr>
        <w:id w:val="147457354"/>
        <w:showingPlcHdr/>
      </w:sdtPr>
      <w:sdtEndPr>
        <w:rPr>
          <w:rFonts w:ascii="Times New Roman" w:hAnsi="Times New Roman" w:cs="Times New Roman"/>
        </w:rPr>
      </w:sdtEndPr>
      <w:sdtContent>
        <w:r>
          <w:rPr>
            <w:rFonts w:hint="eastAsia"/>
            <w:lang w:eastAsia="zh-CN"/>
          </w:rPr>
          <w:t xml:space="preserve">     </w:t>
        </w:r>
      </w:sdtContent>
    </w:sdt>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31ED93">
    <w:pPr>
      <w:pStyle w:val="20"/>
      <w:jc w:val="center"/>
      <w:rPr>
        <w:rFonts w:ascii="Times New Roman" w:hAnsi="Times New Roman" w:cs="Times New Roman"/>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7" name="文本框 1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51D83B">
                          <w:pPr>
                            <w:pStyle w:val="20"/>
                            <w:rPr>
                              <w:rFonts w:hint="default" w:ascii="Times New Roman" w:hAnsi="Times New Roman" w:eastAsia="宋体" w:cs="Times New Roman"/>
                              <w:sz w:val="20"/>
                              <w:szCs w:val="20"/>
                            </w:rPr>
                          </w:pPr>
                          <w:r>
                            <w:rPr>
                              <w:rFonts w:hint="default" w:ascii="Times New Roman" w:hAnsi="Times New Roman" w:eastAsia="宋体" w:cs="Times New Roman"/>
                              <w:sz w:val="20"/>
                              <w:szCs w:val="20"/>
                            </w:rPr>
                            <w:fldChar w:fldCharType="begin"/>
                          </w:r>
                          <w:r>
                            <w:rPr>
                              <w:rFonts w:hint="default" w:ascii="Times New Roman" w:hAnsi="Times New Roman" w:eastAsia="宋体" w:cs="Times New Roman"/>
                              <w:sz w:val="20"/>
                              <w:szCs w:val="20"/>
                            </w:rPr>
                            <w:instrText xml:space="preserve"> PAGE  \* MERGEFORMAT </w:instrText>
                          </w:r>
                          <w:r>
                            <w:rPr>
                              <w:rFonts w:hint="default" w:ascii="Times New Roman" w:hAnsi="Times New Roman" w:eastAsia="宋体" w:cs="Times New Roman"/>
                              <w:sz w:val="20"/>
                              <w:szCs w:val="20"/>
                            </w:rPr>
                            <w:fldChar w:fldCharType="separate"/>
                          </w:r>
                          <w:r>
                            <w:rPr>
                              <w:rFonts w:hint="default" w:ascii="Times New Roman" w:hAnsi="Times New Roman" w:eastAsia="宋体" w:cs="Times New Roman"/>
                              <w:sz w:val="20"/>
                              <w:szCs w:val="20"/>
                            </w:rPr>
                            <w:t>1</w:t>
                          </w:r>
                          <w:r>
                            <w:rPr>
                              <w:rFonts w:hint="default" w:ascii="Times New Roman" w:hAnsi="Times New Roman" w:eastAsia="宋体" w:cs="Times New Roman"/>
                              <w:sz w:val="20"/>
                              <w:szCs w:val="20"/>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qVtEItAgAAWQ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JqVtEItAgAAWQQAAA4AAAAAAAAAAQAgAAAAHwEAAGRycy9lMm9Eb2MueG1sUEsFBgAAAAAG&#10;AAYAWQEAAL4FAAAAAA==&#10;">
              <v:fill on="f" focussize="0,0"/>
              <v:stroke on="f" weight="0.5pt"/>
              <v:imagedata o:title=""/>
              <o:lock v:ext="edit" aspectratio="f"/>
              <v:textbox inset="0mm,0mm,0mm,0mm" style="mso-fit-shape-to-text:t;">
                <w:txbxContent>
                  <w:p w14:paraId="7051D83B">
                    <w:pPr>
                      <w:pStyle w:val="20"/>
                      <w:rPr>
                        <w:rFonts w:hint="default" w:ascii="Times New Roman" w:hAnsi="Times New Roman" w:eastAsia="宋体" w:cs="Times New Roman"/>
                        <w:sz w:val="20"/>
                        <w:szCs w:val="20"/>
                      </w:rPr>
                    </w:pPr>
                    <w:r>
                      <w:rPr>
                        <w:rFonts w:hint="default" w:ascii="Times New Roman" w:hAnsi="Times New Roman" w:eastAsia="宋体" w:cs="Times New Roman"/>
                        <w:sz w:val="20"/>
                        <w:szCs w:val="20"/>
                      </w:rPr>
                      <w:fldChar w:fldCharType="begin"/>
                    </w:r>
                    <w:r>
                      <w:rPr>
                        <w:rFonts w:hint="default" w:ascii="Times New Roman" w:hAnsi="Times New Roman" w:eastAsia="宋体" w:cs="Times New Roman"/>
                        <w:sz w:val="20"/>
                        <w:szCs w:val="20"/>
                      </w:rPr>
                      <w:instrText xml:space="preserve"> PAGE  \* MERGEFORMAT </w:instrText>
                    </w:r>
                    <w:r>
                      <w:rPr>
                        <w:rFonts w:hint="default" w:ascii="Times New Roman" w:hAnsi="Times New Roman" w:eastAsia="宋体" w:cs="Times New Roman"/>
                        <w:sz w:val="20"/>
                        <w:szCs w:val="20"/>
                      </w:rPr>
                      <w:fldChar w:fldCharType="separate"/>
                    </w:r>
                    <w:r>
                      <w:rPr>
                        <w:rFonts w:hint="default" w:ascii="Times New Roman" w:hAnsi="Times New Roman" w:eastAsia="宋体" w:cs="Times New Roman"/>
                        <w:sz w:val="20"/>
                        <w:szCs w:val="20"/>
                      </w:rPr>
                      <w:t>1</w:t>
                    </w:r>
                    <w:r>
                      <w:rPr>
                        <w:rFonts w:hint="default" w:ascii="Times New Roman" w:hAnsi="Times New Roman" w:eastAsia="宋体" w:cs="Times New Roman"/>
                        <w:sz w:val="20"/>
                        <w:szCs w:val="20"/>
                      </w:rPr>
                      <w:fldChar w:fldCharType="end"/>
                    </w:r>
                  </w:p>
                </w:txbxContent>
              </v:textbox>
            </v:shape>
          </w:pict>
        </mc:Fallback>
      </mc:AlternateContent>
    </w:r>
    <w:sdt>
      <w:sdtPr>
        <w:id w:val="147478029"/>
        <w:showingPlcHdr/>
      </w:sdtPr>
      <w:sdtEndPr>
        <w:rPr>
          <w:rFonts w:ascii="Times New Roman" w:hAnsi="Times New Roman" w:cs="Times New Roman"/>
        </w:rPr>
      </w:sdtEndPr>
      <w:sdtContent>
        <w:r>
          <w:rPr>
            <w:rFonts w:hint="eastAsia"/>
          </w:rPr>
          <w:t xml:space="preserve">     </w:t>
        </w:r>
      </w:sdtContent>
    </w:sdt>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6D7B58">
    <w:pPr>
      <w:pStyle w:val="20"/>
      <w:rPr>
        <w:rFonts w:ascii="Times New Roman" w:hAnsi="Times New Roman" w:cs="Times New Roman"/>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60" name="文本框 1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29386D">
                          <w:pPr>
                            <w:pStyle w:val="20"/>
                          </w:pPr>
                          <w:r>
                            <w:fldChar w:fldCharType="begin"/>
                          </w:r>
                          <w:r>
                            <w:instrText xml:space="preserve"> PAGE  \* MERGEFORMAT </w:instrText>
                          </w:r>
                          <w:r>
                            <w:fldChar w:fldCharType="separate"/>
                          </w:r>
                          <w:r>
                            <w:t>72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EpMMIsAgAAW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MSkwwiwCAABZBAAADgAAAAAAAAABACAAAAAfAQAAZHJzL2Uyb0RvYy54bWxQSwUGAAAAAAYA&#10;BgBZAQAAvQUAAAAA&#10;">
              <v:fill on="f" focussize="0,0"/>
              <v:stroke on="f" weight="0.5pt"/>
              <v:imagedata o:title=""/>
              <o:lock v:ext="edit" aspectratio="f"/>
              <v:textbox inset="0mm,0mm,0mm,0mm" style="mso-fit-shape-to-text:t;">
                <w:txbxContent>
                  <w:p w14:paraId="7429386D">
                    <w:pPr>
                      <w:pStyle w:val="20"/>
                    </w:pPr>
                    <w:r>
                      <w:fldChar w:fldCharType="begin"/>
                    </w:r>
                    <w:r>
                      <w:instrText xml:space="preserve"> PAGE  \* MERGEFORMAT </w:instrText>
                    </w:r>
                    <w:r>
                      <w:fldChar w:fldCharType="separate"/>
                    </w:r>
                    <w:r>
                      <w:t>72</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CBFDE0">
    <w:pPr>
      <w:pStyle w:val="20"/>
      <w:rPr>
        <w:rFonts w:ascii="Times New Roman" w:hAnsi="Times New Roman" w:cs="Times New Roman"/>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1" name="文本框 16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82E189">
                          <w:pPr>
                            <w:pStyle w:val="20"/>
                          </w:pPr>
                          <w:r>
                            <w:fldChar w:fldCharType="begin"/>
                          </w:r>
                          <w:r>
                            <w:instrText xml:space="preserve"> PAGE  \* MERGEFORMAT </w:instrText>
                          </w:r>
                          <w:r>
                            <w:fldChar w:fldCharType="separate"/>
                          </w:r>
                          <w:r>
                            <w:t>124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33YcnywCAABZBAAADgAAAAAAAAABACAAAAAfAQAAZHJzL2Uyb0RvYy54bWxQSwUGAAAAAAYA&#10;BgBZAQAAvQUAAAAA&#10;">
              <v:fill on="f" focussize="0,0"/>
              <v:stroke on="f" weight="0.5pt"/>
              <v:imagedata o:title=""/>
              <o:lock v:ext="edit" aspectratio="f"/>
              <v:textbox inset="0mm,0mm,0mm,0mm" style="mso-fit-shape-to-text:t;">
                <w:txbxContent>
                  <w:p w14:paraId="3782E189">
                    <w:pPr>
                      <w:pStyle w:val="20"/>
                    </w:pPr>
                    <w:r>
                      <w:fldChar w:fldCharType="begin"/>
                    </w:r>
                    <w:r>
                      <w:instrText xml:space="preserve"> PAGE  \* MERGEFORMAT </w:instrText>
                    </w:r>
                    <w:r>
                      <w:fldChar w:fldCharType="separate"/>
                    </w:r>
                    <w:r>
                      <w:t>124</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516F89">
    <w:pPr>
      <w:pStyle w:val="22"/>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9C72CD"/>
  <w:p w14:paraId="49ECFF29"/>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F32218">
    <w:pPr>
      <w:pStyle w:val="20"/>
    </w:pPr>
  </w:p>
  <w:p w14:paraId="786FDE17"/>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3FFA9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4B116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3746A56"/>
    <w:multiLevelType w:val="multilevel"/>
    <w:tmpl w:val="13746A56"/>
    <w:lvl w:ilvl="0" w:tentative="0">
      <w:start w:val="1"/>
      <w:numFmt w:val="decimal"/>
      <w:pStyle w:val="59"/>
      <w:lvlText w:val="（%1）"/>
      <w:lvlJc w:val="left"/>
      <w:pPr>
        <w:ind w:left="1185" w:hanging="720"/>
      </w:pPr>
      <w:rPr>
        <w:rFonts w:hint="default" w:ascii="Times New Roman" w:hAnsi="Times New Roman"/>
      </w:rPr>
    </w:lvl>
    <w:lvl w:ilvl="1" w:tentative="0">
      <w:start w:val="1"/>
      <w:numFmt w:val="lowerLetter"/>
      <w:lvlText w:val="%2)"/>
      <w:lvlJc w:val="left"/>
      <w:pPr>
        <w:ind w:left="1305" w:hanging="420"/>
      </w:pPr>
    </w:lvl>
    <w:lvl w:ilvl="2" w:tentative="0">
      <w:start w:val="1"/>
      <w:numFmt w:val="lowerRoman"/>
      <w:lvlText w:val="%3."/>
      <w:lvlJc w:val="right"/>
      <w:pPr>
        <w:ind w:left="1725" w:hanging="420"/>
      </w:pPr>
    </w:lvl>
    <w:lvl w:ilvl="3" w:tentative="0">
      <w:start w:val="1"/>
      <w:numFmt w:val="decimal"/>
      <w:lvlText w:val="%4."/>
      <w:lvlJc w:val="left"/>
      <w:pPr>
        <w:ind w:left="2145" w:hanging="420"/>
      </w:pPr>
    </w:lvl>
    <w:lvl w:ilvl="4" w:tentative="0">
      <w:start w:val="1"/>
      <w:numFmt w:val="lowerLetter"/>
      <w:lvlText w:val="%5)"/>
      <w:lvlJc w:val="left"/>
      <w:pPr>
        <w:ind w:left="2565" w:hanging="420"/>
      </w:pPr>
    </w:lvl>
    <w:lvl w:ilvl="5" w:tentative="0">
      <w:start w:val="1"/>
      <w:numFmt w:val="lowerRoman"/>
      <w:lvlText w:val="%6."/>
      <w:lvlJc w:val="right"/>
      <w:pPr>
        <w:ind w:left="2985" w:hanging="420"/>
      </w:pPr>
    </w:lvl>
    <w:lvl w:ilvl="6" w:tentative="0">
      <w:start w:val="1"/>
      <w:numFmt w:val="decimal"/>
      <w:lvlText w:val="%7."/>
      <w:lvlJc w:val="left"/>
      <w:pPr>
        <w:ind w:left="3405" w:hanging="420"/>
      </w:pPr>
    </w:lvl>
    <w:lvl w:ilvl="7" w:tentative="0">
      <w:start w:val="1"/>
      <w:numFmt w:val="lowerLetter"/>
      <w:lvlText w:val="%8)"/>
      <w:lvlJc w:val="left"/>
      <w:pPr>
        <w:ind w:left="3825" w:hanging="420"/>
      </w:pPr>
    </w:lvl>
    <w:lvl w:ilvl="8" w:tentative="0">
      <w:start w:val="1"/>
      <w:numFmt w:val="lowerRoman"/>
      <w:lvlText w:val="%9."/>
      <w:lvlJc w:val="right"/>
      <w:pPr>
        <w:ind w:left="4245"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gutterAtTop/>
  <w:hideSpellingErrors/>
  <w:documentProtection w:enforcement="0"/>
  <w:defaultTabStop w:val="420"/>
  <w:drawingGridHorizontalSpacing w:val="105"/>
  <w:drawingGridVerticalSpacing w:val="161"/>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Q5NTY0MjQ1MzUyMzFmZjU0MDAzODFhMzhiMTM5ZTYifQ=="/>
  </w:docVars>
  <w:rsids>
    <w:rsidRoot w:val="008E1CAE"/>
    <w:rsid w:val="00005683"/>
    <w:rsid w:val="000066FB"/>
    <w:rsid w:val="00016946"/>
    <w:rsid w:val="0002114C"/>
    <w:rsid w:val="000259FB"/>
    <w:rsid w:val="00025C2C"/>
    <w:rsid w:val="00034191"/>
    <w:rsid w:val="000352F1"/>
    <w:rsid w:val="00036F51"/>
    <w:rsid w:val="00037A9B"/>
    <w:rsid w:val="000406A1"/>
    <w:rsid w:val="00044E44"/>
    <w:rsid w:val="000500AF"/>
    <w:rsid w:val="00050F49"/>
    <w:rsid w:val="00053E6B"/>
    <w:rsid w:val="000611EC"/>
    <w:rsid w:val="000625BF"/>
    <w:rsid w:val="000666F6"/>
    <w:rsid w:val="0008039D"/>
    <w:rsid w:val="000817CF"/>
    <w:rsid w:val="000827E6"/>
    <w:rsid w:val="00084E25"/>
    <w:rsid w:val="00087641"/>
    <w:rsid w:val="000934A7"/>
    <w:rsid w:val="00095358"/>
    <w:rsid w:val="000A305F"/>
    <w:rsid w:val="000A3071"/>
    <w:rsid w:val="000A33DE"/>
    <w:rsid w:val="000A4898"/>
    <w:rsid w:val="000A4E20"/>
    <w:rsid w:val="000A67FC"/>
    <w:rsid w:val="000A75E7"/>
    <w:rsid w:val="000A7F8B"/>
    <w:rsid w:val="000B276C"/>
    <w:rsid w:val="000B345A"/>
    <w:rsid w:val="000B35BC"/>
    <w:rsid w:val="000B44D4"/>
    <w:rsid w:val="000B524F"/>
    <w:rsid w:val="000B6F04"/>
    <w:rsid w:val="000C4038"/>
    <w:rsid w:val="000D06AF"/>
    <w:rsid w:val="000D3977"/>
    <w:rsid w:val="000D5354"/>
    <w:rsid w:val="000E08BF"/>
    <w:rsid w:val="000E1DCF"/>
    <w:rsid w:val="000E3203"/>
    <w:rsid w:val="000E34FC"/>
    <w:rsid w:val="000E5059"/>
    <w:rsid w:val="000E70ED"/>
    <w:rsid w:val="000F0B0F"/>
    <w:rsid w:val="000F1A37"/>
    <w:rsid w:val="000F1D75"/>
    <w:rsid w:val="000F4F85"/>
    <w:rsid w:val="000F7738"/>
    <w:rsid w:val="00104BB8"/>
    <w:rsid w:val="00104DA9"/>
    <w:rsid w:val="00106794"/>
    <w:rsid w:val="00106BD5"/>
    <w:rsid w:val="00107D3A"/>
    <w:rsid w:val="001125F3"/>
    <w:rsid w:val="00115389"/>
    <w:rsid w:val="0011573E"/>
    <w:rsid w:val="00116AE4"/>
    <w:rsid w:val="00117411"/>
    <w:rsid w:val="00120B35"/>
    <w:rsid w:val="00121A92"/>
    <w:rsid w:val="00122D9B"/>
    <w:rsid w:val="00123E25"/>
    <w:rsid w:val="00123F3E"/>
    <w:rsid w:val="00124EE0"/>
    <w:rsid w:val="00131BA3"/>
    <w:rsid w:val="001349FE"/>
    <w:rsid w:val="001361F9"/>
    <w:rsid w:val="001402E6"/>
    <w:rsid w:val="00140679"/>
    <w:rsid w:val="00140AFD"/>
    <w:rsid w:val="001414E9"/>
    <w:rsid w:val="00143143"/>
    <w:rsid w:val="0014380F"/>
    <w:rsid w:val="0014756A"/>
    <w:rsid w:val="00151469"/>
    <w:rsid w:val="00151E46"/>
    <w:rsid w:val="00152D87"/>
    <w:rsid w:val="001538A2"/>
    <w:rsid w:val="00156CA7"/>
    <w:rsid w:val="00157B3E"/>
    <w:rsid w:val="001648EC"/>
    <w:rsid w:val="00164F6D"/>
    <w:rsid w:val="001661FD"/>
    <w:rsid w:val="00170347"/>
    <w:rsid w:val="00174D35"/>
    <w:rsid w:val="00174EC3"/>
    <w:rsid w:val="00175875"/>
    <w:rsid w:val="00177714"/>
    <w:rsid w:val="0018087D"/>
    <w:rsid w:val="00186C85"/>
    <w:rsid w:val="00187C94"/>
    <w:rsid w:val="001939B5"/>
    <w:rsid w:val="00197C6B"/>
    <w:rsid w:val="001A42B0"/>
    <w:rsid w:val="001B2C16"/>
    <w:rsid w:val="001C20E6"/>
    <w:rsid w:val="001C2510"/>
    <w:rsid w:val="001D063A"/>
    <w:rsid w:val="001D1644"/>
    <w:rsid w:val="001D1C33"/>
    <w:rsid w:val="001E2E76"/>
    <w:rsid w:val="001E3E9D"/>
    <w:rsid w:val="001F4CEB"/>
    <w:rsid w:val="001F58C1"/>
    <w:rsid w:val="001F5F0D"/>
    <w:rsid w:val="002028C3"/>
    <w:rsid w:val="0021052D"/>
    <w:rsid w:val="0021068C"/>
    <w:rsid w:val="00211554"/>
    <w:rsid w:val="00213CC4"/>
    <w:rsid w:val="00215D54"/>
    <w:rsid w:val="0022473D"/>
    <w:rsid w:val="00226FBF"/>
    <w:rsid w:val="0022772A"/>
    <w:rsid w:val="002305FF"/>
    <w:rsid w:val="00234F59"/>
    <w:rsid w:val="00242B69"/>
    <w:rsid w:val="002435F1"/>
    <w:rsid w:val="00250486"/>
    <w:rsid w:val="002558E2"/>
    <w:rsid w:val="00255C57"/>
    <w:rsid w:val="00255F8F"/>
    <w:rsid w:val="00256646"/>
    <w:rsid w:val="00257579"/>
    <w:rsid w:val="002631AF"/>
    <w:rsid w:val="0026628A"/>
    <w:rsid w:val="00266CD6"/>
    <w:rsid w:val="00270F74"/>
    <w:rsid w:val="002748BF"/>
    <w:rsid w:val="00280A7F"/>
    <w:rsid w:val="002847C1"/>
    <w:rsid w:val="00290EC0"/>
    <w:rsid w:val="002A0668"/>
    <w:rsid w:val="002A49E9"/>
    <w:rsid w:val="002A4A9A"/>
    <w:rsid w:val="002A53BA"/>
    <w:rsid w:val="002A61B2"/>
    <w:rsid w:val="002A799E"/>
    <w:rsid w:val="002B0484"/>
    <w:rsid w:val="002B59E5"/>
    <w:rsid w:val="002B720A"/>
    <w:rsid w:val="002B7E64"/>
    <w:rsid w:val="002C6D26"/>
    <w:rsid w:val="002D2510"/>
    <w:rsid w:val="002D37F7"/>
    <w:rsid w:val="002D64D7"/>
    <w:rsid w:val="002E043F"/>
    <w:rsid w:val="002E18F2"/>
    <w:rsid w:val="002E317E"/>
    <w:rsid w:val="002F093F"/>
    <w:rsid w:val="00313B8A"/>
    <w:rsid w:val="00313F4A"/>
    <w:rsid w:val="0032356E"/>
    <w:rsid w:val="00327ECB"/>
    <w:rsid w:val="00330ED4"/>
    <w:rsid w:val="00334310"/>
    <w:rsid w:val="00336F25"/>
    <w:rsid w:val="00344093"/>
    <w:rsid w:val="003466D4"/>
    <w:rsid w:val="003611E0"/>
    <w:rsid w:val="00361F03"/>
    <w:rsid w:val="003708F4"/>
    <w:rsid w:val="0037167A"/>
    <w:rsid w:val="00371857"/>
    <w:rsid w:val="00371C17"/>
    <w:rsid w:val="0037239A"/>
    <w:rsid w:val="00375C14"/>
    <w:rsid w:val="00376039"/>
    <w:rsid w:val="00377CB1"/>
    <w:rsid w:val="00385CD2"/>
    <w:rsid w:val="00393E15"/>
    <w:rsid w:val="00393F02"/>
    <w:rsid w:val="003A1B74"/>
    <w:rsid w:val="003A232B"/>
    <w:rsid w:val="003A4E32"/>
    <w:rsid w:val="003B0468"/>
    <w:rsid w:val="003B643D"/>
    <w:rsid w:val="003C5CB2"/>
    <w:rsid w:val="003C78C6"/>
    <w:rsid w:val="003D3082"/>
    <w:rsid w:val="003D6753"/>
    <w:rsid w:val="003E05DC"/>
    <w:rsid w:val="003E4A03"/>
    <w:rsid w:val="003E5BD9"/>
    <w:rsid w:val="003E6DFF"/>
    <w:rsid w:val="003F6BD8"/>
    <w:rsid w:val="003F74CE"/>
    <w:rsid w:val="003F7702"/>
    <w:rsid w:val="00400C65"/>
    <w:rsid w:val="00400FCF"/>
    <w:rsid w:val="004033F9"/>
    <w:rsid w:val="00405275"/>
    <w:rsid w:val="00406EE3"/>
    <w:rsid w:val="00411160"/>
    <w:rsid w:val="00415DCD"/>
    <w:rsid w:val="00417ECC"/>
    <w:rsid w:val="004204C0"/>
    <w:rsid w:val="004225E2"/>
    <w:rsid w:val="00423F55"/>
    <w:rsid w:val="0044547E"/>
    <w:rsid w:val="00445906"/>
    <w:rsid w:val="004510CA"/>
    <w:rsid w:val="00462198"/>
    <w:rsid w:val="00462EB4"/>
    <w:rsid w:val="00467B41"/>
    <w:rsid w:val="004752CD"/>
    <w:rsid w:val="004766FA"/>
    <w:rsid w:val="00477767"/>
    <w:rsid w:val="00480B24"/>
    <w:rsid w:val="00481D61"/>
    <w:rsid w:val="00481F2E"/>
    <w:rsid w:val="004962A3"/>
    <w:rsid w:val="004A28BE"/>
    <w:rsid w:val="004B0DAF"/>
    <w:rsid w:val="004C2CEF"/>
    <w:rsid w:val="004D0B95"/>
    <w:rsid w:val="004D0FF0"/>
    <w:rsid w:val="004D18AF"/>
    <w:rsid w:val="004D500C"/>
    <w:rsid w:val="004D56E5"/>
    <w:rsid w:val="004F2DEB"/>
    <w:rsid w:val="004F344C"/>
    <w:rsid w:val="004F46F6"/>
    <w:rsid w:val="004F520D"/>
    <w:rsid w:val="004F644F"/>
    <w:rsid w:val="004F7605"/>
    <w:rsid w:val="005007F7"/>
    <w:rsid w:val="00510F0A"/>
    <w:rsid w:val="00512925"/>
    <w:rsid w:val="0051619D"/>
    <w:rsid w:val="00521935"/>
    <w:rsid w:val="005257F5"/>
    <w:rsid w:val="00535E1B"/>
    <w:rsid w:val="00536521"/>
    <w:rsid w:val="00537A26"/>
    <w:rsid w:val="00541530"/>
    <w:rsid w:val="005423E3"/>
    <w:rsid w:val="00542D7F"/>
    <w:rsid w:val="00544775"/>
    <w:rsid w:val="00544CD4"/>
    <w:rsid w:val="0055026D"/>
    <w:rsid w:val="00552BE3"/>
    <w:rsid w:val="00560A77"/>
    <w:rsid w:val="00561F21"/>
    <w:rsid w:val="00586408"/>
    <w:rsid w:val="00587DEA"/>
    <w:rsid w:val="00590CD9"/>
    <w:rsid w:val="005923BF"/>
    <w:rsid w:val="00595BE5"/>
    <w:rsid w:val="00596A5A"/>
    <w:rsid w:val="005A051A"/>
    <w:rsid w:val="005A4795"/>
    <w:rsid w:val="005A490F"/>
    <w:rsid w:val="005A5B5E"/>
    <w:rsid w:val="005A5DB7"/>
    <w:rsid w:val="005B2379"/>
    <w:rsid w:val="005B4396"/>
    <w:rsid w:val="005C22DC"/>
    <w:rsid w:val="005C3005"/>
    <w:rsid w:val="005C3682"/>
    <w:rsid w:val="005D0093"/>
    <w:rsid w:val="005D6265"/>
    <w:rsid w:val="005E3375"/>
    <w:rsid w:val="005E691D"/>
    <w:rsid w:val="005F5271"/>
    <w:rsid w:val="005F7F18"/>
    <w:rsid w:val="006029C2"/>
    <w:rsid w:val="00610A51"/>
    <w:rsid w:val="00613D82"/>
    <w:rsid w:val="006175B3"/>
    <w:rsid w:val="00625CD0"/>
    <w:rsid w:val="006306F0"/>
    <w:rsid w:val="00632666"/>
    <w:rsid w:val="00634475"/>
    <w:rsid w:val="00634D58"/>
    <w:rsid w:val="00634DF0"/>
    <w:rsid w:val="00637149"/>
    <w:rsid w:val="006424E2"/>
    <w:rsid w:val="00643BB8"/>
    <w:rsid w:val="0064464E"/>
    <w:rsid w:val="006447CC"/>
    <w:rsid w:val="0065034C"/>
    <w:rsid w:val="00660A1A"/>
    <w:rsid w:val="006627CA"/>
    <w:rsid w:val="00662B47"/>
    <w:rsid w:val="0066500C"/>
    <w:rsid w:val="00665C95"/>
    <w:rsid w:val="0066740E"/>
    <w:rsid w:val="006700D5"/>
    <w:rsid w:val="0067329B"/>
    <w:rsid w:val="006735C3"/>
    <w:rsid w:val="006830EF"/>
    <w:rsid w:val="00683C67"/>
    <w:rsid w:val="0068574D"/>
    <w:rsid w:val="00694789"/>
    <w:rsid w:val="006A56BE"/>
    <w:rsid w:val="006A7FF0"/>
    <w:rsid w:val="006B020E"/>
    <w:rsid w:val="006B29AA"/>
    <w:rsid w:val="006B548B"/>
    <w:rsid w:val="006C0586"/>
    <w:rsid w:val="006C22F5"/>
    <w:rsid w:val="006C4CD7"/>
    <w:rsid w:val="006C5CD7"/>
    <w:rsid w:val="006C61D5"/>
    <w:rsid w:val="006C6EFB"/>
    <w:rsid w:val="006E792B"/>
    <w:rsid w:val="006F4A46"/>
    <w:rsid w:val="00700689"/>
    <w:rsid w:val="00700F65"/>
    <w:rsid w:val="00704311"/>
    <w:rsid w:val="007053D2"/>
    <w:rsid w:val="0070795E"/>
    <w:rsid w:val="007110C4"/>
    <w:rsid w:val="0071450E"/>
    <w:rsid w:val="00714B03"/>
    <w:rsid w:val="00715ABB"/>
    <w:rsid w:val="00716408"/>
    <w:rsid w:val="00720691"/>
    <w:rsid w:val="00721E3F"/>
    <w:rsid w:val="00722255"/>
    <w:rsid w:val="00723BD9"/>
    <w:rsid w:val="00726CDC"/>
    <w:rsid w:val="00727099"/>
    <w:rsid w:val="00727DB2"/>
    <w:rsid w:val="00731677"/>
    <w:rsid w:val="00732EF1"/>
    <w:rsid w:val="00734143"/>
    <w:rsid w:val="00740DD4"/>
    <w:rsid w:val="00743316"/>
    <w:rsid w:val="00743DBA"/>
    <w:rsid w:val="0074785D"/>
    <w:rsid w:val="00756DFE"/>
    <w:rsid w:val="00760B0B"/>
    <w:rsid w:val="00764640"/>
    <w:rsid w:val="00771F27"/>
    <w:rsid w:val="00773916"/>
    <w:rsid w:val="00782379"/>
    <w:rsid w:val="00782504"/>
    <w:rsid w:val="007825C3"/>
    <w:rsid w:val="00785701"/>
    <w:rsid w:val="0079057B"/>
    <w:rsid w:val="00790756"/>
    <w:rsid w:val="0079248C"/>
    <w:rsid w:val="007933BA"/>
    <w:rsid w:val="00795219"/>
    <w:rsid w:val="007A1497"/>
    <w:rsid w:val="007A60DD"/>
    <w:rsid w:val="007A712F"/>
    <w:rsid w:val="007B408A"/>
    <w:rsid w:val="007B4EFA"/>
    <w:rsid w:val="007B7F49"/>
    <w:rsid w:val="007C14A4"/>
    <w:rsid w:val="007C26F0"/>
    <w:rsid w:val="007C377F"/>
    <w:rsid w:val="007D1C52"/>
    <w:rsid w:val="007D1CD7"/>
    <w:rsid w:val="007D2541"/>
    <w:rsid w:val="007D36C5"/>
    <w:rsid w:val="007D3794"/>
    <w:rsid w:val="007E22F8"/>
    <w:rsid w:val="007E2861"/>
    <w:rsid w:val="007E28F1"/>
    <w:rsid w:val="007F12E2"/>
    <w:rsid w:val="007F1408"/>
    <w:rsid w:val="007F19DA"/>
    <w:rsid w:val="007F3D79"/>
    <w:rsid w:val="007F5D16"/>
    <w:rsid w:val="007F64A6"/>
    <w:rsid w:val="0080150A"/>
    <w:rsid w:val="00811025"/>
    <w:rsid w:val="0082164D"/>
    <w:rsid w:val="00821CB7"/>
    <w:rsid w:val="00821FAA"/>
    <w:rsid w:val="0082228B"/>
    <w:rsid w:val="00822F1E"/>
    <w:rsid w:val="00824A45"/>
    <w:rsid w:val="00826C95"/>
    <w:rsid w:val="00831A3B"/>
    <w:rsid w:val="00832B8A"/>
    <w:rsid w:val="00835626"/>
    <w:rsid w:val="00835835"/>
    <w:rsid w:val="008403ED"/>
    <w:rsid w:val="00840AC1"/>
    <w:rsid w:val="00843C08"/>
    <w:rsid w:val="00845BAD"/>
    <w:rsid w:val="00846E2B"/>
    <w:rsid w:val="00851707"/>
    <w:rsid w:val="00852394"/>
    <w:rsid w:val="00853D14"/>
    <w:rsid w:val="008551EE"/>
    <w:rsid w:val="008569D7"/>
    <w:rsid w:val="00860785"/>
    <w:rsid w:val="008612B2"/>
    <w:rsid w:val="00864F75"/>
    <w:rsid w:val="00865EC9"/>
    <w:rsid w:val="00867CF2"/>
    <w:rsid w:val="00870577"/>
    <w:rsid w:val="008729F5"/>
    <w:rsid w:val="00872E18"/>
    <w:rsid w:val="00874363"/>
    <w:rsid w:val="00874DA6"/>
    <w:rsid w:val="0088087C"/>
    <w:rsid w:val="00881EB3"/>
    <w:rsid w:val="008832F3"/>
    <w:rsid w:val="00884740"/>
    <w:rsid w:val="00884975"/>
    <w:rsid w:val="008871BA"/>
    <w:rsid w:val="00894E91"/>
    <w:rsid w:val="0089704F"/>
    <w:rsid w:val="008A3329"/>
    <w:rsid w:val="008A7B7A"/>
    <w:rsid w:val="008B02B3"/>
    <w:rsid w:val="008B07B4"/>
    <w:rsid w:val="008B2988"/>
    <w:rsid w:val="008B3EB8"/>
    <w:rsid w:val="008B4286"/>
    <w:rsid w:val="008B4D35"/>
    <w:rsid w:val="008B72D3"/>
    <w:rsid w:val="008C5659"/>
    <w:rsid w:val="008C79D4"/>
    <w:rsid w:val="008D2CE5"/>
    <w:rsid w:val="008D439E"/>
    <w:rsid w:val="008D74CA"/>
    <w:rsid w:val="008E0147"/>
    <w:rsid w:val="008E1359"/>
    <w:rsid w:val="008E1CAE"/>
    <w:rsid w:val="008E338C"/>
    <w:rsid w:val="008F382E"/>
    <w:rsid w:val="008F4075"/>
    <w:rsid w:val="008F465C"/>
    <w:rsid w:val="00900F6C"/>
    <w:rsid w:val="00902059"/>
    <w:rsid w:val="00902C0F"/>
    <w:rsid w:val="0090397E"/>
    <w:rsid w:val="00903CFA"/>
    <w:rsid w:val="00903E98"/>
    <w:rsid w:val="00905775"/>
    <w:rsid w:val="0090702C"/>
    <w:rsid w:val="0092143C"/>
    <w:rsid w:val="00931E30"/>
    <w:rsid w:val="00937BAF"/>
    <w:rsid w:val="00940362"/>
    <w:rsid w:val="00944073"/>
    <w:rsid w:val="009470FB"/>
    <w:rsid w:val="00947A6D"/>
    <w:rsid w:val="009520F8"/>
    <w:rsid w:val="0095344B"/>
    <w:rsid w:val="009562DF"/>
    <w:rsid w:val="00957387"/>
    <w:rsid w:val="009679E7"/>
    <w:rsid w:val="00973DCD"/>
    <w:rsid w:val="00980806"/>
    <w:rsid w:val="009829A4"/>
    <w:rsid w:val="0098397D"/>
    <w:rsid w:val="00990E29"/>
    <w:rsid w:val="009A7C26"/>
    <w:rsid w:val="009B021F"/>
    <w:rsid w:val="009B2680"/>
    <w:rsid w:val="009C0150"/>
    <w:rsid w:val="009C0C32"/>
    <w:rsid w:val="009C45C5"/>
    <w:rsid w:val="009D4936"/>
    <w:rsid w:val="009D635E"/>
    <w:rsid w:val="009E13BB"/>
    <w:rsid w:val="009E2784"/>
    <w:rsid w:val="009E552D"/>
    <w:rsid w:val="009E7627"/>
    <w:rsid w:val="009F0EF4"/>
    <w:rsid w:val="009F2A49"/>
    <w:rsid w:val="009F2D26"/>
    <w:rsid w:val="009F6D9B"/>
    <w:rsid w:val="00A002AF"/>
    <w:rsid w:val="00A0521B"/>
    <w:rsid w:val="00A2179D"/>
    <w:rsid w:val="00A255B5"/>
    <w:rsid w:val="00A25957"/>
    <w:rsid w:val="00A33D53"/>
    <w:rsid w:val="00A35265"/>
    <w:rsid w:val="00A40968"/>
    <w:rsid w:val="00A424F3"/>
    <w:rsid w:val="00A533C6"/>
    <w:rsid w:val="00A558C8"/>
    <w:rsid w:val="00A55FB3"/>
    <w:rsid w:val="00A66557"/>
    <w:rsid w:val="00A67246"/>
    <w:rsid w:val="00A744C2"/>
    <w:rsid w:val="00A74995"/>
    <w:rsid w:val="00A81B1D"/>
    <w:rsid w:val="00A83AC9"/>
    <w:rsid w:val="00A84996"/>
    <w:rsid w:val="00A926E3"/>
    <w:rsid w:val="00AA0763"/>
    <w:rsid w:val="00AA1847"/>
    <w:rsid w:val="00AB5096"/>
    <w:rsid w:val="00AB6FDA"/>
    <w:rsid w:val="00AB7BC7"/>
    <w:rsid w:val="00AB7D06"/>
    <w:rsid w:val="00AC0894"/>
    <w:rsid w:val="00AC3A24"/>
    <w:rsid w:val="00AC47BD"/>
    <w:rsid w:val="00AC7759"/>
    <w:rsid w:val="00AD0567"/>
    <w:rsid w:val="00AD4D5E"/>
    <w:rsid w:val="00AD69AE"/>
    <w:rsid w:val="00AE07B2"/>
    <w:rsid w:val="00AE3F37"/>
    <w:rsid w:val="00AE5D73"/>
    <w:rsid w:val="00AE7730"/>
    <w:rsid w:val="00AF0FEF"/>
    <w:rsid w:val="00AF2C49"/>
    <w:rsid w:val="00AF4FE5"/>
    <w:rsid w:val="00AF5068"/>
    <w:rsid w:val="00AF7CDC"/>
    <w:rsid w:val="00B03503"/>
    <w:rsid w:val="00B03DE6"/>
    <w:rsid w:val="00B040F4"/>
    <w:rsid w:val="00B05142"/>
    <w:rsid w:val="00B05C72"/>
    <w:rsid w:val="00B0644B"/>
    <w:rsid w:val="00B07985"/>
    <w:rsid w:val="00B079DD"/>
    <w:rsid w:val="00B12C31"/>
    <w:rsid w:val="00B20697"/>
    <w:rsid w:val="00B209E0"/>
    <w:rsid w:val="00B22BD9"/>
    <w:rsid w:val="00B23AA4"/>
    <w:rsid w:val="00B24F03"/>
    <w:rsid w:val="00B31D50"/>
    <w:rsid w:val="00B33785"/>
    <w:rsid w:val="00B34BC1"/>
    <w:rsid w:val="00B40AEA"/>
    <w:rsid w:val="00B40E53"/>
    <w:rsid w:val="00B41B40"/>
    <w:rsid w:val="00B43EE2"/>
    <w:rsid w:val="00B46E6E"/>
    <w:rsid w:val="00B5220D"/>
    <w:rsid w:val="00B5493A"/>
    <w:rsid w:val="00B60401"/>
    <w:rsid w:val="00B62703"/>
    <w:rsid w:val="00B665AC"/>
    <w:rsid w:val="00B66858"/>
    <w:rsid w:val="00B67346"/>
    <w:rsid w:val="00B7145C"/>
    <w:rsid w:val="00B778FC"/>
    <w:rsid w:val="00B8423D"/>
    <w:rsid w:val="00B849ED"/>
    <w:rsid w:val="00B95A5B"/>
    <w:rsid w:val="00B960B0"/>
    <w:rsid w:val="00B9729F"/>
    <w:rsid w:val="00BA3638"/>
    <w:rsid w:val="00BA3838"/>
    <w:rsid w:val="00BB4353"/>
    <w:rsid w:val="00BC34A7"/>
    <w:rsid w:val="00BC6AD9"/>
    <w:rsid w:val="00BD0771"/>
    <w:rsid w:val="00BD13D1"/>
    <w:rsid w:val="00BD28BF"/>
    <w:rsid w:val="00BE0DDC"/>
    <w:rsid w:val="00BE3709"/>
    <w:rsid w:val="00BE4005"/>
    <w:rsid w:val="00BE6F3B"/>
    <w:rsid w:val="00BF340B"/>
    <w:rsid w:val="00BF4322"/>
    <w:rsid w:val="00C063CB"/>
    <w:rsid w:val="00C102CA"/>
    <w:rsid w:val="00C1392B"/>
    <w:rsid w:val="00C14F55"/>
    <w:rsid w:val="00C21885"/>
    <w:rsid w:val="00C23345"/>
    <w:rsid w:val="00C2396A"/>
    <w:rsid w:val="00C25CDB"/>
    <w:rsid w:val="00C31E70"/>
    <w:rsid w:val="00C321E3"/>
    <w:rsid w:val="00C32DDC"/>
    <w:rsid w:val="00C33556"/>
    <w:rsid w:val="00C41404"/>
    <w:rsid w:val="00C43F68"/>
    <w:rsid w:val="00C44A82"/>
    <w:rsid w:val="00C4661A"/>
    <w:rsid w:val="00C54342"/>
    <w:rsid w:val="00C60FB4"/>
    <w:rsid w:val="00C61DD2"/>
    <w:rsid w:val="00C629C6"/>
    <w:rsid w:val="00C63616"/>
    <w:rsid w:val="00C65D76"/>
    <w:rsid w:val="00C66B2E"/>
    <w:rsid w:val="00C673A7"/>
    <w:rsid w:val="00C70AF7"/>
    <w:rsid w:val="00C70E69"/>
    <w:rsid w:val="00C718B6"/>
    <w:rsid w:val="00C719D4"/>
    <w:rsid w:val="00C726B1"/>
    <w:rsid w:val="00C7272D"/>
    <w:rsid w:val="00C73646"/>
    <w:rsid w:val="00C74E6C"/>
    <w:rsid w:val="00C8060C"/>
    <w:rsid w:val="00C83381"/>
    <w:rsid w:val="00C83C6C"/>
    <w:rsid w:val="00C86910"/>
    <w:rsid w:val="00C90B5D"/>
    <w:rsid w:val="00C93424"/>
    <w:rsid w:val="00C938A9"/>
    <w:rsid w:val="00C93B07"/>
    <w:rsid w:val="00C93CA1"/>
    <w:rsid w:val="00C946F7"/>
    <w:rsid w:val="00C9555C"/>
    <w:rsid w:val="00C9609D"/>
    <w:rsid w:val="00C96436"/>
    <w:rsid w:val="00CA3E21"/>
    <w:rsid w:val="00CA5001"/>
    <w:rsid w:val="00CA55C4"/>
    <w:rsid w:val="00CB29D7"/>
    <w:rsid w:val="00CB47B0"/>
    <w:rsid w:val="00CB652B"/>
    <w:rsid w:val="00CB6E22"/>
    <w:rsid w:val="00CC16DF"/>
    <w:rsid w:val="00CD22A0"/>
    <w:rsid w:val="00CD4742"/>
    <w:rsid w:val="00CD487E"/>
    <w:rsid w:val="00CD4E77"/>
    <w:rsid w:val="00CD5B7D"/>
    <w:rsid w:val="00CE3AA7"/>
    <w:rsid w:val="00CE477F"/>
    <w:rsid w:val="00CE4807"/>
    <w:rsid w:val="00CE524A"/>
    <w:rsid w:val="00CF32E8"/>
    <w:rsid w:val="00CF799F"/>
    <w:rsid w:val="00D0018D"/>
    <w:rsid w:val="00D009EF"/>
    <w:rsid w:val="00D00FB9"/>
    <w:rsid w:val="00D01CBC"/>
    <w:rsid w:val="00D0779D"/>
    <w:rsid w:val="00D1243D"/>
    <w:rsid w:val="00D2178E"/>
    <w:rsid w:val="00D21873"/>
    <w:rsid w:val="00D218DF"/>
    <w:rsid w:val="00D236B6"/>
    <w:rsid w:val="00D3491A"/>
    <w:rsid w:val="00D36C69"/>
    <w:rsid w:val="00D403D4"/>
    <w:rsid w:val="00D50DF6"/>
    <w:rsid w:val="00D52BF4"/>
    <w:rsid w:val="00D5354F"/>
    <w:rsid w:val="00D55D05"/>
    <w:rsid w:val="00D5679E"/>
    <w:rsid w:val="00D5685D"/>
    <w:rsid w:val="00D601AC"/>
    <w:rsid w:val="00D6188A"/>
    <w:rsid w:val="00D626BC"/>
    <w:rsid w:val="00D64293"/>
    <w:rsid w:val="00D64B14"/>
    <w:rsid w:val="00D66951"/>
    <w:rsid w:val="00D70D86"/>
    <w:rsid w:val="00D7103A"/>
    <w:rsid w:val="00D71D1F"/>
    <w:rsid w:val="00D80580"/>
    <w:rsid w:val="00D81131"/>
    <w:rsid w:val="00D840F4"/>
    <w:rsid w:val="00D853F4"/>
    <w:rsid w:val="00D92358"/>
    <w:rsid w:val="00D93EBB"/>
    <w:rsid w:val="00D9556C"/>
    <w:rsid w:val="00D957E5"/>
    <w:rsid w:val="00D96E16"/>
    <w:rsid w:val="00D97575"/>
    <w:rsid w:val="00DA0E36"/>
    <w:rsid w:val="00DA366E"/>
    <w:rsid w:val="00DA6EC4"/>
    <w:rsid w:val="00DB28D7"/>
    <w:rsid w:val="00DB2AC3"/>
    <w:rsid w:val="00DB2E22"/>
    <w:rsid w:val="00DB58F8"/>
    <w:rsid w:val="00DC0493"/>
    <w:rsid w:val="00DC2671"/>
    <w:rsid w:val="00DC5980"/>
    <w:rsid w:val="00DD085E"/>
    <w:rsid w:val="00DD2342"/>
    <w:rsid w:val="00DD29BB"/>
    <w:rsid w:val="00DD3657"/>
    <w:rsid w:val="00DD44D8"/>
    <w:rsid w:val="00DD570C"/>
    <w:rsid w:val="00DE2DC0"/>
    <w:rsid w:val="00DE6C33"/>
    <w:rsid w:val="00DE7203"/>
    <w:rsid w:val="00DF148C"/>
    <w:rsid w:val="00DF6E51"/>
    <w:rsid w:val="00DF754D"/>
    <w:rsid w:val="00E014A5"/>
    <w:rsid w:val="00E109E1"/>
    <w:rsid w:val="00E11244"/>
    <w:rsid w:val="00E17154"/>
    <w:rsid w:val="00E20A93"/>
    <w:rsid w:val="00E20E1D"/>
    <w:rsid w:val="00E21A3A"/>
    <w:rsid w:val="00E239C2"/>
    <w:rsid w:val="00E2407B"/>
    <w:rsid w:val="00E277B4"/>
    <w:rsid w:val="00E31917"/>
    <w:rsid w:val="00E31F2B"/>
    <w:rsid w:val="00E34CA7"/>
    <w:rsid w:val="00E36CAB"/>
    <w:rsid w:val="00E379B6"/>
    <w:rsid w:val="00E401FF"/>
    <w:rsid w:val="00E4210F"/>
    <w:rsid w:val="00E52C62"/>
    <w:rsid w:val="00E575E9"/>
    <w:rsid w:val="00E61520"/>
    <w:rsid w:val="00E64384"/>
    <w:rsid w:val="00E649C6"/>
    <w:rsid w:val="00E66BC3"/>
    <w:rsid w:val="00E730F5"/>
    <w:rsid w:val="00E75B5D"/>
    <w:rsid w:val="00E766DA"/>
    <w:rsid w:val="00E77948"/>
    <w:rsid w:val="00E817F7"/>
    <w:rsid w:val="00E86D1F"/>
    <w:rsid w:val="00E87510"/>
    <w:rsid w:val="00E969DC"/>
    <w:rsid w:val="00EA3B6A"/>
    <w:rsid w:val="00EA7A03"/>
    <w:rsid w:val="00EA7A2A"/>
    <w:rsid w:val="00EB384B"/>
    <w:rsid w:val="00EB453C"/>
    <w:rsid w:val="00EC329B"/>
    <w:rsid w:val="00EC3D3C"/>
    <w:rsid w:val="00EC7898"/>
    <w:rsid w:val="00EC7ED6"/>
    <w:rsid w:val="00ED37A4"/>
    <w:rsid w:val="00ED5396"/>
    <w:rsid w:val="00ED546C"/>
    <w:rsid w:val="00ED6CEE"/>
    <w:rsid w:val="00EE470F"/>
    <w:rsid w:val="00EE7D3F"/>
    <w:rsid w:val="00EF1EB5"/>
    <w:rsid w:val="00EF2B48"/>
    <w:rsid w:val="00EF3DE6"/>
    <w:rsid w:val="00EF40C3"/>
    <w:rsid w:val="00EF493C"/>
    <w:rsid w:val="00EF5B0C"/>
    <w:rsid w:val="00EF6A11"/>
    <w:rsid w:val="00F00B39"/>
    <w:rsid w:val="00F01712"/>
    <w:rsid w:val="00F01745"/>
    <w:rsid w:val="00F05CDC"/>
    <w:rsid w:val="00F06936"/>
    <w:rsid w:val="00F12EB7"/>
    <w:rsid w:val="00F12FA4"/>
    <w:rsid w:val="00F158EB"/>
    <w:rsid w:val="00F22419"/>
    <w:rsid w:val="00F236B1"/>
    <w:rsid w:val="00F26CED"/>
    <w:rsid w:val="00F3675D"/>
    <w:rsid w:val="00F373D0"/>
    <w:rsid w:val="00F43FEC"/>
    <w:rsid w:val="00F46E82"/>
    <w:rsid w:val="00F50272"/>
    <w:rsid w:val="00F50319"/>
    <w:rsid w:val="00F5043F"/>
    <w:rsid w:val="00F51468"/>
    <w:rsid w:val="00F561D4"/>
    <w:rsid w:val="00F61932"/>
    <w:rsid w:val="00F61CEC"/>
    <w:rsid w:val="00F636F8"/>
    <w:rsid w:val="00F67FA2"/>
    <w:rsid w:val="00F7026D"/>
    <w:rsid w:val="00F80C8F"/>
    <w:rsid w:val="00F82D78"/>
    <w:rsid w:val="00F848C7"/>
    <w:rsid w:val="00F85FDE"/>
    <w:rsid w:val="00F92079"/>
    <w:rsid w:val="00F921AF"/>
    <w:rsid w:val="00F92615"/>
    <w:rsid w:val="00F93FEB"/>
    <w:rsid w:val="00F94ECF"/>
    <w:rsid w:val="00F95806"/>
    <w:rsid w:val="00F96441"/>
    <w:rsid w:val="00F97EF8"/>
    <w:rsid w:val="00FA4B39"/>
    <w:rsid w:val="00FA66EE"/>
    <w:rsid w:val="00FA7FE3"/>
    <w:rsid w:val="00FB14A6"/>
    <w:rsid w:val="00FB566E"/>
    <w:rsid w:val="00FB5A5E"/>
    <w:rsid w:val="00FB7B18"/>
    <w:rsid w:val="00FC0996"/>
    <w:rsid w:val="00FC2B6D"/>
    <w:rsid w:val="00FC6FDB"/>
    <w:rsid w:val="00FD13DD"/>
    <w:rsid w:val="00FD4C8E"/>
    <w:rsid w:val="00FD4CD0"/>
    <w:rsid w:val="00FD52B9"/>
    <w:rsid w:val="00FE4A5B"/>
    <w:rsid w:val="00FE6852"/>
    <w:rsid w:val="00FE6A01"/>
    <w:rsid w:val="00FF2109"/>
    <w:rsid w:val="00FF2893"/>
    <w:rsid w:val="00FF5CBA"/>
    <w:rsid w:val="01231E14"/>
    <w:rsid w:val="01A61B7D"/>
    <w:rsid w:val="0226698D"/>
    <w:rsid w:val="02376CDE"/>
    <w:rsid w:val="02DC331B"/>
    <w:rsid w:val="02DE520A"/>
    <w:rsid w:val="030025FD"/>
    <w:rsid w:val="03B80B9D"/>
    <w:rsid w:val="04033D48"/>
    <w:rsid w:val="042768C6"/>
    <w:rsid w:val="042D197B"/>
    <w:rsid w:val="049A5121"/>
    <w:rsid w:val="04BF588C"/>
    <w:rsid w:val="054B5371"/>
    <w:rsid w:val="05AE6C20"/>
    <w:rsid w:val="05B81A70"/>
    <w:rsid w:val="05CA08B8"/>
    <w:rsid w:val="06383765"/>
    <w:rsid w:val="06D77BD5"/>
    <w:rsid w:val="06E67761"/>
    <w:rsid w:val="07215857"/>
    <w:rsid w:val="07330111"/>
    <w:rsid w:val="07A0604A"/>
    <w:rsid w:val="07D25D73"/>
    <w:rsid w:val="08314631"/>
    <w:rsid w:val="08695585"/>
    <w:rsid w:val="09206C35"/>
    <w:rsid w:val="094E2762"/>
    <w:rsid w:val="09613D0E"/>
    <w:rsid w:val="098F1702"/>
    <w:rsid w:val="09BA3AEB"/>
    <w:rsid w:val="09FA38E6"/>
    <w:rsid w:val="0A71033A"/>
    <w:rsid w:val="0A8A75A7"/>
    <w:rsid w:val="0AD936FE"/>
    <w:rsid w:val="0AF85654"/>
    <w:rsid w:val="0AFF1587"/>
    <w:rsid w:val="0B0D62AE"/>
    <w:rsid w:val="0B275333"/>
    <w:rsid w:val="0B31201F"/>
    <w:rsid w:val="0B391B68"/>
    <w:rsid w:val="0B5A13DC"/>
    <w:rsid w:val="0B9578A5"/>
    <w:rsid w:val="0BEF4F39"/>
    <w:rsid w:val="0BFF43DF"/>
    <w:rsid w:val="0C5122DE"/>
    <w:rsid w:val="0CB100E4"/>
    <w:rsid w:val="0CC20A6D"/>
    <w:rsid w:val="0CCB6973"/>
    <w:rsid w:val="0D0C7528"/>
    <w:rsid w:val="0E816BD0"/>
    <w:rsid w:val="0EC049DD"/>
    <w:rsid w:val="0EC4455C"/>
    <w:rsid w:val="0F727E42"/>
    <w:rsid w:val="0FAC0AC3"/>
    <w:rsid w:val="0FCC70AF"/>
    <w:rsid w:val="0FD2028B"/>
    <w:rsid w:val="10353085"/>
    <w:rsid w:val="10674E73"/>
    <w:rsid w:val="10844B22"/>
    <w:rsid w:val="10A5627E"/>
    <w:rsid w:val="10BE587C"/>
    <w:rsid w:val="10DF3253"/>
    <w:rsid w:val="111C6D10"/>
    <w:rsid w:val="11666309"/>
    <w:rsid w:val="11C822B4"/>
    <w:rsid w:val="11D5049D"/>
    <w:rsid w:val="11F00848"/>
    <w:rsid w:val="122D60F2"/>
    <w:rsid w:val="12554597"/>
    <w:rsid w:val="12B720DD"/>
    <w:rsid w:val="133C6F34"/>
    <w:rsid w:val="13842EA1"/>
    <w:rsid w:val="13E946D3"/>
    <w:rsid w:val="145B31C3"/>
    <w:rsid w:val="147B680C"/>
    <w:rsid w:val="154D2E38"/>
    <w:rsid w:val="155D0ED5"/>
    <w:rsid w:val="15791A87"/>
    <w:rsid w:val="15804EED"/>
    <w:rsid w:val="15B3712E"/>
    <w:rsid w:val="15CA545C"/>
    <w:rsid w:val="15F60D0F"/>
    <w:rsid w:val="160C46A9"/>
    <w:rsid w:val="16574505"/>
    <w:rsid w:val="170269D3"/>
    <w:rsid w:val="17122E37"/>
    <w:rsid w:val="17D47448"/>
    <w:rsid w:val="18876269"/>
    <w:rsid w:val="18A41B2D"/>
    <w:rsid w:val="191C1427"/>
    <w:rsid w:val="192A37C4"/>
    <w:rsid w:val="19344D14"/>
    <w:rsid w:val="19803694"/>
    <w:rsid w:val="1A116732"/>
    <w:rsid w:val="1A2975D8"/>
    <w:rsid w:val="1ACF30C8"/>
    <w:rsid w:val="1AF201CD"/>
    <w:rsid w:val="1AF91E57"/>
    <w:rsid w:val="1B6E54FC"/>
    <w:rsid w:val="1CB07D6F"/>
    <w:rsid w:val="1CB4429B"/>
    <w:rsid w:val="1D3D0924"/>
    <w:rsid w:val="1D811B43"/>
    <w:rsid w:val="1E2D288F"/>
    <w:rsid w:val="1E3B3D7D"/>
    <w:rsid w:val="1E602204"/>
    <w:rsid w:val="1EBC0665"/>
    <w:rsid w:val="1ECA7237"/>
    <w:rsid w:val="1F524738"/>
    <w:rsid w:val="1F951717"/>
    <w:rsid w:val="1FBD757B"/>
    <w:rsid w:val="1FFC729E"/>
    <w:rsid w:val="20560812"/>
    <w:rsid w:val="206C46C2"/>
    <w:rsid w:val="209C3EC3"/>
    <w:rsid w:val="21015733"/>
    <w:rsid w:val="21F0576B"/>
    <w:rsid w:val="22B66D05"/>
    <w:rsid w:val="233514E5"/>
    <w:rsid w:val="2406099A"/>
    <w:rsid w:val="24370EDB"/>
    <w:rsid w:val="24426A2A"/>
    <w:rsid w:val="247955FF"/>
    <w:rsid w:val="24A02EC9"/>
    <w:rsid w:val="25442822"/>
    <w:rsid w:val="255D282B"/>
    <w:rsid w:val="25904F1B"/>
    <w:rsid w:val="25A2164D"/>
    <w:rsid w:val="25B50708"/>
    <w:rsid w:val="25B53E4D"/>
    <w:rsid w:val="25C910D4"/>
    <w:rsid w:val="25F5747D"/>
    <w:rsid w:val="25F66F51"/>
    <w:rsid w:val="265C0485"/>
    <w:rsid w:val="267B5F01"/>
    <w:rsid w:val="267E0A15"/>
    <w:rsid w:val="26CB0B1D"/>
    <w:rsid w:val="27554102"/>
    <w:rsid w:val="27681EE6"/>
    <w:rsid w:val="28011A07"/>
    <w:rsid w:val="281D3D2A"/>
    <w:rsid w:val="28681C13"/>
    <w:rsid w:val="28E24559"/>
    <w:rsid w:val="28FF7D52"/>
    <w:rsid w:val="292F44DF"/>
    <w:rsid w:val="29880EEF"/>
    <w:rsid w:val="29B66771"/>
    <w:rsid w:val="2A0911D4"/>
    <w:rsid w:val="2A7C693E"/>
    <w:rsid w:val="2AE35DF6"/>
    <w:rsid w:val="2AEF1948"/>
    <w:rsid w:val="2B3E46D8"/>
    <w:rsid w:val="2B9117D9"/>
    <w:rsid w:val="2BF56F38"/>
    <w:rsid w:val="2C1F5C79"/>
    <w:rsid w:val="2C4C2C2D"/>
    <w:rsid w:val="2C7066B0"/>
    <w:rsid w:val="2CA23219"/>
    <w:rsid w:val="2CA5144C"/>
    <w:rsid w:val="2CB2345D"/>
    <w:rsid w:val="2D825525"/>
    <w:rsid w:val="2DA719F0"/>
    <w:rsid w:val="2E3F465C"/>
    <w:rsid w:val="2E915207"/>
    <w:rsid w:val="2EA0058E"/>
    <w:rsid w:val="2EAE055E"/>
    <w:rsid w:val="2ED31DBC"/>
    <w:rsid w:val="2F387523"/>
    <w:rsid w:val="2F5D404E"/>
    <w:rsid w:val="2F77729B"/>
    <w:rsid w:val="2F807842"/>
    <w:rsid w:val="2F8F1C84"/>
    <w:rsid w:val="2FB35E69"/>
    <w:rsid w:val="302D39D3"/>
    <w:rsid w:val="30564A47"/>
    <w:rsid w:val="30FF0011"/>
    <w:rsid w:val="314F3464"/>
    <w:rsid w:val="32436614"/>
    <w:rsid w:val="32607C71"/>
    <w:rsid w:val="32CC2E76"/>
    <w:rsid w:val="32EB1FD7"/>
    <w:rsid w:val="33010C9A"/>
    <w:rsid w:val="3366756F"/>
    <w:rsid w:val="337C372F"/>
    <w:rsid w:val="33811DDB"/>
    <w:rsid w:val="339A7E32"/>
    <w:rsid w:val="33A714C1"/>
    <w:rsid w:val="34283170"/>
    <w:rsid w:val="34E46D94"/>
    <w:rsid w:val="35374E47"/>
    <w:rsid w:val="35416A92"/>
    <w:rsid w:val="35730468"/>
    <w:rsid w:val="35B300D7"/>
    <w:rsid w:val="35BA7CA2"/>
    <w:rsid w:val="35F15C97"/>
    <w:rsid w:val="360016DD"/>
    <w:rsid w:val="365B1079"/>
    <w:rsid w:val="36783744"/>
    <w:rsid w:val="368E0B6F"/>
    <w:rsid w:val="36F85982"/>
    <w:rsid w:val="37501333"/>
    <w:rsid w:val="379C5910"/>
    <w:rsid w:val="38375804"/>
    <w:rsid w:val="386E05E7"/>
    <w:rsid w:val="39A456E1"/>
    <w:rsid w:val="39E577F2"/>
    <w:rsid w:val="3AEE5200"/>
    <w:rsid w:val="3BAF0772"/>
    <w:rsid w:val="3BB4378E"/>
    <w:rsid w:val="3BC97604"/>
    <w:rsid w:val="3BDC22A4"/>
    <w:rsid w:val="3BDF3B42"/>
    <w:rsid w:val="3BFB1364"/>
    <w:rsid w:val="3C083D41"/>
    <w:rsid w:val="3C152F81"/>
    <w:rsid w:val="3C165F8E"/>
    <w:rsid w:val="3C355E58"/>
    <w:rsid w:val="3CC44AC5"/>
    <w:rsid w:val="3CD52916"/>
    <w:rsid w:val="3CE17243"/>
    <w:rsid w:val="3CE210E6"/>
    <w:rsid w:val="3D204C6E"/>
    <w:rsid w:val="3D7667BC"/>
    <w:rsid w:val="3DBD1939"/>
    <w:rsid w:val="3DFE5A8A"/>
    <w:rsid w:val="3E30768D"/>
    <w:rsid w:val="3E502BE9"/>
    <w:rsid w:val="3E976956"/>
    <w:rsid w:val="3F171325"/>
    <w:rsid w:val="3F5E1222"/>
    <w:rsid w:val="3F95733A"/>
    <w:rsid w:val="3FA75736"/>
    <w:rsid w:val="3FCB67B3"/>
    <w:rsid w:val="3FEE21A7"/>
    <w:rsid w:val="40142AD5"/>
    <w:rsid w:val="402570DE"/>
    <w:rsid w:val="402575A3"/>
    <w:rsid w:val="402661E4"/>
    <w:rsid w:val="40E907ED"/>
    <w:rsid w:val="40F7192E"/>
    <w:rsid w:val="41126768"/>
    <w:rsid w:val="41153DDA"/>
    <w:rsid w:val="411E6964"/>
    <w:rsid w:val="41984CEA"/>
    <w:rsid w:val="41A41AB6"/>
    <w:rsid w:val="42002183"/>
    <w:rsid w:val="42031BD9"/>
    <w:rsid w:val="42046EE2"/>
    <w:rsid w:val="421A5B81"/>
    <w:rsid w:val="42367717"/>
    <w:rsid w:val="425A4997"/>
    <w:rsid w:val="42641245"/>
    <w:rsid w:val="428D02A1"/>
    <w:rsid w:val="42B13A0C"/>
    <w:rsid w:val="42DB1A7E"/>
    <w:rsid w:val="433367ED"/>
    <w:rsid w:val="435F418F"/>
    <w:rsid w:val="43655275"/>
    <w:rsid w:val="43A76439"/>
    <w:rsid w:val="43D4668C"/>
    <w:rsid w:val="43DA644B"/>
    <w:rsid w:val="442A16D5"/>
    <w:rsid w:val="443522A6"/>
    <w:rsid w:val="4463064D"/>
    <w:rsid w:val="447B1636"/>
    <w:rsid w:val="449776B0"/>
    <w:rsid w:val="44A67746"/>
    <w:rsid w:val="44AD17CC"/>
    <w:rsid w:val="44E26451"/>
    <w:rsid w:val="458B15EA"/>
    <w:rsid w:val="459A64EE"/>
    <w:rsid w:val="45E227C6"/>
    <w:rsid w:val="47040720"/>
    <w:rsid w:val="47045E92"/>
    <w:rsid w:val="471B77D4"/>
    <w:rsid w:val="477E4B57"/>
    <w:rsid w:val="47E524E0"/>
    <w:rsid w:val="48180B08"/>
    <w:rsid w:val="486F1FD0"/>
    <w:rsid w:val="48930AA7"/>
    <w:rsid w:val="48D526A9"/>
    <w:rsid w:val="48E04A06"/>
    <w:rsid w:val="49042B1E"/>
    <w:rsid w:val="4942637A"/>
    <w:rsid w:val="49600871"/>
    <w:rsid w:val="49880C8F"/>
    <w:rsid w:val="4A0131A2"/>
    <w:rsid w:val="4A2B07D4"/>
    <w:rsid w:val="4A5D7F59"/>
    <w:rsid w:val="4AEC002A"/>
    <w:rsid w:val="4B4C66BA"/>
    <w:rsid w:val="4B50040A"/>
    <w:rsid w:val="4B651276"/>
    <w:rsid w:val="4B7F4814"/>
    <w:rsid w:val="4BBA4511"/>
    <w:rsid w:val="4BDC71CD"/>
    <w:rsid w:val="4BF65A68"/>
    <w:rsid w:val="4C066EC9"/>
    <w:rsid w:val="4CA2132F"/>
    <w:rsid w:val="4D7270BA"/>
    <w:rsid w:val="4D9329DF"/>
    <w:rsid w:val="4D990282"/>
    <w:rsid w:val="4D9A1FBF"/>
    <w:rsid w:val="4DCC6878"/>
    <w:rsid w:val="4DEF520F"/>
    <w:rsid w:val="4E9277A8"/>
    <w:rsid w:val="4E9C3383"/>
    <w:rsid w:val="4EC05309"/>
    <w:rsid w:val="4F896A19"/>
    <w:rsid w:val="4FCD3C8F"/>
    <w:rsid w:val="4FF21C3E"/>
    <w:rsid w:val="4FFA6D45"/>
    <w:rsid w:val="5048604E"/>
    <w:rsid w:val="50675C5C"/>
    <w:rsid w:val="50D76A4C"/>
    <w:rsid w:val="51582583"/>
    <w:rsid w:val="51A56535"/>
    <w:rsid w:val="51E00CDF"/>
    <w:rsid w:val="521C5422"/>
    <w:rsid w:val="52992657"/>
    <w:rsid w:val="52C43FE4"/>
    <w:rsid w:val="52C96845"/>
    <w:rsid w:val="53043868"/>
    <w:rsid w:val="535D103D"/>
    <w:rsid w:val="53D65ED8"/>
    <w:rsid w:val="54787FAB"/>
    <w:rsid w:val="54933E1F"/>
    <w:rsid w:val="54A13C33"/>
    <w:rsid w:val="55175561"/>
    <w:rsid w:val="55545149"/>
    <w:rsid w:val="55655CE4"/>
    <w:rsid w:val="55913B4E"/>
    <w:rsid w:val="56350AD7"/>
    <w:rsid w:val="56453CC1"/>
    <w:rsid w:val="568D0913"/>
    <w:rsid w:val="56A25E77"/>
    <w:rsid w:val="57577405"/>
    <w:rsid w:val="57623BE1"/>
    <w:rsid w:val="57BF33C4"/>
    <w:rsid w:val="57FF2859"/>
    <w:rsid w:val="584F077C"/>
    <w:rsid w:val="58880728"/>
    <w:rsid w:val="589138D7"/>
    <w:rsid w:val="58B11AE9"/>
    <w:rsid w:val="58DE283F"/>
    <w:rsid w:val="58E262CD"/>
    <w:rsid w:val="596A0A97"/>
    <w:rsid w:val="599B50F5"/>
    <w:rsid w:val="5A2F1CE1"/>
    <w:rsid w:val="5A97412A"/>
    <w:rsid w:val="5B3E4742"/>
    <w:rsid w:val="5BAF00C5"/>
    <w:rsid w:val="5BDC2EC5"/>
    <w:rsid w:val="5BE8050C"/>
    <w:rsid w:val="5BEC60DC"/>
    <w:rsid w:val="5C0C5203"/>
    <w:rsid w:val="5C3A43BE"/>
    <w:rsid w:val="5CA55D8A"/>
    <w:rsid w:val="5CE839A7"/>
    <w:rsid w:val="5D54222B"/>
    <w:rsid w:val="5D880899"/>
    <w:rsid w:val="5D8F31C2"/>
    <w:rsid w:val="5DC677F0"/>
    <w:rsid w:val="5DCC6542"/>
    <w:rsid w:val="5DD716C6"/>
    <w:rsid w:val="5E564F75"/>
    <w:rsid w:val="5E5D4F0E"/>
    <w:rsid w:val="5E6B7686"/>
    <w:rsid w:val="5E875C48"/>
    <w:rsid w:val="5EB7677E"/>
    <w:rsid w:val="5ED139DC"/>
    <w:rsid w:val="5EE4309A"/>
    <w:rsid w:val="5F2412D0"/>
    <w:rsid w:val="5F6D308F"/>
    <w:rsid w:val="5F6F74B9"/>
    <w:rsid w:val="5F7B43E7"/>
    <w:rsid w:val="5FCD7FD2"/>
    <w:rsid w:val="5FF01D4A"/>
    <w:rsid w:val="60B07BB0"/>
    <w:rsid w:val="60F35816"/>
    <w:rsid w:val="60FB047A"/>
    <w:rsid w:val="61166E7E"/>
    <w:rsid w:val="617E3AE6"/>
    <w:rsid w:val="61F82EEB"/>
    <w:rsid w:val="62001E98"/>
    <w:rsid w:val="62275F32"/>
    <w:rsid w:val="62595B4D"/>
    <w:rsid w:val="62620EA5"/>
    <w:rsid w:val="62C751AC"/>
    <w:rsid w:val="62E23D94"/>
    <w:rsid w:val="62F5482C"/>
    <w:rsid w:val="6333639E"/>
    <w:rsid w:val="6363686B"/>
    <w:rsid w:val="647E6305"/>
    <w:rsid w:val="64837B65"/>
    <w:rsid w:val="649048DD"/>
    <w:rsid w:val="65006AFE"/>
    <w:rsid w:val="652F5315"/>
    <w:rsid w:val="659D0447"/>
    <w:rsid w:val="65BC08CD"/>
    <w:rsid w:val="66084090"/>
    <w:rsid w:val="663F32AC"/>
    <w:rsid w:val="67115644"/>
    <w:rsid w:val="67225410"/>
    <w:rsid w:val="67397482"/>
    <w:rsid w:val="673E07EF"/>
    <w:rsid w:val="676C00D0"/>
    <w:rsid w:val="6787315C"/>
    <w:rsid w:val="6806117C"/>
    <w:rsid w:val="682278B8"/>
    <w:rsid w:val="68346DCD"/>
    <w:rsid w:val="687C3B4D"/>
    <w:rsid w:val="6888718C"/>
    <w:rsid w:val="689773CF"/>
    <w:rsid w:val="68A51AEC"/>
    <w:rsid w:val="68F46B79"/>
    <w:rsid w:val="697678E2"/>
    <w:rsid w:val="69801C11"/>
    <w:rsid w:val="6A410726"/>
    <w:rsid w:val="6A7F66C2"/>
    <w:rsid w:val="6AB04778"/>
    <w:rsid w:val="6B176462"/>
    <w:rsid w:val="6B3A53AA"/>
    <w:rsid w:val="6B5509CC"/>
    <w:rsid w:val="6B8D7E6D"/>
    <w:rsid w:val="6BBE1938"/>
    <w:rsid w:val="6BBE4FC5"/>
    <w:rsid w:val="6BDF1FA7"/>
    <w:rsid w:val="6BEA55F0"/>
    <w:rsid w:val="6CC2051A"/>
    <w:rsid w:val="6CD02607"/>
    <w:rsid w:val="6CD644A8"/>
    <w:rsid w:val="6CF14A31"/>
    <w:rsid w:val="6D263541"/>
    <w:rsid w:val="6D314711"/>
    <w:rsid w:val="6D714A8B"/>
    <w:rsid w:val="6DE70D86"/>
    <w:rsid w:val="6E0D61C8"/>
    <w:rsid w:val="6E1C2BC0"/>
    <w:rsid w:val="6E3A0F28"/>
    <w:rsid w:val="6E4F56FE"/>
    <w:rsid w:val="6E8B1784"/>
    <w:rsid w:val="6EF0649B"/>
    <w:rsid w:val="6F4E0928"/>
    <w:rsid w:val="701A2DBF"/>
    <w:rsid w:val="71024B00"/>
    <w:rsid w:val="719F5462"/>
    <w:rsid w:val="71E84A49"/>
    <w:rsid w:val="71EA6334"/>
    <w:rsid w:val="7214383E"/>
    <w:rsid w:val="72192C8A"/>
    <w:rsid w:val="72852F17"/>
    <w:rsid w:val="72C32878"/>
    <w:rsid w:val="72EC23EF"/>
    <w:rsid w:val="73214465"/>
    <w:rsid w:val="732D5BAA"/>
    <w:rsid w:val="737547B1"/>
    <w:rsid w:val="737E5413"/>
    <w:rsid w:val="738A5A0F"/>
    <w:rsid w:val="73D2575F"/>
    <w:rsid w:val="74151BD3"/>
    <w:rsid w:val="747C4D5A"/>
    <w:rsid w:val="74E50DDF"/>
    <w:rsid w:val="75096F5F"/>
    <w:rsid w:val="751C03A4"/>
    <w:rsid w:val="754D6821"/>
    <w:rsid w:val="754E0E15"/>
    <w:rsid w:val="75692310"/>
    <w:rsid w:val="757E4F2B"/>
    <w:rsid w:val="75CF01A8"/>
    <w:rsid w:val="76385F78"/>
    <w:rsid w:val="76546581"/>
    <w:rsid w:val="76785D5F"/>
    <w:rsid w:val="7682346D"/>
    <w:rsid w:val="772B5ADA"/>
    <w:rsid w:val="77476464"/>
    <w:rsid w:val="77B572B1"/>
    <w:rsid w:val="77D71596"/>
    <w:rsid w:val="786F38B1"/>
    <w:rsid w:val="79882D39"/>
    <w:rsid w:val="79AD053E"/>
    <w:rsid w:val="79D5316C"/>
    <w:rsid w:val="79F93A46"/>
    <w:rsid w:val="7A146AD1"/>
    <w:rsid w:val="7A78702C"/>
    <w:rsid w:val="7AAD65DE"/>
    <w:rsid w:val="7ABD0461"/>
    <w:rsid w:val="7AC53928"/>
    <w:rsid w:val="7ACC47DC"/>
    <w:rsid w:val="7B714B6F"/>
    <w:rsid w:val="7B7A0BB6"/>
    <w:rsid w:val="7BA62712"/>
    <w:rsid w:val="7BC52DC4"/>
    <w:rsid w:val="7BEB7BA1"/>
    <w:rsid w:val="7C62230E"/>
    <w:rsid w:val="7CB23A51"/>
    <w:rsid w:val="7CF53B12"/>
    <w:rsid w:val="7D04675D"/>
    <w:rsid w:val="7D2528A3"/>
    <w:rsid w:val="7D2B61E8"/>
    <w:rsid w:val="7D91236E"/>
    <w:rsid w:val="7E4455F0"/>
    <w:rsid w:val="7EC47BC3"/>
    <w:rsid w:val="7ED62FE5"/>
    <w:rsid w:val="7F444180"/>
    <w:rsid w:val="7F85296F"/>
    <w:rsid w:val="7FAC65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name="toc 1"/>
    <w:lsdException w:qFormat="1" w:uiPriority="39"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qFormat="1" w:unhideWhenUsed="0" w:uiPriority="0" w:semiHidden="0" w:name="Body Text Indent"/>
    <w:lsdException w:qFormat="1" w:unhideWhenUsed="0" w:uiPriority="0" w:semiHidden="0"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iPriority="99" w:name="Date"/>
    <w:lsdException w:uiPriority="99"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uiPriority="99" w:name="Body Text 3"/>
    <w:lsdException w:qFormat="1" w:uiPriority="0" w:semiHidden="0" w:name="Body Text Indent 2"/>
    <w:lsdException w:uiPriority="99" w:name="Body Text Indent 3"/>
    <w:lsdException w:qFormat="1" w:unhideWhenUsed="0" w:uiPriority="99" w:semiHidden="0" w:name="Block Text"/>
    <w:lsdException w:qFormat="1" w:uiPriority="99" w:semiHidden="0" w:name="Hyperlink"/>
    <w:lsdException w:uiPriority="99" w:name="FollowedHyperlink"/>
    <w:lsdException w:qFormat="1" w:unhideWhenUsed="0" w:uiPriority="0" w:semiHidden="0" w:name="Strong"/>
    <w:lsdException w:qFormat="1" w:unhideWhenUsed="0" w:uiPriority="99" w:semiHidden="0" w:name="Emphasis"/>
    <w:lsdException w:qFormat="1"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9"/>
    <w:pPr>
      <w:spacing w:beforeAutospacing="1" w:afterAutospacing="1"/>
      <w:jc w:val="left"/>
      <w:outlineLvl w:val="0"/>
    </w:pPr>
    <w:rPr>
      <w:rFonts w:hint="eastAsia" w:ascii="宋体" w:hAnsi="宋体"/>
      <w:b/>
      <w:bCs/>
      <w:kern w:val="44"/>
      <w:sz w:val="48"/>
      <w:szCs w:val="48"/>
    </w:rPr>
  </w:style>
  <w:style w:type="paragraph" w:styleId="3">
    <w:name w:val="heading 2"/>
    <w:basedOn w:val="1"/>
    <w:next w:val="1"/>
    <w:link w:val="39"/>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40"/>
    <w:qFormat/>
    <w:uiPriority w:val="9"/>
    <w:pPr>
      <w:widowControl/>
      <w:spacing w:before="100" w:beforeAutospacing="1" w:after="100" w:afterAutospacing="1"/>
      <w:jc w:val="left"/>
      <w:outlineLvl w:val="2"/>
    </w:pPr>
    <w:rPr>
      <w:rFonts w:ascii="宋体" w:hAnsi="宋体" w:cs="宋体"/>
      <w:b/>
      <w:bCs/>
      <w:kern w:val="0"/>
      <w:sz w:val="27"/>
      <w:szCs w:val="27"/>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5">
    <w:name w:val="Note Heading"/>
    <w:basedOn w:val="1"/>
    <w:next w:val="1"/>
    <w:link w:val="82"/>
    <w:qFormat/>
    <w:uiPriority w:val="0"/>
    <w:pPr>
      <w:jc w:val="center"/>
    </w:pPr>
    <w:rPr>
      <w:szCs w:val="20"/>
    </w:rPr>
  </w:style>
  <w:style w:type="paragraph" w:styleId="6">
    <w:name w:val="Normal Indent"/>
    <w:basedOn w:val="1"/>
    <w:link w:val="75"/>
    <w:qFormat/>
    <w:uiPriority w:val="0"/>
    <w:pPr>
      <w:ind w:firstLine="420"/>
    </w:pPr>
    <w:rPr>
      <w:rFonts w:asciiTheme="minorHAnsi" w:hAnsiTheme="minorHAnsi" w:eastAsiaTheme="minorEastAsia" w:cstheme="minorBidi"/>
      <w:szCs w:val="22"/>
    </w:rPr>
  </w:style>
  <w:style w:type="paragraph" w:styleId="7">
    <w:name w:val="Document Map"/>
    <w:basedOn w:val="1"/>
    <w:link w:val="60"/>
    <w:semiHidden/>
    <w:unhideWhenUsed/>
    <w:qFormat/>
    <w:uiPriority w:val="99"/>
    <w:rPr>
      <w:rFonts w:ascii="宋体"/>
      <w:sz w:val="18"/>
      <w:szCs w:val="18"/>
    </w:rPr>
  </w:style>
  <w:style w:type="paragraph" w:styleId="8">
    <w:name w:val="annotation text"/>
    <w:basedOn w:val="1"/>
    <w:link w:val="61"/>
    <w:semiHidden/>
    <w:unhideWhenUsed/>
    <w:qFormat/>
    <w:uiPriority w:val="99"/>
    <w:pPr>
      <w:jc w:val="left"/>
    </w:pPr>
  </w:style>
  <w:style w:type="paragraph" w:styleId="9">
    <w:name w:val="Body Text"/>
    <w:basedOn w:val="1"/>
    <w:next w:val="10"/>
    <w:link w:val="81"/>
    <w:unhideWhenUsed/>
    <w:qFormat/>
    <w:uiPriority w:val="99"/>
    <w:pPr>
      <w:spacing w:after="120"/>
    </w:pPr>
  </w:style>
  <w:style w:type="paragraph" w:customStyle="1" w:styleId="10">
    <w:name w:val="xl2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PMingLiU" w:eastAsia="PMingLiU"/>
      <w:kern w:val="0"/>
      <w:sz w:val="16"/>
      <w:szCs w:val="16"/>
      <w:lang w:eastAsia="zh-TW"/>
    </w:rPr>
  </w:style>
  <w:style w:type="paragraph" w:styleId="11">
    <w:name w:val="Body Text Indent"/>
    <w:basedOn w:val="1"/>
    <w:next w:val="12"/>
    <w:link w:val="51"/>
    <w:qFormat/>
    <w:uiPriority w:val="0"/>
    <w:pPr>
      <w:adjustRightInd w:val="0"/>
      <w:spacing w:line="520" w:lineRule="exact"/>
      <w:ind w:firstLine="640" w:firstLineChars="200"/>
      <w:textAlignment w:val="baseline"/>
    </w:pPr>
    <w:rPr>
      <w:rFonts w:ascii="宋体"/>
      <w:spacing w:val="20"/>
      <w:kern w:val="0"/>
      <w:sz w:val="28"/>
      <w:szCs w:val="20"/>
    </w:rPr>
  </w:style>
  <w:style w:type="paragraph" w:styleId="12">
    <w:name w:val="Body Text Indent 2"/>
    <w:basedOn w:val="1"/>
    <w:next w:val="13"/>
    <w:link w:val="80"/>
    <w:unhideWhenUsed/>
    <w:qFormat/>
    <w:uiPriority w:val="0"/>
    <w:pPr>
      <w:spacing w:after="120" w:line="480" w:lineRule="auto"/>
      <w:ind w:left="420" w:leftChars="200"/>
    </w:pPr>
  </w:style>
  <w:style w:type="paragraph" w:styleId="13">
    <w:name w:val="Body Text First Indent 2"/>
    <w:basedOn w:val="11"/>
    <w:next w:val="1"/>
    <w:qFormat/>
    <w:uiPriority w:val="0"/>
    <w:pPr>
      <w:ind w:firstLine="210"/>
    </w:pPr>
    <w:rPr>
      <w:rFonts w:eastAsia="楷体_GB2312"/>
      <w:sz w:val="30"/>
    </w:rPr>
  </w:style>
  <w:style w:type="paragraph" w:styleId="14">
    <w:name w:val="List Continue"/>
    <w:basedOn w:val="1"/>
    <w:qFormat/>
    <w:uiPriority w:val="0"/>
    <w:pPr>
      <w:spacing w:after="120"/>
      <w:ind w:left="420" w:leftChars="200"/>
    </w:pPr>
  </w:style>
  <w:style w:type="paragraph" w:styleId="15">
    <w:name w:val="Block Text"/>
    <w:basedOn w:val="1"/>
    <w:qFormat/>
    <w:uiPriority w:val="99"/>
    <w:pPr>
      <w:adjustRightInd w:val="0"/>
      <w:spacing w:line="500" w:lineRule="exact"/>
      <w:ind w:left="147" w:leftChars="70" w:right="160" w:rightChars="76"/>
    </w:pPr>
    <w:rPr>
      <w:rFonts w:ascii="宋体" w:hAnsi="宋体" w:cs="宋体"/>
    </w:rPr>
  </w:style>
  <w:style w:type="paragraph" w:styleId="16">
    <w:name w:val="toc 3"/>
    <w:basedOn w:val="1"/>
    <w:next w:val="1"/>
    <w:semiHidden/>
    <w:unhideWhenUsed/>
    <w:qFormat/>
    <w:uiPriority w:val="39"/>
    <w:pPr>
      <w:ind w:left="840" w:leftChars="400"/>
    </w:pPr>
  </w:style>
  <w:style w:type="paragraph" w:styleId="17">
    <w:name w:val="Plain Text"/>
    <w:basedOn w:val="1"/>
    <w:link w:val="50"/>
    <w:qFormat/>
    <w:uiPriority w:val="0"/>
    <w:rPr>
      <w:rFonts w:ascii="宋体" w:hAnsi="Courier New"/>
      <w:szCs w:val="21"/>
    </w:rPr>
  </w:style>
  <w:style w:type="paragraph" w:styleId="18">
    <w:name w:val="Date"/>
    <w:basedOn w:val="1"/>
    <w:next w:val="1"/>
    <w:link w:val="108"/>
    <w:semiHidden/>
    <w:unhideWhenUsed/>
    <w:qFormat/>
    <w:uiPriority w:val="99"/>
    <w:pPr>
      <w:ind w:left="100" w:leftChars="2500"/>
    </w:pPr>
  </w:style>
  <w:style w:type="paragraph" w:styleId="19">
    <w:name w:val="Balloon Text"/>
    <w:basedOn w:val="1"/>
    <w:link w:val="46"/>
    <w:semiHidden/>
    <w:unhideWhenUsed/>
    <w:qFormat/>
    <w:uiPriority w:val="99"/>
    <w:rPr>
      <w:sz w:val="18"/>
      <w:szCs w:val="18"/>
    </w:rPr>
  </w:style>
  <w:style w:type="paragraph" w:styleId="20">
    <w:name w:val="footer"/>
    <w:basedOn w:val="1"/>
    <w:next w:val="1"/>
    <w:link w:val="45"/>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21">
    <w:name w:val="envelope return"/>
    <w:basedOn w:val="1"/>
    <w:qFormat/>
    <w:uiPriority w:val="0"/>
    <w:pPr>
      <w:snapToGrid w:val="0"/>
      <w:spacing w:line="480" w:lineRule="exact"/>
    </w:pPr>
    <w:rPr>
      <w:rFonts w:ascii="Arial" w:hAnsi="Arial" w:cs="Arial"/>
    </w:rPr>
  </w:style>
  <w:style w:type="paragraph" w:styleId="22">
    <w:name w:val="header"/>
    <w:basedOn w:val="1"/>
    <w:link w:val="44"/>
    <w:unhideWhenUsed/>
    <w:qFormat/>
    <w:uiPriority w:val="0"/>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23">
    <w:name w:val="toc 1"/>
    <w:basedOn w:val="1"/>
    <w:next w:val="1"/>
    <w:semiHidden/>
    <w:qFormat/>
    <w:uiPriority w:val="0"/>
    <w:pPr>
      <w:autoSpaceDE w:val="0"/>
      <w:autoSpaceDN w:val="0"/>
      <w:adjustRightInd w:val="0"/>
      <w:spacing w:line="240" w:lineRule="atLeast"/>
      <w:jc w:val="center"/>
    </w:pPr>
    <w:rPr>
      <w:rFonts w:ascii="宋体" w:hAnsi="宋体"/>
      <w:szCs w:val="21"/>
    </w:rPr>
  </w:style>
  <w:style w:type="paragraph" w:styleId="24">
    <w:name w:val="Subtitle"/>
    <w:basedOn w:val="1"/>
    <w:next w:val="1"/>
    <w:link w:val="88"/>
    <w:qFormat/>
    <w:uiPriority w:val="0"/>
    <w:pPr>
      <w:spacing w:before="240" w:after="60" w:line="312" w:lineRule="auto"/>
      <w:jc w:val="center"/>
      <w:outlineLvl w:val="1"/>
    </w:pPr>
    <w:rPr>
      <w:rFonts w:ascii="Cambria" w:hAnsi="Cambria"/>
      <w:b/>
      <w:bCs/>
      <w:kern w:val="28"/>
      <w:sz w:val="32"/>
      <w:szCs w:val="32"/>
    </w:rPr>
  </w:style>
  <w:style w:type="paragraph" w:styleId="25">
    <w:name w:val="List"/>
    <w:basedOn w:val="1"/>
    <w:qFormat/>
    <w:uiPriority w:val="0"/>
    <w:pPr>
      <w:adjustRightInd w:val="0"/>
      <w:spacing w:line="460" w:lineRule="exact"/>
      <w:ind w:left="1276" w:hanging="425"/>
      <w:jc w:val="left"/>
      <w:textAlignment w:val="baseline"/>
    </w:pPr>
    <w:rPr>
      <w:kern w:val="0"/>
      <w:sz w:val="24"/>
      <w:szCs w:val="20"/>
    </w:rPr>
  </w:style>
  <w:style w:type="paragraph" w:styleId="26">
    <w:name w:val="toc 2"/>
    <w:basedOn w:val="1"/>
    <w:next w:val="1"/>
    <w:semiHidden/>
    <w:unhideWhenUsed/>
    <w:qFormat/>
    <w:uiPriority w:val="39"/>
    <w:pPr>
      <w:ind w:left="420" w:leftChars="200"/>
    </w:pPr>
  </w:style>
  <w:style w:type="paragraph" w:styleId="27">
    <w:name w:val="Body Text 2"/>
    <w:basedOn w:val="1"/>
    <w:next w:val="1"/>
    <w:qFormat/>
    <w:uiPriority w:val="0"/>
    <w:pPr>
      <w:spacing w:line="520" w:lineRule="exact"/>
    </w:pPr>
    <w:rPr>
      <w:sz w:val="24"/>
    </w:rPr>
  </w:style>
  <w:style w:type="paragraph" w:styleId="28">
    <w:name w:val="HTML Preformatted"/>
    <w:basedOn w:val="1"/>
    <w:link w:val="69"/>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cs="Arial"/>
      <w:kern w:val="0"/>
      <w:szCs w:val="21"/>
    </w:rPr>
  </w:style>
  <w:style w:type="paragraph" w:styleId="29">
    <w:name w:val="Normal (Web)"/>
    <w:basedOn w:val="1"/>
    <w:qFormat/>
    <w:uiPriority w:val="0"/>
    <w:pPr>
      <w:widowControl/>
      <w:spacing w:before="100" w:beforeAutospacing="1" w:after="100" w:afterAutospacing="1"/>
      <w:jc w:val="left"/>
    </w:pPr>
    <w:rPr>
      <w:rFonts w:ascii="宋体" w:hAnsi="宋体"/>
      <w:kern w:val="0"/>
      <w:sz w:val="24"/>
    </w:rPr>
  </w:style>
  <w:style w:type="paragraph" w:styleId="30">
    <w:name w:val="annotation subject"/>
    <w:basedOn w:val="8"/>
    <w:next w:val="8"/>
    <w:link w:val="62"/>
    <w:semiHidden/>
    <w:unhideWhenUsed/>
    <w:qFormat/>
    <w:uiPriority w:val="99"/>
    <w:rPr>
      <w:b/>
      <w:bCs/>
    </w:rPr>
  </w:style>
  <w:style w:type="table" w:styleId="32">
    <w:name w:val="Table Grid"/>
    <w:basedOn w:val="31"/>
    <w:qFormat/>
    <w:uiPriority w:val="59"/>
    <w:rPr>
      <w:rFonts w:ascii="Calibri" w:hAnsi="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4">
    <w:name w:val="Strong"/>
    <w:qFormat/>
    <w:uiPriority w:val="0"/>
    <w:rPr>
      <w:b/>
      <w:bCs/>
    </w:rPr>
  </w:style>
  <w:style w:type="character" w:styleId="35">
    <w:name w:val="page number"/>
    <w:basedOn w:val="33"/>
    <w:qFormat/>
    <w:uiPriority w:val="0"/>
  </w:style>
  <w:style w:type="character" w:styleId="36">
    <w:name w:val="Emphasis"/>
    <w:qFormat/>
    <w:uiPriority w:val="99"/>
    <w:rPr>
      <w:rFonts w:cs="Times New Roman"/>
      <w:i/>
      <w:iCs/>
    </w:rPr>
  </w:style>
  <w:style w:type="character" w:styleId="37">
    <w:name w:val="Hyperlink"/>
    <w:unhideWhenUsed/>
    <w:qFormat/>
    <w:uiPriority w:val="99"/>
    <w:rPr>
      <w:color w:val="0000FF"/>
      <w:u w:val="single"/>
    </w:rPr>
  </w:style>
  <w:style w:type="character" w:styleId="38">
    <w:name w:val="annotation reference"/>
    <w:basedOn w:val="33"/>
    <w:semiHidden/>
    <w:unhideWhenUsed/>
    <w:qFormat/>
    <w:uiPriority w:val="99"/>
    <w:rPr>
      <w:sz w:val="21"/>
      <w:szCs w:val="21"/>
    </w:rPr>
  </w:style>
  <w:style w:type="character" w:customStyle="1" w:styleId="39">
    <w:name w:val="标题 2 字符"/>
    <w:basedOn w:val="33"/>
    <w:link w:val="3"/>
    <w:qFormat/>
    <w:uiPriority w:val="0"/>
    <w:rPr>
      <w:rFonts w:ascii="Arial" w:hAnsi="Arial" w:eastAsia="黑体" w:cs="Times New Roman"/>
      <w:b/>
      <w:bCs/>
      <w:sz w:val="32"/>
      <w:szCs w:val="32"/>
    </w:rPr>
  </w:style>
  <w:style w:type="character" w:customStyle="1" w:styleId="40">
    <w:name w:val="标题 3 字符"/>
    <w:basedOn w:val="33"/>
    <w:link w:val="4"/>
    <w:qFormat/>
    <w:uiPriority w:val="9"/>
    <w:rPr>
      <w:rFonts w:ascii="宋体" w:hAnsi="宋体" w:eastAsia="宋体" w:cs="宋体"/>
      <w:b/>
      <w:bCs/>
      <w:kern w:val="0"/>
      <w:sz w:val="27"/>
      <w:szCs w:val="27"/>
    </w:rPr>
  </w:style>
  <w:style w:type="paragraph" w:customStyle="1" w:styleId="41">
    <w:name w:val="Default"/>
    <w:basedOn w:val="42"/>
    <w:qFormat/>
    <w:uiPriority w:val="0"/>
    <w:pPr>
      <w:widowControl w:val="0"/>
      <w:autoSpaceDE w:val="0"/>
      <w:autoSpaceDN w:val="0"/>
      <w:adjustRightInd w:val="0"/>
    </w:pPr>
    <w:rPr>
      <w:color w:val="000000"/>
      <w:kern w:val="2"/>
    </w:rPr>
  </w:style>
  <w:style w:type="paragraph" w:customStyle="1" w:styleId="42">
    <w:name w:val="纯文本1"/>
    <w:basedOn w:val="1"/>
    <w:qFormat/>
    <w:uiPriority w:val="99"/>
    <w:pPr>
      <w:widowControl/>
      <w:spacing w:before="100" w:beforeAutospacing="1" w:after="100" w:afterAutospacing="1"/>
      <w:jc w:val="left"/>
    </w:pPr>
    <w:rPr>
      <w:rFonts w:ascii="宋体" w:hAnsi="宋体"/>
      <w:kern w:val="0"/>
      <w:sz w:val="24"/>
    </w:rPr>
  </w:style>
  <w:style w:type="paragraph" w:customStyle="1" w:styleId="43">
    <w:name w:val="T正文"/>
    <w:qFormat/>
    <w:uiPriority w:val="0"/>
    <w:pPr>
      <w:widowControl w:val="0"/>
      <w:adjustRightInd w:val="0"/>
      <w:snapToGrid w:val="0"/>
      <w:spacing w:line="360" w:lineRule="auto"/>
      <w:ind w:firstLine="200" w:firstLineChars="200"/>
      <w:jc w:val="both"/>
    </w:pPr>
    <w:rPr>
      <w:rFonts w:ascii="Calibri" w:hAnsi="Calibri" w:eastAsia="仿宋_GB2312" w:cs="Times New Roman"/>
      <w:sz w:val="28"/>
      <w:lang w:val="en-US" w:eastAsia="zh-CN" w:bidi="ar-SA"/>
    </w:rPr>
  </w:style>
  <w:style w:type="character" w:customStyle="1" w:styleId="44">
    <w:name w:val="页眉 字符"/>
    <w:basedOn w:val="33"/>
    <w:link w:val="22"/>
    <w:qFormat/>
    <w:uiPriority w:val="0"/>
    <w:rPr>
      <w:sz w:val="18"/>
      <w:szCs w:val="18"/>
    </w:rPr>
  </w:style>
  <w:style w:type="character" w:customStyle="1" w:styleId="45">
    <w:name w:val="页脚 字符"/>
    <w:basedOn w:val="33"/>
    <w:link w:val="20"/>
    <w:qFormat/>
    <w:uiPriority w:val="99"/>
    <w:rPr>
      <w:sz w:val="18"/>
      <w:szCs w:val="18"/>
    </w:rPr>
  </w:style>
  <w:style w:type="character" w:customStyle="1" w:styleId="46">
    <w:name w:val="批注框文本 字符"/>
    <w:basedOn w:val="33"/>
    <w:link w:val="19"/>
    <w:semiHidden/>
    <w:qFormat/>
    <w:uiPriority w:val="99"/>
    <w:rPr>
      <w:rFonts w:ascii="Times New Roman" w:hAnsi="Times New Roman" w:eastAsia="宋体" w:cs="Times New Roman"/>
      <w:sz w:val="18"/>
      <w:szCs w:val="18"/>
    </w:rPr>
  </w:style>
  <w:style w:type="paragraph" w:customStyle="1" w:styleId="47">
    <w:name w:val="图文框"/>
    <w:basedOn w:val="1"/>
    <w:qFormat/>
    <w:uiPriority w:val="0"/>
    <w:pPr>
      <w:spacing w:line="300" w:lineRule="exact"/>
      <w:jc w:val="center"/>
    </w:pPr>
    <w:rPr>
      <w:color w:val="FF0000"/>
    </w:rPr>
  </w:style>
  <w:style w:type="paragraph" w:customStyle="1" w:styleId="48">
    <w:name w:val="正文小四"/>
    <w:basedOn w:val="1"/>
    <w:qFormat/>
    <w:uiPriority w:val="0"/>
    <w:pPr>
      <w:spacing w:line="360" w:lineRule="auto"/>
    </w:pPr>
    <w:rPr>
      <w:sz w:val="24"/>
      <w:szCs w:val="20"/>
    </w:rPr>
  </w:style>
  <w:style w:type="character" w:customStyle="1" w:styleId="49">
    <w:name w:val="纯文本 Char"/>
    <w:basedOn w:val="33"/>
    <w:semiHidden/>
    <w:qFormat/>
    <w:uiPriority w:val="99"/>
    <w:rPr>
      <w:rFonts w:ascii="宋体" w:hAnsi="Courier New" w:eastAsia="宋体" w:cs="Courier New"/>
      <w:szCs w:val="21"/>
    </w:rPr>
  </w:style>
  <w:style w:type="character" w:customStyle="1" w:styleId="50">
    <w:name w:val="纯文本 字符"/>
    <w:basedOn w:val="33"/>
    <w:link w:val="17"/>
    <w:qFormat/>
    <w:uiPriority w:val="0"/>
    <w:rPr>
      <w:rFonts w:ascii="宋体" w:hAnsi="Courier New" w:eastAsia="宋体" w:cs="Times New Roman"/>
      <w:szCs w:val="21"/>
    </w:rPr>
  </w:style>
  <w:style w:type="character" w:customStyle="1" w:styleId="51">
    <w:name w:val="正文文本缩进 字符"/>
    <w:basedOn w:val="33"/>
    <w:link w:val="11"/>
    <w:qFormat/>
    <w:uiPriority w:val="0"/>
    <w:rPr>
      <w:rFonts w:ascii="宋体" w:hAnsi="Times New Roman" w:eastAsia="宋体" w:cs="Times New Roman"/>
      <w:spacing w:val="20"/>
      <w:kern w:val="0"/>
      <w:sz w:val="28"/>
      <w:szCs w:val="20"/>
    </w:rPr>
  </w:style>
  <w:style w:type="paragraph" w:customStyle="1" w:styleId="52">
    <w:name w:val="样式1"/>
    <w:basedOn w:val="1"/>
    <w:qFormat/>
    <w:uiPriority w:val="0"/>
    <w:rPr>
      <w:rFonts w:eastAsia="楷体_GB2312"/>
      <w:sz w:val="28"/>
      <w:szCs w:val="20"/>
    </w:rPr>
  </w:style>
  <w:style w:type="paragraph" w:customStyle="1" w:styleId="53">
    <w:name w:val="正文－1.5行距－段后6磅"/>
    <w:basedOn w:val="1"/>
    <w:link w:val="76"/>
    <w:qFormat/>
    <w:uiPriority w:val="0"/>
    <w:pPr>
      <w:spacing w:after="120" w:line="360" w:lineRule="auto"/>
      <w:ind w:firstLine="200" w:firstLineChars="200"/>
    </w:pPr>
    <w:rPr>
      <w:rFonts w:ascii="Calibri" w:hAnsi="Calibri"/>
      <w:sz w:val="24"/>
      <w:szCs w:val="21"/>
      <w:lang w:val="zh-CN"/>
    </w:rPr>
  </w:style>
  <w:style w:type="character" w:customStyle="1" w:styleId="54">
    <w:name w:val="postbody1"/>
    <w:qFormat/>
    <w:uiPriority w:val="0"/>
    <w:rPr>
      <w:spacing w:val="270"/>
      <w:sz w:val="21"/>
      <w:szCs w:val="21"/>
    </w:rPr>
  </w:style>
  <w:style w:type="character" w:customStyle="1" w:styleId="55">
    <w:name w:val="apple-converted-space"/>
    <w:basedOn w:val="33"/>
    <w:qFormat/>
    <w:uiPriority w:val="0"/>
  </w:style>
  <w:style w:type="character" w:customStyle="1" w:styleId="56">
    <w:name w:val="表格内容 Char Char"/>
    <w:link w:val="57"/>
    <w:qFormat/>
    <w:uiPriority w:val="0"/>
    <w:rPr>
      <w:sz w:val="24"/>
      <w:szCs w:val="21"/>
    </w:rPr>
  </w:style>
  <w:style w:type="paragraph" w:customStyle="1" w:styleId="57">
    <w:name w:val="表格内容"/>
    <w:basedOn w:val="58"/>
    <w:next w:val="1"/>
    <w:link w:val="56"/>
    <w:qFormat/>
    <w:uiPriority w:val="0"/>
    <w:pPr>
      <w:overflowPunct w:val="0"/>
      <w:adjustRightInd w:val="0"/>
      <w:textAlignment w:val="baseline"/>
    </w:pPr>
    <w:rPr>
      <w:rFonts w:asciiTheme="minorHAnsi" w:hAnsiTheme="minorHAnsi" w:eastAsiaTheme="minorEastAsia" w:cstheme="minorBidi"/>
      <w:szCs w:val="21"/>
    </w:rPr>
  </w:style>
  <w:style w:type="paragraph" w:customStyle="1" w:styleId="58">
    <w:name w:val="表格标题"/>
    <w:basedOn w:val="9"/>
    <w:next w:val="57"/>
    <w:qFormat/>
    <w:uiPriority w:val="0"/>
    <w:pPr>
      <w:spacing w:line="360" w:lineRule="auto"/>
      <w:jc w:val="center"/>
    </w:pPr>
    <w:rPr>
      <w:rFonts w:eastAsia="黑体"/>
      <w:sz w:val="24"/>
      <w:szCs w:val="20"/>
    </w:rPr>
  </w:style>
  <w:style w:type="paragraph" w:customStyle="1" w:styleId="59">
    <w:name w:val="小四表文左齐"/>
    <w:basedOn w:val="1"/>
    <w:qFormat/>
    <w:uiPriority w:val="0"/>
    <w:pPr>
      <w:numPr>
        <w:ilvl w:val="0"/>
        <w:numId w:val="1"/>
      </w:numPr>
      <w:tabs>
        <w:tab w:val="left" w:pos="420"/>
      </w:tabs>
      <w:snapToGrid w:val="0"/>
      <w:spacing w:line="360" w:lineRule="auto"/>
    </w:pPr>
    <w:rPr>
      <w:rFonts w:ascii="宋体" w:hAnsi="宋体"/>
      <w:sz w:val="24"/>
    </w:rPr>
  </w:style>
  <w:style w:type="character" w:customStyle="1" w:styleId="60">
    <w:name w:val="文档结构图 字符"/>
    <w:basedOn w:val="33"/>
    <w:link w:val="7"/>
    <w:semiHidden/>
    <w:qFormat/>
    <w:uiPriority w:val="99"/>
    <w:rPr>
      <w:rFonts w:ascii="宋体" w:hAnsi="Times New Roman" w:eastAsia="宋体" w:cs="Times New Roman"/>
      <w:sz w:val="18"/>
      <w:szCs w:val="18"/>
    </w:rPr>
  </w:style>
  <w:style w:type="character" w:customStyle="1" w:styleId="61">
    <w:name w:val="批注文字 字符"/>
    <w:basedOn w:val="33"/>
    <w:link w:val="8"/>
    <w:semiHidden/>
    <w:qFormat/>
    <w:uiPriority w:val="99"/>
    <w:rPr>
      <w:rFonts w:ascii="Times New Roman" w:hAnsi="Times New Roman" w:eastAsia="宋体" w:cs="Times New Roman"/>
      <w:szCs w:val="24"/>
    </w:rPr>
  </w:style>
  <w:style w:type="character" w:customStyle="1" w:styleId="62">
    <w:name w:val="批注主题 字符"/>
    <w:basedOn w:val="61"/>
    <w:link w:val="30"/>
    <w:semiHidden/>
    <w:qFormat/>
    <w:uiPriority w:val="99"/>
    <w:rPr>
      <w:rFonts w:ascii="Times New Roman" w:hAnsi="Times New Roman" w:eastAsia="宋体" w:cs="Times New Roman"/>
      <w:b/>
      <w:bCs/>
      <w:szCs w:val="24"/>
    </w:rPr>
  </w:style>
  <w:style w:type="paragraph" w:customStyle="1" w:styleId="63">
    <w:name w:val="修订1"/>
    <w:hidden/>
    <w:semiHidden/>
    <w:qFormat/>
    <w:uiPriority w:val="99"/>
    <w:rPr>
      <w:rFonts w:ascii="Times New Roman" w:hAnsi="Times New Roman" w:eastAsia="宋体" w:cs="Times New Roman"/>
      <w:kern w:val="2"/>
      <w:sz w:val="21"/>
      <w:szCs w:val="24"/>
      <w:lang w:val="en-US" w:eastAsia="zh-CN" w:bidi="ar-SA"/>
    </w:rPr>
  </w:style>
  <w:style w:type="paragraph" w:styleId="64">
    <w:name w:val="List Paragraph"/>
    <w:basedOn w:val="1"/>
    <w:qFormat/>
    <w:uiPriority w:val="34"/>
    <w:pPr>
      <w:ind w:firstLine="420" w:firstLineChars="200"/>
    </w:pPr>
  </w:style>
  <w:style w:type="paragraph" w:customStyle="1" w:styleId="65">
    <w:name w:val="正文AAA"/>
    <w:basedOn w:val="1"/>
    <w:qFormat/>
    <w:uiPriority w:val="0"/>
    <w:pPr>
      <w:spacing w:line="500" w:lineRule="exact"/>
      <w:ind w:firstLine="480" w:firstLineChars="200"/>
    </w:pPr>
    <w:rPr>
      <w:rFonts w:ascii="宋体" w:hAnsi="宋体"/>
      <w:sz w:val="24"/>
      <w:szCs w:val="20"/>
    </w:rPr>
  </w:style>
  <w:style w:type="paragraph" w:customStyle="1" w:styleId="66">
    <w:name w:val="样式3"/>
    <w:basedOn w:val="23"/>
    <w:next w:val="67"/>
    <w:link w:val="68"/>
    <w:qFormat/>
    <w:uiPriority w:val="0"/>
    <w:pPr>
      <w:spacing w:line="360" w:lineRule="auto"/>
      <w:ind w:firstLine="200" w:firstLineChars="200"/>
      <w:jc w:val="left"/>
    </w:pPr>
    <w:rPr>
      <w:sz w:val="24"/>
      <w:szCs w:val="28"/>
    </w:rPr>
  </w:style>
  <w:style w:type="paragraph" w:customStyle="1" w:styleId="67">
    <w:name w:val="目录 53"/>
    <w:basedOn w:val="3"/>
    <w:next w:val="1"/>
    <w:qFormat/>
    <w:uiPriority w:val="0"/>
    <w:pPr>
      <w:tabs>
        <w:tab w:val="left" w:pos="0"/>
      </w:tabs>
      <w:spacing w:line="240" w:lineRule="auto"/>
      <w:ind w:left="840"/>
    </w:pPr>
    <w:rPr>
      <w:rFonts w:ascii="Calibri" w:hAnsi="Calibri" w:eastAsia="宋体" w:cs="宋体"/>
      <w:bCs w:val="0"/>
      <w:color w:val="000000"/>
      <w:sz w:val="24"/>
      <w:szCs w:val="22"/>
    </w:rPr>
  </w:style>
  <w:style w:type="character" w:customStyle="1" w:styleId="68">
    <w:name w:val="样式3 Char"/>
    <w:link w:val="66"/>
    <w:qFormat/>
    <w:uiPriority w:val="0"/>
    <w:rPr>
      <w:rFonts w:ascii="宋体" w:hAnsi="Times New Roman" w:eastAsia="宋体" w:cs="Times New Roman"/>
      <w:sz w:val="24"/>
      <w:szCs w:val="28"/>
    </w:rPr>
  </w:style>
  <w:style w:type="character" w:customStyle="1" w:styleId="69">
    <w:name w:val="HTML 预设格式 字符"/>
    <w:basedOn w:val="33"/>
    <w:link w:val="28"/>
    <w:qFormat/>
    <w:uiPriority w:val="0"/>
    <w:rPr>
      <w:rFonts w:ascii="Arial" w:hAnsi="Arial" w:eastAsia="宋体" w:cs="Arial"/>
      <w:kern w:val="0"/>
      <w:szCs w:val="21"/>
    </w:rPr>
  </w:style>
  <w:style w:type="character" w:customStyle="1" w:styleId="70">
    <w:name w:val="样式3 Char1"/>
    <w:qFormat/>
    <w:uiPriority w:val="0"/>
    <w:rPr>
      <w:rFonts w:ascii="宋体" w:hAnsi="宋体" w:eastAsia="宋体"/>
      <w:kern w:val="2"/>
      <w:sz w:val="24"/>
      <w:lang w:val="en-US" w:eastAsia="zh-CN" w:bidi="ar-SA"/>
    </w:rPr>
  </w:style>
  <w:style w:type="paragraph" w:customStyle="1" w:styleId="71">
    <w:name w:val="Char Char Char Char"/>
    <w:basedOn w:val="1"/>
    <w:qFormat/>
    <w:uiPriority w:val="0"/>
    <w:pPr>
      <w:widowControl/>
      <w:jc w:val="left"/>
    </w:pPr>
    <w:rPr>
      <w:rFonts w:ascii="宋体" w:hAnsi="宋体" w:cs="宋体"/>
      <w:kern w:val="0"/>
      <w:sz w:val="24"/>
    </w:rPr>
  </w:style>
  <w:style w:type="character" w:customStyle="1" w:styleId="72">
    <w:name w:val="apple-style-span"/>
    <w:basedOn w:val="33"/>
    <w:qFormat/>
    <w:uiPriority w:val="0"/>
  </w:style>
  <w:style w:type="paragraph" w:customStyle="1" w:styleId="73">
    <w:name w:val="Char Char Char Char Char Char Char"/>
    <w:basedOn w:val="1"/>
    <w:qFormat/>
    <w:uiPriority w:val="0"/>
  </w:style>
  <w:style w:type="paragraph" w:customStyle="1" w:styleId="74">
    <w:name w:val="xl2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kern w:val="0"/>
      <w:sz w:val="24"/>
    </w:rPr>
  </w:style>
  <w:style w:type="character" w:customStyle="1" w:styleId="75">
    <w:name w:val="正文缩进 字符"/>
    <w:link w:val="6"/>
    <w:qFormat/>
    <w:uiPriority w:val="0"/>
  </w:style>
  <w:style w:type="character" w:customStyle="1" w:styleId="76">
    <w:name w:val="正文－1.5行距－段后6磅 Char Char"/>
    <w:link w:val="53"/>
    <w:qFormat/>
    <w:uiPriority w:val="0"/>
    <w:rPr>
      <w:rFonts w:ascii="Calibri" w:hAnsi="Calibri" w:eastAsia="宋体" w:cs="Times New Roman"/>
      <w:sz w:val="24"/>
      <w:szCs w:val="21"/>
      <w:lang w:val="zh-CN" w:eastAsia="zh-CN"/>
    </w:rPr>
  </w:style>
  <w:style w:type="paragraph" w:customStyle="1" w:styleId="77">
    <w:name w:val="Char"/>
    <w:basedOn w:val="1"/>
    <w:qFormat/>
    <w:uiPriority w:val="0"/>
  </w:style>
  <w:style w:type="paragraph" w:customStyle="1" w:styleId="78">
    <w:name w:val="Char Char Char Char Char Char Char1"/>
    <w:basedOn w:val="1"/>
    <w:qFormat/>
    <w:uiPriority w:val="0"/>
    <w:rPr>
      <w:sz w:val="24"/>
    </w:rPr>
  </w:style>
  <w:style w:type="paragraph" w:customStyle="1" w:styleId="79">
    <w:name w:val="默认段落字体 Para Char"/>
    <w:basedOn w:val="1"/>
    <w:qFormat/>
    <w:uiPriority w:val="0"/>
  </w:style>
  <w:style w:type="character" w:customStyle="1" w:styleId="80">
    <w:name w:val="正文文本缩进 2 字符"/>
    <w:basedOn w:val="33"/>
    <w:link w:val="12"/>
    <w:qFormat/>
    <w:uiPriority w:val="0"/>
    <w:rPr>
      <w:rFonts w:ascii="Times New Roman" w:hAnsi="Times New Roman" w:eastAsia="宋体" w:cs="Times New Roman"/>
      <w:szCs w:val="24"/>
    </w:rPr>
  </w:style>
  <w:style w:type="character" w:customStyle="1" w:styleId="81">
    <w:name w:val="正文文本 字符"/>
    <w:basedOn w:val="33"/>
    <w:link w:val="9"/>
    <w:qFormat/>
    <w:uiPriority w:val="99"/>
    <w:rPr>
      <w:rFonts w:ascii="Times New Roman" w:hAnsi="Times New Roman" w:eastAsia="宋体" w:cs="Times New Roman"/>
      <w:szCs w:val="24"/>
    </w:rPr>
  </w:style>
  <w:style w:type="character" w:customStyle="1" w:styleId="82">
    <w:name w:val="注释标题 字符"/>
    <w:basedOn w:val="33"/>
    <w:link w:val="5"/>
    <w:qFormat/>
    <w:uiPriority w:val="0"/>
    <w:rPr>
      <w:rFonts w:ascii="Times New Roman" w:hAnsi="Times New Roman" w:eastAsia="宋体" w:cs="Times New Roman"/>
      <w:szCs w:val="20"/>
    </w:rPr>
  </w:style>
  <w:style w:type="paragraph" w:customStyle="1" w:styleId="83">
    <w:name w:val="表格"/>
    <w:basedOn w:val="1"/>
    <w:link w:val="109"/>
    <w:qFormat/>
    <w:uiPriority w:val="0"/>
    <w:pPr>
      <w:spacing w:line="360" w:lineRule="exact"/>
      <w:jc w:val="center"/>
    </w:pPr>
    <w:rPr>
      <w:kern w:val="0"/>
      <w:sz w:val="24"/>
    </w:rPr>
  </w:style>
  <w:style w:type="paragraph" w:customStyle="1" w:styleId="84">
    <w:name w:val="zhengwen"/>
    <w:basedOn w:val="1"/>
    <w:qFormat/>
    <w:uiPriority w:val="0"/>
    <w:pPr>
      <w:spacing w:line="440" w:lineRule="exact"/>
      <w:ind w:firstLine="354" w:firstLineChars="147"/>
    </w:pPr>
    <w:rPr>
      <w:rFonts w:hAnsi="宋体"/>
      <w:b/>
      <w:bCs/>
      <w:sz w:val="24"/>
    </w:rPr>
  </w:style>
  <w:style w:type="paragraph" w:customStyle="1" w:styleId="85">
    <w:name w:val="biaoti3"/>
    <w:basedOn w:val="4"/>
    <w:link w:val="86"/>
    <w:qFormat/>
    <w:uiPriority w:val="0"/>
    <w:pPr>
      <w:overflowPunct w:val="0"/>
      <w:adjustRightInd w:val="0"/>
      <w:snapToGrid w:val="0"/>
      <w:spacing w:before="0" w:beforeAutospacing="0" w:after="0" w:afterAutospacing="0" w:line="440" w:lineRule="exact"/>
      <w:textAlignment w:val="baseline"/>
    </w:pPr>
    <w:rPr>
      <w:rFonts w:ascii="Arial" w:hAnsi="Arial" w:cs="Times New Roman"/>
      <w:bCs w:val="0"/>
      <w:sz w:val="24"/>
      <w:szCs w:val="20"/>
    </w:rPr>
  </w:style>
  <w:style w:type="character" w:customStyle="1" w:styleId="86">
    <w:name w:val="biaoti3 Char"/>
    <w:link w:val="85"/>
    <w:qFormat/>
    <w:uiPriority w:val="0"/>
    <w:rPr>
      <w:rFonts w:ascii="Arial" w:hAnsi="Arial" w:eastAsia="宋体" w:cs="Times New Roman"/>
      <w:b/>
      <w:kern w:val="0"/>
      <w:sz w:val="24"/>
      <w:szCs w:val="20"/>
    </w:rPr>
  </w:style>
  <w:style w:type="paragraph" w:customStyle="1" w:styleId="87">
    <w:name w:val="WPS Plain"/>
    <w:qFormat/>
    <w:uiPriority w:val="0"/>
    <w:rPr>
      <w:rFonts w:ascii="Times New Roman" w:hAnsi="Times New Roman" w:eastAsia="宋体" w:cs="Times New Roman"/>
      <w:lang w:val="en-US" w:eastAsia="zh-CN" w:bidi="ar-SA"/>
    </w:rPr>
  </w:style>
  <w:style w:type="character" w:customStyle="1" w:styleId="88">
    <w:name w:val="副标题 字符"/>
    <w:basedOn w:val="33"/>
    <w:link w:val="24"/>
    <w:qFormat/>
    <w:uiPriority w:val="0"/>
    <w:rPr>
      <w:rFonts w:ascii="Cambria" w:hAnsi="Cambria" w:eastAsia="宋体" w:cs="Times New Roman"/>
      <w:b/>
      <w:bCs/>
      <w:kern w:val="28"/>
      <w:sz w:val="32"/>
      <w:szCs w:val="32"/>
    </w:rPr>
  </w:style>
  <w:style w:type="table" w:customStyle="1" w:styleId="89">
    <w:name w:val="网格型1"/>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
    <w:name w:val="网格型2"/>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
    <w:name w:val="网格型3"/>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
    <w:name w:val="网格型4"/>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
    <w:name w:val="网格型5"/>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
    <w:name w:val="网格型6"/>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
    <w:name w:val="网格型7"/>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
    <w:name w:val="网格型8"/>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
    <w:name w:val="网格型9"/>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
    <w:name w:val="网格型10"/>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
    <w:name w:val="网格型11"/>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
    <w:name w:val="网格型12"/>
    <w:basedOn w:val="31"/>
    <w:qFormat/>
    <w:uiPriority w:val="59"/>
    <w:rPr>
      <w:rFonts w:ascii="Calibri" w:hAnsi="Calibri" w:eastAsia="微软雅黑"/>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1">
    <w:name w:val="样式 黑体 小四 加粗 黑色 居中 行距: 固定值 26 磅"/>
    <w:basedOn w:val="1"/>
    <w:next w:val="17"/>
    <w:qFormat/>
    <w:uiPriority w:val="0"/>
    <w:pPr>
      <w:spacing w:line="520" w:lineRule="exact"/>
      <w:jc w:val="center"/>
    </w:pPr>
    <w:rPr>
      <w:rFonts w:ascii="楷体_GB2312" w:hAnsi="黑体" w:eastAsia="楷体_GB2312"/>
      <w:bCs/>
      <w:color w:val="000000"/>
      <w:sz w:val="28"/>
      <w:szCs w:val="28"/>
    </w:rPr>
  </w:style>
  <w:style w:type="paragraph" w:customStyle="1" w:styleId="102">
    <w:name w:val="编号1"/>
    <w:basedOn w:val="6"/>
    <w:qFormat/>
    <w:uiPriority w:val="0"/>
    <w:rPr>
      <w:rFonts w:ascii="宋体" w:hAnsi="宋体"/>
      <w:color w:val="000000"/>
    </w:rPr>
  </w:style>
  <w:style w:type="paragraph" w:customStyle="1" w:styleId="103">
    <w:name w:val="中文报告书样式"/>
    <w:basedOn w:val="1"/>
    <w:qFormat/>
    <w:uiPriority w:val="0"/>
    <w:pPr>
      <w:adjustRightInd w:val="0"/>
      <w:spacing w:line="480" w:lineRule="atLeast"/>
      <w:ind w:firstLine="482"/>
      <w:textAlignment w:val="baseline"/>
    </w:pPr>
    <w:rPr>
      <w:kern w:val="24"/>
      <w:sz w:val="24"/>
      <w:szCs w:val="20"/>
    </w:rPr>
  </w:style>
  <w:style w:type="paragraph" w:customStyle="1" w:styleId="104">
    <w:name w:val="其 它 文 件"/>
    <w:basedOn w:val="1"/>
    <w:qFormat/>
    <w:uiPriority w:val="0"/>
    <w:pPr>
      <w:spacing w:after="80" w:line="440" w:lineRule="atLeast"/>
    </w:pPr>
    <w:rPr>
      <w:rFonts w:eastAsia="楷体"/>
      <w:sz w:val="28"/>
      <w:szCs w:val="20"/>
    </w:rPr>
  </w:style>
  <w:style w:type="paragraph" w:customStyle="1" w:styleId="105">
    <w:name w:val="新表"/>
    <w:basedOn w:val="1"/>
    <w:qFormat/>
    <w:uiPriority w:val="0"/>
    <w:pPr>
      <w:spacing w:line="360" w:lineRule="exact"/>
    </w:pPr>
    <w:rPr>
      <w:rFonts w:eastAsia="仿宋_GB2312"/>
      <w:bCs/>
      <w:kern w:val="0"/>
      <w:sz w:val="24"/>
      <w:szCs w:val="20"/>
    </w:rPr>
  </w:style>
  <w:style w:type="paragraph" w:customStyle="1" w:styleId="106">
    <w:name w:val="Char1"/>
    <w:basedOn w:val="1"/>
    <w:qFormat/>
    <w:uiPriority w:val="0"/>
  </w:style>
  <w:style w:type="paragraph" w:customStyle="1" w:styleId="107">
    <w:name w:val="Char Char Char Char Char Char Char2"/>
    <w:basedOn w:val="1"/>
    <w:qFormat/>
    <w:uiPriority w:val="0"/>
    <w:rPr>
      <w:sz w:val="24"/>
    </w:rPr>
  </w:style>
  <w:style w:type="character" w:customStyle="1" w:styleId="108">
    <w:name w:val="日期 字符"/>
    <w:basedOn w:val="33"/>
    <w:link w:val="18"/>
    <w:semiHidden/>
    <w:qFormat/>
    <w:uiPriority w:val="99"/>
    <w:rPr>
      <w:rFonts w:ascii="Times New Roman" w:hAnsi="Times New Roman" w:eastAsia="宋体" w:cs="Times New Roman"/>
      <w:szCs w:val="24"/>
    </w:rPr>
  </w:style>
  <w:style w:type="character" w:customStyle="1" w:styleId="109">
    <w:name w:val="表格 Char"/>
    <w:link w:val="83"/>
    <w:qFormat/>
    <w:locked/>
    <w:uiPriority w:val="0"/>
    <w:rPr>
      <w:rFonts w:ascii="Times New Roman" w:hAnsi="Times New Roman" w:eastAsia="宋体" w:cs="Times New Roman"/>
      <w:kern w:val="0"/>
      <w:sz w:val="24"/>
      <w:szCs w:val="24"/>
    </w:rPr>
  </w:style>
  <w:style w:type="paragraph" w:customStyle="1" w:styleId="110">
    <w:name w:val="样式 标题 2标题 2 Char + Albertus Medium"/>
    <w:basedOn w:val="3"/>
    <w:qFormat/>
    <w:uiPriority w:val="0"/>
    <w:pPr>
      <w:keepNext w:val="0"/>
      <w:keepLines w:val="0"/>
      <w:tabs>
        <w:tab w:val="left" w:pos="8934"/>
      </w:tabs>
      <w:spacing w:before="0" w:after="0" w:line="520" w:lineRule="exact"/>
      <w:jc w:val="center"/>
      <w:outlineLvl w:val="9"/>
    </w:pPr>
    <w:rPr>
      <w:rFonts w:ascii="Times New Roman" w:hAnsi="宋体" w:eastAsia="宋体"/>
      <w:sz w:val="24"/>
      <w:szCs w:val="24"/>
      <w:lang w:val="zh-CN"/>
    </w:rPr>
  </w:style>
  <w:style w:type="paragraph" w:customStyle="1" w:styleId="111">
    <w:name w:val="简单回函地址"/>
    <w:basedOn w:val="1"/>
    <w:qFormat/>
    <w:uiPriority w:val="0"/>
    <w:rPr>
      <w:szCs w:val="20"/>
    </w:rPr>
  </w:style>
  <w:style w:type="paragraph" w:customStyle="1" w:styleId="112">
    <w:name w:val="样式 样式 正文首行缩进 + 首行缩进:  2 字符 + 首行缩进:  2 字符"/>
    <w:basedOn w:val="1"/>
    <w:qFormat/>
    <w:uiPriority w:val="0"/>
    <w:pPr>
      <w:topLinePunct/>
      <w:adjustRightInd w:val="0"/>
      <w:snapToGrid w:val="0"/>
      <w:spacing w:line="360" w:lineRule="auto"/>
      <w:ind w:firstLine="480"/>
      <w:textAlignment w:val="baseline"/>
    </w:pPr>
    <w:rPr>
      <w:rFonts w:hAnsi="宋体" w:eastAsia="Times New Roman"/>
      <w:kern w:val="0"/>
      <w:sz w:val="24"/>
      <w:szCs w:val="20"/>
    </w:rPr>
  </w:style>
  <w:style w:type="paragraph" w:customStyle="1" w:styleId="113">
    <w:name w:val="表名"/>
    <w:basedOn w:val="1"/>
    <w:qFormat/>
    <w:uiPriority w:val="0"/>
    <w:pPr>
      <w:spacing w:line="360" w:lineRule="auto"/>
      <w:jc w:val="center"/>
    </w:pPr>
    <w:rPr>
      <w:rFonts w:ascii="Arial" w:hAnsi="Arial"/>
      <w:b/>
      <w:kern w:val="0"/>
      <w:sz w:val="24"/>
      <w:szCs w:val="18"/>
    </w:rPr>
  </w:style>
  <w:style w:type="paragraph" w:customStyle="1" w:styleId="114">
    <w:name w:val="段"/>
    <w:qFormat/>
    <w:uiPriority w:val="0"/>
    <w:pPr>
      <w:autoSpaceDE w:val="0"/>
      <w:autoSpaceDN w:val="0"/>
      <w:ind w:firstLine="200" w:firstLineChars="200"/>
      <w:jc w:val="both"/>
    </w:pPr>
    <w:rPr>
      <w:rFonts w:ascii="宋体" w:hAnsi="Times New Roman" w:eastAsia="Times New Roman" w:cs="Times New Roman"/>
      <w:sz w:val="21"/>
      <w:lang w:val="en-US" w:eastAsia="zh-CN" w:bidi="ar-SA"/>
    </w:rPr>
  </w:style>
  <w:style w:type="paragraph" w:customStyle="1" w:styleId="115">
    <w:name w:val="xl34"/>
    <w:basedOn w:val="1"/>
    <w:qFormat/>
    <w:uiPriority w:val="0"/>
    <w:pPr>
      <w:widowControl/>
      <w:spacing w:before="100" w:beforeAutospacing="1" w:after="100" w:afterAutospacing="1"/>
      <w:jc w:val="center"/>
    </w:pPr>
    <w:rPr>
      <w:rFonts w:ascii="Arial Unicode MS" w:hAnsi="Arial Unicode MS" w:eastAsia="Arial Unicode MS"/>
      <w:kern w:val="0"/>
      <w:sz w:val="24"/>
    </w:rPr>
  </w:style>
  <w:style w:type="paragraph" w:customStyle="1" w:styleId="116">
    <w:name w:val="报告题注"/>
    <w:basedOn w:val="1"/>
    <w:qFormat/>
    <w:uiPriority w:val="0"/>
    <w:pPr>
      <w:spacing w:before="50" w:beforeLines="50" w:after="50" w:afterLines="50"/>
      <w:jc w:val="center"/>
    </w:pPr>
    <w:rPr>
      <w:rFonts w:eastAsia="黑体"/>
      <w:sz w:val="24"/>
    </w:rPr>
  </w:style>
  <w:style w:type="paragraph" w:customStyle="1" w:styleId="117">
    <w:name w:val="24磅正文"/>
    <w:basedOn w:val="1"/>
    <w:qFormat/>
    <w:uiPriority w:val="0"/>
    <w:pPr>
      <w:topLinePunct/>
      <w:autoSpaceDE w:val="0"/>
      <w:adjustRightInd w:val="0"/>
      <w:snapToGrid w:val="0"/>
      <w:spacing w:line="500" w:lineRule="exact"/>
      <w:ind w:firstLine="480" w:firstLineChars="200"/>
    </w:pPr>
    <w:rPr>
      <w:color w:val="000000"/>
      <w:sz w:val="24"/>
    </w:rPr>
  </w:style>
  <w:style w:type="paragraph" w:customStyle="1" w:styleId="118">
    <w:name w:val="表格正文"/>
    <w:basedOn w:val="6"/>
    <w:qFormat/>
    <w:uiPriority w:val="0"/>
    <w:pPr>
      <w:tabs>
        <w:tab w:val="left" w:pos="324"/>
      </w:tabs>
      <w:spacing w:before="60" w:after="60" w:line="440" w:lineRule="exact"/>
      <w:jc w:val="center"/>
    </w:pPr>
    <w:rPr>
      <w:rFonts w:ascii="Calibri" w:hAnsi="Calibri" w:eastAsia="宋体" w:cs="Times New Roman"/>
    </w:rPr>
  </w:style>
  <w:style w:type="paragraph" w:customStyle="1" w:styleId="119">
    <w:name w:val="1-正文"/>
    <w:basedOn w:val="1"/>
    <w:qFormat/>
    <w:uiPriority w:val="0"/>
    <w:pPr>
      <w:ind w:firstLine="480"/>
    </w:pPr>
    <w:rPr>
      <w:rFonts w:ascii="宋体" w:cs="宋体"/>
    </w:rPr>
  </w:style>
  <w:style w:type="paragraph" w:customStyle="1" w:styleId="120">
    <w:name w:val="表中文字"/>
    <w:basedOn w:val="1"/>
    <w:qFormat/>
    <w:uiPriority w:val="0"/>
    <w:pPr>
      <w:snapToGrid w:val="0"/>
      <w:spacing w:line="340" w:lineRule="exact"/>
      <w:jc w:val="center"/>
    </w:pPr>
    <w:rPr>
      <w:rFonts w:ascii="Arial" w:hAnsi="Arial"/>
      <w:kern w:val="0"/>
      <w:lang w:eastAsia="zh-TW"/>
    </w:rPr>
  </w:style>
  <w:style w:type="table" w:customStyle="1" w:styleId="121">
    <w:name w:val="jstri表格"/>
    <w:basedOn w:val="31"/>
    <w:qFormat/>
    <w:uiPriority w:val="0"/>
    <w:pPr>
      <w:jc w:val="both"/>
    </w:pPr>
    <w:tblPr>
      <w:tblBorders>
        <w:top w:val="single" w:color="auto" w:sz="12" w:space="0"/>
        <w:bottom w:val="single" w:color="auto" w:sz="12" w:space="0"/>
        <w:insideH w:val="single" w:color="auto" w:sz="4" w:space="0"/>
        <w:insideV w:val="single" w:color="auto" w:sz="4" w:space="0"/>
      </w:tblBorders>
    </w:tblPr>
    <w:tcPr>
      <w:vAlign w:val="center"/>
    </w:tcPr>
  </w:style>
  <w:style w:type="paragraph" w:customStyle="1" w:styleId="122">
    <w:name w:val="表体"/>
    <w:basedOn w:val="1"/>
    <w:qFormat/>
    <w:uiPriority w:val="0"/>
    <w:pPr>
      <w:overflowPunct w:val="0"/>
      <w:adjustRightInd w:val="0"/>
      <w:spacing w:line="300" w:lineRule="atLeast"/>
      <w:jc w:val="center"/>
      <w:textAlignment w:val="baseline"/>
    </w:pPr>
    <w:rPr>
      <w:rFonts w:ascii="Calibri" w:hAnsi="Calibri"/>
      <w:color w:val="000000"/>
      <w:kern w:val="24"/>
      <w:sz w:val="18"/>
      <w:szCs w:val="20"/>
    </w:rPr>
  </w:style>
  <w:style w:type="table" w:customStyle="1" w:styleId="123">
    <w:name w:val="Table Normal"/>
    <w:autoRedefine/>
    <w:semiHidden/>
    <w:unhideWhenUsed/>
    <w:qFormat/>
    <w:uiPriority w:val="0"/>
    <w:tblPr>
      <w:tblCellMar>
        <w:top w:w="0" w:type="dxa"/>
        <w:left w:w="0" w:type="dxa"/>
        <w:bottom w:w="0" w:type="dxa"/>
        <w:right w:w="0" w:type="dxa"/>
      </w:tblCellMar>
    </w:tblPr>
  </w:style>
  <w:style w:type="paragraph" w:customStyle="1" w:styleId="124">
    <w:name w:val="Table Paragraph"/>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25">
    <w:name w:val="Table Text"/>
    <w:basedOn w:val="1"/>
    <w:autoRedefine/>
    <w:semiHidden/>
    <w:qFormat/>
    <w:uiPriority w:val="0"/>
    <w:rPr>
      <w:rFonts w:ascii="宋体" w:hAnsi="宋体" w:cs="宋体"/>
      <w:sz w:val="20"/>
      <w:szCs w:val="20"/>
      <w:lang w:eastAsia="en-US"/>
    </w:rPr>
  </w:style>
  <w:style w:type="paragraph" w:customStyle="1" w:styleId="126">
    <w:name w:val="表格首行字体"/>
    <w:basedOn w:val="1"/>
    <w:qFormat/>
    <w:uiPriority w:val="0"/>
    <w:pPr>
      <w:jc w:val="center"/>
    </w:pPr>
    <w:rPr>
      <w:rFonts w:ascii="宋体" w:hAnsi="宋体"/>
      <w:b/>
      <w:szCs w:val="20"/>
    </w:rPr>
  </w:style>
  <w:style w:type="paragraph" w:customStyle="1" w:styleId="127">
    <w:name w:val="WPSOffice手动目录 1"/>
    <w:qFormat/>
    <w:uiPriority w:val="0"/>
    <w:rPr>
      <w:rFonts w:ascii="Times New Roman" w:hAnsi="Times New Roman" w:eastAsia="宋体" w:cs="Times New Roman"/>
      <w:lang w:val="en-US" w:eastAsia="zh-CN" w:bidi="ar-SA"/>
    </w:rPr>
  </w:style>
  <w:style w:type="paragraph" w:customStyle="1" w:styleId="128">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129">
    <w:name w:val="WPSOffice手动目录 3"/>
    <w:qFormat/>
    <w:uiPriority w:val="0"/>
    <w:pPr>
      <w:ind w:left="400" w:leftChars="400"/>
    </w:pPr>
    <w:rPr>
      <w:rFonts w:ascii="Times New Roman" w:hAnsi="Times New Roman" w:eastAsia="宋体" w:cs="Times New Roman"/>
      <w:lang w:val="en-US" w:eastAsia="zh-CN" w:bidi="ar-SA"/>
    </w:rPr>
  </w:style>
  <w:style w:type="character" w:customStyle="1" w:styleId="130">
    <w:name w:val="font21"/>
    <w:basedOn w:val="33"/>
    <w:qFormat/>
    <w:uiPriority w:val="0"/>
    <w:rPr>
      <w:rFonts w:hint="eastAsia" w:ascii="宋体" w:hAnsi="宋体" w:eastAsia="宋体" w:cs="宋体"/>
      <w:color w:val="000000"/>
      <w:sz w:val="22"/>
      <w:szCs w:val="22"/>
      <w:u w:val="none"/>
    </w:rPr>
  </w:style>
  <w:style w:type="character" w:customStyle="1" w:styleId="131">
    <w:name w:val="font11"/>
    <w:basedOn w:val="33"/>
    <w:qFormat/>
    <w:uiPriority w:val="0"/>
    <w:rPr>
      <w:rFonts w:hint="default" w:ascii="Calibri" w:hAnsi="Calibri" w:cs="Calibri"/>
      <w:color w:val="000000"/>
      <w:sz w:val="22"/>
      <w:szCs w:val="22"/>
      <w:u w:val="none"/>
    </w:rPr>
  </w:style>
  <w:style w:type="character" w:customStyle="1" w:styleId="132">
    <w:name w:val="font31"/>
    <w:basedOn w:val="33"/>
    <w:qFormat/>
    <w:uiPriority w:val="0"/>
    <w:rPr>
      <w:rFonts w:hint="default" w:ascii="Arial" w:hAnsi="Arial" w:cs="Arial"/>
      <w:b/>
      <w:bCs/>
      <w:color w:val="000000"/>
      <w:sz w:val="24"/>
      <w:szCs w:val="24"/>
      <w:u w:val="none"/>
    </w:rPr>
  </w:style>
  <w:style w:type="character" w:customStyle="1" w:styleId="133">
    <w:name w:val="font41"/>
    <w:basedOn w:val="33"/>
    <w:qFormat/>
    <w:uiPriority w:val="0"/>
    <w:rPr>
      <w:rFonts w:hint="eastAsia" w:ascii="宋体" w:hAnsi="宋体" w:eastAsia="宋体" w:cs="宋体"/>
      <w:color w:val="000000"/>
      <w:sz w:val="21"/>
      <w:szCs w:val="21"/>
      <w:u w:val="none"/>
    </w:rPr>
  </w:style>
  <w:style w:type="character" w:customStyle="1" w:styleId="134">
    <w:name w:val="font61"/>
    <w:basedOn w:val="33"/>
    <w:qFormat/>
    <w:uiPriority w:val="0"/>
    <w:rPr>
      <w:rFonts w:hint="default" w:ascii="Times New Roman" w:hAnsi="Times New Roman" w:cs="Times New Roman"/>
      <w:color w:val="FF0000"/>
      <w:sz w:val="21"/>
      <w:szCs w:val="21"/>
      <w:u w:val="none"/>
    </w:rPr>
  </w:style>
  <w:style w:type="character" w:customStyle="1" w:styleId="135">
    <w:name w:val="font51"/>
    <w:basedOn w:val="33"/>
    <w:qFormat/>
    <w:uiPriority w:val="0"/>
    <w:rPr>
      <w:rFonts w:hint="eastAsia" w:ascii="宋体" w:hAnsi="宋体" w:eastAsia="宋体" w:cs="宋体"/>
      <w:color w:val="FF0000"/>
      <w:sz w:val="21"/>
      <w:szCs w:val="21"/>
      <w:u w:val="none"/>
    </w:rPr>
  </w:style>
  <w:style w:type="character" w:customStyle="1" w:styleId="136">
    <w:name w:val="font42"/>
    <w:basedOn w:val="33"/>
    <w:qFormat/>
    <w:uiPriority w:val="0"/>
    <w:rPr>
      <w:rFonts w:ascii="宋体" w:hAnsi="宋体" w:eastAsia="宋体" w:cs="宋体"/>
      <w:color w:val="000000"/>
      <w:sz w:val="20"/>
      <w:szCs w:val="20"/>
      <w:u w:val="none"/>
    </w:rPr>
  </w:style>
  <w:style w:type="character" w:customStyle="1" w:styleId="137">
    <w:name w:val="font161"/>
    <w:basedOn w:val="33"/>
    <w:qFormat/>
    <w:uiPriority w:val="0"/>
    <w:rPr>
      <w:rFonts w:ascii="宋体" w:hAnsi="宋体" w:eastAsia="宋体" w:cs="宋体"/>
      <w:color w:val="505050"/>
      <w:sz w:val="20"/>
      <w:szCs w:val="20"/>
      <w:u w:val="none"/>
    </w:rPr>
  </w:style>
  <w:style w:type="character" w:customStyle="1" w:styleId="138">
    <w:name w:val="font221"/>
    <w:basedOn w:val="33"/>
    <w:qFormat/>
    <w:uiPriority w:val="0"/>
    <w:rPr>
      <w:rFonts w:ascii="宋体" w:hAnsi="宋体" w:eastAsia="宋体" w:cs="宋体"/>
      <w:color w:val="000000"/>
      <w:sz w:val="10"/>
      <w:szCs w:val="10"/>
      <w:u w:val="none"/>
    </w:rPr>
  </w:style>
  <w:style w:type="character" w:customStyle="1" w:styleId="139">
    <w:name w:val="font231"/>
    <w:basedOn w:val="33"/>
    <w:qFormat/>
    <w:uiPriority w:val="0"/>
    <w:rPr>
      <w:rFonts w:ascii="Calibri" w:hAnsi="Calibri" w:cs="Calibri"/>
      <w:color w:val="000000"/>
      <w:sz w:val="10"/>
      <w:szCs w:val="10"/>
      <w:u w:val="none"/>
    </w:rPr>
  </w:style>
  <w:style w:type="character" w:customStyle="1" w:styleId="140">
    <w:name w:val="font81"/>
    <w:basedOn w:val="33"/>
    <w:qFormat/>
    <w:uiPriority w:val="0"/>
    <w:rPr>
      <w:rFonts w:ascii="宋体" w:hAnsi="宋体" w:eastAsia="宋体" w:cs="宋体"/>
      <w:color w:val="304050"/>
      <w:sz w:val="10"/>
      <w:szCs w:val="10"/>
      <w:u w:val="none"/>
    </w:rPr>
  </w:style>
  <w:style w:type="character" w:customStyle="1" w:styleId="141">
    <w:name w:val="font212"/>
    <w:basedOn w:val="33"/>
    <w:qFormat/>
    <w:uiPriority w:val="0"/>
    <w:rPr>
      <w:rFonts w:ascii="宋体" w:hAnsi="宋体" w:eastAsia="宋体" w:cs="宋体"/>
      <w:color w:val="000000"/>
      <w:sz w:val="10"/>
      <w:szCs w:val="10"/>
      <w:u w:val="none"/>
    </w:rPr>
  </w:style>
  <w:style w:type="character" w:customStyle="1" w:styleId="142">
    <w:name w:val="font71"/>
    <w:basedOn w:val="33"/>
    <w:qFormat/>
    <w:uiPriority w:val="0"/>
    <w:rPr>
      <w:rFonts w:ascii="宋体" w:hAnsi="宋体" w:eastAsia="宋体" w:cs="宋体"/>
      <w:color w:val="204040"/>
      <w:sz w:val="10"/>
      <w:szCs w:val="10"/>
      <w:u w:val="none"/>
    </w:rPr>
  </w:style>
  <w:style w:type="character" w:customStyle="1" w:styleId="143">
    <w:name w:val="font91"/>
    <w:basedOn w:val="33"/>
    <w:qFormat/>
    <w:uiPriority w:val="0"/>
    <w:rPr>
      <w:rFonts w:ascii="宋体" w:hAnsi="宋体" w:eastAsia="宋体" w:cs="宋体"/>
      <w:color w:val="909070"/>
      <w:sz w:val="10"/>
      <w:szCs w:val="10"/>
      <w:u w:val="none"/>
    </w:rPr>
  </w:style>
  <w:style w:type="character" w:customStyle="1" w:styleId="144">
    <w:name w:val="font421"/>
    <w:basedOn w:val="33"/>
    <w:qFormat/>
    <w:uiPriority w:val="0"/>
    <w:rPr>
      <w:rFonts w:ascii="宋体" w:hAnsi="宋体" w:eastAsia="宋体" w:cs="宋体"/>
      <w:color w:val="606080"/>
      <w:sz w:val="12"/>
      <w:szCs w:val="12"/>
      <w:u w:val="none"/>
    </w:rPr>
  </w:style>
  <w:style w:type="character" w:customStyle="1" w:styleId="145">
    <w:name w:val="font431"/>
    <w:basedOn w:val="33"/>
    <w:qFormat/>
    <w:uiPriority w:val="0"/>
    <w:rPr>
      <w:rFonts w:ascii="宋体" w:hAnsi="宋体" w:eastAsia="宋体" w:cs="宋体"/>
      <w:color w:val="000000"/>
      <w:sz w:val="12"/>
      <w:szCs w:val="12"/>
      <w:u w:val="none"/>
    </w:rPr>
  </w:style>
  <w:style w:type="character" w:customStyle="1" w:styleId="146">
    <w:name w:val="font441"/>
    <w:basedOn w:val="33"/>
    <w:qFormat/>
    <w:uiPriority w:val="0"/>
    <w:rPr>
      <w:rFonts w:ascii="宋体" w:hAnsi="宋体" w:eastAsia="宋体" w:cs="宋体"/>
      <w:color w:val="406090"/>
      <w:sz w:val="12"/>
      <w:szCs w:val="12"/>
      <w:u w:val="none"/>
    </w:rPr>
  </w:style>
  <w:style w:type="character" w:customStyle="1" w:styleId="147">
    <w:name w:val="font101"/>
    <w:basedOn w:val="33"/>
    <w:qFormat/>
    <w:uiPriority w:val="0"/>
    <w:rPr>
      <w:rFonts w:ascii="宋体" w:hAnsi="宋体" w:eastAsia="宋体" w:cs="宋体"/>
      <w:color w:val="404040"/>
      <w:sz w:val="12"/>
      <w:szCs w:val="12"/>
      <w:u w:val="none"/>
    </w:rPr>
  </w:style>
  <w:style w:type="character" w:customStyle="1" w:styleId="148">
    <w:name w:val="font32"/>
    <w:basedOn w:val="33"/>
    <w:qFormat/>
    <w:uiPriority w:val="0"/>
    <w:rPr>
      <w:rFonts w:ascii="宋体" w:hAnsi="宋体" w:eastAsia="宋体" w:cs="宋体"/>
      <w:color w:val="606060"/>
      <w:sz w:val="12"/>
      <w:szCs w:val="12"/>
      <w:u w:val="none"/>
    </w:rPr>
  </w:style>
  <w:style w:type="character" w:customStyle="1" w:styleId="149">
    <w:name w:val="font111"/>
    <w:basedOn w:val="33"/>
    <w:qFormat/>
    <w:uiPriority w:val="0"/>
    <w:rPr>
      <w:rFonts w:ascii="宋体" w:hAnsi="宋体" w:eastAsia="宋体" w:cs="宋体"/>
      <w:color w:val="405060"/>
      <w:sz w:val="12"/>
      <w:szCs w:val="12"/>
      <w:u w:val="none"/>
    </w:rPr>
  </w:style>
  <w:style w:type="character" w:customStyle="1" w:styleId="150">
    <w:name w:val="font131"/>
    <w:basedOn w:val="33"/>
    <w:qFormat/>
    <w:uiPriority w:val="0"/>
    <w:rPr>
      <w:rFonts w:ascii="宋体" w:hAnsi="宋体" w:eastAsia="宋体" w:cs="宋体"/>
      <w:color w:val="505060"/>
      <w:sz w:val="12"/>
      <w:szCs w:val="12"/>
      <w:u w:val="none"/>
    </w:rPr>
  </w:style>
  <w:style w:type="character" w:customStyle="1" w:styleId="151">
    <w:name w:val="font141"/>
    <w:basedOn w:val="33"/>
    <w:qFormat/>
    <w:uiPriority w:val="0"/>
    <w:rPr>
      <w:rFonts w:ascii="宋体" w:hAnsi="宋体" w:eastAsia="宋体" w:cs="宋体"/>
      <w:color w:val="605050"/>
      <w:sz w:val="12"/>
      <w:szCs w:val="12"/>
      <w:u w:val="none"/>
    </w:rPr>
  </w:style>
  <w:style w:type="character" w:customStyle="1" w:styleId="152">
    <w:name w:val="font171"/>
    <w:basedOn w:val="33"/>
    <w:qFormat/>
    <w:uiPriority w:val="0"/>
    <w:rPr>
      <w:rFonts w:ascii="宋体" w:hAnsi="宋体" w:eastAsia="宋体" w:cs="宋体"/>
      <w:color w:val="B08080"/>
      <w:sz w:val="12"/>
      <w:szCs w:val="12"/>
      <w:u w:val="none"/>
    </w:rPr>
  </w:style>
  <w:style w:type="character" w:customStyle="1" w:styleId="153">
    <w:name w:val="font181"/>
    <w:basedOn w:val="33"/>
    <w:qFormat/>
    <w:uiPriority w:val="0"/>
    <w:rPr>
      <w:rFonts w:ascii="宋体" w:hAnsi="宋体" w:eastAsia="宋体" w:cs="宋体"/>
      <w:color w:val="606090"/>
      <w:sz w:val="12"/>
      <w:szCs w:val="12"/>
      <w:u w:val="none"/>
    </w:rPr>
  </w:style>
  <w:style w:type="character" w:customStyle="1" w:styleId="154">
    <w:name w:val="font191"/>
    <w:basedOn w:val="33"/>
    <w:qFormat/>
    <w:uiPriority w:val="0"/>
    <w:rPr>
      <w:rFonts w:ascii="宋体" w:hAnsi="宋体" w:eastAsia="宋体" w:cs="宋体"/>
      <w:color w:val="708080"/>
      <w:sz w:val="12"/>
      <w:szCs w:val="12"/>
      <w:u w:val="none"/>
    </w:rPr>
  </w:style>
  <w:style w:type="character" w:customStyle="1" w:styleId="155">
    <w:name w:val="font201"/>
    <w:basedOn w:val="33"/>
    <w:qFormat/>
    <w:uiPriority w:val="0"/>
    <w:rPr>
      <w:rFonts w:ascii="宋体" w:hAnsi="宋体" w:eastAsia="宋体" w:cs="宋体"/>
      <w:color w:val="504040"/>
      <w:sz w:val="12"/>
      <w:szCs w:val="12"/>
      <w:u w:val="none"/>
    </w:rPr>
  </w:style>
  <w:style w:type="character" w:customStyle="1" w:styleId="156">
    <w:name w:val="font241"/>
    <w:basedOn w:val="33"/>
    <w:qFormat/>
    <w:uiPriority w:val="0"/>
    <w:rPr>
      <w:rFonts w:ascii="宋体" w:hAnsi="宋体" w:eastAsia="宋体" w:cs="宋体"/>
      <w:color w:val="204050"/>
      <w:sz w:val="12"/>
      <w:szCs w:val="12"/>
      <w:u w:val="none"/>
    </w:rPr>
  </w:style>
  <w:style w:type="character" w:customStyle="1" w:styleId="157">
    <w:name w:val="font401"/>
    <w:basedOn w:val="33"/>
    <w:qFormat/>
    <w:uiPriority w:val="0"/>
    <w:rPr>
      <w:rFonts w:ascii="宋体" w:hAnsi="宋体" w:eastAsia="宋体" w:cs="宋体"/>
      <w:color w:val="808090"/>
      <w:sz w:val="12"/>
      <w:szCs w:val="12"/>
      <w:u w:val="none"/>
    </w:rPr>
  </w:style>
  <w:style w:type="character" w:customStyle="1" w:styleId="158">
    <w:name w:val="font271"/>
    <w:basedOn w:val="33"/>
    <w:qFormat/>
    <w:uiPriority w:val="0"/>
    <w:rPr>
      <w:rFonts w:ascii="宋体" w:hAnsi="宋体" w:eastAsia="宋体" w:cs="宋体"/>
      <w:color w:val="506070"/>
      <w:sz w:val="12"/>
      <w:szCs w:val="12"/>
      <w:u w:val="none"/>
    </w:rPr>
  </w:style>
  <w:style w:type="character" w:customStyle="1" w:styleId="159">
    <w:name w:val="font281"/>
    <w:basedOn w:val="33"/>
    <w:qFormat/>
    <w:uiPriority w:val="0"/>
    <w:rPr>
      <w:rFonts w:ascii="宋体" w:hAnsi="宋体" w:eastAsia="宋体" w:cs="宋体"/>
      <w:color w:val="303050"/>
      <w:sz w:val="12"/>
      <w:szCs w:val="12"/>
      <w:u w:val="none"/>
    </w:rPr>
  </w:style>
  <w:style w:type="character" w:customStyle="1" w:styleId="160">
    <w:name w:val="font291"/>
    <w:basedOn w:val="33"/>
    <w:qFormat/>
    <w:uiPriority w:val="0"/>
    <w:rPr>
      <w:rFonts w:ascii="宋体" w:hAnsi="宋体" w:eastAsia="宋体" w:cs="宋体"/>
      <w:color w:val="506080"/>
      <w:sz w:val="12"/>
      <w:szCs w:val="12"/>
      <w:u w:val="none"/>
    </w:rPr>
  </w:style>
  <w:style w:type="character" w:customStyle="1" w:styleId="161">
    <w:name w:val="font301"/>
    <w:basedOn w:val="33"/>
    <w:qFormat/>
    <w:uiPriority w:val="0"/>
    <w:rPr>
      <w:rFonts w:ascii="宋体" w:hAnsi="宋体" w:eastAsia="宋体" w:cs="宋体"/>
      <w:color w:val="607070"/>
      <w:sz w:val="12"/>
      <w:szCs w:val="12"/>
      <w:u w:val="none"/>
    </w:rPr>
  </w:style>
  <w:style w:type="character" w:customStyle="1" w:styleId="162">
    <w:name w:val="font311"/>
    <w:basedOn w:val="33"/>
    <w:qFormat/>
    <w:uiPriority w:val="0"/>
    <w:rPr>
      <w:rFonts w:ascii="宋体" w:hAnsi="宋体" w:eastAsia="宋体" w:cs="宋体"/>
      <w:color w:val="506090"/>
      <w:sz w:val="12"/>
      <w:szCs w:val="12"/>
      <w:u w:val="none"/>
    </w:rPr>
  </w:style>
  <w:style w:type="character" w:customStyle="1" w:styleId="163">
    <w:name w:val="font261"/>
    <w:basedOn w:val="33"/>
    <w:qFormat/>
    <w:uiPriority w:val="0"/>
    <w:rPr>
      <w:rFonts w:ascii="宋体" w:hAnsi="宋体" w:eastAsia="宋体" w:cs="宋体"/>
      <w:color w:val="304040"/>
      <w:sz w:val="12"/>
      <w:szCs w:val="12"/>
      <w:u w:val="none"/>
    </w:rPr>
  </w:style>
  <w:style w:type="character" w:customStyle="1" w:styleId="164">
    <w:name w:val="font322"/>
    <w:basedOn w:val="33"/>
    <w:qFormat/>
    <w:uiPriority w:val="0"/>
    <w:rPr>
      <w:rFonts w:ascii="宋体" w:hAnsi="宋体" w:eastAsia="宋体" w:cs="宋体"/>
      <w:color w:val="706070"/>
      <w:sz w:val="12"/>
      <w:szCs w:val="12"/>
      <w:u w:val="none"/>
    </w:rPr>
  </w:style>
  <w:style w:type="character" w:customStyle="1" w:styleId="165">
    <w:name w:val="font331"/>
    <w:basedOn w:val="33"/>
    <w:qFormat/>
    <w:uiPriority w:val="0"/>
    <w:rPr>
      <w:rFonts w:ascii="宋体" w:hAnsi="宋体" w:eastAsia="宋体" w:cs="宋体"/>
      <w:color w:val="707080"/>
      <w:sz w:val="12"/>
      <w:szCs w:val="12"/>
      <w:u w:val="none"/>
    </w:rPr>
  </w:style>
  <w:style w:type="character" w:customStyle="1" w:styleId="166">
    <w:name w:val="font451"/>
    <w:basedOn w:val="33"/>
    <w:qFormat/>
    <w:uiPriority w:val="0"/>
    <w:rPr>
      <w:rFonts w:ascii="宋体" w:hAnsi="宋体" w:eastAsia="宋体" w:cs="宋体"/>
      <w:color w:val="6060A0"/>
      <w:sz w:val="12"/>
      <w:szCs w:val="12"/>
      <w:u w:val="none"/>
    </w:rPr>
  </w:style>
  <w:style w:type="character" w:customStyle="1" w:styleId="167">
    <w:name w:val="font341"/>
    <w:basedOn w:val="33"/>
    <w:qFormat/>
    <w:uiPriority w:val="0"/>
    <w:rPr>
      <w:rFonts w:ascii="宋体" w:hAnsi="宋体" w:eastAsia="宋体" w:cs="宋体"/>
      <w:color w:val="305080"/>
      <w:sz w:val="12"/>
      <w:szCs w:val="12"/>
      <w:u w:val="none"/>
    </w:rPr>
  </w:style>
  <w:style w:type="character" w:customStyle="1" w:styleId="168">
    <w:name w:val="font351"/>
    <w:basedOn w:val="33"/>
    <w:qFormat/>
    <w:uiPriority w:val="0"/>
    <w:rPr>
      <w:rFonts w:ascii="宋体" w:hAnsi="宋体" w:eastAsia="宋体" w:cs="宋体"/>
      <w:color w:val="605040"/>
      <w:sz w:val="12"/>
      <w:szCs w:val="12"/>
      <w:u w:val="none"/>
    </w:rPr>
  </w:style>
  <w:style w:type="character" w:customStyle="1" w:styleId="169">
    <w:name w:val="font251"/>
    <w:basedOn w:val="33"/>
    <w:qFormat/>
    <w:uiPriority w:val="0"/>
    <w:rPr>
      <w:rFonts w:ascii="宋体" w:hAnsi="宋体" w:eastAsia="宋体" w:cs="宋体"/>
      <w:color w:val="504050"/>
      <w:sz w:val="12"/>
      <w:szCs w:val="12"/>
      <w:u w:val="none"/>
    </w:rPr>
  </w:style>
  <w:style w:type="character" w:customStyle="1" w:styleId="170">
    <w:name w:val="font361"/>
    <w:basedOn w:val="33"/>
    <w:qFormat/>
    <w:uiPriority w:val="0"/>
    <w:rPr>
      <w:rFonts w:ascii="宋体" w:hAnsi="宋体" w:eastAsia="宋体" w:cs="宋体"/>
      <w:color w:val="405070"/>
      <w:sz w:val="12"/>
      <w:szCs w:val="12"/>
      <w:u w:val="none"/>
    </w:rPr>
  </w:style>
  <w:style w:type="character" w:customStyle="1" w:styleId="171">
    <w:name w:val="font461"/>
    <w:basedOn w:val="33"/>
    <w:qFormat/>
    <w:uiPriority w:val="0"/>
    <w:rPr>
      <w:rFonts w:ascii="宋体" w:hAnsi="宋体" w:eastAsia="宋体" w:cs="宋体"/>
      <w:color w:val="808080"/>
      <w:sz w:val="12"/>
      <w:szCs w:val="12"/>
      <w:u w:val="none"/>
    </w:rPr>
  </w:style>
  <w:style w:type="character" w:customStyle="1" w:styleId="172">
    <w:name w:val="font371"/>
    <w:basedOn w:val="33"/>
    <w:qFormat/>
    <w:uiPriority w:val="0"/>
    <w:rPr>
      <w:rFonts w:ascii="宋体" w:hAnsi="宋体" w:eastAsia="宋体" w:cs="宋体"/>
      <w:color w:val="707070"/>
      <w:sz w:val="12"/>
      <w:szCs w:val="12"/>
      <w:u w:val="none"/>
    </w:rPr>
  </w:style>
  <w:style w:type="character" w:customStyle="1" w:styleId="173">
    <w:name w:val="font381"/>
    <w:basedOn w:val="33"/>
    <w:qFormat/>
    <w:uiPriority w:val="0"/>
    <w:rPr>
      <w:rFonts w:ascii="宋体" w:hAnsi="宋体" w:eastAsia="宋体" w:cs="宋体"/>
      <w:color w:val="707090"/>
      <w:sz w:val="12"/>
      <w:szCs w:val="12"/>
      <w:u w:val="none"/>
    </w:rPr>
  </w:style>
  <w:style w:type="character" w:customStyle="1" w:styleId="174">
    <w:name w:val="font391"/>
    <w:basedOn w:val="33"/>
    <w:qFormat/>
    <w:uiPriority w:val="0"/>
    <w:rPr>
      <w:rFonts w:ascii="宋体" w:hAnsi="宋体" w:eastAsia="宋体" w:cs="宋体"/>
      <w:color w:val="304070"/>
      <w:sz w:val="12"/>
      <w:szCs w:val="12"/>
      <w:u w:val="none"/>
    </w:rPr>
  </w:style>
  <w:style w:type="character" w:customStyle="1" w:styleId="175">
    <w:name w:val="font412"/>
    <w:basedOn w:val="33"/>
    <w:qFormat/>
    <w:uiPriority w:val="0"/>
    <w:rPr>
      <w:rFonts w:ascii="宋体" w:hAnsi="宋体" w:eastAsia="宋体" w:cs="宋体"/>
      <w:color w:val="405050"/>
      <w:sz w:val="12"/>
      <w:szCs w:val="12"/>
      <w:u w:val="none"/>
    </w:rPr>
  </w:style>
  <w:style w:type="paragraph" w:customStyle="1" w:styleId="176">
    <w:name w:val="表头格式"/>
    <w:qFormat/>
    <w:uiPriority w:val="0"/>
    <w:pPr>
      <w:widowControl w:val="0"/>
      <w:adjustRightInd w:val="0"/>
      <w:snapToGrid w:val="0"/>
      <w:spacing w:line="480" w:lineRule="exact"/>
      <w:ind w:firstLine="640" w:firstLineChars="200"/>
      <w:jc w:val="center"/>
    </w:pPr>
    <w:rPr>
      <w:rFonts w:ascii="Times New Roman" w:hAnsi="Times New Roman" w:eastAsia="宋体" w:cs="宋体"/>
      <w:b/>
      <w:color w:val="000000"/>
      <w:spacing w:val="-2"/>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7" Type="http://schemas.openxmlformats.org/officeDocument/2006/relationships/fontTable" Target="fontTable.xml"/><Relationship Id="rId46" Type="http://schemas.openxmlformats.org/officeDocument/2006/relationships/customXml" Target="../customXml/item2.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23.png"/><Relationship Id="rId42" Type="http://schemas.openxmlformats.org/officeDocument/2006/relationships/image" Target="media/image22.png"/><Relationship Id="rId41" Type="http://schemas.openxmlformats.org/officeDocument/2006/relationships/image" Target="media/image21.wmf"/><Relationship Id="rId40" Type="http://schemas.openxmlformats.org/officeDocument/2006/relationships/oleObject" Target="embeddings/oleObject5.bin"/><Relationship Id="rId4" Type="http://schemas.openxmlformats.org/officeDocument/2006/relationships/header" Target="header2.xml"/><Relationship Id="rId39" Type="http://schemas.openxmlformats.org/officeDocument/2006/relationships/image" Target="media/image20.wmf"/><Relationship Id="rId38" Type="http://schemas.openxmlformats.org/officeDocument/2006/relationships/oleObject" Target="embeddings/oleObject4.bin"/><Relationship Id="rId37" Type="http://schemas.openxmlformats.org/officeDocument/2006/relationships/image" Target="media/image19.wmf"/><Relationship Id="rId36" Type="http://schemas.openxmlformats.org/officeDocument/2006/relationships/oleObject" Target="embeddings/oleObject3.bin"/><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wmf"/><Relationship Id="rId31" Type="http://schemas.openxmlformats.org/officeDocument/2006/relationships/oleObject" Target="embeddings/oleObject2.bin"/><Relationship Id="rId30" Type="http://schemas.openxmlformats.org/officeDocument/2006/relationships/image" Target="media/image14.png"/><Relationship Id="rId3" Type="http://schemas.openxmlformats.org/officeDocument/2006/relationships/header" Target="header1.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png"/><Relationship Id="rId26" Type="http://schemas.openxmlformats.org/officeDocument/2006/relationships/image" Target="media/image10.png"/><Relationship Id="rId25" Type="http://schemas.openxmlformats.org/officeDocument/2006/relationships/image" Target="media/image9.png"/><Relationship Id="rId24" Type="http://schemas.openxmlformats.org/officeDocument/2006/relationships/image" Target="media/image8.emf"/><Relationship Id="rId23" Type="http://schemas.openxmlformats.org/officeDocument/2006/relationships/oleObject" Target="embeddings/oleObject1.bin"/><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7.xml"/><Relationship Id="rId13" Type="http://schemas.openxmlformats.org/officeDocument/2006/relationships/header" Target="header5.xml"/><Relationship Id="rId12" Type="http://schemas.openxmlformats.org/officeDocument/2006/relationships/footer" Target="footer6.xml"/><Relationship Id="rId11" Type="http://schemas.openxmlformats.org/officeDocument/2006/relationships/header" Target="header4.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contractReview xmlns="http://schemas.wps.cn/vas-ai-hub/contract-review">
  <reviewItems>
    <reviewItem>
      <errorID>4e48916e-444b-4e7b-8cd5-87fafeb69430</errorID>
      <errorWord>例行监测</errorWord>
      <group>L1_Word</group>
      <groupName>字词问题</groupName>
      <ability>L2_Typo</ability>
      <abilityName>字词错误</abilityName>
      <candidateList>
        <item>例行检测</item>
      </candidateList>
      <explain/>
      <paraID>1176C6DE</paraID>
      <start>6</start>
      <end>10</end>
      <status>unmodified</status>
      <modifiedWord/>
      <trackRevisions>false</trackRevisions>
    </reviewItem>
    <reviewItem>
      <errorID>27dc2a06-b106-4e14-ab35-f3e3d3866474</errorID>
      <errorWord>(</errorWord>
      <group>L1_Format</group>
      <groupName>格式问题</groupName>
      <ability>L2_HalfPunc</ability>
      <abilityName>全半角检查</abilityName>
      <candidateList>
        <item>（</item>
      </candidateList>
      <explain>文本全半角错误。</explain>
      <paraID>2F1BE33A</paraID>
      <start>41</start>
      <end>42</end>
      <status>modified</status>
      <modifiedWord>（</modifiedWord>
      <trackRevisions>false</trackRevisions>
    </reviewItem>
    <reviewItem>
      <errorID>693a0dc3-f6c4-4033-8b2c-498d506211de</errorID>
      <errorWord>)</errorWord>
      <group>L1_Format</group>
      <groupName>格式问题</groupName>
      <ability>L2_HalfPunc</ability>
      <abilityName>全半角检查</abilityName>
      <candidateList>
        <item>）</item>
      </candidateList>
      <explain>文本全半角错误。</explain>
      <paraID>2F1BE33A</paraID>
      <start>50</start>
      <end>51</end>
      <status>modified</status>
      <modifiedWord>）</modifiedWord>
      <trackRevisions>false</trackRevisions>
    </reviewItem>
    <reviewItem>
      <errorID>1afb7185-cbde-4298-80a9-a329eb6fb164</errorID>
      <errorWord>“</errorWord>
      <group>L1_Punc</group>
      <groupName>标点问题</groupName>
      <ability>L2_Punc</ability>
      <abilityName>标点符号检查</abilityName>
      <candidateList/>
      <explain/>
      <paraID>2F1BE33A</paraID>
      <start>133</start>
      <end>134</end>
      <status>unmodified</status>
      <modifiedWord/>
      <trackRevisions>false</trackRevisions>
    </reviewItem>
    <reviewItem>
      <errorID>0aadd787-4bf7-4b65-9f22-2bc20b3a305e</errorID>
      <errorWord>[2018]40号</errorWord>
      <group>L1_Knowledge</group>
      <groupName>知识性问题</groupName>
      <ability>L2_Knowledge</ability>
      <abilityName>其他知识</abilityName>
      <candidateList>
        <item>〔2018〕40号</item>
      </candidateList>
      <explain>发文字号格式错误。</explain>
      <paraID>2F1BE33A</paraID>
      <start>137</start>
      <end>146</end>
      <status>unmodified</status>
      <modifiedWord/>
      <trackRevisions>false</trackRevisions>
    </reviewItem>
    <reviewItem>
      <errorID>074283e9-811b-4459-a474-9a702c3bc012</errorID>
      <errorWord>程</errorWord>
      <group>L1_Word</group>
      <groupName>字词问题</groupName>
      <ability>L2_Typo</ability>
      <abilityName>字词错误</abilityName>
      <candidateList>
        <item>程中</item>
      </candidateList>
      <explain/>
      <paraID>1972812F</paraID>
      <start>16</start>
      <end>17</end>
      <status>unmodified</status>
      <modifiedWord/>
      <trackRevisions>false</trackRevisions>
    </reviewItem>
    <reviewItem>
      <errorID>6e502643-c3f0-4959-baff-44f7e596e148</errorID>
      <errorWord>主管部门备案</errorWord>
      <group>L1_Grammar</group>
      <groupName>语法问题</groupName>
      <ability>L2_Collocation</ability>
      <abilityName>搭配不当</abilityName>
      <candidateList>
        <item>主管部门</item>
      </candidateList>
      <explain>句子中可能存在主谓、动宾、定语中心语、状语中心语、补语中心语、关联词搭配不当等问题。</explain>
      <paraID>1E802066</paraID>
      <start>109</start>
      <end>115</end>
      <status>ignored</status>
      <modifiedWord/>
      <trackRevisions>false</trackRevisions>
    </reviewItem>
    <reviewItem>
      <errorID>d9af006e-a507-48c4-8db9-e707a3a4b69d</errorID>
      <errorWord>1.2.1国家法律法规</errorWord>
      <group>L1_AI</group>
      <groupName>深度校对</groupName>
      <ability>L2_AI_Title</ability>
      <abilityName>标题检查</abilityName>
      <candidateList/>
      <explain>相邻标题序号不连续。标题‘1.2 评价目的’为二级标题，其后应按二级标题序号延续或出现三级标题‘1.2.1’，但直接出现了‘1.2.1国家法律法规’，存在相邻标题序号不连续的问题；且后续‘1.2.2 地方法规政策’‘1.2.3 技术导则及技术规范’同样存在此类问题，与前文相邻标题序号不连续</explain>
      <paraID>593F0B55</paraID>
      <start>0</start>
      <end>11</end>
      <status>unmodified</status>
      <modifiedWord/>
      <trackRevisions>false</trackRevisions>
    </reviewItem>
    <reviewItem>
      <errorID>88a0758c-4a4b-436a-8db9-d45f3cadcf07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62A294D1</paraID>
      <start>0</start>
      <end>2</end>
      <status>unmodified</status>
      <modifiedWord/>
      <trackRevisions>false</trackRevisions>
    </reviewItem>
    <reviewItem>
      <errorID>dadc396a-191f-4509-8841-8d64a5d3880a</errorID>
      <errorWord>，2015年1月1日；</errorWord>
      <group>L1_AI</group>
      <groupName>深度校对</groupName>
      <ability>L2_AI_Punc</ability>
      <abilityName>标点纠错</abilityName>
      <candidateList>
        <item>（2015年1月1日起施行）</item>
      </candidateList>
      <explain/>
      <paraID>62A294D1</paraID>
      <start>16</start>
      <end>27</end>
      <status>unmodified</status>
      <modifiedWord/>
      <trackRevisions>false</trackRevisions>
    </reviewItem>
    <reviewItem>
      <errorID>b51bd92a-b015-4041-bb03-389d9726cb34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12340712</paraID>
      <start>0</start>
      <end>2</end>
      <status>unmodified</status>
      <modifiedWord/>
      <trackRevisions>false</trackRevisions>
    </reviewItem>
    <reviewItem>
      <errorID>8060c59b-a84a-470e-a9f9-1d6bfc9d3a67</errorID>
      <errorWord>，</errorWord>
      <group>L1_AI</group>
      <groupName>深度校对</groupName>
      <ability>L2_AI_Punc</ability>
      <abilityName>标点纠错</abilityName>
      <candidateList>
        <item>（</item>
      </candidateList>
      <explain/>
      <paraID>12340712</paraID>
      <start>18</start>
      <end>19</end>
      <status>unmodified</status>
      <modifiedWord/>
      <trackRevisions>false</trackRevisions>
    </reviewItem>
    <reviewItem>
      <errorID>cda10e9a-d106-4d4f-89c8-f280f9d41f6d</errorID>
      <errorWord>施行</errorWord>
      <group>L1_AI</group>
      <groupName>深度校对</groupName>
      <ability>L2_AI_Grammar</ability>
      <abilityName>语法纠错</abilityName>
      <candidateList>
        <item>起施行</item>
      </candidateList>
      <explain/>
      <paraID>12340712</paraID>
      <start>28</start>
      <end>30</end>
      <status>unmodified</status>
      <modifiedWord/>
      <trackRevisions>false</trackRevisions>
    </reviewItem>
    <reviewItem>
      <errorID>622e45d2-8cd3-4943-b0fa-25e7624e52ac</errorID>
      <errorWord>；</errorWord>
      <group>L1_AI</group>
      <groupName>深度校对</groupName>
      <ability>L2_AI_Punc</ability>
      <abilityName>标点纠错</abilityName>
      <candidateList>
        <item>）</item>
      </candidateList>
      <explain/>
      <paraID>12340712</paraID>
      <start>30</start>
      <end>31</end>
      <status>unmodified</status>
      <modifiedWord/>
      <trackRevisions>false</trackRevisions>
    </reviewItem>
    <reviewItem>
      <errorID>2423cb90-00cb-4aea-b213-1b5bf8ee4b05</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70FFFBA7</paraID>
      <start>0</start>
      <end>2</end>
      <status>unmodified</status>
      <modifiedWord/>
      <trackRevisions>false</trackRevisions>
    </reviewItem>
    <reviewItem>
      <errorID>8a9501b2-8a44-4938-90aa-df862d36aa79</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276625C3</paraID>
      <start>0</start>
      <end>2</end>
      <status>unmodified</status>
      <modifiedWord/>
      <trackRevisions>false</trackRevisions>
    </reviewItem>
    <reviewItem>
      <errorID>148bd086-5d78-49a0-b06c-f9e5754c748d</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14C3797E</paraID>
      <start>0</start>
      <end>2</end>
      <status>unmodified</status>
      <modifiedWord/>
      <trackRevisions>false</trackRevisions>
    </reviewItem>
    <reviewItem>
      <errorID>00c13498-3b5d-4fff-bc45-5f198265e6e4</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AF8255D</paraID>
      <start>0</start>
      <end>2</end>
      <status>unmodified</status>
      <modifiedWord/>
      <trackRevisions>false</trackRevisions>
    </reviewItem>
    <reviewItem>
      <errorID>eee034c8-41de-40ad-8644-5c5d7ab859c8</errorID>
      <errorWord>实施</errorWord>
      <group>L1_AI</group>
      <groupName>深度校对</groupName>
      <ability>L2_AI_Word</ability>
      <abilityName>字词纠错</abilityName>
      <candidateList>
        <item>施行</item>
      </candidateList>
      <explain>〈动〉❶法令、规章等公布后从某时起发生效力；执行：本条例自公布之日起～。❷按照某种方式或办法去做；实行：～手术。</explain>
      <paraID> AF8255D</paraID>
      <start>28</start>
      <end>30</end>
      <status>unmodified</status>
      <modifiedWord/>
      <trackRevisions>false</trackRevisions>
    </reviewItem>
    <reviewItem>
      <errorID>15948f4e-104a-4554-b3a6-f15d63eb67fa</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6CBE226C</paraID>
      <start>0</start>
      <end>2</end>
      <status>unmodified</status>
      <modifiedWord/>
      <trackRevisions>false</trackRevisions>
    </reviewItem>
    <reviewItem>
      <errorID>14be9d6e-cf8b-4d4e-8a02-431df086ac62</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553B6791</paraID>
      <start>0</start>
      <end>2</end>
      <status>unmodified</status>
      <modifiedWord/>
      <trackRevisions>false</trackRevisions>
    </reviewItem>
    <reviewItem>
      <errorID>e58e28c7-8904-4357-b478-f3dce5741b64</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630119E3</paraID>
      <start>0</start>
      <end>2</end>
      <status>unmodified</status>
      <modifiedWord/>
      <trackRevisions>false</trackRevisions>
    </reviewItem>
    <reviewItem>
      <errorID>3e18b5bd-672a-431a-9aed-736f48e07c29</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3C4B0F1A</paraID>
      <start>0</start>
      <end>3</end>
      <status>unmodified</status>
      <modifiedWord/>
      <trackRevisions>false</trackRevisions>
    </reviewItem>
    <reviewItem>
      <errorID>8806aeff-4bed-4c4e-ba70-77392c37a5ea</errorID>
      <errorWord>2017</errorWord>
      <group>L1_AI</group>
      <groupName>深度校对</groupName>
      <ability>L2_AI_Punc</ability>
      <abilityName>标点纠错</abilityName>
      <candidateList>
        <item>，2017</item>
      </candidateList>
      <explain/>
      <paraID>3C4B0F1A</paraID>
      <start>21</start>
      <end>25</end>
      <status>unmodified</status>
      <modifiedWord/>
      <trackRevisions>false</trackRevisions>
    </reviewItem>
    <reviewItem>
      <errorID>628743d4-29dd-446c-bdd9-c7c5bbb49afd</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5F8BA08D</paraID>
      <start>0</start>
      <end>3</end>
      <status>unmodified</status>
      <modifiedWord/>
      <trackRevisions>false</trackRevisions>
    </reviewItem>
    <reviewItem>
      <errorID>c378ade6-9b60-4040-8aba-927f6a9f4b95</errorID>
      <errorWord>国</errorWord>
      <group>L1_AI</group>
      <groupName>深度校对</groupName>
      <ability>L2_AI_Punc</ability>
      <abilityName>标点纠错</abilityName>
      <candidateList>
        <item>（国</item>
      </candidateList>
      <explain/>
      <paraID>5F8BA08D</paraID>
      <start>24</start>
      <end>25</end>
      <status>unmodified</status>
      <modifiedWord/>
      <trackRevisions>false</trackRevisions>
    </reviewItem>
    <reviewItem>
      <errorID>a959e834-e5af-4ff9-87f0-68e408375bc9</errorID>
      <errorWord>[2015]17号</errorWord>
      <group>L1_Knowledge</group>
      <groupName>知识性问题</groupName>
      <ability>L2_Knowledge</ability>
      <abilityName>其他知识</abilityName>
      <candidateList>
        <item>〔2015〕17号</item>
      </candidateList>
      <explain>发文字号格式错误。</explain>
      <paraID>5F8BA08D</paraID>
      <start>26</start>
      <end>35</end>
      <status>unmodified</status>
      <modifiedWord/>
      <trackRevisions>false</trackRevisions>
    </reviewItem>
    <reviewItem>
      <errorID>06acf444-9b99-4c98-b089-28a69c351cb2</errorID>
      <errorWord>文</errorWord>
      <group>L1_AI</group>
      <groupName>深度校对</groupName>
      <ability>L2_AI_Word</ability>
      <abilityName>字词纠错</abilityName>
      <candidateList>
        <item>）</item>
      </candidateList>
      <explain/>
      <paraID>5F8BA08D</paraID>
      <start>35</start>
      <end>36</end>
      <status>unmodified</status>
      <modifiedWord/>
      <trackRevisions>false</trackRevisions>
    </reviewItem>
    <reviewItem>
      <errorID>2a8e113b-ff00-4637-b269-4bfc1fa8c527</errorID>
      <errorWord>12、</errorWord>
      <group>L1_Format</group>
      <groupName>格式问题</groupName>
      <ability>L2_Ordinal</ability>
      <abilityName>序号格式</abilityName>
      <candidateList>
        <item>12.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A9B275A</paraID>
      <start>0</start>
      <end>3</end>
      <status>unmodified</status>
      <modifiedWord/>
      <trackRevisions>false</trackRevisions>
    </reviewItem>
    <reviewItem>
      <errorID>9c25b688-230b-4b0a-bfee-2253bc2f6813</errorID>
      <errorWord>国</errorWord>
      <group>L1_AI</group>
      <groupName>深度校对</groupName>
      <ability>L2_AI_Punc</ability>
      <abilityName>标点纠错</abilityName>
      <candidateList>
        <item>（国</item>
      </candidateList>
      <explain/>
      <paraID> A9B275A</paraID>
      <start>25</start>
      <end>26</end>
      <status>unmodified</status>
      <modifiedWord/>
      <trackRevisions>false</trackRevisions>
    </reviewItem>
    <reviewItem>
      <errorID>50c694e2-2ee0-45f2-9efb-acb2b9043928</errorID>
      <errorWord>[2016]31号</errorWord>
      <group>L1_Knowledge</group>
      <groupName>知识性问题</groupName>
      <ability>L2_Knowledge</ability>
      <abilityName>其他知识</abilityName>
      <candidateList>
        <item>〔2016〕31号</item>
      </candidateList>
      <explain>发文字号格式错误。</explain>
      <paraID> A9B275A</paraID>
      <start>27</start>
      <end>36</end>
      <status>unmodified</status>
      <modifiedWord/>
      <trackRevisions>false</trackRevisions>
    </reviewItem>
    <reviewItem>
      <errorID>b7189077-2ca7-4f13-abf5-d4580030e23c</errorID>
      <errorWord>文</errorWord>
      <group>L1_AI</group>
      <groupName>深度校对</groupName>
      <ability>L2_AI_Word</ability>
      <abilityName>字词纠错</abilityName>
      <candidateList>
        <item>）</item>
      </candidateList>
      <explain/>
      <paraID> A9B275A</paraID>
      <start>36</start>
      <end>37</end>
      <status>unmodified</status>
      <modifiedWord/>
      <trackRevisions>false</trackRevisions>
    </reviewItem>
    <reviewItem>
      <errorID>55d5de6d-85c3-462f-9180-e56f7407f8dc</errorID>
      <errorWord>13、</errorWord>
      <group>L1_Format</group>
      <groupName>格式问题</groupName>
      <ability>L2_Ordinal</ability>
      <abilityName>序号格式</abilityName>
      <candidateList>
        <item>13.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7D417145</paraID>
      <start>0</start>
      <end>3</end>
      <status>unmodified</status>
      <modifiedWord/>
      <trackRevisions>false</trackRevisions>
    </reviewItem>
    <reviewItem>
      <errorID>1a0b5ca4-890e-48ae-9656-6b8bb801b44c</errorID>
      <errorWord>国务院</errorWord>
      <group>L1_AI</group>
      <groupName>深度校对</groupName>
      <ability>L2_AI_Grammar</ability>
      <abilityName>语法纠错</abilityName>
      <candidateList>
        <item>国务院令第</item>
      </candidateList>
      <explain/>
      <paraID>7D417145</paraID>
      <start>3</start>
      <end>6</end>
      <status>unmodified</status>
      <modifiedWord/>
      <trackRevisions>false</trackRevisions>
    </reviewItem>
    <reviewItem>
      <errorID>2923e328-5121-4ee0-b7aa-93c55e4ff095</errorID>
      <errorWord>号令</errorWord>
      <group>L1_AI</group>
      <groupName>深度校对</groupName>
      <ability>L2_AI_Grammar</ability>
      <abilityName>语法纠错</abilityName>
      <candidateList>
        <item>号</item>
      </candidateList>
      <explain/>
      <paraID>7D417145</paraID>
      <start>9</start>
      <end>11</end>
      <status>unmodified</status>
      <modifiedWord/>
      <trackRevisions>false</trackRevisions>
    </reviewItem>
    <reviewItem>
      <errorID>7a6ef88f-05e9-41d8-959b-0cbb027040ae</errorID>
      <errorWord>2013</errorWord>
      <group>L1_AI</group>
      <groupName>深度校对</groupName>
      <ability>L2_AI_Grammar</ability>
      <abilityName>语法纠错</abilityName>
      <candidateList>
        <item>自2013</item>
      </candidateList>
      <explain/>
      <paraID>7D417145</paraID>
      <start>35</start>
      <end>39</end>
      <status>unmodified</status>
      <modifiedWord/>
      <trackRevisions>false</trackRevisions>
    </reviewItem>
    <reviewItem>
      <errorID>ca7fa4ed-2374-4206-a7ee-5ab0890acf6a</errorID>
      <errorWord>14、</errorWord>
      <group>L1_Format</group>
      <groupName>格式问题</groupName>
      <ability>L2_Ordinal</ability>
      <abilityName>序号格式</abilityName>
      <candidateList>
        <item>14.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52A37281</paraID>
      <start>0</start>
      <end>3</end>
      <status>unmodified</status>
      <modifiedWord/>
      <trackRevisions>false</trackRevisions>
    </reviewItem>
    <reviewItem>
      <errorID>a8d0604e-2ced-4f52-a6a9-21f1b58cc452</errorID>
      <errorWord>中共中央国务院</errorWord>
      <group>L1_AI</group>
      <groupName>深度校对</groupName>
      <ability>L2_AI_Grammar</ability>
      <abilityName>语法纠错</abilityName>
      <candidateList>
        <item>《中共中央国务院</item>
      </candidateList>
      <explain/>
      <paraID>52A37281</paraID>
      <start>3</start>
      <end>10</end>
      <status>unmodified</status>
      <modifiedWord/>
      <trackRevisions>false</trackRevisions>
    </reviewItem>
    <reviewItem>
      <errorID>62b0e492-69ba-46ac-a623-36c1c0031e6a</errorID>
      <errorWord>污染防治攻坚站</errorWord>
      <group>L1_Political</group>
      <groupName>政治性问题</groupName>
      <ability>L2_Keyword</ability>
      <abilityName>固定表述</abilityName>
      <candidateList>
        <item>污染防治攻坚战</item>
      </candidateList>
      <explain>词汇“污染防治攻坚战”在特定场景下为固定表述形式，请确认此处的“污染防治攻坚站”是否存在不当。</explain>
      <paraID>52A37281</paraID>
      <start>16</start>
      <end>23</end>
      <status>unmodified</status>
      <modifiedWord/>
      <trackRevisions>false</trackRevisions>
    </reviewItem>
    <reviewItem>
      <errorID>0d888243-bf59-4bb6-983d-37bc3793f62b</errorID>
      <errorWord>，</errorWord>
      <group>L1_AI</group>
      <groupName>深度校对</groupName>
      <ability>L2_AI_Punc</ability>
      <abilityName>标点纠错</abilityName>
      <candidateList>
        <item>》，</item>
      </candidateList>
      <explain/>
      <paraID>52A37281</paraID>
      <start>26</start>
      <end>27</end>
      <status>unmodified</status>
      <modifiedWord/>
      <trackRevisions>false</trackRevisions>
    </reviewItem>
    <reviewItem>
      <errorID>27a12859-21b2-480e-bf9f-e0f2e02b048a</errorID>
      <errorWord>15、</errorWord>
      <group>L1_Format</group>
      <groupName>格式问题</groupName>
      <ability>L2_Ordinal</ability>
      <abilityName>序号格式</abilityName>
      <candidateList>
        <item>15.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636CA43D</paraID>
      <start>0</start>
      <end>3</end>
      <status>unmodified</status>
      <modifiedWord/>
      <trackRevisions>false</trackRevisions>
    </reviewItem>
    <reviewItem>
      <errorID>2c61639e-eafe-424d-9858-21271e52c752</errorID>
      <errorWord>（</errorWord>
      <group>L1_AI</group>
      <groupName>深度校对</groupName>
      <ability>L2_AI_Punc</ability>
      <abilityName>标点纠错</abilityName>
      <candidateList>
        <item/>
      </candidateList>
      <explain/>
      <paraID>636CA43D</paraID>
      <start>24</start>
      <end>25</end>
      <status>unmodified</status>
      <modifiedWord/>
      <trackRevisions>false</trackRevisions>
    </reviewItem>
    <reviewItem>
      <errorID>ea43edb3-aa14-4c95-91b2-2c2ea9556c93</errorID>
      <errorWord>（</errorWord>
      <group>L1_Punc</group>
      <groupName>标点问题</groupName>
      <ability>L2_Punc</ability>
      <abilityName>标点符号检查</abilityName>
      <candidateList/>
      <explain>同一形式括号套用。</explain>
      <paraID>636CA43D</paraID>
      <start>36</start>
      <end>37</end>
      <status>unmodified</status>
      <modifiedWord/>
      <trackRevisions>false</trackRevisions>
    </reviewItem>
    <reviewItem>
      <errorID>dd7c91f9-5477-4285-8813-ce246ba1f861</errorID>
      <errorWord>）</errorWord>
      <group>L1_Punc</group>
      <groupName>标点问题</groupName>
      <ability>L2_Punc</ability>
      <abilityName>标点符号检查</abilityName>
      <candidateList/>
      <explain>同一形式括号套用。</explain>
      <paraID>636CA43D</paraID>
      <start>43</start>
      <end>44</end>
      <status>unmodified</status>
      <modifiedWord/>
      <trackRevisions>false</trackRevisions>
    </reviewItem>
    <reviewItem>
      <errorID>8b0bdcd4-f18a-4999-bcde-c7d96d03e4ce</errorID>
      <errorWord>）</errorWord>
      <group>L1_AI</group>
      <groupName>深度校对</groupName>
      <ability>L2_AI_Punc</ability>
      <abilityName>标点纠错</abilityName>
      <candidateList>
        <item/>
      </candidateList>
      <explain/>
      <paraID>636CA43D</paraID>
      <start>45</start>
      <end>46</end>
      <status>unmodified</status>
      <modifiedWord/>
      <trackRevisions>false</trackRevisions>
    </reviewItem>
    <reviewItem>
      <errorID>8fc78953-d68d-4932-8411-262941d01c14</errorID>
      <errorWord>16、</errorWord>
      <group>L1_Format</group>
      <groupName>格式问题</groupName>
      <ability>L2_Ordinal</ability>
      <abilityName>序号格式</abilityName>
      <candidateList>
        <item>16.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59E5AF25</paraID>
      <start>0</start>
      <end>3</end>
      <status>unmodified</status>
      <modifiedWord/>
      <trackRevisions>false</trackRevisions>
    </reviewItem>
    <reviewItem>
      <errorID>34e803f6-811e-4cb4-ae85-1ea1cdc9025c</errorID>
      <errorWord>版</errorWord>
      <group>L1_AI</group>
      <groupName>深度校对</groupName>
      <ability>L2_AI_Grammar</ability>
      <abilityName>语法纠错</abilityName>
      <candidateList>
        <item>年版</item>
      </candidateList>
      <explain/>
      <paraID>59E5AF25</paraID>
      <start>35</start>
      <end>36</end>
      <status>unmodified</status>
      <modifiedWord/>
      <trackRevisions>false</trackRevisions>
    </reviewItem>
    <reviewItem>
      <errorID>23551553-85ef-4166-9035-22e4a910429c</errorID>
      <errorWord>2021</errorWord>
      <group>L1_AI</group>
      <groupName>深度校对</groupName>
      <ability>L2_AI_Grammar</ability>
      <abilityName>语法纠错</abilityName>
      <candidateList>
        <item>自2021</item>
      </candidateList>
      <explain/>
      <paraID>59E5AF25</paraID>
      <start>39</start>
      <end>43</end>
      <status>unmodified</status>
      <modifiedWord/>
      <trackRevisions>false</trackRevisions>
    </reviewItem>
    <reviewItem>
      <errorID>193af332-d38d-4863-979d-78ef3e0bcb50</errorID>
      <errorWord>17、</errorWord>
      <group>L1_Format</group>
      <groupName>格式问题</groupName>
      <ability>L2_Ordinal</ability>
      <abilityName>序号格式</abilityName>
      <candidateList>
        <item>17.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5B7D095D</paraID>
      <start>0</start>
      <end>3</end>
      <status>unmodified</status>
      <modifiedWord/>
      <trackRevisions>false</trackRevisions>
    </reviewItem>
    <reviewItem>
      <errorID>409ab38a-c940-43a2-a57f-843dc8f1ba3f</errorID>
      <errorWord>18、</errorWord>
      <group>L1_Format</group>
      <groupName>格式问题</groupName>
      <ability>L2_Ordinal</ability>
      <abilityName>序号格式</abilityName>
      <candidateList>
        <item>18.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34E5C33D</paraID>
      <start>0</start>
      <end>3</end>
      <status>unmodified</status>
      <modifiedWord/>
      <trackRevisions>false</trackRevisions>
    </reviewItem>
    <reviewItem>
      <errorID>b36f3bc6-2f90-4ead-86b3-500809ed83c9</errorID>
      <errorWord>实施</errorWord>
      <group>L1_AI</group>
      <groupName>深度校对</groupName>
      <ability>L2_AI_Grammar</ability>
      <abilityName>语法纠错</abilityName>
      <candidateList>
        <item>日施行</item>
      </candidateList>
      <explain/>
      <paraID>34E5C33D</paraID>
      <start>52</start>
      <end>54</end>
      <status>unmodified</status>
      <modifiedWord/>
      <trackRevisions>false</trackRevisions>
    </reviewItem>
    <reviewItem>
      <errorID>8aa78a9a-946e-4d2b-b12a-7836cda31f13</errorID>
      <errorWord>19、</errorWord>
      <group>L1_Format</group>
      <groupName>格式问题</groupName>
      <ability>L2_Ordinal</ability>
      <abilityName>序号格式</abilityName>
      <candidateList>
        <item>19.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1712765</paraID>
      <start>0</start>
      <end>3</end>
      <status>unmodified</status>
      <modifiedWord/>
      <trackRevisions>false</trackRevisions>
    </reviewItem>
    <reviewItem>
      <errorID>6887ba00-a5cd-4f8d-8d12-ecb0a619645d</errorID>
      <errorWord>15</errorWord>
      <group>L1_AI</group>
      <groupName>深度校对</groupName>
      <ability>L2_AI_Grammar</ability>
      <abilityName>语法纠错</abilityName>
      <candidateList>
        <item>第15</item>
      </candidateList>
      <explain/>
      <paraID> 1712765</paraID>
      <start>9</start>
      <end>11</end>
      <status>unmodified</status>
      <modifiedWord/>
      <trackRevisions>false</trackRevisions>
    </reviewItem>
    <reviewItem>
      <errorID>09e846fc-d3c9-42e7-a80f-d48b0bbd3177</errorID>
      <errorWord>2021</errorWord>
      <group>L1_AI</group>
      <groupName>深度校对</groupName>
      <ability>L2_AI_Grammar</ability>
      <abilityName>语法纠错</abilityName>
      <candidateList>
        <item>自2021</item>
      </candidateList>
      <explain/>
      <paraID> 1712765</paraID>
      <start>31</start>
      <end>35</end>
      <status>unmodified</status>
      <modifiedWord/>
      <trackRevisions>false</trackRevisions>
    </reviewItem>
    <reviewItem>
      <errorID>5714f25e-df58-4811-b5de-3bc6775b92a5</errorID>
      <errorWord>20、</errorWord>
      <group>L1_Format</group>
      <groupName>格式问题</groupName>
      <ability>L2_Ordinal</ability>
      <abilityName>序号格式</abilityName>
      <candidateList>
        <item>20.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6D010CB4</paraID>
      <start>0</start>
      <end>3</end>
      <status>unmodified</status>
      <modifiedWord/>
      <trackRevisions>false</trackRevisions>
    </reviewItem>
    <reviewItem>
      <errorID>f373cf66-448a-4c76-bea2-3b6b3c23afcf</errorID>
      <errorWord>21、</errorWord>
      <group>L1_Format</group>
      <groupName>格式问题</groupName>
      <ability>L2_Ordinal</ability>
      <abilityName>序号格式</abilityName>
      <candidateList>
        <item>21.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5C514C60</paraID>
      <start>0</start>
      <end>3</end>
      <status>unmodified</status>
      <modifiedWord/>
      <trackRevisions>false</trackRevisions>
    </reviewItem>
    <reviewItem>
      <errorID>0388fcf2-0e86-4161-830f-72b8a8b7f396</errorID>
      <errorWord>[2018]11号</errorWord>
      <group>L1_Knowledge</group>
      <groupName>知识性问题</groupName>
      <ability>L2_Knowledge</ability>
      <abilityName>其他知识</abilityName>
      <candidateList>
        <item>〔2018〕11号</item>
      </candidateList>
      <explain>发文字号格式错误。</explain>
      <paraID>5C514C60</paraID>
      <start>34</start>
      <end>43</end>
      <status>unmodified</status>
      <modifiedWord/>
      <trackRevisions>false</trackRevisions>
    </reviewItem>
    <reviewItem>
      <errorID>991cf944-c5da-4173-aebf-85ed94cb48af</errorID>
      <errorWord>22、</errorWord>
      <group>L1_Format</group>
      <groupName>格式问题</groupName>
      <ability>L2_Ordinal</ability>
      <abilityName>序号格式</abilityName>
      <candidateList>
        <item>22.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35EBF556</paraID>
      <start>0</start>
      <end>3</end>
      <status>unmodified</status>
      <modifiedWord/>
      <trackRevisions>false</trackRevisions>
    </reviewItem>
    <reviewItem>
      <errorID>b19c0bf9-c0a6-4d45-b669-1612eaac2188</errorID>
      <errorWord>[2019]53号</errorWord>
      <group>L1_Knowledge</group>
      <groupName>知识性问题</groupName>
      <ability>L2_Knowledge</ability>
      <abilityName>其他知识</abilityName>
      <candidateList>
        <item>〔2019〕53号</item>
      </candidateList>
      <explain>发文字号格式错误。</explain>
      <paraID>35EBF556</paraID>
      <start>11</start>
      <end>20</end>
      <status>unmodified</status>
      <modifiedWord/>
      <trackRevisions>false</trackRevisions>
    </reviewItem>
    <reviewItem>
      <errorID>8deb1e3d-a7f8-4664-9d9c-9ab87457be67</errorID>
      <errorWord>关于</errorWord>
      <group>L1_AI</group>
      <groupName>深度校对</groupName>
      <ability>L2_AI_Punc</ability>
      <abilityName>标点纠错</abilityName>
      <candidateList>
        <item>《关于</item>
      </candidateList>
      <explain/>
      <paraID>35EBF556</paraID>
      <start>20</start>
      <end>22</end>
      <status>unmodified</status>
      <modifiedWord/>
      <trackRevisions>false</trackRevisions>
    </reviewItem>
    <reviewItem>
      <errorID>1eee91bb-74af-49a6-812b-29a8a9d1d470</errorID>
      <errorWord>《</errorWord>
      <group>L1_AI</group>
      <groupName>深度校对</groupName>
      <ability>L2_AI_Punc</ability>
      <abilityName>标点纠错</abilityName>
      <candidateList>
        <item>〈</item>
      </candidateList>
      <explain/>
      <paraID>35EBF556</paraID>
      <start>24</start>
      <end>25</end>
      <status>unmodified</status>
      <modifiedWord/>
      <trackRevisions>false</trackRevisions>
    </reviewItem>
    <reviewItem>
      <errorID>835bda21-bed6-4a98-8759-645b4f3feb44</errorID>
      <errorWord>》</errorWord>
      <group>L1_AI</group>
      <groupName>深度校对</groupName>
      <ability>L2_AI_Punc</ability>
      <abilityName>标点纠错</abilityName>
      <candidateList>
        <item>〉</item>
      </candidateList>
      <explain/>
      <paraID>35EBF556</paraID>
      <start>41</start>
      <end>42</end>
      <status>unmodified</status>
      <modifiedWord/>
      <trackRevisions>false</trackRevisions>
    </reviewItem>
    <reviewItem>
      <errorID>4a213c72-c525-4246-8bba-28bfee8f1b38</errorID>
      <errorWord>，</errorWord>
      <group>L1_AI</group>
      <groupName>深度校对</groupName>
      <ability>L2_AI_Punc</ability>
      <abilityName>标点纠错</abilityName>
      <candidateList>
        <item>》，</item>
      </candidateList>
      <explain/>
      <paraID>35EBF556</paraID>
      <start>45</start>
      <end>46</end>
      <status>unmodified</status>
      <modifiedWord/>
      <trackRevisions>false</trackRevisions>
    </reviewItem>
    <reviewItem>
      <errorID>0e82a4aa-8a51-4c3b-ab84-f84be81d6a3a</errorID>
      <errorWord>23、</errorWord>
      <group>L1_Format</group>
      <groupName>格式问题</groupName>
      <ability>L2_Ordinal</ability>
      <abilityName>序号格式</abilityName>
      <candidateList>
        <item>23.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382FC4C0</paraID>
      <start>0</start>
      <end>3</end>
      <status>unmodified</status>
      <modifiedWord/>
      <trackRevisions>false</trackRevisions>
    </reviewItem>
    <reviewItem>
      <errorID>089772b4-6234-4b62-8d26-317b218b792b</errorID>
      <errorWord>（2020）36号</errorWord>
      <group>L1_Knowledge</group>
      <groupName>知识性问题</groupName>
      <ability>L2_Knowledge</ability>
      <abilityName>其他知识</abilityName>
      <candidateList>
        <item>〔2020〕36号</item>
      </candidateList>
      <explain>发文字号格式错误。</explain>
      <paraID>382FC4C0</paraID>
      <start>19</start>
      <end>28</end>
      <status>unmodified</status>
      <modifiedWord/>
      <trackRevisions>false</trackRevisions>
    </reviewItem>
    <reviewItem>
      <errorID>5d2afdb9-bf1d-4017-9b07-6c209fd951a1</errorID>
      <errorWord>24、</errorWord>
      <group>L1_Format</group>
      <groupName>格式问题</groupName>
      <ability>L2_Ordinal</ability>
      <abilityName>序号格式</abilityName>
      <candidateList>
        <item>24.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1B9BD1CB</paraID>
      <start>0</start>
      <end>3</end>
      <status>unmodified</status>
      <modifiedWord/>
      <trackRevisions>false</trackRevisions>
    </reviewItem>
    <reviewItem>
      <errorID>d810bd34-9579-4adb-af0a-f227e11940ec</errorID>
      <errorWord>令[2015]</errorWord>
      <group>L1_AI</group>
      <groupName>深度校对</groupName>
      <ability>L2_AI_Grammar</ability>
      <abilityName>语法纠错</abilityName>
      <candidateList>
        <item>令</item>
      </candidateList>
      <explain>小令（多用于词调、曲调名）：如梦～｜叨叨～｜十六字～。</explain>
      <paraID>1B9BD1CB</paraID>
      <start>8</start>
      <end>15</end>
      <status>unmodified</status>
      <modifiedWord/>
      <trackRevisions>false</trackRevisions>
    </reviewItem>
    <reviewItem>
      <errorID>04f0d0e9-11b8-4c72-ad27-bd8fe9731ccf</errorID>
      <errorWord>号令</errorWord>
      <group>L1_AI</group>
      <groupName>深度校对</groupName>
      <ability>L2_AI_Grammar</ability>
      <abilityName>语法纠错</abilityName>
      <candidateList>
        <item>号</item>
      </candidateList>
      <explain/>
      <paraID>1B9BD1CB</paraID>
      <start>18</start>
      <end>20</end>
      <status>unmodified</status>
      <modifiedWord/>
      <trackRevisions>false</trackRevisions>
    </reviewItem>
    <reviewItem>
      <errorID>4684af7b-d666-4c77-ba61-577eb45dad4a</errorID>
      <errorWord>地方法规</errorWord>
      <group>L1_Political</group>
      <groupName>政治性问题</groupName>
      <ability>L2_Unpolitical</ability>
      <abilityName>政治敏感错误</abilityName>
      <candidateList>
        <item>地方性法规</item>
      </candidateList>
      <explain/>
      <paraID>43CC1CA2</paraID>
      <start>6</start>
      <end>10</end>
      <status>unmodified</status>
      <modifiedWord/>
      <trackRevisions>false</trackRevisions>
    </reviewItem>
    <reviewItem>
      <errorID>110ec758-7360-4ed0-83b0-22d321d46a07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8733C0F</paraID>
      <start>0</start>
      <end>2</end>
      <status>unmodified</status>
      <modifiedWord/>
      <trackRevisions>false</trackRevisions>
    </reviewItem>
    <reviewItem>
      <errorID>560df593-a3a6-4ba5-84e0-06b60f2c5b29</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47D3D0AF</paraID>
      <start>0</start>
      <end>2</end>
      <status>unmodified</status>
      <modifiedWord/>
      <trackRevisions>false</trackRevisions>
    </reviewItem>
    <reviewItem>
      <errorID>95bf5fcb-8d53-4c18-9ce9-3a14e8441e6e</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23F99D1F</paraID>
      <start>0</start>
      <end>2</end>
      <status>unmodified</status>
      <modifiedWord/>
      <trackRevisions>false</trackRevisions>
    </reviewItem>
    <reviewItem>
      <errorID>f6aa9189-0655-4735-be97-9aa87259ab10</errorID>
      <errorWord>《安徽省人民政府办公厅</errorWord>
      <group>L1_AI</group>
      <groupName>深度校对</groupName>
      <ability>L2_AI_Grammar</ability>
      <abilityName>语法纠错</abilityName>
      <candidateList>
        <item>《</item>
      </candidateList>
      <explain/>
      <paraID>23F99D1F</paraID>
      <start>12</start>
      <end>23</end>
      <status>unmodified</status>
      <modifiedWord/>
      <trackRevisions>false</trackRevisions>
    </reviewItem>
    <reviewItem>
      <errorID>4e0b077f-ecc1-4f3e-96fc-7c5602acf27d</errorID>
      <errorWord>(</errorWord>
      <group>L1_Format</group>
      <groupName>格式问题</groupName>
      <ability>L2_HalfPunc</ability>
      <abilityName>全半角检查</abilityName>
      <candidateList>
        <item>（</item>
      </candidateList>
      <explain>文本全半角错误。</explain>
      <paraID>23F99D1F</paraID>
      <start>43</start>
      <end>44</end>
      <status>unmodified</status>
      <modifiedWord/>
      <trackRevisions>false</trackRevisions>
    </reviewItem>
    <reviewItem>
      <errorID>a9509e25-f12a-4579-94db-628177d4d185</errorID>
      <errorWord>[2011]27号</errorWord>
      <group>L1_Knowledge</group>
      <groupName>知识性问题</groupName>
      <ability>L2_Knowledge</ability>
      <abilityName>其他知识</abilityName>
      <candidateList>
        <item>〔2011〕27号</item>
      </candidateList>
      <explain>发文字号格式错误。</explain>
      <paraID>23F99D1F</paraID>
      <start>47</start>
      <end>56</end>
      <status>unmodified</status>
      <modifiedWord/>
      <trackRevisions>false</trackRevisions>
    </reviewItem>
    <reviewItem>
      <errorID>a1c148e4-223a-4695-b83c-c99e4f782fb8</errorID>
      <errorWord>，</errorWord>
      <group>L1_AI</group>
      <groupName>深度校对</groupName>
      <ability>L2_AI_Punc</ability>
      <abilityName>标点纠错</abilityName>
      <candidateList>
        <item>），</item>
      </candidateList>
      <explain/>
      <paraID>23F99D1F</paraID>
      <start>56</start>
      <end>57</end>
      <status>unmodified</status>
      <modifiedWord/>
      <trackRevisions>false</trackRevisions>
    </reviewItem>
    <reviewItem>
      <errorID>192342a7-08fc-430c-9add-76400ae1c861</errorID>
      <errorWord>)</errorWord>
      <group>L1_Format</group>
      <groupName>格式问题</groupName>
      <ability>L2_HalfPunc</ability>
      <abilityName>全半角检查</abilityName>
      <candidateList>
        <item>）</item>
      </candidateList>
      <explain>文本全半角错误。</explain>
      <paraID>23F99D1F</paraID>
      <start>64</start>
      <end>65</end>
      <status>unmodified</status>
      <modifiedWord/>
      <trackRevisions>false</trackRevisions>
    </reviewItem>
    <reviewItem>
      <errorID>4124789a-afab-45f2-9b2b-3d25aeb9c02f</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3A0D760B</paraID>
      <start>0</start>
      <end>2</end>
      <status>unmodified</status>
      <modifiedWord/>
      <trackRevisions>false</trackRevisions>
    </reviewItem>
    <reviewItem>
      <errorID>4f08767b-b917-43c2-93ea-164b5df6f5ad</errorID>
      <errorWord>[2012]57号</errorWord>
      <group>L1_Knowledge</group>
      <groupName>知识性问题</groupName>
      <ability>L2_Knowledge</ability>
      <abilityName>其他知识</abilityName>
      <candidateList>
        <item>〔2012〕57号</item>
      </candidateList>
      <explain>发文字号格式错误。</explain>
      <paraID>3A0D760B</paraID>
      <start>35</start>
      <end>44</end>
      <status>unmodified</status>
      <modifiedWord/>
      <trackRevisions>false</trackRevisions>
    </reviewItem>
    <reviewItem>
      <errorID>0cee1a0d-e6ae-4c2d-96ed-af771fc79a19</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31765E49</paraID>
      <start>0</start>
      <end>2</end>
      <status>unmodified</status>
      <modifiedWord/>
      <trackRevisions>false</trackRevisions>
    </reviewItem>
    <reviewItem>
      <errorID>cbe7de8b-856c-4c45-a851-2ea3f6d2ecd0</errorID>
      <errorWord>2013（</errorWord>
      <group>L1_AI</group>
      <groupName>深度校对</groupName>
      <ability>L2_AI_Punc</ability>
      <abilityName>标点纠错</abilityName>
      <candidateList>
        <item>〔2013〕</item>
      </candidateList>
      <explain/>
      <paraID>31765E49</paraID>
      <start>11</start>
      <end>16</end>
      <status>unmodified</status>
      <modifiedWord/>
      <trackRevisions>false</trackRevisions>
    </reviewItem>
    <reviewItem>
      <errorID>f71e027b-9d16-443d-bab5-0444e636ebbe</errorID>
      <errorWord>）</errorWord>
      <group>L1_AI</group>
      <groupName>深度校对</groupName>
      <ability>L2_AI_Punc</ability>
      <abilityName>标点纠错</abilityName>
      <candidateList>
        <item/>
      </candidateList>
      <explain/>
      <paraID>31765E49</paraID>
      <start>18</start>
      <end>19</end>
      <status>unmodified</status>
      <modifiedWord/>
      <trackRevisions>false</trackRevisions>
    </reviewItem>
    <reviewItem>
      <errorID>184372f3-15f5-425f-8d87-105b09a39cf0</errorID>
      <errorWord>“关于印发安徽省大气污染防治行动计划实施方案的通知”</errorWord>
      <group>L1_AI</group>
      <groupName>深度校对</groupName>
      <ability>L2_AI_Punc</ability>
      <abilityName>标点纠错</abilityName>
      <candidateList>
        <item>《关于印发安徽省大气污染防治行动计划实施方案的通知》</item>
      </candidateList>
      <explain/>
      <paraID>31765E49</paraID>
      <start>20</start>
      <end>46</end>
      <status>unmodified</status>
      <modifiedWord/>
      <trackRevisions>false</trackRevisions>
    </reviewItem>
    <reviewItem>
      <errorID>6ee63ced-2dcd-4ac5-8a37-a0d0a2a8e001</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250BEBA4</paraID>
      <start>0</start>
      <end>2</end>
      <status>unmodified</status>
      <modifiedWord/>
      <trackRevisions>false</trackRevisions>
    </reviewItem>
    <reviewItem>
      <errorID>3879c00f-273a-43ef-97e2-cdcd2f4f3ab6</errorID>
      <errorWord>（2006）113号</errorWord>
      <group>L1_Knowledge</group>
      <groupName>知识性问题</groupName>
      <ability>L2_Knowledge</ability>
      <abilityName>其他知识</abilityName>
      <candidateList>
        <item>〔2006〕113号</item>
      </candidateList>
      <explain>发文字号格式错误。</explain>
      <paraID>250BEBA4</paraID>
      <start>10</start>
      <end>20</end>
      <status>unmodified</status>
      <modifiedWord/>
      <trackRevisions>false</trackRevisions>
    </reviewItem>
    <reviewItem>
      <errorID>c00d69e4-25d2-4c89-ad59-a0f2bf03af86</errorID>
      <errorWord>文“</errorWord>
      <group>L1_AI</group>
      <groupName>深度校对</groupName>
      <ability>L2_AI_Grammar</ability>
      <abilityName>语法纠错</abilityName>
      <candidateList>
        <item>《关于</item>
      </candidateList>
      <explain/>
      <paraID>250BEBA4</paraID>
      <start>20</start>
      <end>22</end>
      <status>unmodified</status>
      <modifiedWord/>
      <trackRevisions>false</trackRevisions>
    </reviewItem>
    <reviewItem>
      <errorID>93ac1141-ce7b-4230-b11c-420f3fa74d98</errorID>
      <errorWord>《</errorWord>
      <group>L1_AI</group>
      <groupName>深度校对</groupName>
      <ability>L2_AI_Punc</ability>
      <abilityName>标点纠错</abilityName>
      <candidateList>
        <item>〈</item>
      </candidateList>
      <explain/>
      <paraID>250BEBA4</paraID>
      <start>24</start>
      <end>25</end>
      <status>unmodified</status>
      <modifiedWord/>
      <trackRevisions>false</trackRevisions>
    </reviewItem>
    <reviewItem>
      <errorID>dcca3f2e-52a2-43a4-854a-1e631a9a7dd9</errorID>
      <errorWord>》</errorWord>
      <group>L1_AI</group>
      <groupName>深度校对</groupName>
      <ability>L2_AI_Punc</ability>
      <abilityName>标点纠错</abilityName>
      <candidateList>
        <item>〉</item>
      </candidateList>
      <explain/>
      <paraID>250BEBA4</paraID>
      <start>50</start>
      <end>51</end>
      <status>unmodified</status>
      <modifiedWord/>
      <trackRevisions>false</trackRevisions>
    </reviewItem>
    <reviewItem>
      <errorID>5aef9a64-56a9-4e25-9e89-13779e6bd4e6</errorID>
      <errorWord>”</errorWord>
      <group>L1_AI</group>
      <groupName>深度校对</groupName>
      <ability>L2_AI_Punc</ability>
      <abilityName>标点纠错</abilityName>
      <candidateList>
        <item>》</item>
      </candidateList>
      <explain/>
      <paraID>250BEBA4</paraID>
      <start>54</start>
      <end>55</end>
      <status>unmodified</status>
      <modifiedWord/>
      <trackRevisions>false</trackRevisions>
    </reviewItem>
    <reviewItem>
      <errorID>d94e8f42-7c58-44cc-ae3f-c0410161b99f</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39F821FF</paraID>
      <start>0</start>
      <end>2</end>
      <status>unmodified</status>
      <modifiedWord/>
      <trackRevisions>false</trackRevisions>
    </reviewItem>
    <reviewItem>
      <errorID>8ea1e09c-9957-4ce7-b264-7b9e55553a1f</errorID>
      <errorWord>[2012]946号</errorWord>
      <group>L1_Knowledge</group>
      <groupName>知识性问题</groupName>
      <ability>L2_Knowledge</ability>
      <abilityName>其他知识</abilityName>
      <candidateList>
        <item>〔2012〕946号</item>
      </candidateList>
      <explain>发文字号格式错误。</explain>
      <paraID>39F821FF</paraID>
      <start>11</start>
      <end>21</end>
      <status>unmodified</status>
      <modifiedWord/>
      <trackRevisions>false</trackRevisions>
    </reviewItem>
    <reviewItem>
      <errorID>46db1068-3bc9-4b79-9292-6a0801c9aaa9</errorID>
      <errorWord>影响</errorWord>
      <group>L1_AI</group>
      <groupName>深度校对</groupName>
      <ability>L2_AI_Grammar</ability>
      <abilityName>语法纠错</abilityName>
      <candidateList>
        <item>环境影响</item>
      </candidateList>
      <explain/>
      <paraID>39F821FF</paraID>
      <start>34</start>
      <end>36</end>
      <status>unmodified</status>
      <modifiedWord/>
      <trackRevisions>false</trackRevisions>
    </reviewItem>
    <reviewItem>
      <errorID>6ce3db0f-f6af-4033-ad8e-d9c41e3407fd</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7F3D109F</paraID>
      <start>0</start>
      <end>2</end>
      <status>unmodified</status>
      <modifiedWord/>
      <trackRevisions>false</trackRevisions>
    </reviewItem>
    <reviewItem>
      <errorID>3a6c3eda-5f5f-47ed-ad67-6dddf0332db8</errorID>
      <errorWord>《</errorWord>
      <group>L1_AI</group>
      <groupName>深度校对</groupName>
      <ability>L2_AI_Grammar</ability>
      <abilityName>语法纠错</abilityName>
      <candidateList>
        <item>令第4号《</item>
      </candidateList>
      <explain/>
      <paraID>7F3D109F</paraID>
      <start>7</start>
      <end>8</end>
      <status>unmodified</status>
      <modifiedWord/>
      <trackRevisions>false</trackRevisions>
    </reviewItem>
    <reviewItem>
      <errorID>d8a724f2-eced-49fc-a211-09e23a0bc205</errorID>
      <errorWord>（部令第4号），</errorWord>
      <group>L1_AI</group>
      <groupName>深度校对</groupName>
      <ability>L2_AI_Grammar</ability>
      <abilityName>语法纠错</abilityName>
      <candidateList>
        <item>，自</item>
      </candidateList>
      <explain/>
      <paraID>7F3D109F</paraID>
      <start>21</start>
      <end>29</end>
      <status>unmodified</status>
      <modifiedWord/>
      <trackRevisions>false</trackRevisions>
    </reviewItem>
    <reviewItem>
      <errorID>82875673-e43b-4b83-b8d6-997caebf68cc</errorID>
      <errorWord>施行</errorWord>
      <group>L1_AI</group>
      <groupName>深度校对</groupName>
      <ability>L2_AI_Grammar</ability>
      <abilityName>语法纠错</abilityName>
      <candidateList>
        <item>起施行</item>
      </candidateList>
      <explain/>
      <paraID>7F3D109F</paraID>
      <start>38</start>
      <end>40</end>
      <status>unmodified</status>
      <modifiedWord/>
      <trackRevisions>false</trackRevisions>
    </reviewItem>
    <reviewItem>
      <errorID>b08c7397-d592-4f2a-888e-72fe0d58243c</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574A9312</paraID>
      <start>0</start>
      <end>2</end>
      <status>unmodified</status>
      <modifiedWord/>
      <trackRevisions>false</trackRevisions>
    </reviewItem>
    <reviewItem>
      <errorID>4ecc7452-cbec-4ca4-aa71-83278ee4b100</errorID>
      <errorWord>《</errorWord>
      <group>L1_AI</group>
      <groupName>深度校对</groupName>
      <ability>L2_AI_Punc</ability>
      <abilityName>标点纠错</abilityName>
      <candidateList>
        <item/>
      </candidateList>
      <explain/>
      <paraID>574A9312</paraID>
      <start>2</start>
      <end>3</end>
      <status>unmodified</status>
      <modifiedWord/>
      <trackRevisions>false</trackRevisions>
    </reviewItem>
    <reviewItem>
      <errorID>9edb6c35-275b-4823-899f-546859bb9708</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62F8F77F</paraID>
      <start>0</start>
      <end>3</end>
      <status>unmodified</status>
      <modifiedWord/>
      <trackRevisions>false</trackRevisions>
    </reviewItem>
    <reviewItem>
      <errorID>9f1ff5b5-7128-4244-bd67-451558955917</errorID>
      <errorWord> </errorWord>
      <group>L1_AI</group>
      <groupName>深度校对</groupName>
      <ability>L2_AI_Punc</ability>
      <abilityName>标点纠错</abilityName>
      <candidateList>
        <item/>
      </candidateList>
      <explain>此处空格冗余，建议删除。</explain>
      <paraID>62F8F77F</paraID>
      <start>19</start>
      <end>20</end>
      <status>unmodified</status>
      <modifiedWord/>
      <trackRevisions>false</trackRevisions>
    </reviewItem>
    <reviewItem>
      <errorID>4ecd78a8-d9a8-4592-b8cd-63eed1d8d696</errorID>
      <errorWord>[2021]4号</errorWord>
      <group>L1_Knowledge</group>
      <groupName>知识性问题</groupName>
      <ability>L2_Knowledge</ability>
      <abilityName>其他知识</abilityName>
      <candidateList>
        <item>〔2021〕4号</item>
      </candidateList>
      <explain>发文字号格式错误。</explain>
      <paraID>62F8F77F</paraID>
      <start>24</start>
      <end>32</end>
      <status>unmodified</status>
      <modifiedWord/>
      <trackRevisions>false</trackRevisions>
    </reviewItem>
    <reviewItem>
      <errorID>5f84f321-c1e7-470d-9ef7-3d4dd09c3014</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27A0106</paraID>
      <start>0</start>
      <end>3</end>
      <status>unmodified</status>
      <modifiedWord/>
      <trackRevisions>false</trackRevisions>
    </reviewItem>
    <reviewItem>
      <errorID>055a76b9-5694-4705-9791-06517ca26667</errorID>
      <errorWord>淮北市人民政府关于印发淮北市大气污染防治行动计划的通知</errorWord>
      <group>L1_AI</group>
      <groupName>深度校对</groupName>
      <ability>L2_AI_Punc</ability>
      <abilityName>标点纠错</abilityName>
      <candidateList>
        <item>《淮北市人民政府关于印发淮北市大气污染防治行动计划的通知》</item>
      </candidateList>
      <explain/>
      <paraID> 27A0106</paraID>
      <start>3</start>
      <end>30</end>
      <status>unmodified</status>
      <modifiedWord/>
      <trackRevisions>false</trackRevisions>
    </reviewItem>
    <reviewItem>
      <errorID>fd1f6d6e-8108-47cd-ac57-13f570d95c1d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38AD4D30</paraID>
      <start>0</start>
      <end>2</end>
      <status>unmodified</status>
      <modifiedWord/>
      <trackRevisions>false</trackRevisions>
    </reviewItem>
    <reviewItem>
      <errorID>b3457750-4bdd-4f2b-ba5c-78e9d40ca644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6B76F8A9</paraID>
      <start>0</start>
      <end>2</end>
      <status>unmodified</status>
      <modifiedWord/>
      <trackRevisions>false</trackRevisions>
    </reviewItem>
    <reviewItem>
      <errorID>735a54cc-76a7-46ff-9182-e810e489ed32</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4E2E5D83</paraID>
      <start>0</start>
      <end>2</end>
      <status>unmodified</status>
      <modifiedWord/>
      <trackRevisions>false</trackRevisions>
    </reviewItem>
    <reviewItem>
      <errorID>94611ea6-927e-45d4-af04-449c2b59104b</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63C636A4</paraID>
      <start>0</start>
      <end>2</end>
      <status>unmodified</status>
      <modifiedWord/>
      <trackRevisions>false</trackRevisions>
    </reviewItem>
    <reviewItem>
      <errorID>0da7356a-9196-41bf-a2cf-6a401e775307</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462B196E</paraID>
      <start>0</start>
      <end>2</end>
      <status>unmodified</status>
      <modifiedWord/>
      <trackRevisions>false</trackRevisions>
    </reviewItem>
    <reviewItem>
      <errorID>c878757e-92be-455a-8f0d-c728c1779f86</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7E7B615B</paraID>
      <start>0</start>
      <end>2</end>
      <status>unmodified</status>
      <modifiedWord/>
      <trackRevisions>false</trackRevisions>
    </reviewItem>
    <reviewItem>
      <errorID>4413e169-03ae-4db2-94e9-1cc83b77a029</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5E52DC70</paraID>
      <start>0</start>
      <end>2</end>
      <status>unmodified</status>
      <modifiedWord/>
      <trackRevisions>false</trackRevisions>
    </reviewItem>
    <reviewItem>
      <errorID>1794addf-d88c-4fc1-91f8-d93262ddd292</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3D6E000E</paraID>
      <start>0</start>
      <end>2</end>
      <status>unmodified</status>
      <modifiedWord/>
      <trackRevisions>false</trackRevisions>
    </reviewItem>
    <reviewItem>
      <errorID>6d90aabf-e25b-4be9-908b-77c2b8edf81c</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4004FA91</paraID>
      <start>0</start>
      <end>2</end>
      <status>unmodified</status>
      <modifiedWord/>
      <trackRevisions>false</trackRevisions>
    </reviewItem>
    <reviewItem>
      <errorID>23872262-cc9a-4242-a76d-3bd7ac33176f</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10F172CF</paraID>
      <start>0</start>
      <end>3</end>
      <status>unmodified</status>
      <modifiedWord/>
      <trackRevisions>false</trackRevisions>
    </reviewItem>
    <reviewItem>
      <errorID>adbce8ef-fce0-4f3f-8848-7887a3731fd8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1251CCD4</paraID>
      <start>0</start>
      <end>2</end>
      <status>unmodified</status>
      <modifiedWord/>
      <trackRevisions>false</trackRevisions>
    </reviewItem>
    <reviewItem>
      <errorID>7599a1be-6c7d-4480-95b1-a200452b3573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1251CCD4</paraID>
      <start>22</start>
      <end>23</end>
      <status>unmodified</status>
      <modifiedWord/>
      <trackRevisions>false</trackRevisions>
    </reviewItem>
    <reviewItem>
      <errorID>e6f093e3-66e0-4b8c-a949-987164dff135</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672B8EDF</paraID>
      <start>0</start>
      <end>2</end>
      <status>unmodified</status>
      <modifiedWord/>
      <trackRevisions>false</trackRevisions>
    </reviewItem>
    <reviewItem>
      <errorID>fcf0a8a8-8cb8-4bd3-b721-91a256c86b18</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D14E126</paraID>
      <start>0</start>
      <end>2</end>
      <status>unmodified</status>
      <modifiedWord/>
      <trackRevisions>false</trackRevisions>
    </reviewItem>
    <reviewItem>
      <errorID>30a38eb4-824a-4694-b9b8-808dc493a1ed</errorID>
      <errorWord>[2018]40号</errorWord>
      <group>L1_Knowledge</group>
      <groupName>知识性问题</groupName>
      <ability>L2_Knowledge</ability>
      <abilityName>其他知识</abilityName>
      <candidateList>
        <item>〔2018〕40号</item>
      </candidateList>
      <explain>发文字号格式错误。</explain>
      <paraID> D14E126</paraID>
      <start>45</start>
      <end>54</end>
      <status>unmodified</status>
      <modifiedWord/>
      <trackRevisions>false</trackRevisions>
    </reviewItem>
    <reviewItem>
      <errorID>d0a273fd-c886-4340-b419-addbbcd7df28</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750E2400</paraID>
      <start>0</start>
      <end>2</end>
      <status>unmodified</status>
      <modifiedWord/>
      <trackRevisions>false</trackRevisions>
    </reviewItem>
    <reviewItem>
      <errorID>0fabd499-16b4-4238-964b-1e4c2deab965</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3A8812DB</paraID>
      <start>0</start>
      <end>2</end>
      <status>unmodified</status>
      <modifiedWord/>
      <trackRevisions>false</trackRevisions>
    </reviewItem>
    <reviewItem>
      <errorID>8833b742-5131-4b8a-8bc6-e96f32c0e374</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114822F8</paraID>
      <start>0</start>
      <end>2</end>
      <status>unmodified</status>
      <modifiedWord/>
      <trackRevisions>false</trackRevisions>
    </reviewItem>
    <reviewItem>
      <errorID>06384868-12d9-48ce-a578-1455848911bd</errorID>
      <errorWord>其它影响</errorWord>
      <group>L1_Word</group>
      <groupName>字词问题</groupName>
      <ability>L2_Alias</ability>
      <abilityName>也作/曾用词</abilityName>
      <candidateList>
        <item>其他影响</item>
      </candidateList>
      <explain>词汇[其它影响]为不规范表述或旧称，其规范书面表述为[其他影响]。</explain>
      <paraID>44984458</paraID>
      <start>79</start>
      <end>83</end>
      <status>unmodified</status>
      <modifiedWord/>
      <trackRevisions>false</trackRevisions>
    </reviewItem>
    <reviewItem>
      <errorID>9d493228-da52-4a5f-9a9d-25e50c7558a9</errorID>
      <errorWord>其它环境</errorWord>
      <group>L1_Word</group>
      <groupName>字词问题</groupName>
      <ability>L2_Alias</ability>
      <abilityName>也作/曾用词</abilityName>
      <candidateList>
        <item>其他环境</item>
      </candidateList>
      <explain>词汇[其它环境]为不规范表述或旧称，其规范书面表述为[其他环境]。</explain>
      <paraID>2082C4B4</paraID>
      <start>54</start>
      <end>58</end>
      <status>unmodified</status>
      <modifiedWord/>
      <trackRevisions>false</trackRevisions>
    </reviewItem>
    <reviewItem>
      <errorID>3010a523-2519-4aa2-8c5b-3a76f547351e</errorID>
      <errorWord>法律、法规</errorWord>
      <group>L1_Word</group>
      <groupName>字词问题</groupName>
      <ability>L2_Typo</ability>
      <abilityName>字词错误</abilityName>
      <candidateList>
        <item>法律法规</item>
      </candidateList>
      <explain/>
      <paraID>2C5C7558</paraID>
      <start>60</start>
      <end>65</end>
      <status>unmodified</status>
      <modifiedWord/>
      <trackRevisions>false</trackRevisions>
    </reviewItem>
    <reviewItem>
      <errorID>624b2545-eb0d-4135-9aba-9b93cb119e50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7FC07E91</paraID>
      <start>0</start>
      <end>2</end>
      <status>unmodified</status>
      <modifiedWord/>
      <trackRevisions>false</trackRevisions>
    </reviewItem>
    <reviewItem>
      <errorID>e33fbd54-0a2d-4211-8a7c-3df5aff47406</errorID>
      <errorWord>(</errorWord>
      <group>L1_Format</group>
      <groupName>格式问题</groupName>
      <ability>L2_HalfPunc</ability>
      <abilityName>全半角检查</abilityName>
      <candidateList>
        <item>（</item>
      </candidateList>
      <explain>文本全半角错误。</explain>
      <paraID>5FAA81C8</paraID>
      <start>28</start>
      <end>29</end>
      <status>unmodified</status>
      <modifiedWord/>
      <trackRevisions>false</trackRevisions>
    </reviewItem>
    <reviewItem>
      <errorID>c83c6d57-1096-47e1-984c-c53e740d69f4</errorID>
      <errorWord>)</errorWord>
      <group>L1_Format</group>
      <groupName>格式问题</groupName>
      <ability>L2_HalfPunc</ability>
      <abilityName>全半角检查</abilityName>
      <candidateList>
        <item>）</item>
      </candidateList>
      <explain>文本全半角错误。</explain>
      <paraID>5FAA81C8</paraID>
      <start>37</start>
      <end>38</end>
      <status>unmodified</status>
      <modifiedWord/>
      <trackRevisions>false</trackRevisions>
    </reviewItem>
    <reviewItem>
      <errorID>7b8eebdd-8871-42e7-93b2-420fffe3daf9</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1DD076AD</paraID>
      <start>0</start>
      <end>2</end>
      <status>unmodified</status>
      <modifiedWord/>
      <trackRevisions>false</trackRevisions>
    </reviewItem>
    <reviewItem>
      <errorID>dd15894d-31ab-4b3c-bbb2-bdea8280f411</errorID>
      <errorWord>IV类</errorWord>
      <group>L1_Knowledge</group>
      <groupName>知识性问题</groupName>
      <ability>L2_Knowledge</ability>
      <abilityName>其他知识</abilityName>
      <candidateList>
        <item>Ⅳ类</item>
      </candidateList>
      <explain/>
      <paraID>336F27CB</paraID>
      <start>48</start>
      <end>51</end>
      <status>unmodified</status>
      <modifiedWord/>
      <trackRevisions>false</trackRevisions>
    </reviewItem>
    <reviewItem>
      <errorID>f532efaa-5b71-41de-9301-e6fb0d591d09</errorID>
      <errorWord>IV类</errorWord>
      <group>L1_Knowledge</group>
      <groupName>知识性问题</groupName>
      <ability>L2_Knowledge</ability>
      <abilityName>其他知识</abilityName>
      <candidateList>
        <item>Ⅳ类</item>
      </candidateList>
      <explain/>
      <paraID>2D03E852</paraID>
      <start>0</start>
      <end>3</end>
      <status>unmodified</status>
      <modifiedWord/>
      <trackRevisions>false</trackRevisions>
    </reviewItem>
    <reviewItem>
      <errorID>609c5958-10f9-4c46-b667-348cfa8cee78</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7A88214F</paraID>
      <start>0</start>
      <end>2</end>
      <status>unmodified</status>
      <modifiedWord/>
      <trackRevisions>false</trackRevisions>
    </reviewItem>
    <reviewItem>
      <errorID>27ba5a67-fd62-4641-8f4e-515aba9da633</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4EB57480</paraID>
      <start>0</start>
      <end>2</end>
      <status>unmodified</status>
      <modifiedWord/>
      <trackRevisions>false</trackRevisions>
    </reviewItem>
    <reviewItem>
      <errorID>0f418ead-6dea-4d66-9ac1-2eeb342bd1b9</errorID>
      <errorWord>～</errorWord>
      <group>L1_Format</group>
      <groupName>格式问题</groupName>
      <ability>L2_HalfPunc</ability>
      <abilityName>全半角检查</abilityName>
      <candidateList>
        <item>~</item>
      </candidateList>
      <explain>文本全半角错误。</explain>
      <paraID>7DEBB39C</paraID>
      <start>3</start>
      <end>4</end>
      <status>unmodified</status>
      <modifiedWord/>
      <trackRevisions>false</trackRevisions>
    </reviewItem>
    <reviewItem>
      <errorID>27ae93ad-ce7a-4443-a5ae-0044a7625046</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15C624A0</paraID>
      <start>0</start>
      <end>2</end>
      <status>unmodified</status>
      <modifiedWord/>
      <trackRevisions>false</trackRevisions>
    </reviewItem>
    <reviewItem>
      <errorID>bb52c282-984d-4c6b-a67e-1d7109b4605d</errorID>
      <errorWord>&gt;</errorWord>
      <group>L1_Punc</group>
      <groupName>标点问题</groupName>
      <ability>L2_Punc</ability>
      <abilityName>标点符号检查</abilityName>
      <candidateList/>
      <explain/>
      <paraID>2D00D1CD</paraID>
      <start>0</start>
      <end>1</end>
      <status>unmodified</status>
      <modifiedWord/>
      <trackRevisions>false</trackRevisions>
    </reviewItem>
    <reviewItem>
      <errorID>6e9f7a89-1f30-4a39-beed-3703940091a4</errorID>
      <errorWord>(</errorWord>
      <group>L1_Format</group>
      <groupName>格式问题</groupName>
      <ability>L2_HalfPunc</ability>
      <abilityName>全半角检查</abilityName>
      <candidateList>
        <item>（</item>
      </candidateList>
      <explain>文本全半角错误。</explain>
      <paraID> 858F59C</paraID>
      <start>1</start>
      <end>2</end>
      <status>unmodified</status>
      <modifiedWord/>
      <trackRevisions>false</trackRevisions>
    </reviewItem>
    <reviewItem>
      <errorID>bdfcc7b9-96e8-47ac-b2a2-81d08e8c78a2</errorID>
      <errorWord>)</errorWord>
      <group>L1_Format</group>
      <groupName>格式问题</groupName>
      <ability>L2_HalfPunc</ability>
      <abilityName>全半角检查</abilityName>
      <candidateList>
        <item>）</item>
      </candidateList>
      <explain>文本全半角错误。</explain>
      <paraID> 858F59C</paraID>
      <start>4</start>
      <end>5</end>
      <status>unmodified</status>
      <modifiedWord/>
      <trackRevisions>false</trackRevisions>
    </reviewItem>
    <reviewItem>
      <errorID>77c8957a-c58a-4c87-a604-4559fb4b3093</errorID>
      <errorWord>(</errorWord>
      <group>L1_Format</group>
      <groupName>格式问题</groupName>
      <ability>L2_HalfPunc</ability>
      <abilityName>全半角检查</abilityName>
      <candidateList>
        <item>（</item>
      </candidateList>
      <explain>文本全半角错误。</explain>
      <paraID> F3E394E</paraID>
      <start>1</start>
      <end>2</end>
      <status>unmodified</status>
      <modifiedWord/>
      <trackRevisions>false</trackRevisions>
    </reviewItem>
    <reviewItem>
      <errorID>6e364e38-b9ee-48b5-8e7f-fb3e3303b90b</errorID>
      <errorWord>)</errorWord>
      <group>L1_Format</group>
      <groupName>格式问题</groupName>
      <ability>L2_HalfPunc</ability>
      <abilityName>全半角检查</abilityName>
      <candidateList>
        <item>）</item>
      </candidateList>
      <explain>文本全半角错误。</explain>
      <paraID> F3E394E</paraID>
      <start>4</start>
      <end>5</end>
      <status>unmodified</status>
      <modifiedWord/>
      <trackRevisions>false</trackRevisions>
    </reviewItem>
    <reviewItem>
      <errorID>f168e36d-abb8-4df1-b4f6-1d944a4b164f</errorID>
      <errorWord>(</errorWord>
      <group>L1_Format</group>
      <groupName>格式问题</groupName>
      <ability>L2_HalfPunc</ability>
      <abilityName>全半角检查</abilityName>
      <candidateList>
        <item>（</item>
      </candidateList>
      <explain>文本全半角错误。</explain>
      <paraID>5098113A</paraID>
      <start>1</start>
      <end>2</end>
      <status>unmodified</status>
      <modifiedWord/>
      <trackRevisions>false</trackRevisions>
    </reviewItem>
    <reviewItem>
      <errorID>25968744-cc90-4f34-ae68-5bb0846fa6e0</errorID>
      <errorWord>)</errorWord>
      <group>L1_Format</group>
      <groupName>格式问题</groupName>
      <ability>L2_HalfPunc</ability>
      <abilityName>全半角检查</abilityName>
      <candidateList>
        <item>）</item>
      </candidateList>
      <explain>文本全半角错误。</explain>
      <paraID>5098113A</paraID>
      <start>4</start>
      <end>5</end>
      <status>unmodified</status>
      <modifiedWord/>
      <trackRevisions>false</trackRevisions>
    </reviewItem>
    <reviewItem>
      <errorID>895e372c-ea1d-4c79-ae71-cda922e66e36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5779ECC9</paraID>
      <start>0</start>
      <end>2</end>
      <status>unmodified</status>
      <modifiedWord/>
      <trackRevisions>false</trackRevisions>
    </reviewItem>
    <reviewItem>
      <errorID>3d2e6cf7-e9f2-4639-a3a9-60b4e5bd127b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4069E506</paraID>
      <start>0</start>
      <end>2</end>
      <status>unmodified</status>
      <modifiedWord/>
      <trackRevisions>false</trackRevisions>
    </reviewItem>
    <reviewItem>
      <errorID>7641dac2-e16d-43d5-96ff-cbff7f1c987a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6AFE1F2C</paraID>
      <start>0</start>
      <end>2</end>
      <status>unmodified</status>
      <modifiedWord/>
      <trackRevisions>false</trackRevisions>
    </reviewItem>
    <reviewItem>
      <errorID>901bd830-727e-42e6-90e1-0c01c01d898b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5A22BC4C</paraID>
      <start>0</start>
      <end>2</end>
      <status>unmodified</status>
      <modifiedWord/>
      <trackRevisions>false</trackRevisions>
    </reviewItem>
    <reviewItem>
      <errorID>f5f235e9-16f5-447d-92a1-ffe8ab31a128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7A0A0E74</paraID>
      <start>0</start>
      <end>2</end>
      <status>unmodified</status>
      <modifiedWord/>
      <trackRevisions>false</trackRevisions>
    </reviewItem>
    <reviewItem>
      <errorID>09e40d4e-890a-49f2-b6d4-75baa9fde560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10AF4C4C</paraID>
      <start>0</start>
      <end>2</end>
      <status>unmodified</status>
      <modifiedWord/>
      <trackRevisions>false</trackRevisions>
    </reviewItem>
    <reviewItem>
      <errorID>21500e27-5a1f-40ae-a6b1-c21e63c42f1b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D2CF473</paraID>
      <start>0</start>
      <end>2</end>
      <status>unmodified</status>
      <modifiedWord/>
      <trackRevisions>false</trackRevisions>
    </reviewItem>
    <reviewItem>
      <errorID>9ff15417-fd01-4d63-966d-ecbbf75652bb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133A4AF7</paraID>
      <start>0</start>
      <end>2</end>
      <status>unmodified</status>
      <modifiedWord/>
      <trackRevisions>false</trackRevisions>
    </reviewItem>
    <reviewItem>
      <errorID>cc18f946-cf0b-44e2-ac70-758f86dd2f1e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11285AD9</paraID>
      <start>0</start>
      <end>2</end>
      <status>unmodified</status>
      <modifiedWord/>
      <trackRevisions>false</trackRevisions>
    </reviewItem>
    <reviewItem>
      <errorID>1f08a33a-16cd-4a83-8332-fc0253ab81bd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60494A02</paraID>
      <start>0</start>
      <end>2</end>
      <status>unmodified</status>
      <modifiedWord/>
      <trackRevisions>false</trackRevisions>
    </reviewItem>
    <reviewItem>
      <errorID>ea98b15e-5067-41f8-92d5-02b79d577d8b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19206E03</paraID>
      <start>0</start>
      <end>2</end>
      <status>unmodified</status>
      <modifiedWord/>
      <trackRevisions>false</trackRevisions>
    </reviewItem>
    <reviewItem>
      <errorID>a933ad3f-6ab8-41b7-8b49-eb3272342e58</errorID>
      <errorWord>；</errorWord>
      <group>L1_Format</group>
      <groupName>格式问题</groupName>
      <ability>L2_HalfPunc</ability>
      <abilityName>全半角检查</abilityName>
      <candidateList>
        <item>;</item>
      </candidateList>
      <explain>文本全半角错误。</explain>
      <paraID>7B5D55AC</paraID>
      <start>8</start>
      <end>9</end>
      <status>unmodified</status>
      <modifiedWord/>
      <trackRevisions>false</trackRevisions>
    </reviewItem>
    <reviewItem>
      <errorID>8f4fb8de-176e-496b-9fde-a333ba2f896d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69CCBDC8</paraID>
      <start>0</start>
      <end>2</end>
      <status>unmodified</status>
      <modifiedWord/>
      <trackRevisions>false</trackRevisions>
    </reviewItem>
    <reviewItem>
      <errorID>52a8833b-9e2e-4da6-8682-bc16ba5b1034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187548BA</paraID>
      <start>0</start>
      <end>2</end>
      <status>unmodified</status>
      <modifiedWord/>
      <trackRevisions>false</trackRevisions>
    </reviewItem>
    <reviewItem>
      <errorID>457f0e0c-8ea3-4000-9fe8-27ff69332c7f</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660E6005</paraID>
      <start>0</start>
      <end>2</end>
      <status>unmodified</status>
      <modifiedWord/>
      <trackRevisions>false</trackRevisions>
    </reviewItem>
    <reviewItem>
      <errorID>83575634-d5e4-4172-b1ee-9835e7bdf11f</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46D6E527</paraID>
      <start>0</start>
      <end>2</end>
      <status>unmodified</status>
      <modifiedWord/>
      <trackRevisions>false</trackRevisions>
    </reviewItem>
    <reviewItem>
      <errorID>c4e21639-84e1-4598-b794-b5043aa3b376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1767D8A2</paraID>
      <start>0</start>
      <end>2</end>
      <status>unmodified</status>
      <modifiedWord/>
      <trackRevisions>false</trackRevisions>
    </reviewItem>
    <reviewItem>
      <errorID>5340881d-4f2d-4309-9b50-c5e486ffa12d</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295F7E46</paraID>
      <start>0</start>
      <end>2</end>
      <status>unmodified</status>
      <modifiedWord/>
      <trackRevisions>false</trackRevisions>
    </reviewItem>
    <reviewItem>
      <errorID>96984cbc-5767-4329-bfc6-0cb3514fa063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295F7E46</paraID>
      <start>24</start>
      <end>25</end>
      <status>unmodified</status>
      <modifiedWord/>
      <trackRevisions>false</trackRevisions>
    </reviewItem>
    <reviewItem>
      <errorID>5466c7dc-787b-4fe4-b82e-326a764ceddd</errorID>
      <errorWord>[2021]268号</errorWord>
      <group>L1_Knowledge</group>
      <groupName>知识性问题</groupName>
      <ability>L2_Knowledge</ability>
      <abilityName>其他知识</abilityName>
      <candidateList>
        <item>〔2021〕268号</item>
      </candidateList>
      <explain>发文字号格式错误。</explain>
      <paraID>4F7C07FD</paraID>
      <start>109</start>
      <end>119</end>
      <status>unmodified</status>
      <modifiedWord/>
      <trackRevisions>false</trackRevisions>
    </reviewItem>
    <reviewItem>
      <errorID>d3aa4aeb-d02c-42ff-a937-15a13b207582</errorID>
      <errorWord>式</errorWord>
      <group>L1_Word</group>
      <groupName>字词问题</groupName>
      <ability>L2_Typo</ability>
      <abilityName>字词错误</abilityName>
      <candidateList>
        <item>式变</item>
      </candidateList>
      <explain/>
      <paraID>644B5677</paraID>
      <start>138</start>
      <end>139</end>
      <status>unmodified</status>
      <modifiedWord/>
      <trackRevisions>false</trackRevisions>
    </reviewItem>
    <reviewItem>
      <errorID>f1b5fcf4-bf90-404d-9b49-717e5853fa2e</errorID>
      <errorWord>)</errorWord>
      <group>L1_Format</group>
      <groupName>格式问题</groupName>
      <ability>L2_HalfPunc</ability>
      <abilityName>全半角检查</abilityName>
      <candidateList>
        <item>）</item>
      </candidateList>
      <explain>文本全半角错误。</explain>
      <paraID>644B5677</paraID>
      <start>212</start>
      <end>213</end>
      <status>unmodified</status>
      <modifiedWord/>
      <trackRevisions>false</trackRevisions>
    </reviewItem>
    <reviewItem>
      <errorID>fdc6004c-b6be-4bbd-820b-f1518f28709e</errorID>
      <errorWord>“</errorWord>
      <group>L1_Punc</group>
      <groupName>标点问题</groupName>
      <ability>L2_Punc</ability>
      <abilityName>标点符号检查</abilityName>
      <candidateList/>
      <explain/>
      <paraID>644B5677</paraID>
      <start>214</start>
      <end>215</end>
      <status>unmodified</status>
      <modifiedWord/>
      <trackRevisions>false</trackRevisions>
    </reviewItem>
    <reviewItem>
      <errorID>5359b2bc-81d1-407f-899a-25e97854d21a</errorID>
      <errorWord>规划中</errorWord>
      <group>L1_Word</group>
      <groupName>字词问题</groupName>
      <ability>L2_Typo</ability>
      <abilityName>字词错误</abilityName>
      <candidateList>
        <item>规划</item>
      </candidateList>
      <explain>❶〈名〉比较全面的长远的发展计划：制订～｜十年～。❷〈动〉做规划：兴修水利问题，应当全面～。</explain>
      <paraID> DADBC5E</paraID>
      <start>124</start>
      <end>127</end>
      <status>unmodified</status>
      <modifiedWord/>
      <trackRevisions>false</trackRevisions>
    </reviewItem>
    <reviewItem>
      <errorID>ba42f180-0cde-495b-b77b-f8d635517c70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79F9C059</paraID>
      <start>24</start>
      <end>25</end>
      <status>unmodified</status>
      <modifiedWord/>
      <trackRevisions>false</trackRevisions>
    </reviewItem>
    <reviewItem>
      <errorID>0d8ecc35-8cfa-4e39-ab9e-ba4d8df795c0</errorID>
      <errorWord>[2023]1028号</errorWord>
      <group>L1_Knowledge</group>
      <groupName>知识性问题</groupName>
      <ability>L2_Knowledge</ability>
      <abilityName>其他知识</abilityName>
      <candidateList>
        <item>〔2023〕1028号</item>
      </candidateList>
      <explain>发文字号格式错误。</explain>
      <paraID>79F9C059</paraID>
      <start>48</start>
      <end>59</end>
      <status>unmodified</status>
      <modifiedWord/>
      <trackRevisions>false</trackRevisions>
    </reviewItem>
    <reviewItem>
      <errorID>66476804-13af-4607-9736-e3cf01f69cdf</errorID>
      <errorWord>坚持绿色协调发展</errorWord>
      <group>L1_Political</group>
      <groupName>政治性问题</groupName>
      <ability>L2_Keyword</ability>
      <abilityName>固定表述</abilityName>
      <candidateList>
        <item>坚持绿色低碳发展</item>
      </candidateList>
      <explain>词汇“坚持绿色低碳发展”在特定场景下为固定表述形式，请确认此处的“坚持绿色协调发展”是否存在不当。</explain>
      <paraID>1761E817</paraID>
      <start>9</start>
      <end>17</end>
      <status>unmodified</status>
      <modifiedWord/>
      <trackRevisions>false</trackRevisions>
    </reviewItem>
    <reviewItem>
      <errorID>251b26ef-f109-432c-86c0-c42aece802b3</errorID>
      <errorWord>环境质量给</errorWord>
      <group>L1_Word</group>
      <groupName>字词问题</groupName>
      <ability>L2_Typo</ability>
      <abilityName>字词错误</abilityName>
      <candidateList>
        <item>环境质量</item>
      </candidateList>
      <explain/>
      <paraID>1761E817</paraID>
      <start>244</start>
      <end>249</end>
      <status>unmodified</status>
      <modifiedWord/>
      <trackRevisions>false</trackRevisions>
    </reviewItem>
    <reviewItem>
      <errorID>f55df7b1-0531-4ec0-ac03-21d0d1fbd3f3</errorID>
      <errorWord>环保基础设施建设</errorWord>
      <group>L1_Political</group>
      <groupName>政治性问题</groupName>
      <ability>L2_Keyword</ability>
      <abilityName>固定表述</abilityName>
      <candidateList>
        <item>环境基础设施建设</item>
      </candidateList>
      <explain>词汇“环境基础设施建设”在特定场景下为固定表述形式，请确认此处的“环保基础设施建设”是否存在不当。</explain>
      <paraID>73DC08E9</paraID>
      <start>2</start>
      <end>10</end>
      <status>unmodified</status>
      <modifiedWord/>
      <trackRevisions>false</trackRevisions>
    </reviewItem>
    <reviewItem>
      <errorID>cb623b00-237a-4488-871a-f7386ee43949</errorID>
      <errorWord>[2017]19号</errorWord>
      <group>L1_Knowledge</group>
      <groupName>知识性问题</groupName>
      <ability>L2_Knowledge</ability>
      <abilityName>其他知识</abilityName>
      <candidateList>
        <item>〔2017〕19号</item>
      </candidateList>
      <explain>发文字号格式错误。</explain>
      <paraID>4F069DA7</paraID>
      <start>217</start>
      <end>226</end>
      <status>unmodified</status>
      <modifiedWord/>
      <trackRevisions>false</trackRevisions>
    </reviewItem>
    <reviewItem>
      <errorID>4efce108-486c-4936-ab45-f4b760bf2fea</errorID>
      <errorWord>监</errorWord>
      <group>L1_Word</group>
      <groupName>字词问题</groupName>
      <ability>L2_Typo</ability>
      <abilityName>字词错误</abilityName>
      <candidateList>
        <item>监测</item>
      </candidateList>
      <explain/>
      <paraID> 66A4054</paraID>
      <start>4</start>
      <end>5</end>
      <status>unmodified</status>
      <modifiedWord/>
      <trackRevisions>false</trackRevisions>
    </reviewItem>
    <reviewItem>
      <errorID>eb1ebd8b-f146-4de6-be08-7e22d601d07d</errorID>
      <errorWord>管</errorWord>
      <group>L1_Word</group>
      <groupName>字词问题</groupName>
      <ability>L2_Typo</ability>
      <abilityName>字词错误</abilityName>
      <candidateList>
        <item>管控</item>
      </candidateList>
      <explain/>
      <paraID> 66A4054</paraID>
      <start>124</start>
      <end>125</end>
      <status>unmodified</status>
      <modifiedWord/>
      <trackRevisions>false</trackRevisions>
    </reviewItem>
    <reviewItem>
      <errorID>33e69721-ed66-42e8-8775-a135d24bb280</errorID>
      <errorWord>统并</errorWord>
      <group>L1_Word</group>
      <groupName>字词问题</groupName>
      <ability>L2_Typo</ability>
      <abilityName>字词错误</abilityName>
      <candidateList>
        <item>并</item>
      </candidateList>
      <explain>（並、竝）bìnɡ❶〈动〉两种或两种以上的事物平排着：～蒂莲｜我们手挽着手，肩～着肩。❷〈副〉表示不同的事物同时存在，不同的事情同时进行：两说～存｜相提～论。❸〈副〉用在否定词前面加强否定的语气，略带反驳的意味：你以为他糊涂，其实他～不糊涂｜所谓团结～非一团和气。❹〈连〉并且：我完全同意～拥护领导的决定。❺〈书〉〈介〉用法跟“连”相同（常跟“而”、“亦”呼应）：～此而不知｜～此浅近原理亦不能明。</explain>
      <paraID>  1619B7</paraID>
      <start>19</start>
      <end>21</end>
      <status>unmodified</status>
      <modifiedWord/>
      <trackRevisions>false</trackRevisions>
    </reviewItem>
    <reviewItem>
      <errorID>a361a308-02e2-4460-83e1-5c67dd1231cd</errorID>
      <errorWord>、</errorWord>
      <group>L1_Word</group>
      <groupName>字词问题</groupName>
      <ability>L2_Typo</ability>
      <abilityName>字词错误</abilityName>
      <candidateList>
        <item>、对</item>
      </candidateList>
      <explain/>
      <paraID>1EB98FF2</paraID>
      <start>70</start>
      <end>71</end>
      <status>unmodified</status>
      <modifiedWord/>
      <trackRevisions>false</trackRevisions>
    </reviewItem>
    <reviewItem>
      <errorID>f31325cb-2ffb-4ab0-920f-ca50138527f7</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240D3819</paraID>
      <start>0</start>
      <end>2</end>
      <status>unmodified</status>
      <modifiedWord/>
      <trackRevisions>false</trackRevisions>
    </reviewItem>
    <reviewItem>
      <errorID>d02d3822-022f-43f5-b99c-400ffc475490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240D3819</paraID>
      <start>23</start>
      <end>24</end>
      <status>unmodified</status>
      <modifiedWord/>
      <trackRevisions>false</trackRevisions>
    </reviewItem>
    <reviewItem>
      <errorID>be2484ac-402f-4d3a-a98c-6bc604648ce0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2A2DCC0F</paraID>
      <start>22</start>
      <end>23</end>
      <status>unmodified</status>
      <modifiedWord/>
      <trackRevisions>false</trackRevisions>
    </reviewItem>
    <reviewItem>
      <errorID>239df554-23ed-40a6-ba98-9dbe469d492a</errorID>
      <errorWord>坚持绿色协调发展</errorWord>
      <group>L1_Political</group>
      <groupName>政治性问题</groupName>
      <ability>L2_Keyword</ability>
      <abilityName>固定表述</abilityName>
      <candidateList>
        <item>坚持绿色低碳发展</item>
      </candidateList>
      <explain>词汇“坚持绿色低碳发展”在特定场景下为固定表述形式，请确认此处的“坚持绿色协调发展”是否存在不当。</explain>
      <paraID> 3A53B95</paraID>
      <start>9</start>
      <end>17</end>
      <status>unmodified</status>
      <modifiedWord/>
      <trackRevisions>false</trackRevisions>
    </reviewItem>
    <reviewItem>
      <errorID>a8bff701-4d7c-41a1-8789-7391f02193d8</errorID>
      <errorWord>三线一单</errorWord>
      <group>L1_Political</group>
      <groupName>政治性问题</groupName>
      <ability>L2_Keyword</ability>
      <abilityName>固定表述</abilityName>
      <candidateList>
        <item>‘三线一单’</item>
      </candidateList>
      <explain>注意检查当前固定表述标点是否使用规范。</explain>
      <paraID> 3A53B95</paraID>
      <start>113</start>
      <end>117</end>
      <status>unmodified</status>
      <modifiedWord/>
      <trackRevisions>false</trackRevisions>
    </reviewItem>
    <reviewItem>
      <errorID>f2f1385c-ff03-4672-bb28-5683c0061fb8</errorID>
      <errorWord>（</errorWord>
      <group>L1_Punc</group>
      <groupName>标点问题</groupName>
      <ability>L2_Punc</ability>
      <abilityName>标点符号检查</abilityName>
      <candidateList/>
      <explain>同一形式括号套用。</explain>
      <paraID>22C41A40</paraID>
      <start>96</start>
      <end>97</end>
      <status>unmodified</status>
      <modifiedWord/>
      <trackRevisions>false</trackRevisions>
    </reviewItem>
    <reviewItem>
      <errorID>92d47efb-334b-4d7f-8431-036fa110c178</errorID>
      <errorWord>）</errorWord>
      <group>L1_Punc</group>
      <groupName>标点问题</groupName>
      <ability>L2_Punc</ability>
      <abilityName>标点符号检查</abilityName>
      <candidateList/>
      <explain>同一形式括号套用。</explain>
      <paraID>22C41A40</paraID>
      <start>101</start>
      <end>102</end>
      <status>unmodified</status>
      <modifiedWord/>
      <trackRevisions>false</trackRevisions>
    </reviewItem>
    <reviewItem>
      <errorID>ae2cf764-b6ea-4e7e-b222-440e1f0ba838</errorID>
      <errorWord>项目的</errorWord>
      <group>L1_Word</group>
      <groupName>字词问题</groupName>
      <ability>L2_Typo</ability>
      <abilityName>字词错误</abilityName>
      <candidateList>
        <item>项目</item>
      </candidateList>
      <explain>〈名〉事物分成的门类：服务～｜体育～｜建设～。</explain>
      <paraID>582FC737</paraID>
      <start>31</start>
      <end>34</end>
      <status>unmodified</status>
      <modifiedWord/>
      <trackRevisions>false</trackRevisions>
    </reviewItem>
    <reviewItem>
      <errorID>2cec3d5d-9492-4228-ab4c-99036cc51d9e</errorID>
      <errorWord>(</errorWord>
      <group>L1_Format</group>
      <groupName>格式问题</groupName>
      <ability>L2_HalfPunc</ability>
      <abilityName>全半角检查</abilityName>
      <candidateList>
        <item>（</item>
      </candidateList>
      <explain>文本全半角错误。</explain>
      <paraID>4744A3E0</paraID>
      <start>21</start>
      <end>22</end>
      <status>unmodified</status>
      <modifiedWord/>
      <trackRevisions>false</trackRevisions>
    </reviewItem>
    <reviewItem>
      <errorID>07e14e16-c8c6-4459-a671-2231d60e0e4b</errorID>
      <errorWord>)</errorWord>
      <group>L1_Format</group>
      <groupName>格式问题</groupName>
      <ability>L2_HalfPunc</ability>
      <abilityName>全半角检查</abilityName>
      <candidateList>
        <item>）</item>
      </candidateList>
      <explain>文本全半角错误。</explain>
      <paraID>4744A3E0</paraID>
      <start>30</start>
      <end>31</end>
      <status>unmodified</status>
      <modifiedWord/>
      <trackRevisions>false</trackRevisions>
    </reviewItem>
    <reviewItem>
      <errorID>2460b311-5b79-4bde-bcef-ce57391ebac2</errorID>
      <errorWord>（</errorWord>
      <group>L1_Format</group>
      <groupName>格式问题</groupName>
      <ability>L2_HalfPunc</ability>
      <abilityName>全半角检查</abilityName>
      <candidateList>
        <item>(</item>
      </candidateList>
      <explain>文本全半角错误。</explain>
      <paraID>38CC6E00</paraID>
      <start>0</start>
      <end>1</end>
      <status>unmodified</status>
      <modifiedWord/>
      <trackRevisions>false</trackRevisions>
    </reviewItem>
    <reviewItem>
      <errorID>111cb337-a773-458d-82cd-5df3c5526b44</errorID>
      <errorWord>）</errorWord>
      <group>L1_Format</group>
      <groupName>格式问题</groupName>
      <ability>L2_HalfPunc</ability>
      <abilityName>全半角检查</abilityName>
      <candidateList>
        <item>)</item>
      </candidateList>
      <explain>文本全半角错误。</explain>
      <paraID>38CC6E00</paraID>
      <start>12</start>
      <end>13</end>
      <status>unmodified</status>
      <modifiedWord/>
      <trackRevisions>false</trackRevisions>
    </reviewItem>
    <reviewItem>
      <errorID>d64a89d1-93dc-4a6f-ad0c-6a373d21bf44</errorID>
      <errorWord>IV</errorWord>
      <group>L1_Knowledge</group>
      <groupName>知识性问题</groupName>
      <ability>L2_Knowledge</ability>
      <abilityName>其他知识</abilityName>
      <candidateList>
        <item>Ⅳ</item>
      </candidateList>
      <explain/>
      <paraID>5EC9EDC3</paraID>
      <start>0</start>
      <end>2</end>
      <status>unmodified</status>
      <modifiedWord/>
      <trackRevisions>false</trackRevisions>
    </reviewItem>
    <reviewItem>
      <errorID>e5635cee-4910-4704-b4d8-d4d5d623aa5d</errorID>
      <errorWord>（</errorWord>
      <group>L1_Format</group>
      <groupName>格式问题</groupName>
      <ability>L2_HalfPunc</ability>
      <abilityName>全半角检查</abilityName>
      <candidateList>
        <item>(</item>
      </candidateList>
      <explain>文本全半角错误。</explain>
      <paraID> 89FBAA0</paraID>
      <start>0</start>
      <end>1</end>
      <status>unmodified</status>
      <modifiedWord/>
      <trackRevisions>false</trackRevisions>
    </reviewItem>
    <reviewItem>
      <errorID>a0c0f862-f23d-4f66-bc7b-eeb307d7e55f</errorID>
      <errorWord>）</errorWord>
      <group>L1_Format</group>
      <groupName>格式问题</groupName>
      <ability>L2_HalfPunc</ability>
      <abilityName>全半角检查</abilityName>
      <candidateList>
        <item>)</item>
      </candidateList>
      <explain>文本全半角错误。</explain>
      <paraID> 89FBAA0</paraID>
      <start>12</start>
      <end>13</end>
      <status>unmodified</status>
      <modifiedWord/>
      <trackRevisions>false</trackRevisions>
    </reviewItem>
    <reviewItem>
      <errorID>3eddcb12-2988-426b-b90a-8fed24b56ab8</errorID>
      <errorWord>III类</errorWord>
      <group>L1_Knowledge</group>
      <groupName>知识性问题</groupName>
      <ability>L2_Knowledge</ability>
      <abilityName>其他知识</abilityName>
      <candidateList>
        <item>Ⅲ类</item>
      </candidateList>
      <explain/>
      <paraID>4D14C4BE</paraID>
      <start>16</start>
      <end>20</end>
      <status>unmodified</status>
      <modifiedWord/>
      <trackRevisions>false</trackRevisions>
    </reviewItem>
    <reviewItem>
      <errorID>96ccc0d3-48ac-4645-8e0b-f769ad9e7354</errorID>
      <errorWord>(</errorWord>
      <group>L1_Format</group>
      <groupName>格式问题</groupName>
      <ability>L2_HalfPunc</ability>
      <abilityName>全半角检查</abilityName>
      <candidateList>
        <item>（</item>
      </candidateList>
      <explain>文本全半角错误。</explain>
      <paraID> 1B7026F</paraID>
      <start>30</start>
      <end>31</end>
      <status>unmodified</status>
      <modifiedWord/>
      <trackRevisions>false</trackRevisions>
    </reviewItem>
    <reviewItem>
      <errorID>8692c58e-813b-4ad6-878f-417b5522c83d</errorID>
      <errorWord>)</errorWord>
      <group>L1_Format</group>
      <groupName>格式问题</groupName>
      <ability>L2_HalfPunc</ability>
      <abilityName>全半角检查</abilityName>
      <candidateList>
        <item>）</item>
      </candidateList>
      <explain>文本全半角错误。</explain>
      <paraID> 1B7026F</paraID>
      <start>39</start>
      <end>40</end>
      <status>unmodified</status>
      <modifiedWord/>
      <trackRevisions>false</trackRevisions>
    </reviewItem>
    <reviewItem>
      <errorID>d54b96b7-af18-48be-b84e-6df0ebc109b9</errorID>
      <errorWord>该并</errorWord>
      <group>L1_Word</group>
      <groupName>字词问题</groupName>
      <ability>L2_Typo</ability>
      <abilityName>字词错误</abilityName>
      <candidateList>
        <item>并</item>
      </candidateList>
      <explain>（並、竝）bìnɡ❶〈动〉两种或两种以上的事物平排着：～蒂莲｜我们手挽着手，肩～着肩。❷〈副〉表示不同的事物同时存在，不同的事情同时进行：两说～存｜相提～论。❸〈副〉用在否定词前面加强否定的语气，略带反驳的意味：你以为他糊涂，其实他～不糊涂｜所谓团结～非一团和气。❹〈连〉并且：我完全同意～拥护领导的决定。❺〈书〉〈介〉用法跟“连”相同（常跟“而”、“亦”呼应）：～此而不知｜～此浅近原理亦不能明。</explain>
      <paraID> 1B7026F</paraID>
      <start>82</start>
      <end>84</end>
      <status>unmodified</status>
      <modifiedWord/>
      <trackRevisions>false</trackRevisions>
    </reviewItem>
    <reviewItem>
      <errorID>c63dc985-d101-46b8-954f-5362bbe36d0e</errorID>
      <errorWord>[2018]40号</errorWord>
      <group>L1_Knowledge</group>
      <groupName>知识性问题</groupName>
      <ability>L2_Knowledge</ability>
      <abilityName>其他知识</abilityName>
      <candidateList>
        <item>〔2018〕40号</item>
      </candidateList>
      <explain>发文字号格式错误。</explain>
      <paraID>6415A356</paraID>
      <start>69</start>
      <end>78</end>
      <status>unmodified</status>
      <modifiedWord/>
      <trackRevisions>false</trackRevisions>
    </reviewItem>
    <reviewItem>
      <errorID>565f0971-65b1-4b70-a840-ee18cd5ecac6</errorID>
      <errorWord>进行了的</errorWord>
      <group>L1_Word</group>
      <groupName>字词问题</groupName>
      <ability>L2_Typo</ability>
      <abilityName>字词错误</abilityName>
      <candidateList>
        <item>进行了</item>
      </candidateList>
      <explain/>
      <paraID>6415A356</paraID>
      <start>107</start>
      <end>111</end>
      <status>unmodified</status>
      <modifiedWord/>
      <trackRevisions>false</trackRevisions>
    </reviewItem>
    <reviewItem>
      <errorID>f4641678-c6c8-4bba-973c-43e9dd85812f</errorID>
      <errorWord>[2018]40号</errorWord>
      <group>L1_Knowledge</group>
      <groupName>知识性问题</groupName>
      <ability>L2_Knowledge</ability>
      <abilityName>其他知识</abilityName>
      <candidateList>
        <item>〔2018〕40号</item>
      </candidateList>
      <explain>发文字号格式错误。</explain>
      <paraID>7852CB0B</paraID>
      <start>3</start>
      <end>12</end>
      <status>unmodified</status>
      <modifiedWord/>
      <trackRevisions>false</trackRevisions>
    </reviewItem>
    <reviewItem>
      <errorID>b4a3799d-5ea3-4c96-9993-bca297f7f681</errorID>
      <errorWord>(</errorWord>
      <group>L1_Format</group>
      <groupName>格式问题</groupName>
      <ability>L2_HalfPunc</ability>
      <abilityName>全半角检查</abilityName>
      <candidateList>
        <item>（</item>
      </candidateList>
      <explain>文本全半角错误。</explain>
      <paraID> E5483CE</paraID>
      <start>24</start>
      <end>25</end>
      <status>unmodified</status>
      <modifiedWord/>
      <trackRevisions>false</trackRevisions>
    </reviewItem>
    <reviewItem>
      <errorID>374d8c58-0146-4aba-bf80-a4d441e200f6</errorID>
      <errorWord>)</errorWord>
      <group>L1_Format</group>
      <groupName>格式问题</groupName>
      <ability>L2_HalfPunc</ability>
      <abilityName>全半角检查</abilityName>
      <candidateList>
        <item>）</item>
      </candidateList>
      <explain>文本全半角错误。</explain>
      <paraID> E5483CE</paraID>
      <start>33</start>
      <end>34</end>
      <status>unmodified</status>
      <modifiedWord/>
      <trackRevisions>false</trackRevisions>
    </reviewItem>
    <reviewItem>
      <errorID>3fb4cf68-a023-46e1-9751-48911af15bd0</errorID>
      <errorWord>,</errorWord>
      <group>L1_Format</group>
      <groupName>格式问题</groupName>
      <ability>L2_HalfPunc</ability>
      <abilityName>全半角检查</abilityName>
      <candidateList>
        <item>，</item>
      </candidateList>
      <explain>文本全半角错误。</explain>
      <paraID>4BDF7501</paraID>
      <start>70</start>
      <end>71</end>
      <status>unmodified</status>
      <modifiedWord/>
      <trackRevisions>false</trackRevisions>
    </reviewItem>
    <reviewItem>
      <errorID>e6accb5a-2c7d-4965-8c23-675f670b38c1</errorID>
      <errorWord>(</errorWord>
      <group>L1_Format</group>
      <groupName>格式问题</groupName>
      <ability>L2_HalfPunc</ability>
      <abilityName>全半角检查</abilityName>
      <candidateList>
        <item>（</item>
      </candidateList>
      <explain>文本全半角错误。</explain>
      <paraID>4BDAE419</paraID>
      <start>63</start>
      <end>64</end>
      <status>unmodified</status>
      <modifiedWord/>
      <trackRevisions>false</trackRevisions>
    </reviewItem>
    <reviewItem>
      <errorID>0cb86e87-4f6e-43c8-a8e3-ed0a09d7821d</errorID>
      <errorWord>)</errorWord>
      <group>L1_Format</group>
      <groupName>格式问题</groupName>
      <ability>L2_HalfPunc</ability>
      <abilityName>全半角检查</abilityName>
      <candidateList>
        <item>）</item>
      </candidateList>
      <explain>文本全半角错误。</explain>
      <paraID>4BDAE419</paraID>
      <start>72</start>
      <end>73</end>
      <status>unmodified</status>
      <modifiedWord/>
      <trackRevisions>false</trackRevisions>
    </reviewItem>
    <reviewItem>
      <errorID>4d49e0d8-c0b7-4079-9b5b-3ef3fca05eeb</errorID>
      <errorWord>,</errorWord>
      <group>L1_Format</group>
      <groupName>格式问题</groupName>
      <ability>L2_HalfPunc</ability>
      <abilityName>全半角检查</abilityName>
      <candidateList>
        <item>，</item>
      </candidateList>
      <explain>文本全半角错误。</explain>
      <paraID>4BDAE419</paraID>
      <start>73</start>
      <end>74</end>
      <status>unmodified</status>
      <modifiedWord/>
      <trackRevisions>false</trackRevisions>
    </reviewItem>
    <reviewItem>
      <errorID>e821a2f5-3ec4-4c81-83d1-7a14a277c1e0</errorID>
      <errorWord>,</errorWord>
      <group>L1_Format</group>
      <groupName>格式问题</groupName>
      <ability>L2_HalfPunc</ability>
      <abilityName>全半角检查</abilityName>
      <candidateList>
        <item>，</item>
      </candidateList>
      <explain>文本全半角错误。</explain>
      <paraID>4BDAE419</paraID>
      <start>106</start>
      <end>107</end>
      <status>unmodified</status>
      <modifiedWord/>
      <trackRevisions>false</trackRevisions>
    </reviewItem>
    <reviewItem>
      <errorID>8b364271-eae3-4e97-865f-c5baa4982afb</errorID>
      <errorWord>(</errorWord>
      <group>L1_Format</group>
      <groupName>格式问题</groupName>
      <ability>L2_HalfPunc</ability>
      <abilityName>全半角检查</abilityName>
      <candidateList>
        <item>（</item>
      </candidateList>
      <explain>文本全半角错误。</explain>
      <paraID>2307AB5F</paraID>
      <start>41</start>
      <end>42</end>
      <status>unmodified</status>
      <modifiedWord/>
      <trackRevisions>false</trackRevisions>
    </reviewItem>
    <reviewItem>
      <errorID>3efc91bf-51df-4e89-a2f8-7e42dbe0dcbd</errorID>
      <errorWord>)</errorWord>
      <group>L1_Format</group>
      <groupName>格式问题</groupName>
      <ability>L2_HalfPunc</ability>
      <abilityName>全半角检查</abilityName>
      <candidateList>
        <item>）</item>
      </candidateList>
      <explain>文本全半角错误。</explain>
      <paraID>2307AB5F</paraID>
      <start>44</start>
      <end>45</end>
      <status>unmodified</status>
      <modifiedWord/>
      <trackRevisions>false</trackRevisions>
    </reviewItem>
    <reviewItem>
      <errorID>0165c125-308c-4d3d-820e-4847ecae1e91</errorID>
      <errorWord>,</errorWord>
      <group>L1_Format</group>
      <groupName>格式问题</groupName>
      <ability>L2_HalfPunc</ability>
      <abilityName>全半角检查</abilityName>
      <candidateList>
        <item>，</item>
      </candidateList>
      <explain>文本全半角错误。</explain>
      <paraID>2307AB5F</paraID>
      <start>63</start>
      <end>64</end>
      <status>unmodified</status>
      <modifiedWord/>
      <trackRevisions>false</trackRevisions>
    </reviewItem>
    <reviewItem>
      <errorID>c369ca71-fffd-4b9f-931d-98647690cdf0</errorID>
      <errorWord>,</errorWord>
      <group>L1_Format</group>
      <groupName>格式问题</groupName>
      <ability>L2_HalfPunc</ability>
      <abilityName>全半角检查</abilityName>
      <candidateList>
        <item>，</item>
      </candidateList>
      <explain>文本全半角错误。</explain>
      <paraID>4D92AEA3</paraID>
      <start>54</start>
      <end>55</end>
      <status>unmodified</status>
      <modifiedWord/>
      <trackRevisions>false</trackRevisions>
    </reviewItem>
    <reviewItem>
      <errorID>63d416c2-9313-40bc-b074-1e821005a868</errorID>
      <errorWord>粉尘由</errorWord>
      <group>L1_Word</group>
      <groupName>字词问题</groupName>
      <ability>L2_Typo</ability>
      <abilityName>字词错误</abilityName>
      <candidateList>
        <item>粉尘</item>
      </candidateList>
      <explain/>
      <paraID>3EC17382</paraID>
      <start>34</start>
      <end>37</end>
      <status>unmodified</status>
      <modifiedWord/>
      <trackRevisions>false</trackRevisions>
    </reviewItem>
    <reviewItem>
      <errorID>2daa9592-fdec-4984-b1be-d1e26dc8da01</errorID>
      <errorWord>粉尘由</errorWord>
      <group>L1_Word</group>
      <groupName>字词问题</groupName>
      <ability>L2_Typo</ability>
      <abilityName>字词错误</abilityName>
      <candidateList>
        <item>粉尘</item>
      </candidateList>
      <explain/>
      <paraID>5E98E831</paraID>
      <start>29</start>
      <end>32</end>
      <status>unmodified</status>
      <modifiedWord/>
      <trackRevisions>false</trackRevisions>
    </reviewItem>
    <reviewItem>
      <errorID>3a47c4ad-29e0-4947-b1fb-16fd9443a975</errorID>
      <errorWord>消音器</errorWord>
      <group>L1_Word</group>
      <groupName>字词问题</groupName>
      <ability>L2_Typo</ability>
      <abilityName>字词错误</abilityName>
      <candidateList>
        <item>消声器</item>
      </candidateList>
      <explain/>
      <paraID>53C15B1D</paraID>
      <start>14</start>
      <end>17</end>
      <status>unmodified</status>
      <modifiedWord/>
      <trackRevisions>false</trackRevisions>
    </reviewItem>
    <reviewItem>
      <errorID>51f2d97c-9d07-442e-8568-7c1d2c321cd4</errorID>
      <errorWord>消音器</errorWord>
      <group>L1_Word</group>
      <groupName>字词问题</groupName>
      <ability>L2_Typo</ability>
      <abilityName>字词错误</abilityName>
      <candidateList>
        <item>消声器</item>
      </candidateList>
      <explain/>
      <paraID>511B613D</paraID>
      <start>14</start>
      <end>17</end>
      <status>unmodified</status>
      <modifiedWord/>
      <trackRevisions>false</trackRevisions>
    </reviewItem>
    <reviewItem>
      <errorID>d460a93d-b887-46a1-8812-a41700395a73</errorID>
      <errorWord>与水池</errorWord>
      <group>L1_Word</group>
      <groupName>字词问题</groupName>
      <ability>L2_Typo</ability>
      <abilityName>字词错误</abilityName>
      <candidateList>
        <item>雨水池</item>
      </candidateList>
      <explain/>
      <paraID>6BB5E86C</paraID>
      <start>2</start>
      <end>5</end>
      <status>unmodified</status>
      <modifiedWord/>
      <trackRevisions>false</trackRevisions>
    </reviewItem>
    <reviewItem>
      <errorID>48e5fb28-dfa7-4019-ac7c-7c88b49621c8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23E2A76D</paraID>
      <start>54</start>
      <end>55</end>
      <status>unmodified</status>
      <modifiedWord/>
      <trackRevisions>false</trackRevisions>
    </reviewItem>
    <reviewItem>
      <errorID>9cbd5dd9-3e4b-49b9-a037-b45bd14a8bcb</errorID>
      <errorWord>其它人工</errorWord>
      <group>L1_Word</group>
      <groupName>字词问题</groupName>
      <ability>L2_Alias</ability>
      <abilityName>也作/曾用词</abilityName>
      <candidateList>
        <item>其他人工</item>
      </candidateList>
      <explain>词汇[其它人工]为不规范表述或旧称，其规范书面表述为[其他人工]。</explain>
      <paraID>23E2A76D</paraID>
      <start>82</start>
      <end>86</end>
      <status>unmodified</status>
      <modifiedWord/>
      <trackRevisions>false</trackRevisions>
    </reviewItem>
    <reviewItem>
      <errorID>48e6c02f-9072-4bbf-993c-04f84cf066e8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23E2A76D</paraID>
      <start>96</start>
      <end>97</end>
      <status>unmodified</status>
      <modifiedWord/>
      <trackRevisions>false</trackRevisions>
    </reviewItem>
    <reviewItem>
      <errorID>c145ac72-fa0a-45b4-868d-5196f3daeeba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23E2A76D</paraID>
      <start>162</start>
      <end>163</end>
      <status>unmodified</status>
      <modifiedWord/>
      <trackRevisions>false</trackRevisions>
    </reviewItem>
    <reviewItem>
      <errorID>0048802d-2242-4516-8071-3ca63e4611b3</errorID>
      <errorWord>水份</errorWord>
      <group>L1_Word</group>
      <groupName>字词问题</groupName>
      <ability>L2_Variant</ability>
      <abilityName>异形词</abilityName>
      <candidateList>
        <item>水分</item>
      </candidateList>
      <explain>词汇[水份]的规范词形写作[水分]。</explain>
      <paraID>249D363F</paraID>
      <start>0</start>
      <end>2</end>
      <status>unmodified</status>
      <modifiedWord/>
      <trackRevisions>false</trackRevisions>
    </reviewItem>
    <reviewItem>
      <errorID>03dee2e4-c732-4551-adfc-8a5ed8ce42c5</errorID>
      <errorWord>＜</errorWord>
      <group>L1_Format</group>
      <groupName>格式问题</groupName>
      <ability>L2_HalfPunc</ability>
      <abilityName>全半角检查</abilityName>
      <candidateList>
        <item>&lt;</item>
      </candidateList>
      <explain>文本全半角错误。</explain>
      <paraID>3E36CB34</paraID>
      <start>0</start>
      <end>1</end>
      <status>unmodified</status>
      <modifiedWord/>
      <trackRevisions>false</trackRevisions>
    </reviewItem>
    <reviewItem>
      <errorID>8b174101-b891-4176-bb16-cbc71a181c1b</errorID>
      <errorWord>＞</errorWord>
      <group>L1_Format</group>
      <groupName>格式问题</groupName>
      <ability>L2_HalfPunc</ability>
      <abilityName>全半角检查</abilityName>
      <candidateList>
        <item>&gt;</item>
      </candidateList>
      <explain>文本全半角错误。</explain>
      <paraID>28555347</paraID>
      <start>0</start>
      <end>1</end>
      <status>unmodified</status>
      <modifiedWord/>
      <trackRevisions>false</trackRevisions>
    </reviewItem>
    <reviewItem>
      <errorID>87a7ca30-495d-46c5-9021-5bd015800fb5</errorID>
      <errorWord>＞</errorWord>
      <group>L1_Format</group>
      <groupName>格式问题</groupName>
      <ability>L2_HalfPunc</ability>
      <abilityName>全半角检查</abilityName>
      <candidateList>
        <item>&gt;</item>
      </candidateList>
      <explain>文本全半角错误。</explain>
      <paraID>6C689A24</paraID>
      <start>0</start>
      <end>1</end>
      <status>unmodified</status>
      <modifiedWord/>
      <trackRevisions>false</trackRevisions>
    </reviewItem>
    <reviewItem>
      <errorID>950f2e8b-a47f-4738-b99e-9c5057254e17</errorID>
      <errorWord>水份</errorWord>
      <group>L1_Word</group>
      <groupName>字词问题</groupName>
      <ability>L2_Variant</ability>
      <abilityName>异形词</abilityName>
      <candidateList>
        <item>水分</item>
      </candidateList>
      <explain>词汇[水份]的规范词形写作[水分]。</explain>
      <paraID>  4DBD4D</paraID>
      <start>0</start>
      <end>2</end>
      <status>unmodified</status>
      <modifiedWord/>
      <trackRevisions>false</trackRevisions>
    </reviewItem>
    <reviewItem>
      <errorID>869d7c25-f70c-4c54-9701-504822ead679</errorID>
      <errorWord>＜</errorWord>
      <group>L1_Format</group>
      <groupName>格式问题</groupName>
      <ability>L2_HalfPunc</ability>
      <abilityName>全半角检查</abilityName>
      <candidateList>
        <item>&lt;</item>
      </candidateList>
      <explain>文本全半角错误。</explain>
      <paraID>4163E2A1</paraID>
      <start>0</start>
      <end>1</end>
      <status>unmodified</status>
      <modifiedWord/>
      <trackRevisions>false</trackRevisions>
    </reviewItem>
    <reviewItem>
      <errorID>edd1a4a6-170d-4b6d-8c6e-16b4ccb09a87</errorID>
      <errorWord>水份</errorWord>
      <group>L1_Word</group>
      <groupName>字词问题</groupName>
      <ability>L2_Variant</ability>
      <abilityName>异形词</abilityName>
      <candidateList>
        <item>水分</item>
      </candidateList>
      <explain>词汇[水份]的规范词形写作[水分]。</explain>
      <paraID>6446779B</paraID>
      <start>0</start>
      <end>2</end>
      <status>unmodified</status>
      <modifiedWord/>
      <trackRevisions>false</trackRevisions>
    </reviewItem>
    <reviewItem>
      <errorID>cfbd0928-8935-4cd5-9eb1-0d82af277284</errorID>
      <errorWord>水份</errorWord>
      <group>L1_Word</group>
      <groupName>字词问题</groupName>
      <ability>L2_Variant</ability>
      <abilityName>异形词</abilityName>
      <candidateList>
        <item>水分</item>
      </candidateList>
      <explain>词汇[水份]的规范词形写作[水分]。</explain>
      <paraID> F0CD364</paraID>
      <start>0</start>
      <end>2</end>
      <status>unmodified</status>
      <modifiedWord/>
      <trackRevisions>false</trackRevisions>
    </reviewItem>
    <reviewItem>
      <errorID>669b79aa-db3a-4cd8-9314-7e3489332c04</errorID>
      <errorWord>＜</errorWord>
      <group>L1_Format</group>
      <groupName>格式问题</groupName>
      <ability>L2_HalfPunc</ability>
      <abilityName>全半角检查</abilityName>
      <candidateList>
        <item>&lt;</item>
      </candidateList>
      <explain>文本全半角错误。</explain>
      <paraID>406BD17C</paraID>
      <start>0</start>
      <end>1</end>
      <status>unmodified</status>
      <modifiedWord/>
      <trackRevisions>false</trackRevisions>
    </reviewItem>
    <reviewItem>
      <errorID>a9540ab0-dc9e-47ff-a232-95eddb0c0418</errorID>
      <errorWord>渣桨泵</errorWord>
      <group>L1_Word</group>
      <groupName>字词问题</groupName>
      <ability>L2_Typo</ability>
      <abilityName>字词错误</abilityName>
      <candidateList>
        <item>渣浆泵</item>
      </candidateList>
      <explain/>
      <paraID>5C068520</paraID>
      <start>64</start>
      <end>67</end>
      <status>unmodified</status>
      <modifiedWord/>
      <trackRevisions>false</trackRevisions>
    </reviewItem>
    <reviewItem>
      <errorID>e58e06a5-1be5-4a22-99f5-568cbc1f5a90</errorID>
      <errorWord>进</errorWord>
      <group>L1_Word</group>
      <groupName>字词问题</groupName>
      <ability>L2_Typo</ability>
      <abilityName>字词错误</abilityName>
      <candidateList>
        <item>进行</item>
      </candidateList>
      <explain>〈动〉❶从事（某种活动）：～讨论｜～工作｜～教育和批评｜会议正在～。注意“进行”总是用在持续性的和正式、严肃的行为，短暂性的和日常生活中的行为不用“进行”，例如不说“进行午睡”，“进行叫喊”。❷前进：～曲。</explain>
      <paraID> 12DF618</paraID>
      <start>30</start>
      <end>31</end>
      <status>unmodified</status>
      <modifiedWord/>
      <trackRevisions>false</trackRevisions>
    </reviewItem>
    <reviewItem>
      <errorID>1500bdf9-26c8-4090-81d3-c89f1c99d879</errorID>
      <errorWord>在</errorWord>
      <group>L1_Word</group>
      <groupName>字词问题</groupName>
      <ability>L2_Typo</ability>
      <abilityName>字词错误</abilityName>
      <candidateList>
        <item>再</item>
      </candidateList>
      <explain>❶〈副〉a）表示又一次（有时专指第二次）：～版｜～接～厉｜一而～，～而三｜学习，学习，～学习。注意表示已经重复的动作用“又”，表示将要重复的动作用“再”，如：这部书前几天我又读了一遍，以后有时间我还要～读一遍。b）表示更加：高点儿，～高点儿｜～多一点儿就好了。c）表示如果继续下去就会怎样：学习～不努力，就得留级了｜离开车只剩半个钟头了，～不走可赶不上了。d）表示即使继续下去也不会怎样：你～解释，他也不会同意的。e）表示一个动作发生在另一个动作结束之后：咱们看完了这个节目～走｜你把材料整理好～动笔。f）表示另外有所补充：～则｜～不然｜院子里种着迎春、牡丹、海棠、石榴，～就是玫瑰和月季。❷〈书〉再继续；再出现：青春不～｜良机难～。❸（Zài）〈名〉姓。</explain>
      <paraID>6C377E5F</paraID>
      <start>24</start>
      <end>25</end>
      <status>unmodified</status>
      <modifiedWord/>
      <trackRevisions>false</trackRevisions>
    </reviewItem>
    <reviewItem>
      <errorID>81161d58-bb6a-45e3-ba4e-f94ae68ebf8e</errorID>
      <errorWord>在</errorWord>
      <group>L1_Word</group>
      <groupName>字词问题</groupName>
      <ability>L2_Typo</ability>
      <abilityName>字词错误</abilityName>
      <candidateList>
        <item>再</item>
      </candidateList>
      <explain>存在发音相同字词的误用。</explain>
      <paraID>666855D4</paraID>
      <start>65</start>
      <end>66</end>
      <status>unmodified</status>
      <modifiedWord/>
      <trackRevisions>false</trackRevisions>
    </reviewItem>
    <reviewItem>
      <errorID>209844fd-70c7-41e1-a612-715e4e51e44a</errorID>
      <errorWord>加入至</errorWord>
      <group>L1_Word</group>
      <groupName>字词问题</groupName>
      <ability>L2_Typo</ability>
      <abilityName>字词错误</abilityName>
      <candidateList>
        <item>加入</item>
      </candidateList>
      <explain>〈动〉❶加上；掺进去：～食糖少许。❷参加进去：～工会｜～足球队。</explain>
      <paraID>666855D4</paraID>
      <start>105</start>
      <end>108</end>
      <status>unmodified</status>
      <modifiedWord/>
      <trackRevisions>false</trackRevisions>
    </reviewItem>
    <reviewItem>
      <errorID>e4260583-2076-4377-9a21-6805078861cb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666855D4</paraID>
      <start>132</start>
      <end>133</end>
      <status>unmodified</status>
      <modifiedWord/>
      <trackRevisions>false</trackRevisions>
    </reviewItem>
    <reviewItem>
      <errorID>41ffc3a2-8e37-4b41-a850-beee8083a6ed</errorID>
      <errorWord>在</errorWord>
      <group>L1_Word</group>
      <groupName>字词问题</groupName>
      <ability>L2_Typo</ability>
      <abilityName>字词错误</abilityName>
      <candidateList>
        <item>再</item>
      </candidateList>
      <explain>存在发音相同字词的误用。</explain>
      <paraID>74B2089F</paraID>
      <start>54</start>
      <end>55</end>
      <status>unmodified</status>
      <modifiedWord/>
      <trackRevisions>false</trackRevisions>
    </reviewItem>
    <reviewItem>
      <errorID>e6f7f6d6-2586-4854-a57d-90ff364adcaa</errorID>
      <errorWord>树脂</errorWord>
      <group>L1_Word</group>
      <groupName>字词问题</groupName>
      <ability>L2_Typo</ability>
      <abilityName>字词错误</abilityName>
      <candidateList>
        <item>树酯</item>
      </candidateList>
      <explain/>
      <paraID>3B27F44C</paraID>
      <start>51</start>
      <end>53</end>
      <status>unmodified</status>
      <modifiedWord/>
      <trackRevisions>false</trackRevisions>
    </reviewItem>
    <reviewItem>
      <errorID>ae571e86-1cef-4c7e-8540-92fe126d164b</errorID>
      <errorWord>、</errorWord>
      <group>L1_Punc</group>
      <groupName>标点问题</groupName>
      <ability>L2_Punc</ability>
      <abilityName>标点符号检查</abilityName>
      <candidateList>
        <item>.</item>
      </candidateList>
      <explain/>
      <paraID>2AD82D47</paraID>
      <start>1</start>
      <end>2</end>
      <status>unmodified</status>
      <modifiedWord/>
      <trackRevisions>false</trackRevisions>
    </reviewItem>
    <reviewItem>
      <errorID>c0b21f87-540d-4497-a050-3a6d1157eaa5</errorID>
      <errorWord>投入至</errorWord>
      <group>L1_Word</group>
      <groupName>字词问题</groupName>
      <ability>L2_Typo</ability>
      <abilityName>字词错误</abilityName>
      <candidateList>
        <item>投入</item>
      </candidateList>
      <explain>❶〈动〉投到某种环境里去：～生产｜～新生活｜新机场已经正式～使用。❷〈形〉形容做事情聚精会神，全力以赴：她演戏很～。❸〈动〉指投放资金：少～，多产出。❹〈名〉投放的资金：教育～逐年增加｜这是一笔不小的～。</explain>
      <paraID>3CF6B021</paraID>
      <start>39</start>
      <end>42</end>
      <status>unmodified</status>
      <modifiedWord/>
      <trackRevisions>false</trackRevisions>
    </reviewItem>
    <reviewItem>
      <errorID>fcfbcd8a-b7f5-452e-b13c-8e4e6a80ea2c</errorID>
      <errorWord>产品的</errorWord>
      <group>L1_Word</group>
      <groupName>字词问题</groupName>
      <ability>L2_Typo</ability>
      <abilityName>字词错误</abilityName>
      <candidateList>
        <item>产品</item>
      </candidateList>
      <explain>〈名〉生产出来的物品：农～｜畜～｜～出厂都要经过检验。</explain>
      <paraID>6E0EE181</paraID>
      <start>24</start>
      <end>27</end>
      <status>unmodified</status>
      <modifiedWord/>
      <trackRevisions>false</trackRevisions>
    </reviewItem>
    <reviewItem>
      <errorID>b1014301-c160-4dbc-9601-be87577cebb1</errorID>
      <errorWord>进</errorWord>
      <group>L1_Word</group>
      <groupName>字词问题</groupName>
      <ability>L2_Typo</ability>
      <abilityName>字词错误</abilityName>
      <candidateList>
        <item>进入</item>
      </candidateList>
      <explain>〈动〉支进到某个范围或某个时期里：～学校｜～新阶段◇～角色。</explain>
      <paraID>6E0EE181</paraID>
      <start>91</start>
      <end>92</end>
      <status>unmodified</status>
      <modifiedWord/>
      <trackRevisions>false</trackRevisions>
    </reviewItem>
    <reviewItem>
      <errorID>e635e00b-9c35-4171-9986-9e4aef4477da</errorID>
      <errorWord>进</errorWord>
      <group>L1_Word</group>
      <groupName>字词问题</groupName>
      <ability>L2_Typo</ability>
      <abilityName>字词错误</abilityName>
      <candidateList>
        <item>进入</item>
      </candidateList>
      <explain>〈动〉支进到某个范围或某个时期里：～学校｜～新阶段◇～角色。</explain>
      <paraID>7A253150</paraID>
      <start>34</start>
      <end>35</end>
      <status>unmodified</status>
      <modifiedWord/>
      <trackRevisions>false</trackRevisions>
    </reviewItem>
    <reviewItem>
      <errorID>70c0f8d6-cc0b-4135-b789-1060cc47156e</errorID>
      <errorWord>、</errorWord>
      <group>L1_Punc</group>
      <groupName>标点问题</groupName>
      <ability>L2_Punc</ability>
      <abilityName>标点符号检查</abilityName>
      <candidateList>
        <item>.</item>
      </candidateList>
      <explain/>
      <paraID>7FE1B881</paraID>
      <start>1</start>
      <end>2</end>
      <status>unmodified</status>
      <modifiedWord/>
      <trackRevisions>false</trackRevisions>
    </reviewItem>
    <reviewItem>
      <errorID>cc3ecece-90bd-4b2c-a7e9-b88ea9b2ba36</errorID>
      <errorWord>投入至</errorWord>
      <group>L1_Word</group>
      <groupName>字词问题</groupName>
      <ability>L2_Typo</ability>
      <abilityName>字词错误</abilityName>
      <candidateList>
        <item>投入</item>
      </candidateList>
      <explain>❶〈动〉投到某种环境里去：～生产｜～新生活｜新机场已经正式～使用。❷〈形〉形容做事情聚精会神，全力以赴：她演戏很～。❸〈动〉指投放资金：少～，多产出。❹〈名〉投放的资金：教育～逐年增加｜这是一笔不小的～。</explain>
      <paraID>1170232E</paraID>
      <start>35</start>
      <end>38</end>
      <status>unmodified</status>
      <modifiedWord/>
      <trackRevisions>false</trackRevisions>
    </reviewItem>
    <reviewItem>
      <errorID>ba612011-000a-4459-850b-7fed044b3c4f</errorID>
      <errorWord>投入至</errorWord>
      <group>L1_Word</group>
      <groupName>字词问题</groupName>
      <ability>L2_Typo</ability>
      <abilityName>字词错误</abilityName>
      <candidateList>
        <item>投入</item>
      </candidateList>
      <explain>❶〈动〉投到某种环境里去：～生产｜～新生活｜新机场已经正式～使用。❷〈形〉形容做事情聚精会神，全力以赴：她演戏很～。❸〈动〉指投放资金：少～，多产出。❹〈名〉投放的资金：教育～逐年增加｜这是一笔不小的～。</explain>
      <paraID>7090C286</paraID>
      <start>31</start>
      <end>34</end>
      <status>unmodified</status>
      <modifiedWord/>
      <trackRevisions>false</trackRevisions>
    </reviewItem>
    <reviewItem>
      <errorID>b2317b8b-b9fa-4643-bb0b-50222543d657</errorID>
      <errorWord>进</errorWord>
      <group>L1_Word</group>
      <groupName>字词问题</groupName>
      <ability>L2_Typo</ability>
      <abilityName>字词错误</abilityName>
      <candidateList>
        <item>进行</item>
      </candidateList>
      <explain>〈动〉❶从事（某种活动）：～讨论｜～工作｜～教育和批评｜会议正在～。注意“进行”总是用在持续性的和正式、严肃的行为，短暂性的和日常生活中的行为不用“进行”，例如不说“进行午睡”，“进行叫喊”。❷前进：～曲。</explain>
      <paraID>7C83740E</paraID>
      <start>40</start>
      <end>41</end>
      <status>unmodified</status>
      <modifiedWord/>
      <trackRevisions>false</trackRevisions>
    </reviewItem>
    <reviewItem>
      <errorID>f0c41ca6-4263-4415-8c81-6ceca453c0c3</errorID>
      <errorWord>(</errorWord>
      <group>L1_Format</group>
      <groupName>格式问题</groupName>
      <ability>L2_HalfPunc</ability>
      <abilityName>全半角检查</abilityName>
      <candidateList>
        <item>（</item>
      </candidateList>
      <explain>文本全半角错误。</explain>
      <paraID>427B6C0C</paraID>
      <start>2</start>
      <end>3</end>
      <status>unmodified</status>
      <modifiedWord/>
      <trackRevisions>false</trackRevisions>
    </reviewItem>
    <reviewItem>
      <errorID>19fc0e0f-aabe-4c4c-8346-7a608cd7de77</errorID>
      <errorWord>)</errorWord>
      <group>L1_Format</group>
      <groupName>格式问题</groupName>
      <ability>L2_HalfPunc</ability>
      <abilityName>全半角检查</abilityName>
      <candidateList>
        <item>）</item>
      </candidateList>
      <explain>文本全半角错误。</explain>
      <paraID>427B6C0C</paraID>
      <start>4</start>
      <end>5</end>
      <status>unmodified</status>
      <modifiedWord/>
      <trackRevisions>false</trackRevisions>
    </reviewItem>
    <reviewItem>
      <errorID>f24a2561-1dd3-4e67-b4c6-7d6662380f11</errorID>
      <errorWord>(</errorWord>
      <group>L1_Format</group>
      <groupName>格式问题</groupName>
      <ability>L2_HalfPunc</ability>
      <abilityName>全半角检查</abilityName>
      <candidateList>
        <item>（</item>
      </candidateList>
      <explain>文本全半角错误。</explain>
      <paraID>1BAAA183</paraID>
      <start>2</start>
      <end>3</end>
      <status>unmodified</status>
      <modifiedWord/>
      <trackRevisions>false</trackRevisions>
    </reviewItem>
    <reviewItem>
      <errorID>67e007a4-0dbe-4471-8df5-f90249727740</errorID>
      <errorWord>)</errorWord>
      <group>L1_Format</group>
      <groupName>格式问题</groupName>
      <ability>L2_HalfPunc</ability>
      <abilityName>全半角检查</abilityName>
      <candidateList>
        <item>）</item>
      </candidateList>
      <explain>文本全半角错误。</explain>
      <paraID>1BAAA183</paraID>
      <start>4</start>
      <end>5</end>
      <status>unmodified</status>
      <modifiedWord/>
      <trackRevisions>false</trackRevisions>
    </reviewItem>
    <reviewItem>
      <errorID>2fcf03ab-49d7-4dfb-9008-1cd6f055fe1a</errorID>
      <errorWord>,</errorWord>
      <group>L1_Format</group>
      <groupName>格式问题</groupName>
      <ability>L2_HalfPunc</ability>
      <abilityName>全半角检查</abilityName>
      <candidateList>
        <item>，</item>
      </candidateList>
      <explain>文本全半角错误。</explain>
      <paraID>65C78730</paraID>
      <start>2</start>
      <end>3</end>
      <status>unmodified</status>
      <modifiedWord/>
      <trackRevisions>false</trackRevisions>
    </reviewItem>
    <reviewItem>
      <errorID>1e1f3cab-6413-434e-9d4c-689f306dd301</errorID>
      <errorWord>(</errorWord>
      <group>L1_Format</group>
      <groupName>格式问题</groupName>
      <ability>L2_HalfPunc</ability>
      <abilityName>全半角检查</abilityName>
      <candidateList>
        <item>（</item>
      </candidateList>
      <explain>文本全半角错误。</explain>
      <paraID>22AA7943</paraID>
      <start>3</start>
      <end>4</end>
      <status>unmodified</status>
      <modifiedWord/>
      <trackRevisions>false</trackRevisions>
    </reviewItem>
    <reviewItem>
      <errorID>a5df2c39-de10-4ab8-8cfa-332995b47e4b</errorID>
      <errorWord>)</errorWord>
      <group>L1_Format</group>
      <groupName>格式问题</groupName>
      <ability>L2_HalfPunc</ability>
      <abilityName>全半角检查</abilityName>
      <candidateList>
        <item>）</item>
      </candidateList>
      <explain>文本全半角错误。</explain>
      <paraID>22AA7943</paraID>
      <start>7</start>
      <end>8</end>
      <status>unmodified</status>
      <modifiedWord/>
      <trackRevisions>false</trackRevisions>
    </reviewItem>
    <reviewItem>
      <errorID>00c6fcdc-c060-435d-8b54-c8e45a5ae189</errorID>
      <errorWord>(</errorWord>
      <group>L1_Format</group>
      <groupName>格式问题</groupName>
      <ability>L2_HalfPunc</ability>
      <abilityName>全半角检查</abilityName>
      <candidateList>
        <item>（</item>
      </candidateList>
      <explain>文本全半角错误。</explain>
      <paraID>279837B7</paraID>
      <start>4</start>
      <end>5</end>
      <status>unmodified</status>
      <modifiedWord/>
      <trackRevisions>false</trackRevisions>
    </reviewItem>
    <reviewItem>
      <errorID>cf1ab080-caf3-4696-9b21-8d6d14a98ff6</errorID>
      <errorWord>)</errorWord>
      <group>L1_Format</group>
      <groupName>格式问题</groupName>
      <ability>L2_HalfPunc</ability>
      <abilityName>全半角检查</abilityName>
      <candidateList>
        <item>）</item>
      </candidateList>
      <explain>文本全半角错误。</explain>
      <paraID>279837B7</paraID>
      <start>7</start>
      <end>8</end>
      <status>unmodified</status>
      <modifiedWord/>
      <trackRevisions>false</trackRevisions>
    </reviewItem>
    <reviewItem>
      <errorID>d7595ba6-ebbf-41fb-809e-ae33a406419f</errorID>
      <errorWord>(</errorWord>
      <group>L1_Format</group>
      <groupName>格式问题</groupName>
      <ability>L2_HalfPunc</ability>
      <abilityName>全半角检查</abilityName>
      <candidateList>
        <item>（</item>
      </candidateList>
      <explain>文本全半角错误。</explain>
      <paraID>77D795B0</paraID>
      <start>3</start>
      <end>4</end>
      <status>unmodified</status>
      <modifiedWord/>
      <trackRevisions>false</trackRevisions>
    </reviewItem>
    <reviewItem>
      <errorID>401f720c-002f-4ccf-a0ba-ea414473ed1b</errorID>
      <errorWord>)</errorWord>
      <group>L1_Format</group>
      <groupName>格式问题</groupName>
      <ability>L2_HalfPunc</ability>
      <abilityName>全半角检查</abilityName>
      <candidateList>
        <item>）</item>
      </candidateList>
      <explain>文本全半角错误。</explain>
      <paraID>77D795B0</paraID>
      <start>5</start>
      <end>6</end>
      <status>unmodified</status>
      <modifiedWord/>
      <trackRevisions>false</trackRevisions>
    </reviewItem>
    <reviewItem>
      <errorID>d494223c-5603-4586-aae9-455481153878</errorID>
      <errorWord>(</errorWord>
      <group>L1_Format</group>
      <groupName>格式问题</groupName>
      <ability>L2_HalfPunc</ability>
      <abilityName>全半角检查</abilityName>
      <candidateList>
        <item>（</item>
      </candidateList>
      <explain>文本全半角错误。</explain>
      <paraID>3DA6A2A9</paraID>
      <start>4</start>
      <end>5</end>
      <status>unmodified</status>
      <modifiedWord/>
      <trackRevisions>false</trackRevisions>
    </reviewItem>
    <reviewItem>
      <errorID>f4408cc4-05a6-4792-a849-26e24748bcd0</errorID>
      <errorWord>)</errorWord>
      <group>L1_Format</group>
      <groupName>格式问题</groupName>
      <ability>L2_HalfPunc</ability>
      <abilityName>全半角检查</abilityName>
      <candidateList>
        <item>）</item>
      </candidateList>
      <explain>文本全半角错误。</explain>
      <paraID>3DA6A2A9</paraID>
      <start>8</start>
      <end>9</end>
      <status>unmodified</status>
      <modifiedWord/>
      <trackRevisions>false</trackRevisions>
    </reviewItem>
    <reviewItem>
      <errorID>5efd653b-c05c-45fd-b3f1-cba24d9840b1</errorID>
      <errorWord>,</errorWord>
      <group>L1_Format</group>
      <groupName>格式问题</groupName>
      <ability>L2_HalfPunc</ability>
      <abilityName>全半角检查</abilityName>
      <candidateList>
        <item>，</item>
      </candidateList>
      <explain>文本全半角错误。</explain>
      <paraID>7325B7C6</paraID>
      <start>4</start>
      <end>5</end>
      <status>unmodified</status>
      <modifiedWord/>
      <trackRevisions>false</trackRevisions>
    </reviewItem>
    <reviewItem>
      <errorID>8c8af3e3-a44d-4240-b701-f7c055c47c1d</errorID>
      <errorWord>,</errorWord>
      <group>L1_Format</group>
      <groupName>格式问题</groupName>
      <ability>L2_HalfPunc</ability>
      <abilityName>全半角检查</abilityName>
      <candidateList>
        <item>，</item>
      </candidateList>
      <explain>文本全半角错误。</explain>
      <paraID>5CB8E471</paraID>
      <start>6</start>
      <end>7</end>
      <status>unmodified</status>
      <modifiedWord/>
      <trackRevisions>false</trackRevisions>
    </reviewItem>
    <reviewItem>
      <errorID>e868add8-f78b-4cc5-9559-172883a2dcac</errorID>
      <errorWord>(</errorWord>
      <group>L1_Format</group>
      <groupName>格式问题</groupName>
      <ability>L2_HalfPunc</ability>
      <abilityName>全半角检查</abilityName>
      <candidateList>
        <item>（</item>
      </candidateList>
      <explain>文本全半角错误。</explain>
      <paraID>7C72B32B</paraID>
      <start>6</start>
      <end>7</end>
      <status>unmodified</status>
      <modifiedWord/>
      <trackRevisions>false</trackRevisions>
    </reviewItem>
    <reviewItem>
      <errorID>b4ddc7d7-a53a-4b6f-9584-373773d1d12f</errorID>
      <errorWord>)</errorWord>
      <group>L1_Format</group>
      <groupName>格式问题</groupName>
      <ability>L2_HalfPunc</ability>
      <abilityName>全半角检查</abilityName>
      <candidateList>
        <item>）</item>
      </candidateList>
      <explain>文本全半角错误。</explain>
      <paraID>7C72B32B</paraID>
      <start>10</start>
      <end>11</end>
      <status>unmodified</status>
      <modifiedWord/>
      <trackRevisions>false</trackRevisions>
    </reviewItem>
    <reviewItem>
      <errorID>8e90c54e-097a-4c11-9b96-59fa03800db1</errorID>
      <errorWord>(</errorWord>
      <group>L1_Format</group>
      <groupName>格式问题</groupName>
      <ability>L2_HalfPunc</ability>
      <abilityName>全半角检查</abilityName>
      <candidateList>
        <item>（</item>
      </candidateList>
      <explain>文本全半角错误。</explain>
      <paraID>2B5D2FAA</paraID>
      <start>7</start>
      <end>8</end>
      <status>unmodified</status>
      <modifiedWord/>
      <trackRevisions>false</trackRevisions>
    </reviewItem>
    <reviewItem>
      <errorID>b7ddadbb-07c6-4aba-a1cb-651fbba48c92</errorID>
      <errorWord>)</errorWord>
      <group>L1_Format</group>
      <groupName>格式问题</groupName>
      <ability>L2_HalfPunc</ability>
      <abilityName>全半角检查</abilityName>
      <candidateList>
        <item>）</item>
      </candidateList>
      <explain>文本全半角错误。</explain>
      <paraID>2B5D2FAA</paraID>
      <start>11</start>
      <end>12</end>
      <status>unmodified</status>
      <modifiedWord/>
      <trackRevisions>false</trackRevisions>
    </reviewItem>
    <reviewItem>
      <errorID>fa870287-d0b7-4278-8b03-4dbfbd93f253</errorID>
      <errorWord>废气</errorWord>
      <group>L1_Word</group>
      <groupName>字词问题</groupName>
      <ability>L2_Typo</ability>
      <abilityName>字词错误</abilityName>
      <candidateList>
        <item>废弃</item>
      </candidateList>
      <explain/>
      <paraID>64D6BAA8</paraID>
      <start>39</start>
      <end>41</end>
      <status>unmodified</status>
      <modifiedWord/>
      <trackRevisions>false</trackRevisions>
    </reviewItem>
    <reviewItem>
      <errorID>65f08315-2bd1-4577-96a3-ee2cc46484f2</errorID>
      <errorWord>”</errorWord>
      <group>L1_Punc</group>
      <groupName>标点问题</groupName>
      <ability>L2_Punc</ability>
      <abilityName>标点符号检查</abilityName>
      <candidateList/>
      <explain/>
      <paraID> E179B27</paraID>
      <start>22</start>
      <end>23</end>
      <status>unmodified</status>
      <modifiedWord/>
      <trackRevisions>false</trackRevisions>
    </reviewItem>
    <reviewItem>
      <errorID>2579b948-f23c-45e9-9578-6463ccb0023d</errorID>
      <errorWord>(</errorWord>
      <group>L1_Format</group>
      <groupName>格式问题</groupName>
      <ability>L2_HalfPunc</ability>
      <abilityName>全半角检查</abilityName>
      <candidateList>
        <item>（</item>
      </candidateList>
      <explain>文本全半角错误。</explain>
      <paraID>57D17734</paraID>
      <start>6</start>
      <end>7</end>
      <status>unmodified</status>
      <modifiedWord/>
      <trackRevisions>false</trackRevisions>
    </reviewItem>
    <reviewItem>
      <errorID>2612824a-38eb-4112-8629-a9b1fada24fd</errorID>
      <errorWord>)</errorWord>
      <group>L1_Format</group>
      <groupName>格式问题</groupName>
      <ability>L2_HalfPunc</ability>
      <abilityName>全半角检查</abilityName>
      <candidateList>
        <item>）</item>
      </candidateList>
      <explain>文本全半角错误。</explain>
      <paraID>57D17734</paraID>
      <start>8</start>
      <end>9</end>
      <status>unmodified</status>
      <modifiedWord/>
      <trackRevisions>false</trackRevisions>
    </reviewItem>
    <reviewItem>
      <errorID>3b053d63-e741-4bac-a862-19a53b9946b3</errorID>
      <errorWord>(</errorWord>
      <group>L1_Format</group>
      <groupName>格式问题</groupName>
      <ability>L2_HalfPunc</ability>
      <abilityName>全半角检查</abilityName>
      <candidateList>
        <item>（</item>
      </candidateList>
      <explain>文本全半角错误。</explain>
      <paraID>  56A22B</paraID>
      <start>6</start>
      <end>7</end>
      <status>unmodified</status>
      <modifiedWord/>
      <trackRevisions>false</trackRevisions>
    </reviewItem>
    <reviewItem>
      <errorID>c3307be0-aefb-4674-8728-0dc47cd1d1a6</errorID>
      <errorWord>)</errorWord>
      <group>L1_Format</group>
      <groupName>格式问题</groupName>
      <ability>L2_HalfPunc</ability>
      <abilityName>全半角检查</abilityName>
      <candidateList>
        <item>）</item>
      </candidateList>
      <explain>文本全半角错误。</explain>
      <paraID>  56A22B</paraID>
      <start>8</start>
      <end>9</end>
      <status>unmodified</status>
      <modifiedWord/>
      <trackRevisions>false</trackRevisions>
    </reviewItem>
    <reviewItem>
      <errorID>8c8bfa03-8743-44cc-b7b5-41dfc8b831a8</errorID>
      <errorWord>”</errorWord>
      <group>L1_Punc</group>
      <groupName>标点问题</groupName>
      <ability>L2_Punc</ability>
      <abilityName>标点符号检查</abilityName>
      <candidateList/>
      <explain/>
      <paraID>15393AC6</paraID>
      <start>28</start>
      <end>29</end>
      <status>unmodified</status>
      <modifiedWord/>
      <trackRevisions>false</trackRevisions>
    </reviewItem>
    <reviewItem>
      <errorID>3f7ca432-b766-42df-b936-40a0b64532f5</errorID>
      <errorWord>”</errorWord>
      <group>L1_Punc</group>
      <groupName>标点问题</groupName>
      <ability>L2_Punc</ability>
      <abilityName>标点符号检查</abilityName>
      <candidateList/>
      <explain/>
      <paraID>71478E29</paraID>
      <start>22</start>
      <end>23</end>
      <status>unmodified</status>
      <modifiedWord/>
      <trackRevisions>false</trackRevisions>
    </reviewItem>
    <reviewItem>
      <errorID>30f618c9-a798-47c6-a5cf-f29cdbe5e221</errorID>
      <errorWord>(</errorWord>
      <group>L1_Format</group>
      <groupName>格式问题</groupName>
      <ability>L2_HalfPunc</ability>
      <abilityName>全半角检查</abilityName>
      <candidateList>
        <item>（</item>
      </candidateList>
      <explain>文本全半角错误。</explain>
      <paraID>41A9B240</paraID>
      <start>4</start>
      <end>5</end>
      <status>unmodified</status>
      <modifiedWord/>
      <trackRevisions>false</trackRevisions>
    </reviewItem>
    <reviewItem>
      <errorID>ad649c88-29cc-4002-837f-1807cccff43b</errorID>
      <errorWord>)</errorWord>
      <group>L1_Format</group>
      <groupName>格式问题</groupName>
      <ability>L2_HalfPunc</ability>
      <abilityName>全半角检查</abilityName>
      <candidateList>
        <item>）</item>
      </candidateList>
      <explain>文本全半角错误。</explain>
      <paraID>41A9B240</paraID>
      <start>8</start>
      <end>9</end>
      <status>unmodified</status>
      <modifiedWord/>
      <trackRevisions>false</trackRevisions>
    </reviewItem>
    <reviewItem>
      <errorID>9abba82f-b9c8-4a16-8a77-1df2bae72640</errorID>
      <errorWord>(</errorWord>
      <group>L1_Format</group>
      <groupName>格式问题</groupName>
      <ability>L2_HalfPunc</ability>
      <abilityName>全半角检查</abilityName>
      <candidateList>
        <item>（</item>
      </candidateList>
      <explain>文本全半角错误。</explain>
      <paraID>451AFD6D</paraID>
      <start>3</start>
      <end>4</end>
      <status>unmodified</status>
      <modifiedWord/>
      <trackRevisions>false</trackRevisions>
    </reviewItem>
    <reviewItem>
      <errorID>a98a86d8-ec65-4def-a08e-304ccec58571</errorID>
      <errorWord>)</errorWord>
      <group>L1_Format</group>
      <groupName>格式问题</groupName>
      <ability>L2_HalfPunc</ability>
      <abilityName>全半角检查</abilityName>
      <candidateList>
        <item>）</item>
      </candidateList>
      <explain>文本全半角错误。</explain>
      <paraID>451AFD6D</paraID>
      <start>7</start>
      <end>8</end>
      <status>unmodified</status>
      <modifiedWord/>
      <trackRevisions>false</trackRevisions>
    </reviewItem>
    <reviewItem>
      <errorID>c59953d8-3e0b-495e-b7d0-beb273d2fc3f</errorID>
      <errorWord>粉尘由</errorWord>
      <group>L1_Word</group>
      <groupName>字词问题</groupName>
      <ability>L2_Typo</ability>
      <abilityName>字词错误</abilityName>
      <candidateList>
        <item>粉尘</item>
      </candidateList>
      <explain/>
      <paraID>6A80EE79</paraID>
      <start>34</start>
      <end>37</end>
      <status>unmodified</status>
      <modifiedWord/>
      <trackRevisions>false</trackRevisions>
    </reviewItem>
    <reviewItem>
      <errorID>95db3027-85c2-478f-b51e-7d981af8af2d</errorID>
      <errorWord>粉尘由</errorWord>
      <group>L1_Word</group>
      <groupName>字词问题</groupName>
      <ability>L2_Typo</ability>
      <abilityName>字词错误</abilityName>
      <candidateList>
        <item>粉尘</item>
      </candidateList>
      <explain/>
      <paraID>6A80EE79</paraID>
      <start>148</start>
      <end>151</end>
      <status>unmodified</status>
      <modifiedWord/>
      <trackRevisions>false</trackRevisions>
    </reviewItem>
    <reviewItem>
      <errorID>2b0c55f8-1248-4b4f-a21d-d34d16b36159</errorID>
      <errorWord>三本帐</errorWord>
      <group>L1_Word</group>
      <groupName>字词问题</groupName>
      <ability>L2_Alias</ability>
      <abilityName>也作/曾用词</abilityName>
      <candidateList>
        <item>三本账</item>
      </candidateList>
      <explain>词汇[三本帐]为不规范表述或旧称，其规范书面表述为[三本账]。</explain>
      <paraID>16716FEE</paraID>
      <start>19</start>
      <end>22</end>
      <status>unmodified</status>
      <modifiedWord/>
      <trackRevisions>false</trackRevisions>
    </reviewItem>
    <reviewItem>
      <errorID>7e3e64f0-de59-43bc-a266-af7f1222fcbd</errorID>
      <errorWord>(</errorWord>
      <group>L1_Format</group>
      <groupName>格式问题</groupName>
      <ability>L2_HalfPunc</ability>
      <abilityName>全半角检查</abilityName>
      <candidateList>
        <item>（</item>
      </candidateList>
      <explain>文本全半角错误。</explain>
      <paraID>18884665</paraID>
      <start>3</start>
      <end>4</end>
      <status>unmodified</status>
      <modifiedWord/>
      <trackRevisions>false</trackRevisions>
    </reviewItem>
    <reviewItem>
      <errorID>5935c17c-0a39-4c51-9e83-12450d80b595</errorID>
      <errorWord>)</errorWord>
      <group>L1_Format</group>
      <groupName>格式问题</groupName>
      <ability>L2_HalfPunc</ability>
      <abilityName>全半角检查</abilityName>
      <candidateList>
        <item>）</item>
      </candidateList>
      <explain>文本全半角错误。</explain>
      <paraID>18884665</paraID>
      <start>7</start>
      <end>8</end>
      <status>unmodified</status>
      <modifiedWord/>
      <trackRevisions>false</trackRevisions>
    </reviewItem>
    <reviewItem>
      <errorID>536482e5-ac45-4922-b236-5fc474fb3ac1</errorID>
      <errorWord>(</errorWord>
      <group>L1_Format</group>
      <groupName>格式问题</groupName>
      <ability>L2_HalfPunc</ability>
      <abilityName>全半角检查</abilityName>
      <candidateList>
        <item>（</item>
      </candidateList>
      <explain>文本全半角错误。</explain>
      <paraID>3F01496A</paraID>
      <start>3</start>
      <end>4</end>
      <status>unmodified</status>
      <modifiedWord/>
      <trackRevisions>false</trackRevisions>
    </reviewItem>
    <reviewItem>
      <errorID>bf00c760-4df9-4026-b570-a2c5f0156ec1</errorID>
      <errorWord>)</errorWord>
      <group>L1_Format</group>
      <groupName>格式问题</groupName>
      <ability>L2_HalfPunc</ability>
      <abilityName>全半角检查</abilityName>
      <candidateList>
        <item>）</item>
      </candidateList>
      <explain>文本全半角错误。</explain>
      <paraID>3F01496A</paraID>
      <start>7</start>
      <end>8</end>
      <status>unmodified</status>
      <modifiedWord/>
      <trackRevisions>false</trackRevisions>
    </reviewItem>
    <reviewItem>
      <errorID>16891584-5ba8-44bf-b199-91757a51ad0c</errorID>
      <errorWord>(</errorWord>
      <group>L1_Format</group>
      <groupName>格式问题</groupName>
      <ability>L2_HalfPunc</ability>
      <abilityName>全半角检查</abilityName>
      <candidateList>
        <item>（</item>
      </candidateList>
      <explain>文本全半角错误。</explain>
      <paraID>2F6A2E3E</paraID>
      <start>3</start>
      <end>4</end>
      <status>unmodified</status>
      <modifiedWord/>
      <trackRevisions>false</trackRevisions>
    </reviewItem>
    <reviewItem>
      <errorID>a574d06f-6718-4cd7-ab19-193e0fbabdc1</errorID>
      <errorWord>)</errorWord>
      <group>L1_Format</group>
      <groupName>格式问题</groupName>
      <ability>L2_HalfPunc</ability>
      <abilityName>全半角检查</abilityName>
      <candidateList>
        <item>）</item>
      </candidateList>
      <explain>文本全半角错误。</explain>
      <paraID>2F6A2E3E</paraID>
      <start>7</start>
      <end>8</end>
      <status>unmodified</status>
      <modifiedWord/>
      <trackRevisions>false</trackRevisions>
    </reviewItem>
    <reviewItem>
      <errorID>7b2749a2-2885-4922-b36f-d5def118f9e3</errorID>
      <errorWord>(</errorWord>
      <group>L1_Format</group>
      <groupName>格式问题</groupName>
      <ability>L2_HalfPunc</ability>
      <abilityName>全半角检查</abilityName>
      <candidateList>
        <item>（</item>
      </candidateList>
      <explain>文本全半角错误。</explain>
      <paraID>64138E2E</paraID>
      <start>4</start>
      <end>5</end>
      <status>unmodified</status>
      <modifiedWord/>
      <trackRevisions>false</trackRevisions>
    </reviewItem>
    <reviewItem>
      <errorID>67e20b63-047d-49f7-88aa-b5eda802877f</errorID>
      <errorWord>)</errorWord>
      <group>L1_Format</group>
      <groupName>格式问题</groupName>
      <ability>L2_HalfPunc</ability>
      <abilityName>全半角检查</abilityName>
      <candidateList>
        <item>）</item>
      </candidateList>
      <explain>文本全半角错误。</explain>
      <paraID>64138E2E</paraID>
      <start>8</start>
      <end>9</end>
      <status>unmodified</status>
      <modifiedWord/>
      <trackRevisions>false</trackRevisions>
    </reviewItem>
    <reviewItem>
      <errorID>1d183add-ca54-4eee-ad24-da635d71a6ba</errorID>
      <errorWord>废水和</errorWord>
      <group>L1_Word</group>
      <groupName>字词问题</groupName>
      <ability>L2_Typo</ability>
      <abilityName>字词错误</abilityName>
      <candidateList>
        <item>废水</item>
      </candidateList>
      <explain/>
      <paraID>7D52B93A</paraID>
      <start>32</start>
      <end>35</end>
      <status>unmodified</status>
      <modifiedWord/>
      <trackRevisions>false</trackRevisions>
    </reviewItem>
    <reviewItem>
      <errorID>1a6a7377-ce30-4e74-af9b-935b797687d9</errorID>
      <errorWord>,</errorWord>
      <group>L1_Format</group>
      <groupName>格式问题</groupName>
      <ability>L2_HalfPunc</ability>
      <abilityName>全半角检查</abilityName>
      <candidateList>
        <item>，</item>
      </candidateList>
      <explain>文本全半角错误。</explain>
      <paraID>35F2BF7D</paraID>
      <start>122</start>
      <end>123</end>
      <status>unmodified</status>
      <modifiedWord/>
      <trackRevisions>false</trackRevisions>
    </reviewItem>
    <reviewItem>
      <errorID>298516fa-eec7-4c0f-baa0-b4a65af680aa</errorID>
      <errorWord>,</errorWord>
      <group>L1_Format</group>
      <groupName>格式问题</groupName>
      <ability>L2_HalfPunc</ability>
      <abilityName>全半角检查</abilityName>
      <candidateList>
        <item>，</item>
      </candidateList>
      <explain>文本全半角错误。</explain>
      <paraID>35F2BF7D</paraID>
      <start>151</start>
      <end>152</end>
      <status>unmodified</status>
      <modifiedWord/>
      <trackRevisions>false</trackRevisions>
    </reviewItem>
    <reviewItem>
      <errorID>96a0d4c8-ac32-44ad-bfda-e6dca472ec2b</errorID>
      <errorWord>,</errorWord>
      <group>L1_Format</group>
      <groupName>格式问题</groupName>
      <ability>L2_HalfPunc</ability>
      <abilityName>全半角检查</abilityName>
      <candidateList>
        <item>，</item>
      </candidateList>
      <explain>文本全半角错误。</explain>
      <paraID>35F2BF7D</paraID>
      <start>172</start>
      <end>173</end>
      <status>unmodified</status>
      <modifiedWord/>
      <trackRevisions>false</trackRevisions>
    </reviewItem>
    <reviewItem>
      <errorID>c7a07f43-d648-4a91-90c0-d788e8a9f9b4</errorID>
      <errorWord>,</errorWord>
      <group>L1_Format</group>
      <groupName>格式问题</groupName>
      <ability>L2_HalfPunc</ability>
      <abilityName>全半角检查</abilityName>
      <candidateList>
        <item>，</item>
      </candidateList>
      <explain>文本全半角错误。</explain>
      <paraID>35F2BF7D</paraID>
      <start>186</start>
      <end>187</end>
      <status>unmodified</status>
      <modifiedWord/>
      <trackRevisions>false</trackRevisions>
    </reviewItem>
    <reviewItem>
      <errorID>dc34ac2b-6ddb-4dc3-955e-0a1ee2764163</errorID>
      <errorWord>,</errorWord>
      <group>L1_Format</group>
      <groupName>格式问题</groupName>
      <ability>L2_HalfPunc</ability>
      <abilityName>全半角检查</abilityName>
      <candidateList>
        <item>，</item>
      </candidateList>
      <explain>文本全半角错误。</explain>
      <paraID>35F2BF7D</paraID>
      <start>217</start>
      <end>218</end>
      <status>unmodified</status>
      <modifiedWord/>
      <trackRevisions>false</trackRevisions>
    </reviewItem>
    <reviewItem>
      <errorID>3ffcf808-92c4-4c22-899c-133fb3f6a52d</errorID>
      <errorWord>,</errorWord>
      <group>L1_Format</group>
      <groupName>格式问题</groupName>
      <ability>L2_HalfPunc</ability>
      <abilityName>全半角检查</abilityName>
      <candidateList>
        <item>，</item>
      </candidateList>
      <explain>文本全半角错误。</explain>
      <paraID>35F2BF7D</paraID>
      <start>227</start>
      <end>228</end>
      <status>unmodified</status>
      <modifiedWord/>
      <trackRevisions>false</trackRevisions>
    </reviewItem>
    <reviewItem>
      <errorID>61ab6cd4-b0e2-4614-bc02-587da8f694c1</errorID>
      <errorWord>,</errorWord>
      <group>L1_Format</group>
      <groupName>格式问题</groupName>
      <ability>L2_HalfPunc</ability>
      <abilityName>全半角检查</abilityName>
      <candidateList>
        <item>，</item>
      </candidateList>
      <explain>文本全半角错误。</explain>
      <paraID>35F2BF7D</paraID>
      <start>264</start>
      <end>265</end>
      <status>unmodified</status>
      <modifiedWord/>
      <trackRevisions>false</trackRevisions>
    </reviewItem>
    <reviewItem>
      <errorID>60413ab6-5b64-4fb8-acc9-88f64852d365</errorID>
      <errorWord>,</errorWord>
      <group>L1_Format</group>
      <groupName>格式问题</groupName>
      <ability>L2_HalfPunc</ability>
      <abilityName>全半角检查</abilityName>
      <candidateList>
        <item>，</item>
      </candidateList>
      <explain>文本全半角错误。</explain>
      <paraID>35F2BF7D</paraID>
      <start>273</start>
      <end>274</end>
      <status>unmodified</status>
      <modifiedWord/>
      <trackRevisions>false</trackRevisions>
    </reviewItem>
    <reviewItem>
      <errorID>4e058246-d9d3-4e3e-9d86-55165cfafe1b</errorID>
      <errorWord>,</errorWord>
      <group>L1_Format</group>
      <groupName>格式问题</groupName>
      <ability>L2_HalfPunc</ability>
      <abilityName>全半角检查</abilityName>
      <candidateList>
        <item>，</item>
      </candidateList>
      <explain>文本全半角错误。</explain>
      <paraID>35F2BF7D</paraID>
      <start>299</start>
      <end>300</end>
      <status>unmodified</status>
      <modifiedWord/>
      <trackRevisions>false</trackRevisions>
    </reviewItem>
    <reviewItem>
      <errorID>3339a803-cf7d-46f5-97c3-2a4872432b3d</errorID>
      <errorWord>,</errorWord>
      <group>L1_Format</group>
      <groupName>格式问题</groupName>
      <ability>L2_HalfPunc</ability>
      <abilityName>全半角检查</abilityName>
      <candidateList>
        <item>，</item>
      </candidateList>
      <explain>文本全半角错误。</explain>
      <paraID>35F2BF7D</paraID>
      <start>312</start>
      <end>313</end>
      <status>unmodified</status>
      <modifiedWord/>
      <trackRevisions>false</trackRevisions>
    </reviewItem>
    <reviewItem>
      <errorID>b48fbe41-d473-4e7a-bba1-1eb57c2ce2d0</errorID>
      <errorWord>使</errorWord>
      <group>L1_Word</group>
      <groupName>字词问题</groupName>
      <ability>L2_Typo</ability>
      <abilityName>字词错误</abilityName>
      <candidateList>
        <item>是</item>
      </candidateList>
      <explain>存在发音相同字词的误用。</explain>
      <paraID>3CA8FEB2</paraID>
      <start>29</start>
      <end>30</end>
      <status>unmodified</status>
      <modifiedWord/>
      <trackRevisions>false</trackRevisions>
    </reviewItem>
    <reviewItem>
      <errorID>6ac033d4-986a-4009-a9f9-8c8b7709bc9e</errorID>
      <errorWord>除掉</errorWord>
      <group>L1_Word</group>
      <groupName>字词问题</groupName>
      <ability>L2_Typo</ability>
      <abilityName>字词错误</abilityName>
      <candidateList>
        <item>除</item>
      </candidateList>
      <explain/>
      <paraID>3A3FB5CD</paraID>
      <start>119</start>
      <end>121</end>
      <status>unmodified</status>
      <modifiedWord/>
      <trackRevisions>false</trackRevisions>
    </reviewItem>
    <reviewItem>
      <errorID>5cf74e83-939b-4cb2-93b1-66c1ff1d8dea</errorID>
      <errorWord>废气污染治理</errorWord>
      <group>L1_Knowledge</group>
      <groupName>知识性问题</groupName>
      <ability>L2_Term</ability>
      <abilityName>专业术语</abilityName>
      <candidateList>
        <item>大气污染治理</item>
      </candidateList>
      <explain/>
      <paraID>4D655DAE</paraID>
      <start>9</start>
      <end>15</end>
      <status>unmodified</status>
      <modifiedWord/>
      <trackRevisions>false</trackRevisions>
    </reviewItem>
    <reviewItem>
      <errorID>00900b56-a828-4f5a-b96a-2114c4c0bf56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44C7BAFF</paraID>
      <start>0</start>
      <end>2</end>
      <status>unmodified</status>
      <modifiedWord/>
      <trackRevisions>false</trackRevisions>
    </reviewItem>
    <reviewItem>
      <errorID>19c0f847-2c9c-469a-a500-22a906525d01</errorID>
      <errorWord>粉尘由</errorWord>
      <group>L1_Word</group>
      <groupName>字词问题</groupName>
      <ability>L2_Typo</ability>
      <abilityName>字词错误</abilityName>
      <candidateList>
        <item>粉尘</item>
      </candidateList>
      <explain/>
      <paraID>36B19F3D</paraID>
      <start>53</start>
      <end>56</end>
      <status>unmodified</status>
      <modifiedWord/>
      <trackRevisions>false</trackRevisions>
    </reviewItem>
    <reviewItem>
      <errorID>5cd5690e-4f68-4d83-82e2-33070a4d547c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5358E9B5</paraID>
      <start>0</start>
      <end>2</end>
      <status>unmodified</status>
      <modifiedWord/>
      <trackRevisions>false</trackRevisions>
    </reviewItem>
    <reviewItem>
      <errorID>5235a9cd-5844-46e7-b062-6b6321250a94</errorID>
      <errorWord>防治</errorWord>
      <group>L1_Word</group>
      <groupName>字词问题</groupName>
      <ability>L2_Typo</ability>
      <abilityName>字词错误</abilityName>
      <candidateList>
        <item>防止</item>
      </candidateList>
      <explain>〈动〉预先设法制止（坏事发生）：～煤气中毒｜～交通事故。</explain>
      <paraID>2D5F71DD</paraID>
      <start>17</start>
      <end>19</end>
      <status>unmodified</status>
      <modifiedWord/>
      <trackRevisions>false</trackRevisions>
    </reviewItem>
    <reviewItem>
      <errorID>41e560d6-e236-4a19-b7dc-bdf2dd9a49a8</errorID>
      <errorWord>,</errorWord>
      <group>L1_Format</group>
      <groupName>格式问题</groupName>
      <ability>L2_HalfPunc</ability>
      <abilityName>全半角检查</abilityName>
      <candidateList>
        <item>，</item>
      </candidateList>
      <explain>文本全半角错误。</explain>
      <paraID>2773FD84</paraID>
      <start>137</start>
      <end>138</end>
      <status>unmodified</status>
      <modifiedWord/>
      <trackRevisions>false</trackRevisions>
    </reviewItem>
    <reviewItem>
      <errorID>c5c3d411-0401-4a54-b873-82af97a8ea6b</errorID>
      <errorWord>)</errorWord>
      <group>L1_Format</group>
      <groupName>格式问题</groupName>
      <ability>L2_HalfPunc</ability>
      <abilityName>全半角检查</abilityName>
      <candidateList>
        <item>）</item>
      </candidateList>
      <explain>文本全半角错误。</explain>
      <paraID>2773FD84</paraID>
      <start>158</start>
      <end>159</end>
      <status>unmodified</status>
      <modifiedWord/>
      <trackRevisions>false</trackRevisions>
    </reviewItem>
    <reviewItem>
      <errorID>db0eece8-9bde-48b2-8bd8-24b894148b8c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37D321CA</paraID>
      <start>0</start>
      <end>2</end>
      <status>unmodified</status>
      <modifiedWord/>
      <trackRevisions>false</trackRevisions>
    </reviewItem>
    <reviewItem>
      <errorID>93db4b8f-dbe1-4e15-806c-12badc45e1c2</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39C419C0</paraID>
      <start>0</start>
      <end>2</end>
      <status>unmodified</status>
      <modifiedWord/>
      <trackRevisions>false</trackRevisions>
    </reviewItem>
    <reviewItem>
      <errorID>3047cc50-429c-46d3-ad8b-614f8d13f103</errorID>
      <errorWord>准北市</errorWord>
      <group>L1_Knowledge</group>
      <groupName>知识性问题</groupName>
      <ability>L2_Knowledge</ability>
      <abilityName>其他知识</abilityName>
      <candidateList>
        <item>淮北市</item>
      </candidateList>
      <explain/>
      <paraID>39C419C0</paraID>
      <start>437</start>
      <end>440</end>
      <status>unmodified</status>
      <modifiedWord/>
      <trackRevisions>false</trackRevisions>
    </reviewItem>
    <reviewItem>
      <errorID>f32e3897-7755-4d2d-83ba-30a65084ba74</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331CACA6</paraID>
      <start>0</start>
      <end>2</end>
      <status>unmodified</status>
      <modifiedWord/>
      <trackRevisions>false</trackRevisions>
    </reviewItem>
    <reviewItem>
      <errorID>6346e43b-1457-4886-b5ca-4d28722d808e</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6E18243C</paraID>
      <start>0</start>
      <end>2</end>
      <status>unmodified</status>
      <modifiedWord/>
      <trackRevisions>false</trackRevisions>
    </reviewItem>
    <reviewItem>
      <errorID>299ada78-eadb-402a-8c22-c5a74921a860</errorID>
      <errorWord>采取有效地</errorWord>
      <group>L1_Word</group>
      <groupName>字词问题</groupName>
      <ability>L2_Typo</ability>
      <abilityName>字词错误</abilityName>
      <candidateList>
        <item>采取有效</item>
      </candidateList>
      <explain/>
      <paraID>6E18243C</paraID>
      <start>22</start>
      <end>27</end>
      <status>unmodified</status>
      <modifiedWord/>
      <trackRevisions>false</trackRevisions>
    </reviewItem>
    <reviewItem>
      <errorID>b6debc54-eff1-487e-b99a-4421dd618865</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2F32FA06</paraID>
      <start>0</start>
      <end>2</end>
      <status>unmodified</status>
      <modifiedWord/>
      <trackRevisions>false</trackRevisions>
    </reviewItem>
    <reviewItem>
      <errorID>3d124076-a8c9-4e9a-9b48-829c6a84a7ef</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51AE8521</paraID>
      <start>0</start>
      <end>2</end>
      <status>unmodified</status>
      <modifiedWord/>
      <trackRevisions>false</trackRevisions>
    </reviewItem>
    <reviewItem>
      <errorID>cb81fb36-d209-49d5-a139-4a91416352e1</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2F3631BC</paraID>
      <start>0</start>
      <end>2</end>
      <status>unmodified</status>
      <modifiedWord/>
      <trackRevisions>false</trackRevisions>
    </reviewItem>
    <reviewItem>
      <errorID>59a17f60-e3cd-4d48-a777-6ae9198e9ccb</errorID>
      <errorWord>降低</errorWord>
      <group>L1_Word</group>
      <groupName>字词问题</groupName>
      <ability>L2_Typo</ability>
      <abilityName>字词错误</abilityName>
      <candidateList>
        <item>防止</item>
      </candidateList>
      <explain>“降低～发生”搭配不当，建议修改为“防止～发生”。</explain>
      <paraID>2F3631BC</paraID>
      <start>33</start>
      <end>35</end>
      <status>unmodified</status>
      <modifiedWord/>
      <trackRevisions>false</trackRevisions>
    </reviewItem>
    <reviewItem>
      <errorID>2ad3ae05-8188-4080-84bf-9752bac6339d</errorID>
      <errorWord>几率</errorWord>
      <group>L1_Word</group>
      <groupName>字词问题</groupName>
      <ability>L2_Typo</ability>
      <abilityName>字词错误</abilityName>
      <candidateList>
        <item>概率</item>
      </candidateList>
      <explain/>
      <paraID>2F3631BC</paraID>
      <start>42</start>
      <end>44</end>
      <status>unmodified</status>
      <modifiedWord/>
      <trackRevisions>false</trackRevisions>
    </reviewItem>
    <reviewItem>
      <errorID>ff683780-11b5-4219-9478-6b952cb58a1c</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4D1EBE9B</paraID>
      <start>0</start>
      <end>2</end>
      <status>unmodified</status>
      <modifiedWord/>
      <trackRevisions>false</trackRevisions>
    </reviewItem>
    <reviewItem>
      <errorID>f3a72ed6-f49b-43dd-803a-bad243996594</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2F831AD3</paraID>
      <start>0</start>
      <end>2</end>
      <status>unmodified</status>
      <modifiedWord/>
      <trackRevisions>false</trackRevisions>
    </reviewItem>
    <reviewItem>
      <errorID>739c6503-a58b-4b0c-9c66-4172a1e68a8a</errorID>
      <errorWord>(</errorWord>
      <group>L1_Format</group>
      <groupName>格式问题</groupName>
      <ability>L2_HalfPunc</ability>
      <abilityName>全半角检查</abilityName>
      <candidateList>
        <item>（</item>
      </candidateList>
      <explain>文本全半角错误。</explain>
      <paraID>5C994317</paraID>
      <start>258</start>
      <end>259</end>
      <status>unmodified</status>
      <modifiedWord/>
      <trackRevisions>false</trackRevisions>
    </reviewItem>
    <reviewItem>
      <errorID>9f660c9d-6635-48df-817e-27bd25b5edc6</errorID>
      <errorWord>)</errorWord>
      <group>L1_Format</group>
      <groupName>格式问题</groupName>
      <ability>L2_HalfPunc</ability>
      <abilityName>全半角检查</abilityName>
      <candidateList>
        <item>）</item>
      </candidateList>
      <explain>文本全半角错误。</explain>
      <paraID>5C994317</paraID>
      <start>271</start>
      <end>272</end>
      <status>unmodified</status>
      <modifiedWord/>
      <trackRevisions>false</trackRevisions>
    </reviewItem>
    <reviewItem>
      <errorID>b140bee6-f801-460a-a7ae-035a62fd16be</errorID>
      <errorWord>(</errorWord>
      <group>L1_Format</group>
      <groupName>格式问题</groupName>
      <ability>L2_HalfPunc</ability>
      <abilityName>全半角检查</abilityName>
      <candidateList>
        <item>（</item>
      </candidateList>
      <explain>文本全半角错误。</explain>
      <paraID>5C994317</paraID>
      <start>311</start>
      <end>312</end>
      <status>unmodified</status>
      <modifiedWord/>
      <trackRevisions>false</trackRevisions>
    </reviewItem>
    <reviewItem>
      <errorID>1a94e0dc-5f13-4e3f-b3e2-bab836cfa3fe</errorID>
      <errorWord>)</errorWord>
      <group>L1_Format</group>
      <groupName>格式问题</groupName>
      <ability>L2_HalfPunc</ability>
      <abilityName>全半角检查</abilityName>
      <candidateList>
        <item>）</item>
      </candidateList>
      <explain>文本全半角错误。</explain>
      <paraID>5C994317</paraID>
      <start>325</start>
      <end>326</end>
      <status>unmodified</status>
      <modifiedWord/>
      <trackRevisions>false</trackRevisions>
    </reviewItem>
    <reviewItem>
      <errorID>fcf6baad-2fa8-4fda-887e-3e4b12389b6c</errorID>
      <errorWord>.</errorWord>
      <group>L1_Format</group>
      <groupName>格式问题</groupName>
      <ability>L2_HalfPunc</ability>
      <abilityName>全半角检查</abilityName>
      <candidateList>
        <item>。</item>
      </candidateList>
      <explain>文本全半角错误。</explain>
      <paraID>2829F7B3</paraID>
      <start>28</start>
      <end>29</end>
      <status>unmodified</status>
      <modifiedWord/>
      <trackRevisions>false</trackRevisions>
    </reviewItem>
    <reviewItem>
      <errorID>929e6404-9b60-4e4b-97d7-d83f6ea5c4b7</errorID>
      <errorWord>.</errorWord>
      <group>L1_Format</group>
      <groupName>格式问题</groupName>
      <ability>L2_HalfPunc</ability>
      <abilityName>全半角检查</abilityName>
      <candidateList>
        <item>。</item>
      </candidateList>
      <explain>文本全半角错误。</explain>
      <paraID>2829F7B3</paraID>
      <start>95</start>
      <end>96</end>
      <status>unmodified</status>
      <modifiedWord/>
      <trackRevisions>false</trackRevisions>
    </reviewItem>
    <reviewItem>
      <errorID>a4f8bb59-9939-43dc-90b2-b7c9c5b04556</errorID>
      <errorWord>噪音</errorWord>
      <group>L1_Word</group>
      <groupName>字词问题</groupName>
      <ability>L2_Alias</ability>
      <abilityName>也作/曾用词</abilityName>
      <candidateList>
        <item>噪声</item>
      </candidateList>
      <explain>词汇[噪音]为不规范表述或旧称，其规范书面表述为[噪声]。</explain>
      <paraID>72A8AF61</paraID>
      <start>73</start>
      <end>75</end>
      <status>unmodified</status>
      <modifiedWord/>
      <trackRevisions>false</trackRevisions>
    </reviewItem>
    <reviewItem>
      <errorID>ad3bf692-8daf-4872-b369-bb20d7d3a0f4</errorID>
      <errorWord>）</errorWord>
      <group>L1_Word</group>
      <groupName>字词问题</groupName>
      <ability>L2_Typo</ability>
      <abilityName>字词错误</abilityName>
      <candidateList>
        <item>）第</item>
      </candidateList>
      <explain/>
      <paraID>72A8AF61</paraID>
      <start>143</start>
      <end>144</end>
      <status>unmodified</status>
      <modifiedWord/>
      <trackRevisions>false</trackRevisions>
    </reviewItem>
    <reviewItem>
      <errorID>73e2cedb-4a9d-405d-94e0-189d204754de</errorID>
      <errorWord>地</errorWord>
      <group>L1_Word</group>
      <groupName>字词问题</groupName>
      <ability>L2_DDD</ability>
      <abilityName>的地得用法</abilityName>
      <candidateList>
        <item>的</item>
      </candidateList>
      <explain>“的”常用于连接修饰语与名词性中心语，表示属性、所属或描述。</explain>
      <paraID>62B35E7F</paraID>
      <start>24</start>
      <end>25</end>
      <status>unmodified</status>
      <modifiedWord/>
      <trackRevisions>false</trackRevisions>
    </reviewItem>
    <reviewItem>
      <errorID>a72c1fa1-8b3b-45f6-b77c-a2f5a760bf7c</errorID>
      <errorWord>与水池</errorWord>
      <group>L1_Word</group>
      <groupName>字词问题</groupName>
      <ability>L2_Typo</ability>
      <abilityName>字词错误</abilityName>
      <candidateList>
        <item>蓄水池</item>
      </candidateList>
      <explain/>
      <paraID>4CFC93CD</paraID>
      <start>8</start>
      <end>11</end>
      <status>unmodified</status>
      <modifiedWord/>
      <trackRevisions>false</trackRevisions>
    </reviewItem>
    <reviewItem>
      <errorID>6d42581c-77d5-49b0-ab1f-d26aa5dd4cf4</errorID>
      <errorWord>安徽长淮新材料有限公司安徽长淮新材料有限公司</errorWord>
      <group>L1_Word</group>
      <groupName>字词问题</groupName>
      <ability>L2_Typo</ability>
      <abilityName>字词错误</abilityName>
      <candidateList>
        <item>安徽长淮新材料有限公司</item>
      </candidateList>
      <explain/>
      <paraID>3F8B33DE</paraID>
      <start>37</start>
      <end>59</end>
      <status>unmodified</status>
      <modifiedWord/>
      <trackRevisions>false</trackRevisions>
    </reviewItem>
    <reviewItem>
      <errorID>ac17c735-319a-439f-ad30-10a7af305e4b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6D04CB98</paraID>
      <start>21</start>
      <end>22</end>
      <status>unmodified</status>
      <modifiedWord/>
      <trackRevisions>false</trackRevisions>
    </reviewItem>
    <reviewItem>
      <errorID>8f49256b-c35b-4cd6-96ad-fc15c99e47fb</errorID>
      <errorWord>(</errorWord>
      <group>L1_Format</group>
      <groupName>格式问题</groupName>
      <ability>L2_HalfPunc</ability>
      <abilityName>全半角检查</abilityName>
      <candidateList>
        <item>（</item>
      </candidateList>
      <explain>文本全半角错误。</explain>
      <paraID>51E5365E</paraID>
      <start>2</start>
      <end>3</end>
      <status>unmodified</status>
      <modifiedWord/>
      <trackRevisions>false</trackRevisions>
    </reviewItem>
    <reviewItem>
      <errorID>5e82a5db-26f7-49fd-958c-4905f9c8821a</errorID>
      <errorWord>)</errorWord>
      <group>L1_Format</group>
      <groupName>格式问题</groupName>
      <ability>L2_HalfPunc</ability>
      <abilityName>全半角检查</abilityName>
      <candidateList>
        <item>）</item>
      </candidateList>
      <explain>文本全半角错误。</explain>
      <paraID>51E5365E</paraID>
      <start>7</start>
      <end>8</end>
      <status>unmodified</status>
      <modifiedWord/>
      <trackRevisions>false</trackRevisions>
    </reviewItem>
    <reviewItem>
      <errorID>e2401612-5f56-47ee-8979-7f3039c5e69c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398E350</paraID>
      <start>12</start>
      <end>13</end>
      <status>unmodified</status>
      <modifiedWord/>
      <trackRevisions>false</trackRevisions>
    </reviewItem>
    <reviewItem>
      <errorID>a42497fb-06af-4619-91e4-566fa86662c8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39EDDAC0</paraID>
      <start>42</start>
      <end>43</end>
      <status>unmodified</status>
      <modifiedWord/>
      <trackRevisions>false</trackRevisions>
    </reviewItem>
    <reviewItem>
      <errorID>cfbb070b-86f0-4733-91a3-59f50a62c996</errorID>
      <errorWord>2018年01月16日</errorWord>
      <group>L1_Knowledge</group>
      <groupName>知识性问题</groupName>
      <ability>L2_Time</ability>
      <abilityName>日期时间</abilityName>
      <candidateList>
        <item>2018年1月16日</item>
      </candidateList>
      <explain>根据日常书写习惯，月份一般会省略前导零。</explain>
      <paraID> FD8E8B7</paraID>
      <start>0</start>
      <end>11</end>
      <status>unmodified</status>
      <modifiedWord/>
      <trackRevisions>false</trackRevisions>
    </reviewItem>
    <reviewItem>
      <errorID>68fbd185-0bbd-46c8-883f-b0e6258ab904</errorID>
      <errorWord>2018年01月17日</errorWord>
      <group>L1_Knowledge</group>
      <groupName>知识性问题</groupName>
      <ability>L2_Time</ability>
      <abilityName>日期时间</abilityName>
      <candidateList>
        <item>2018年1月17日</item>
      </candidateList>
      <explain>根据日常书写习惯，月份一般会省略前导零。</explain>
      <paraID> F6464D1</paraID>
      <start>0</start>
      <end>11</end>
      <status>unmodified</status>
      <modifiedWord/>
      <trackRevisions>false</trackRevisions>
    </reviewItem>
    <reviewItem>
      <errorID>aa803fd1-583a-4b98-8210-ed6a3dbe9b49</errorID>
      <errorWord>基本上</errorWord>
      <group>L1_Word</group>
      <groupName>字词问题</groupName>
      <ability>L2_Typo</ability>
      <abilityName>字词错误</abilityName>
      <candidateList>
        <item>基本</item>
      </candidateList>
      <explain>❶〈名〉根本：人民是国家的～。❷〈形〉属性词。根本的：～矛盾｜～原理。❸〈形〉属性词。主要的：～条件｜～群众。❹〈副〉大体上：质量～合格｜大坝工程已经～完成。</explain>
      <paraID>4CC14493</paraID>
      <start>168</start>
      <end>171</end>
      <status>unmodified</status>
      <modifiedWord/>
      <trackRevisions>false</trackRevisions>
    </reviewItem>
    <reviewItem>
      <errorID>2ca4bab1-5c4f-41cf-9a7d-fa5ad2bddc65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2D88760D</paraID>
      <start>0</start>
      <end>2</end>
      <status>unmodified</status>
      <modifiedWord/>
      <trackRevisions>false</trackRevisions>
    </reviewItem>
    <reviewItem>
      <errorID>8aae24b1-3916-4eac-a5b9-a83583e9e8d2</errorID>
      <errorWord>[2018]40号</errorWord>
      <group>L1_Knowledge</group>
      <groupName>知识性问题</groupName>
      <ability>L2_Knowledge</ability>
      <abilityName>其他知识</abilityName>
      <candidateList>
        <item>〔2018〕40号</item>
      </candidateList>
      <explain>发文字号格式错误。</explain>
      <paraID>6725961B</paraID>
      <start>46</start>
      <end>55</end>
      <status>unmodified</status>
      <modifiedWord/>
      <trackRevisions>false</trackRevisions>
    </reviewItem>
    <reviewItem>
      <errorID>7972940f-6396-4415-838d-5f7e8b44a449</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1778890F</paraID>
      <start>0</start>
      <end>2</end>
      <status>unmodified</status>
      <modifiedWord/>
      <trackRevisions>false</trackRevisions>
    </reviewItem>
    <reviewItem>
      <errorID>f3b8929b-6a1d-4139-a7ed-d3ae8774a40c</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4D4F42DC</paraID>
      <start>0</start>
      <end>2</end>
      <status>unmodified</status>
      <modifiedWord/>
      <trackRevisions>false</trackRevisions>
    </reviewItem>
    <reviewItem>
      <errorID>bf13750f-fd34-4e36-98dd-51d898904898</errorID>
      <errorWord>季报季报</errorWord>
      <group>L1_Word</group>
      <groupName>字词问题</groupName>
      <ability>L2_Typo</ability>
      <abilityName>字词错误</abilityName>
      <candidateList>
        <item>季报</item>
      </candidateList>
      <explain/>
      <paraID>5004059D</paraID>
      <start>86</start>
      <end>90</end>
      <status>unmodified</status>
      <modifiedWord/>
      <trackRevisions>false</trackRevisions>
    </reviewItem>
    <reviewItem>
      <errorID>1565440a-8396-4bcf-b675-5082e1691eae</errorID>
      <errorWord>[2018]40号</errorWord>
      <group>L1_Knowledge</group>
      <groupName>知识性问题</groupName>
      <ability>L2_Knowledge</ability>
      <abilityName>其他知识</abilityName>
      <candidateList>
        <item>〔2018〕40号</item>
      </candidateList>
      <explain>发文字号格式错误。</explain>
      <paraID>5B9F9AC7</paraID>
      <start>93</start>
      <end>102</end>
      <status>unmodified</status>
      <modifiedWord/>
      <trackRevisions>false</trackRevisions>
    </reviewItem>
    <reviewItem>
      <errorID>eae75101-5e1c-46f7-954c-41b0bf092b9f</errorID>
      <errorWord>消音器</errorWord>
      <group>L1_Word</group>
      <groupName>字词问题</groupName>
      <ability>L2_Typo</ability>
      <abilityName>字词错误</abilityName>
      <candidateList>
        <item>消声器</item>
      </candidateList>
      <explain/>
      <paraID>42CAA9BE</paraID>
      <start>14</start>
      <end>17</end>
      <status>unmodified</status>
      <modifiedWord/>
      <trackRevisions>false</trackRevisions>
    </reviewItem>
    <reviewItem>
      <errorID>10ed8b28-a668-4ec3-ad4f-62732d02b38b</errorID>
      <errorWord>消音器</errorWord>
      <group>L1_Word</group>
      <groupName>字词问题</groupName>
      <ability>L2_Typo</ability>
      <abilityName>字词错误</abilityName>
      <candidateList>
        <item>消声器</item>
      </candidateList>
      <explain/>
      <paraID>73DEA846</paraID>
      <start>14</start>
      <end>17</end>
      <status>unmodified</status>
      <modifiedWord/>
      <trackRevisions>false</trackRevisions>
    </reviewItem>
    <reviewItem>
      <errorID>75061251-666d-4b10-a32b-a5d097b11041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113D7912</paraID>
      <start>54</start>
      <end>55</end>
      <status>unmodified</status>
      <modifiedWord/>
      <trackRevisions>false</trackRevisions>
    </reviewItem>
    <reviewItem>
      <errorID>05b6b63a-ebdb-4579-8d61-07460087c159</errorID>
      <errorWord>其它人工</errorWord>
      <group>L1_Word</group>
      <groupName>字词问题</groupName>
      <ability>L2_Alias</ability>
      <abilityName>也作/曾用词</abilityName>
      <candidateList>
        <item>其他人工</item>
      </candidateList>
      <explain>词汇[其它人工]为不规范表述或旧称，其规范书面表述为[其他人工]。</explain>
      <paraID>113D7912</paraID>
      <start>82</start>
      <end>86</end>
      <status>unmodified</status>
      <modifiedWord/>
      <trackRevisions>false</trackRevisions>
    </reviewItem>
    <reviewItem>
      <errorID>c6091b10-ec0a-4611-8dd4-f5ae10484516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113D7912</paraID>
      <start>96</start>
      <end>97</end>
      <status>unmodified</status>
      <modifiedWord/>
      <trackRevisions>false</trackRevisions>
    </reviewItem>
    <reviewItem>
      <errorID>c1b541b8-c9f1-47a4-ae37-ce887baa4986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113D7912</paraID>
      <start>162</start>
      <end>163</end>
      <status>unmodified</status>
      <modifiedWord/>
      <trackRevisions>false</trackRevisions>
    </reviewItem>
    <reviewItem>
      <errorID>850d69c3-8a63-4319-b6d1-4233d1b30be9</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329D3F05</paraID>
      <start>54</start>
      <end>55</end>
      <status>unmodified</status>
      <modifiedWord/>
      <trackRevisions>false</trackRevisions>
    </reviewItem>
    <reviewItem>
      <errorID>3d6580e5-e752-4645-a358-d75d188dbaad</errorID>
      <errorWord>其它人工</errorWord>
      <group>L1_Word</group>
      <groupName>字词问题</groupName>
      <ability>L2_Alias</ability>
      <abilityName>也作/曾用词</abilityName>
      <candidateList>
        <item>其他人工</item>
      </candidateList>
      <explain>词汇[其它人工]为不规范表述或旧称，其规范书面表述为[其他人工]。</explain>
      <paraID>329D3F05</paraID>
      <start>82</start>
      <end>86</end>
      <status>unmodified</status>
      <modifiedWord/>
      <trackRevisions>false</trackRevisions>
    </reviewItem>
    <reviewItem>
      <errorID>a14be7c9-8d09-4cac-9251-92549bc80863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329D3F05</paraID>
      <start>96</start>
      <end>97</end>
      <status>unmodified</status>
      <modifiedWord/>
      <trackRevisions>false</trackRevisions>
    </reviewItem>
    <reviewItem>
      <errorID>580e5ad3-6fa5-43a8-8be7-2ecc0625f5e2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329D3F05</paraID>
      <start>162</start>
      <end>163</end>
      <status>unmodified</status>
      <modifiedWord/>
      <trackRevisions>false</trackRevisions>
    </reviewItem>
    <reviewItem>
      <errorID>22be33ab-9bd0-4de9-94ce-120d5cc3de48</errorID>
      <errorWord>(</errorWord>
      <group>L1_Format</group>
      <groupName>格式问题</groupName>
      <ability>L2_HalfPunc</ability>
      <abilityName>全半角检查</abilityName>
      <candidateList>
        <item>（</item>
      </candidateList>
      <explain>文本全半角错误。</explain>
      <paraID>1D0B3E54</paraID>
      <start>11</start>
      <end>12</end>
      <status>unmodified</status>
      <modifiedWord/>
      <trackRevisions>false</trackRevisions>
    </reviewItem>
    <reviewItem>
      <errorID>f673acc8-79e0-4a1c-bdaf-32a7004e089e</errorID>
      <errorWord>)</errorWord>
      <group>L1_Format</group>
      <groupName>格式问题</groupName>
      <ability>L2_HalfPunc</ability>
      <abilityName>全半角检查</abilityName>
      <candidateList>
        <item>）</item>
      </candidateList>
      <explain>文本全半角错误。</explain>
      <paraID>1D0B3E54</paraID>
      <start>15</start>
      <end>16</end>
      <status>unmodified</status>
      <modifiedWord/>
      <trackRevisions>false</trackRevisions>
    </reviewItem>
    <reviewItem>
      <errorID>6b6d8891-2a24-498d-8c29-315c726937b7</errorID>
      <errorWord>(</errorWord>
      <group>L1_Format</group>
      <groupName>格式问题</groupName>
      <ability>L2_HalfPunc</ability>
      <abilityName>全半角检查</abilityName>
      <candidateList>
        <item>（</item>
      </candidateList>
      <explain>文本全半角错误。</explain>
      <paraID>5362CCEB</paraID>
      <start>9</start>
      <end>10</end>
      <status>unmodified</status>
      <modifiedWord/>
      <trackRevisions>false</trackRevisions>
    </reviewItem>
    <reviewItem>
      <errorID>d584a381-a2a9-41a9-a208-2ebca2d430f3</errorID>
      <errorWord>)</errorWord>
      <group>L1_Format</group>
      <groupName>格式问题</groupName>
      <ability>L2_HalfPunc</ability>
      <abilityName>全半角检查</abilityName>
      <candidateList>
        <item>）</item>
      </candidateList>
      <explain>文本全半角错误。</explain>
      <paraID>5362CCEB</paraID>
      <start>13</start>
      <end>14</end>
      <status>unmodified</status>
      <modifiedWord/>
      <trackRevisions>false</trackRevisions>
    </reviewItem>
    <reviewItem>
      <errorID>1f2b043e-353e-43b1-a634-c24b67a78d1c</errorID>
      <errorWord>(</errorWord>
      <group>L1_Format</group>
      <groupName>格式问题</groupName>
      <ability>L2_HalfPunc</ability>
      <abilityName>全半角检查</abilityName>
      <candidateList>
        <item>（</item>
      </candidateList>
      <explain>文本全半角错误。</explain>
      <paraID>73C4A99D</paraID>
      <start>2</start>
      <end>3</end>
      <status>unmodified</status>
      <modifiedWord/>
      <trackRevisions>false</trackRevisions>
    </reviewItem>
    <reviewItem>
      <errorID>e0a9ab11-af94-467b-8bde-4dabe0fc177b</errorID>
      <errorWord>)</errorWord>
      <group>L1_Format</group>
      <groupName>格式问题</groupName>
      <ability>L2_HalfPunc</ability>
      <abilityName>全半角检查</abilityName>
      <candidateList>
        <item>）</item>
      </candidateList>
      <explain>文本全半角错误。</explain>
      <paraID>73C4A99D</paraID>
      <start>4</start>
      <end>5</end>
      <status>unmodified</status>
      <modifiedWord/>
      <trackRevisions>false</trackRevisions>
    </reviewItem>
    <reviewItem>
      <errorID>ca6b8bfd-bacc-4279-afdd-3747ba8b7376</errorID>
      <errorWord>(</errorWord>
      <group>L1_Format</group>
      <groupName>格式问题</groupName>
      <ability>L2_HalfPunc</ability>
      <abilityName>全半角检查</abilityName>
      <candidateList>
        <item>（</item>
      </candidateList>
      <explain>文本全半角错误。</explain>
      <paraID>18A5EB1F</paraID>
      <start>2</start>
      <end>3</end>
      <status>unmodified</status>
      <modifiedWord/>
      <trackRevisions>false</trackRevisions>
    </reviewItem>
    <reviewItem>
      <errorID>f5be3e88-b4ed-4188-b014-5bb476803d6f</errorID>
      <errorWord>)</errorWord>
      <group>L1_Format</group>
      <groupName>格式问题</groupName>
      <ability>L2_HalfPunc</ability>
      <abilityName>全半角检查</abilityName>
      <candidateList>
        <item>）</item>
      </candidateList>
      <explain>文本全半角错误。</explain>
      <paraID>18A5EB1F</paraID>
      <start>4</start>
      <end>5</end>
      <status>unmodified</status>
      <modifiedWord/>
      <trackRevisions>false</trackRevisions>
    </reviewItem>
    <reviewItem>
      <errorID>ed25f996-986a-4e84-916a-f621bc7385c7</errorID>
      <errorWord>,</errorWord>
      <group>L1_Format</group>
      <groupName>格式问题</groupName>
      <ability>L2_HalfPunc</ability>
      <abilityName>全半角检查</abilityName>
      <candidateList>
        <item>，</item>
      </candidateList>
      <explain>文本全半角错误。</explain>
      <paraID>455A48F3</paraID>
      <start>2</start>
      <end>3</end>
      <status>unmodified</status>
      <modifiedWord/>
      <trackRevisions>false</trackRevisions>
    </reviewItem>
    <reviewItem>
      <errorID>90d92774-2f0b-4f4d-9c2d-96692d8a5985</errorID>
      <errorWord>(</errorWord>
      <group>L1_Format</group>
      <groupName>格式问题</groupName>
      <ability>L2_HalfPunc</ability>
      <abilityName>全半角检查</abilityName>
      <candidateList>
        <item>（</item>
      </candidateList>
      <explain>文本全半角错误。</explain>
      <paraID> 1FE8CB6</paraID>
      <start>3</start>
      <end>4</end>
      <status>unmodified</status>
      <modifiedWord/>
      <trackRevisions>false</trackRevisions>
    </reviewItem>
    <reviewItem>
      <errorID>5fba1d22-84b4-4509-b0a1-955018e5925f</errorID>
      <errorWord>)</errorWord>
      <group>L1_Format</group>
      <groupName>格式问题</groupName>
      <ability>L2_HalfPunc</ability>
      <abilityName>全半角检查</abilityName>
      <candidateList>
        <item>）</item>
      </candidateList>
      <explain>文本全半角错误。</explain>
      <paraID> 1FE8CB6</paraID>
      <start>7</start>
      <end>8</end>
      <status>unmodified</status>
      <modifiedWord/>
      <trackRevisions>false</trackRevisions>
    </reviewItem>
    <reviewItem>
      <errorID>18d09f3a-e5e5-430b-943e-5c0015320766</errorID>
      <errorWord>(</errorWord>
      <group>L1_Format</group>
      <groupName>格式问题</groupName>
      <ability>L2_HalfPunc</ability>
      <abilityName>全半角检查</abilityName>
      <candidateList>
        <item>（</item>
      </candidateList>
      <explain>文本全半角错误。</explain>
      <paraID>5D7B0016</paraID>
      <start>4</start>
      <end>5</end>
      <status>unmodified</status>
      <modifiedWord/>
      <trackRevisions>false</trackRevisions>
    </reviewItem>
    <reviewItem>
      <errorID>7541b021-fd70-4bdb-84de-bdcf6ab270a3</errorID>
      <errorWord>)</errorWord>
      <group>L1_Format</group>
      <groupName>格式问题</groupName>
      <ability>L2_HalfPunc</ability>
      <abilityName>全半角检查</abilityName>
      <candidateList>
        <item>）</item>
      </candidateList>
      <explain>文本全半角错误。</explain>
      <paraID>5D7B0016</paraID>
      <start>7</start>
      <end>8</end>
      <status>unmodified</status>
      <modifiedWord/>
      <trackRevisions>false</trackRevisions>
    </reviewItem>
    <reviewItem>
      <errorID>4e9fd70c-3439-4ea8-82f5-10bfcb19046f</errorID>
      <errorWord>(</errorWord>
      <group>L1_Format</group>
      <groupName>格式问题</groupName>
      <ability>L2_HalfPunc</ability>
      <abilityName>全半角检查</abilityName>
      <candidateList>
        <item>（</item>
      </candidateList>
      <explain>文本全半角错误。</explain>
      <paraID>7F08CE8C</paraID>
      <start>3</start>
      <end>4</end>
      <status>unmodified</status>
      <modifiedWord/>
      <trackRevisions>false</trackRevisions>
    </reviewItem>
    <reviewItem>
      <errorID>48c7eae4-2d95-43d1-868f-97a93bd96d93</errorID>
      <errorWord>)</errorWord>
      <group>L1_Format</group>
      <groupName>格式问题</groupName>
      <ability>L2_HalfPunc</ability>
      <abilityName>全半角检查</abilityName>
      <candidateList>
        <item>）</item>
      </candidateList>
      <explain>文本全半角错误。</explain>
      <paraID>7F08CE8C</paraID>
      <start>5</start>
      <end>6</end>
      <status>unmodified</status>
      <modifiedWord/>
      <trackRevisions>false</trackRevisions>
    </reviewItem>
    <reviewItem>
      <errorID>4283da2d-18d1-4e26-8859-774531d55131</errorID>
      <errorWord>(</errorWord>
      <group>L1_Format</group>
      <groupName>格式问题</groupName>
      <ability>L2_HalfPunc</ability>
      <abilityName>全半角检查</abilityName>
      <candidateList>
        <item>（</item>
      </candidateList>
      <explain>文本全半角错误。</explain>
      <paraID>2A9D4A82</paraID>
      <start>4</start>
      <end>5</end>
      <status>unmodified</status>
      <modifiedWord/>
      <trackRevisions>false</trackRevisions>
    </reviewItem>
    <reviewItem>
      <errorID>57621452-fd2f-4eb5-ae23-ed5ed1ef8625</errorID>
      <errorWord>)</errorWord>
      <group>L1_Format</group>
      <groupName>格式问题</groupName>
      <ability>L2_HalfPunc</ability>
      <abilityName>全半角检查</abilityName>
      <candidateList>
        <item>）</item>
      </candidateList>
      <explain>文本全半角错误。</explain>
      <paraID>2A9D4A82</paraID>
      <start>8</start>
      <end>9</end>
      <status>unmodified</status>
      <modifiedWord/>
      <trackRevisions>false</trackRevisions>
    </reviewItem>
    <reviewItem>
      <errorID>b7654bec-c6ec-4fd7-8332-b7f5c50229c1</errorID>
      <errorWord>,</errorWord>
      <group>L1_Format</group>
      <groupName>格式问题</groupName>
      <ability>L2_HalfPunc</ability>
      <abilityName>全半角检查</abilityName>
      <candidateList>
        <item>，</item>
      </candidateList>
      <explain>文本全半角错误。</explain>
      <paraID>4B3B9EF8</paraID>
      <start>4</start>
      <end>5</end>
      <status>unmodified</status>
      <modifiedWord/>
      <trackRevisions>false</trackRevisions>
    </reviewItem>
    <reviewItem>
      <errorID>93f671eb-0d36-403c-a96c-e633a5507a3a</errorID>
      <errorWord>,</errorWord>
      <group>L1_Format</group>
      <groupName>格式问题</groupName>
      <ability>L2_HalfPunc</ability>
      <abilityName>全半角检查</abilityName>
      <candidateList>
        <item>，</item>
      </candidateList>
      <explain>文本全半角错误。</explain>
      <paraID> 6689C65</paraID>
      <start>6</start>
      <end>7</end>
      <status>unmodified</status>
      <modifiedWord/>
      <trackRevisions>false</trackRevisions>
    </reviewItem>
    <reviewItem>
      <errorID>d67a17b8-31d8-47d4-8799-983257e378ba</errorID>
      <errorWord>(</errorWord>
      <group>L1_Format</group>
      <groupName>格式问题</groupName>
      <ability>L2_HalfPunc</ability>
      <abilityName>全半角检查</abilityName>
      <candidateList>
        <item>（</item>
      </candidateList>
      <explain>文本全半角错误。</explain>
      <paraID>49BD6B4E</paraID>
      <start>11</start>
      <end>12</end>
      <status>unmodified</status>
      <modifiedWord/>
      <trackRevisions>false</trackRevisions>
    </reviewItem>
    <reviewItem>
      <errorID>8099d67e-d51e-422a-8010-a730c415b13e</errorID>
      <errorWord>)</errorWord>
      <group>L1_Format</group>
      <groupName>格式问题</groupName>
      <ability>L2_HalfPunc</ability>
      <abilityName>全半角检查</abilityName>
      <candidateList>
        <item>）</item>
      </candidateList>
      <explain>文本全半角错误。</explain>
      <paraID>49BD6B4E</paraID>
      <start>15</start>
      <end>16</end>
      <status>unmodified</status>
      <modifiedWord/>
      <trackRevisions>false</trackRevisions>
    </reviewItem>
    <reviewItem>
      <errorID>21778767-1031-4016-b42d-39538e3881b2</errorID>
      <errorWord>(</errorWord>
      <group>L1_Format</group>
      <groupName>格式问题</groupName>
      <ability>L2_HalfPunc</ability>
      <abilityName>全半角检查</abilityName>
      <candidateList>
        <item>（</item>
      </candidateList>
      <explain>文本全半角错误。</explain>
      <paraID> 2CA7205</paraID>
      <start>9</start>
      <end>10</end>
      <status>unmodified</status>
      <modifiedWord/>
      <trackRevisions>false</trackRevisions>
    </reviewItem>
    <reviewItem>
      <errorID>6801d803-b621-480a-91cb-b4c5420475ab</errorID>
      <errorWord>)</errorWord>
      <group>L1_Format</group>
      <groupName>格式问题</groupName>
      <ability>L2_HalfPunc</ability>
      <abilityName>全半角检查</abilityName>
      <candidateList>
        <item>）</item>
      </candidateList>
      <explain>文本全半角错误。</explain>
      <paraID> 2CA7205</paraID>
      <start>13</start>
      <end>14</end>
      <status>unmodified</status>
      <modifiedWord/>
      <trackRevisions>false</trackRevisions>
    </reviewItem>
    <reviewItem>
      <errorID>474cb443-f461-4283-a73c-95274f474765</errorID>
      <errorWord>作为</errorWord>
      <group>L1_Word</group>
      <groupName>字词问题</groupName>
      <ability>L2_Typo</ability>
      <abilityName>字词错误</abilityName>
      <candidateList>
        <item>为</item>
      </candidateList>
      <explain>（爲、為）wèi❶〈书〉帮助；卫护：～吕氏者右袒，～刘氏者左袒。❷〈介〉表示行为的对象；替：～你庆幸｜～人民服务｜～这本书写一篇序。❸〈介〉表示原因、目的：大家都～这件事高兴｜～建设伟大祖国而奋斗。❹〈书〉〈介〉对；向：不足～外人道。</explain>
      <paraID>4D092DC5</paraID>
      <start>78</start>
      <end>80</end>
      <status>unmodified</status>
      <modifiedWord/>
      <trackRevisions>false</trackRevisions>
    </reviewItem>
    <reviewItem>
      <errorID>a76541c4-c51d-4250-b569-4e4598a84145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28F72BCA</paraID>
      <start>0</start>
      <end>2</end>
      <status>unmodified</status>
      <modifiedWord/>
      <trackRevisions>false</trackRevisions>
    </reviewItem>
    <reviewItem>
      <errorID>f098e286-6b92-42b1-8199-ff0961d10d34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E9995BE</paraID>
      <start>0</start>
      <end>2</end>
      <status>unmodified</status>
      <modifiedWord/>
      <trackRevisions>false</trackRevisions>
    </reviewItem>
    <reviewItem>
      <errorID>58d399a3-69d4-4109-86df-f8d1313ef901</errorID>
      <errorWord>加入至</errorWord>
      <group>L1_Word</group>
      <groupName>字词问题</groupName>
      <ability>L2_Typo</ability>
      <abilityName>字词错误</abilityName>
      <candidateList>
        <item>加入</item>
      </candidateList>
      <explain>〈动〉❶加上；掺进去：～食糖少许。❷参加进去：～工会｜～足球队。</explain>
      <paraID>211F9F4C</paraID>
      <start>117</start>
      <end>120</end>
      <status>unmodified</status>
      <modifiedWord/>
      <trackRevisions>false</trackRevisions>
    </reviewItem>
    <reviewItem>
      <errorID>fe56b706-4e26-4246-9e24-2d9711d013d2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211F9F4C</paraID>
      <start>136</start>
      <end>137</end>
      <status>unmodified</status>
      <modifiedWord/>
      <trackRevisions>false</trackRevisions>
    </reviewItem>
    <reviewItem>
      <errorID>e2dcc29d-0027-4482-b693-8628e4db8a49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1A450B84</paraID>
      <start>0</start>
      <end>2</end>
      <status>unmodified</status>
      <modifiedWord/>
      <trackRevisions>false</trackRevisions>
    </reviewItem>
    <reviewItem>
      <errorID>53eacd91-808b-4d7d-ac9c-742d88137c13</errorID>
      <errorWord>由由</errorWord>
      <group>L1_Word</group>
      <groupName>字词问题</groupName>
      <ability>L2_Typo</ability>
      <abilityName>字词错误</abilityName>
      <candidateList>
        <item>由</item>
      </candidateList>
      <explain>❶缘由：因～｜事～｜理～。❷〈介〉由于▲：咎～自取｜～感冒引起了肺炎。❸经过：必～之路。❹〈介〉表示经由：～南门入场。❺〈动〉顺随；听从：事不～己｜～着性子。❻〈介〉归（某人去做）：准备工作～我负责｜队长～你担任。❼〈介〉表示凭借：～此可知｜人体是～各种细胞组成的。❽〈介〉表示起点：～表及里｜～北京出发。❾（Yóu）〈名〉姓。</explain>
      <paraID> B8D859E</paraID>
      <start>308</start>
      <end>310</end>
      <status>unmodified</status>
      <modifiedWord/>
      <trackRevisions>false</trackRevisions>
    </reviewItem>
    <reviewItem>
      <errorID>95c5bd8b-4645-45c6-a9e8-1fa0950b7817</errorID>
      <errorWord>监测</errorWord>
      <group>L1_Word</group>
      <groupName>字词问题</groupName>
      <ability>L2_Typo</ability>
      <abilityName>字词错误</abilityName>
      <candidateList>
        <item>检测</item>
      </candidateList>
      <explain/>
      <paraID>70721793</paraID>
      <start>89</start>
      <end>91</end>
      <status>unmodified</status>
      <modifiedWord/>
      <trackRevisions>false</trackRevisions>
    </reviewItem>
    <reviewItem>
      <errorID>a46cb63e-90d2-4512-ba1c-c7bea1e1d173</errorID>
      <errorWord>(</errorWord>
      <group>L1_Format</group>
      <groupName>格式问题</groupName>
      <ability>L2_HalfPunc</ability>
      <abilityName>全半角检查</abilityName>
      <candidateList>
        <item>（</item>
      </candidateList>
      <explain>文本全半角错误。</explain>
      <paraID>78B25D84</paraID>
      <start>2</start>
      <end>3</end>
      <status>unmodified</status>
      <modifiedWord/>
      <trackRevisions>false</trackRevisions>
    </reviewItem>
    <reviewItem>
      <errorID>c6a3f6c3-6a51-4a1c-83a4-c2eedc344adf</errorID>
      <errorWord>)</errorWord>
      <group>L1_Format</group>
      <groupName>格式问题</groupName>
      <ability>L2_HalfPunc</ability>
      <abilityName>全半角检查</abilityName>
      <candidateList>
        <item>）</item>
      </candidateList>
      <explain>文本全半角错误。</explain>
      <paraID>78B25D84</paraID>
      <start>6</start>
      <end>7</end>
      <status>unmodified</status>
      <modifiedWord/>
      <trackRevisions>false</trackRevisions>
    </reviewItem>
    <reviewItem>
      <errorID>b589a0b7-ae3c-4759-a496-e77f0f77ef3a</errorID>
      <errorWord>(</errorWord>
      <group>L1_Format</group>
      <groupName>格式问题</groupName>
      <ability>L2_HalfPunc</ability>
      <abilityName>全半角检查</abilityName>
      <candidateList>
        <item>（</item>
      </candidateList>
      <explain>文本全半角错误。</explain>
      <paraID>16381D10</paraID>
      <start>3</start>
      <end>4</end>
      <status>unmodified</status>
      <modifiedWord/>
      <trackRevisions>false</trackRevisions>
    </reviewItem>
    <reviewItem>
      <errorID>b74d22ed-fc05-4743-a90f-f40087b3ec6f</errorID>
      <errorWord>)</errorWord>
      <group>L1_Format</group>
      <groupName>格式问题</groupName>
      <ability>L2_HalfPunc</ability>
      <abilityName>全半角检查</abilityName>
      <candidateList>
        <item>）</item>
      </candidateList>
      <explain>文本全半角错误。</explain>
      <paraID>16381D10</paraID>
      <start>8</start>
      <end>9</end>
      <status>unmodified</status>
      <modifiedWord/>
      <trackRevisions>false</trackRevisions>
    </reviewItem>
    <reviewItem>
      <errorID>c563c8a3-9d6f-4486-9641-08013f63d276</errorID>
      <errorWord>(</errorWord>
      <group>L1_Format</group>
      <groupName>格式问题</groupName>
      <ability>L2_HalfPunc</ability>
      <abilityName>全半角检查</abilityName>
      <candidateList>
        <item>（</item>
      </candidateList>
      <explain>文本全半角错误。</explain>
      <paraID>19D8F546</paraID>
      <start>7</start>
      <end>8</end>
      <status>unmodified</status>
      <modifiedWord/>
      <trackRevisions>false</trackRevisions>
    </reviewItem>
    <reviewItem>
      <errorID>19968228-9d76-43a9-843a-7634db2d3862</errorID>
      <errorWord>)</errorWord>
      <group>L1_Format</group>
      <groupName>格式问题</groupName>
      <ability>L2_HalfPunc</ability>
      <abilityName>全半角检查</abilityName>
      <candidateList>
        <item>）</item>
      </candidateList>
      <explain>文本全半角错误。</explain>
      <paraID>19D8F546</paraID>
      <start>12</start>
      <end>13</end>
      <status>unmodified</status>
      <modifiedWord/>
      <trackRevisions>false</trackRevisions>
    </reviewItem>
    <reviewItem>
      <errorID>110ff3f1-34ea-44ab-866f-99be6bf137f9</errorID>
      <errorWord>(</errorWord>
      <group>L1_Format</group>
      <groupName>格式问题</groupName>
      <ability>L2_HalfPunc</ability>
      <abilityName>全半角检查</abilityName>
      <candidateList>
        <item>（</item>
      </candidateList>
      <explain>文本全半角错误。</explain>
      <paraID>4464E11C</paraID>
      <start>5</start>
      <end>6</end>
      <status>unmodified</status>
      <modifiedWord/>
      <trackRevisions>false</trackRevisions>
    </reviewItem>
    <reviewItem>
      <errorID>6a983b2a-9f35-4d91-973b-27f479082cbc</errorID>
      <errorWord>)</errorWord>
      <group>L1_Format</group>
      <groupName>格式问题</groupName>
      <ability>L2_HalfPunc</ability>
      <abilityName>全半角检查</abilityName>
      <candidateList>
        <item>）</item>
      </candidateList>
      <explain>文本全半角错误。</explain>
      <paraID>4464E11C</paraID>
      <start>10</start>
      <end>11</end>
      <status>unmodified</status>
      <modifiedWord/>
      <trackRevisions>false</trackRevisions>
    </reviewItem>
    <reviewItem>
      <errorID>4757bd7d-0367-42e7-b9f2-5172965bd5b6</errorID>
      <errorWord>(</errorWord>
      <group>L1_Format</group>
      <groupName>格式问题</groupName>
      <ability>L2_HalfPunc</ability>
      <abilityName>全半角检查</abilityName>
      <candidateList>
        <item>（</item>
      </candidateList>
      <explain>文本全半角错误。</explain>
      <paraID>6C447C09</paraID>
      <start>2</start>
      <end>3</end>
      <status>unmodified</status>
      <modifiedWord/>
      <trackRevisions>false</trackRevisions>
    </reviewItem>
    <reviewItem>
      <errorID>cc8df66e-2ba3-40ad-8d22-386325d8cca9</errorID>
      <errorWord>)</errorWord>
      <group>L1_Format</group>
      <groupName>格式问题</groupName>
      <ability>L2_HalfPunc</ability>
      <abilityName>全半角检查</abilityName>
      <candidateList>
        <item>）</item>
      </candidateList>
      <explain>文本全半角错误。</explain>
      <paraID>6C447C09</paraID>
      <start>7</start>
      <end>8</end>
      <status>unmodified</status>
      <modifiedWord/>
      <trackRevisions>false</trackRevisions>
    </reviewItem>
    <reviewItem>
      <errorID>466d040b-5152-475f-acc0-00269ce2243d</errorID>
      <errorWord>(</errorWord>
      <group>L1_Format</group>
      <groupName>格式问题</groupName>
      <ability>L2_HalfPunc</ability>
      <abilityName>全半角检查</abilityName>
      <candidateList>
        <item>（</item>
      </candidateList>
      <explain>文本全半角错误。</explain>
      <paraID>1BDB7778</paraID>
      <start>2</start>
      <end>3</end>
      <status>unmodified</status>
      <modifiedWord/>
      <trackRevisions>false</trackRevisions>
    </reviewItem>
    <reviewItem>
      <errorID>373526a0-1cb1-4b9d-81e3-0ad8a46910fa</errorID>
      <errorWord>)</errorWord>
      <group>L1_Format</group>
      <groupName>格式问题</groupName>
      <ability>L2_HalfPunc</ability>
      <abilityName>全半角检查</abilityName>
      <candidateList>
        <item>）</item>
      </candidateList>
      <explain>文本全半角错误。</explain>
      <paraID>1BDB7778</paraID>
      <start>7</start>
      <end>8</end>
      <status>unmodified</status>
      <modifiedWord/>
      <trackRevisions>false</trackRevisions>
    </reviewItem>
    <reviewItem>
      <errorID>d50a5798-fd62-44a7-9992-b4294ea8d529</errorID>
      <errorWord>(</errorWord>
      <group>L1_Format</group>
      <groupName>格式问题</groupName>
      <ability>L2_HalfPunc</ability>
      <abilityName>全半角检查</abilityName>
      <candidateList>
        <item>（</item>
      </candidateList>
      <explain>文本全半角错误。</explain>
      <paraID>775A18C0</paraID>
      <start>2</start>
      <end>3</end>
      <status>unmodified</status>
      <modifiedWord/>
      <trackRevisions>false</trackRevisions>
    </reviewItem>
    <reviewItem>
      <errorID>71c13da6-936f-447e-96a8-c27ba4b15511</errorID>
      <errorWord>)</errorWord>
      <group>L1_Format</group>
      <groupName>格式问题</groupName>
      <ability>L2_HalfPunc</ability>
      <abilityName>全半角检查</abilityName>
      <candidateList>
        <item>）</item>
      </candidateList>
      <explain>文本全半角错误。</explain>
      <paraID>775A18C0</paraID>
      <start>7</start>
      <end>8</end>
      <status>unmodified</status>
      <modifiedWord/>
      <trackRevisions>false</trackRevisions>
    </reviewItem>
    <reviewItem>
      <errorID>4b4d76a6-7634-4f47-a83e-fac1b0a9bb6c</errorID>
      <errorWord>产噪</errorWord>
      <group>L1_Word</group>
      <groupName>字词问题</groupName>
      <ability>L2_Typo</ability>
      <abilityName>字词错误</abilityName>
      <candidateList>
        <item>降噪</item>
      </candidateList>
      <explain/>
      <paraID>5F8E462A</paraID>
      <start>2</start>
      <end>4</end>
      <status>unmodified</status>
      <modifiedWord/>
      <trackRevisions>false</trackRevisions>
    </reviewItem>
    <reviewItem>
      <errorID>4ef363f3-b079-4158-9f3a-e6db537a7356</errorID>
      <errorWord>监测</errorWord>
      <group>L1_Word</group>
      <groupName>字词问题</groupName>
      <ability>L2_Typo</ability>
      <abilityName>字词错误</abilityName>
      <candidateList>
        <item>检测</item>
      </candidateList>
      <explain/>
      <paraID>5F8E462A</paraID>
      <start>78</start>
      <end>80</end>
      <status>unmodified</status>
      <modifiedWord/>
      <trackRevisions>false</trackRevisions>
    </reviewItem>
    <reviewItem>
      <errorID>d391d650-a6c8-409a-a4b5-2607286435bc</errorID>
      <errorWord>过冲</errorWord>
      <group>L1_Word</group>
      <groupName>字词问题</groupName>
      <ability>L2_Typo</ability>
      <abilityName>字词错误</abilityName>
      <candidateList>
        <item>过程</item>
      </candidateList>
      <explain/>
      <paraID>7269EEEF</paraID>
      <start>5</start>
      <end>7</end>
      <status>unmodified</status>
      <modifiedWord/>
      <trackRevisions>false</trackRevisions>
    </reviewItem>
    <reviewItem>
      <errorID>227fa90c-94ea-4a9c-8fb8-74bec6f94d1b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4BD5972</paraID>
      <start>0</start>
      <end>2</end>
      <status>unmodified</status>
      <modifiedWord/>
      <trackRevisions>false</trackRevisions>
    </reviewItem>
    <reviewItem>
      <errorID>4e1ff5ac-f183-43c7-9b59-1826cb50ab17</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72781C3F</paraID>
      <start>68</start>
      <end>69</end>
      <status>unmodified</status>
      <modifiedWord/>
      <trackRevisions>false</trackRevisions>
    </reviewItem>
    <reviewItem>
      <errorID>ac34eded-7432-4a84-bc11-1932d462274f</errorID>
      <errorWord>其它人工</errorWord>
      <group>L1_Word</group>
      <groupName>字词问题</groupName>
      <ability>L2_Alias</ability>
      <abilityName>也作/曾用词</abilityName>
      <candidateList>
        <item>其他人工</item>
      </candidateList>
      <explain>词汇[其它人工]为不规范表述或旧称，其规范书面表述为[其他人工]。</explain>
      <paraID>72781C3F</paraID>
      <start>96</start>
      <end>100</end>
      <status>unmodified</status>
      <modifiedWord/>
      <trackRevisions>false</trackRevisions>
    </reviewItem>
    <reviewItem>
      <errorID>7968a43f-d0c2-478a-a3a3-31b4945638c8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72781C3F</paraID>
      <start>110</start>
      <end>111</end>
      <status>unmodified</status>
      <modifiedWord/>
      <trackRevisions>false</trackRevisions>
    </reviewItem>
    <reviewItem>
      <errorID>6f95ece7-e499-4a78-bd28-a6b72846f8a0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72781C3F</paraID>
      <start>176</start>
      <end>177</end>
      <status>unmodified</status>
      <modifiedWord/>
      <trackRevisions>false</trackRevisions>
    </reviewItem>
    <reviewItem>
      <errorID>f390cb3d-a44e-48ee-a701-debcedbea0fc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42FC0554</paraID>
      <start>0</start>
      <end>2</end>
      <status>unmodified</status>
      <modifiedWord/>
      <trackRevisions>false</trackRevisions>
    </reviewItem>
    <reviewItem>
      <errorID>a64fea7e-28de-4e17-a507-e8af5c1e1b85</errorID>
      <errorWord>(</errorWord>
      <group>L1_Format</group>
      <groupName>格式问题</groupName>
      <ability>L2_HalfPunc</ability>
      <abilityName>全半角检查</abilityName>
      <candidateList>
        <item>（</item>
      </candidateList>
      <explain>文本全半角错误。</explain>
      <paraID>1375F3A7</paraID>
      <start>40</start>
      <end>41</end>
      <status>unmodified</status>
      <modifiedWord/>
      <trackRevisions>false</trackRevisions>
    </reviewItem>
    <reviewItem>
      <errorID>d8a412e5-74d6-4bc8-8735-9cefb2347350</errorID>
      <errorWord>)</errorWord>
      <group>L1_Format</group>
      <groupName>格式问题</groupName>
      <ability>L2_HalfPunc</ability>
      <abilityName>全半角检查</abilityName>
      <candidateList>
        <item>）</item>
      </candidateList>
      <explain>文本全半角错误。</explain>
      <paraID>1375F3A7</paraID>
      <start>47</start>
      <end>48</end>
      <status>unmodified</status>
      <modifiedWord/>
      <trackRevisions>false</trackRevisions>
    </reviewItem>
    <reviewItem>
      <errorID>a0a06e5a-0fb3-4dd4-9969-c3636869d460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B7582</paraID>
      <start>0</start>
      <end>2</end>
      <status>unmodified</status>
      <modifiedWord/>
      <trackRevisions>false</trackRevisions>
    </reviewItem>
    <reviewItem>
      <errorID>3df6bb03-65bf-4ebf-a488-e522c3ce0f13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601D19CC</paraID>
      <start>139</start>
      <end>140</end>
      <status>unmodified</status>
      <modifiedWord/>
      <trackRevisions>false</trackRevisions>
    </reviewItem>
    <reviewItem>
      <errorID>4536b13b-5ac9-42d0-93dc-24887df567b5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601D19CC</paraID>
      <start>156</start>
      <end>157</end>
      <status>unmodified</status>
      <modifiedWord/>
      <trackRevisions>false</trackRevisions>
    </reviewItem>
    <reviewItem>
      <errorID>a5d5ad71-d284-4fb5-a7d3-a510d927175e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601D19CC</paraID>
      <start>238</start>
      <end>239</end>
      <status>unmodified</status>
      <modifiedWord/>
      <trackRevisions>false</trackRevisions>
    </reviewItem>
    <reviewItem>
      <errorID>80f26417-c862-4cd8-b7e9-ef811c9470bb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4DF2FC77</paraID>
      <start>15</start>
      <end>16</end>
      <status>unmodified</status>
      <modifiedWord/>
      <trackRevisions>false</trackRevisions>
    </reviewItem>
    <reviewItem>
      <errorID>6b80a190-cb82-4238-aa58-5dc4462e7e1e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4DF2FC77</paraID>
      <start>32</start>
      <end>33</end>
      <status>unmodified</status>
      <modifiedWord/>
      <trackRevisions>false</trackRevisions>
    </reviewItem>
    <reviewItem>
      <errorID>22ab9682-69f3-4451-841d-7147789a42a2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3ED12F8F</paraID>
      <start>33</start>
      <end>34</end>
      <status>unmodified</status>
      <modifiedWord/>
      <trackRevisions>false</trackRevisions>
    </reviewItem>
    <reviewItem>
      <errorID>99d4c2e9-3ed1-4dd7-9f03-62f0c61ddedf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3ED12F8F</paraID>
      <start>79</start>
      <end>80</end>
      <status>unmodified</status>
      <modifiedWord/>
      <trackRevisions>false</trackRevisions>
    </reviewItem>
    <reviewItem>
      <errorID>778ea222-dc3f-4357-93a1-b93811e19671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7A1A5A8F</paraID>
      <start>0</start>
      <end>2</end>
      <status>unmodified</status>
      <modifiedWord/>
      <trackRevisions>false</trackRevisions>
    </reviewItem>
    <reviewItem>
      <errorID>8e24b596-6556-46a0-a0b2-47010a732082</errorID>
      <errorWord>区内水文</errorWord>
      <group>L1_Knowledge</group>
      <groupName>知识性问题</groupName>
      <ability>L2_Term</ability>
      <abilityName>专业术语</abilityName>
      <candidateList>
        <item>区域水文</item>
      </candidateList>
      <explain/>
      <paraID>60112971</paraID>
      <start>7</start>
      <end>11</end>
      <status>unmodified</status>
      <modifiedWord/>
      <trackRevisions>false</trackRevisions>
    </reviewItem>
    <reviewItem>
      <errorID>c7a07a8a-022d-4386-8e98-12fb5f41ac9a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5A4634F8</paraID>
      <start>0</start>
      <end>2</end>
      <status>unmodified</status>
      <modifiedWord/>
      <trackRevisions>false</trackRevisions>
    </reviewItem>
    <reviewItem>
      <errorID>e8a5dd06-aba3-452e-a895-01b160e87efa</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6E0DC26E</paraID>
      <start>0</start>
      <end>2</end>
      <status>unmodified</status>
      <modifiedWord/>
      <trackRevisions>false</trackRevisions>
    </reviewItem>
    <reviewItem>
      <errorID>cfffa589-50a2-4201-8df2-0bc1f8481506</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1FB7CEF1</paraID>
      <start>0</start>
      <end>2</end>
      <status>unmodified</status>
      <modifiedWord/>
      <trackRevisions>false</trackRevisions>
    </reviewItem>
    <reviewItem>
      <errorID>edbe39c3-17f6-4248-a041-5c37bb2f9cb0</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9AC0CE5</paraID>
      <start>0</start>
      <end>2</end>
      <status>unmodified</status>
      <modifiedWord/>
      <trackRevisions>false</trackRevisions>
    </reviewItem>
    <reviewItem>
      <errorID>e3bdd6a3-e5ba-4005-9c13-01b22e973513</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C508FEA</paraID>
      <start>0</start>
      <end>2</end>
      <status>unmodified</status>
      <modifiedWord/>
      <trackRevisions>false</trackRevisions>
    </reviewItem>
    <reviewItem>
      <errorID>c5f26d38-08e5-4b39-ab2d-d19b9083ec51</errorID>
      <errorWord>IV类</errorWord>
      <group>L1_Knowledge</group>
      <groupName>知识性问题</groupName>
      <ability>L2_Knowledge</ability>
      <abilityName>其他知识</abilityName>
      <candidateList>
        <item>Ⅳ类</item>
      </candidateList>
      <explain/>
      <paraID>66345AEF</paraID>
      <start>38</start>
      <end>41</end>
      <status>unmodified</status>
      <modifiedWord/>
      <trackRevisions>false</trackRevisions>
    </reviewItem>
    <reviewItem>
      <errorID>ae13b89d-3272-4f58-b50f-8f055a2be808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46009D4D</paraID>
      <start>0</start>
      <end>2</end>
      <status>unmodified</status>
      <modifiedWord/>
      <trackRevisions>false</trackRevisions>
    </reviewItem>
    <reviewItem>
      <errorID>c6daadeb-9653-44dc-bea7-b11839bf6d0c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36A30A91</paraID>
      <start>0</start>
      <end>2</end>
      <status>unmodified</status>
      <modifiedWord/>
      <trackRevisions>false</trackRevisions>
    </reviewItem>
    <reviewItem>
      <errorID>f797f40d-968e-40aa-958c-c54ba8bbd37c</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51BCE6C1</paraID>
      <start>0</start>
      <end>2</end>
      <status>unmodified</status>
      <modifiedWord/>
      <trackRevisions>false</trackRevisions>
    </reviewItem>
    <reviewItem>
      <errorID>24f82847-2731-4d57-bd92-a44641ce377a</errorID>
      <errorWord>)</errorWord>
      <group>L1_Format</group>
      <groupName>格式问题</groupName>
      <ability>L2_HalfPunc</ability>
      <abilityName>全半角检查</abilityName>
      <candidateList>
        <item>）</item>
      </candidateList>
      <explain>文本全半角错误。</explain>
      <paraID>56ED694E</paraID>
      <start>48</start>
      <end>49</end>
      <status>unmodified</status>
      <modifiedWord/>
      <trackRevisions>false</trackRevisions>
    </reviewItem>
    <reviewItem>
      <errorID>c0b609d3-2e36-4014-91bd-9401525ad4fb</errorID>
      <errorWord>)</errorWord>
      <group>L1_Format</group>
      <groupName>格式问题</groupName>
      <ability>L2_HalfPunc</ability>
      <abilityName>全半角检查</abilityName>
      <candidateList>
        <item>）</item>
      </candidateList>
      <explain>文本全半角错误。</explain>
      <paraID>56ED694E</paraID>
      <start>58</start>
      <end>59</end>
      <status>unmodified</status>
      <modifiedWord/>
      <trackRevisions>false</trackRevisions>
    </reviewItem>
    <reviewItem>
      <errorID>8606dec1-6028-4dfb-9df1-a01932e56c4d</errorID>
      <errorWord>)</errorWord>
      <group>L1_Format</group>
      <groupName>格式问题</groupName>
      <ability>L2_HalfPunc</ability>
      <abilityName>全半角检查</abilityName>
      <candidateList>
        <item>）</item>
      </candidateList>
      <explain>文本全半角错误。</explain>
      <paraID>56ED694E</paraID>
      <start>123</start>
      <end>124</end>
      <status>unmodified</status>
      <modifiedWord/>
      <trackRevisions>false</trackRevisions>
    </reviewItem>
    <reviewItem>
      <errorID>0225483d-1fa7-435b-aa8a-1153d9ce6051</errorID>
      <errorWord>（</errorWord>
      <group>L1_Punc</group>
      <groupName>标点问题</groupName>
      <ability>L2_Punc</ability>
      <abilityName>标点符号检查</abilityName>
      <candidateList/>
      <explain/>
      <paraID>56ED694E</paraID>
      <start>135</start>
      <end>136</end>
      <status>unmodified</status>
      <modifiedWord/>
      <trackRevisions>false</trackRevisions>
    </reviewItem>
    <reviewItem>
      <errorID>f06ea3b0-d87d-4d2a-b143-ad2d559f671d</errorID>
      <errorWord>氣</errorWord>
      <group>L1_Word</group>
      <groupName>字词问题</groupName>
      <ability>L2_Fanti</ability>
      <abilityName>繁转简</abilityName>
      <candidateList>
        <item>气</item>
      </candidateList>
      <explain/>
      <paraID>56ED694E</paraID>
      <start>150</start>
      <end>151</end>
      <status>unmodified</status>
      <modifiedWord/>
      <trackRevisions>false</trackRevisions>
    </reviewItem>
    <reviewItem>
      <errorID>31b3bca7-d2a7-49c9-974c-a7451e6489f2</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78967E4A</paraID>
      <start>0</start>
      <end>2</end>
      <status>unmodified</status>
      <modifiedWord/>
      <trackRevisions>false</trackRevisions>
    </reviewItem>
    <reviewItem>
      <errorID>9fb79b3f-152d-4d90-ab91-70bdb4f01ec1</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4E7288E1</paraID>
      <start>0</start>
      <end>2</end>
      <status>unmodified</status>
      <modifiedWord/>
      <trackRevisions>false</trackRevisions>
    </reviewItem>
    <reviewItem>
      <errorID>9f8e6c01-d982-44af-873b-84bb74c03983</errorID>
      <errorWord>(</errorWord>
      <group>L1_Format</group>
      <groupName>格式问题</groupName>
      <ability>L2_HalfPunc</ability>
      <abilityName>全半角检查</abilityName>
      <candidateList>
        <item>（</item>
      </candidateList>
      <explain>文本全半角错误。</explain>
      <paraID>60C2FDEF</paraID>
      <start>3</start>
      <end>4</end>
      <status>unmodified</status>
      <modifiedWord/>
      <trackRevisions>false</trackRevisions>
    </reviewItem>
    <reviewItem>
      <errorID>4d10ea77-5e89-4fd1-b60d-3bf36d91cc24</errorID>
      <errorWord>)</errorWord>
      <group>L1_Format</group>
      <groupName>格式问题</groupName>
      <ability>L2_HalfPunc</ability>
      <abilityName>全半角检查</abilityName>
      <candidateList>
        <item>）</item>
      </candidateList>
      <explain>文本全半角错误。</explain>
      <paraID>60C2FDEF</paraID>
      <start>7</start>
      <end>8</end>
      <status>unmodified</status>
      <modifiedWord/>
      <trackRevisions>false</trackRevisions>
    </reviewItem>
    <reviewItem>
      <errorID>4fb1605f-7e68-48c1-a9fb-6e2275973551</errorID>
      <errorWord>(</errorWord>
      <group>L1_Format</group>
      <groupName>格式问题</groupName>
      <ability>L2_HalfPunc</ability>
      <abilityName>全半角检查</abilityName>
      <candidateList>
        <item>（</item>
      </candidateList>
      <explain>文本全半角错误。</explain>
      <paraID>23B0205F</paraID>
      <start>3</start>
      <end>4</end>
      <status>unmodified</status>
      <modifiedWord/>
      <trackRevisions>false</trackRevisions>
    </reviewItem>
    <reviewItem>
      <errorID>18e28c86-942b-4b10-8d5c-1870244f4ad8</errorID>
      <errorWord>)</errorWord>
      <group>L1_Format</group>
      <groupName>格式问题</groupName>
      <ability>L2_HalfPunc</ability>
      <abilityName>全半角检查</abilityName>
      <candidateList>
        <item>）</item>
      </candidateList>
      <explain>文本全半角错误。</explain>
      <paraID>23B0205F</paraID>
      <start>8</start>
      <end>9</end>
      <status>unmodified</status>
      <modifiedWord/>
      <trackRevisions>false</trackRevisions>
    </reviewItem>
    <reviewItem>
      <errorID>f5d0886d-f83b-45f1-b53a-4753273c41f1</errorID>
      <errorWord>(</errorWord>
      <group>L1_Format</group>
      <groupName>格式问题</groupName>
      <ability>L2_HalfPunc</ability>
      <abilityName>全半角检查</abilityName>
      <candidateList>
        <item>（</item>
      </candidateList>
      <explain>文本全半角错误。</explain>
      <paraID>431AB438</paraID>
      <start>6</start>
      <end>7</end>
      <status>unmodified</status>
      <modifiedWord/>
      <trackRevisions>false</trackRevisions>
    </reviewItem>
    <reviewItem>
      <errorID>0ce82ecd-c1cd-4dc0-9850-7efd35b149e7</errorID>
      <errorWord>)</errorWord>
      <group>L1_Format</group>
      <groupName>格式问题</groupName>
      <ability>L2_HalfPunc</ability>
      <abilityName>全半角检查</abilityName>
      <candidateList>
        <item>）</item>
      </candidateList>
      <explain>文本全半角错误。</explain>
      <paraID>431AB438</paraID>
      <start>11</start>
      <end>12</end>
      <status>unmodified</status>
      <modifiedWord/>
      <trackRevisions>false</trackRevisions>
    </reviewItem>
    <reviewItem>
      <errorID>87d43729-69eb-40cf-9a30-768f71849b0f</errorID>
      <errorWord>(</errorWord>
      <group>L1_Format</group>
      <groupName>格式问题</groupName>
      <ability>L2_HalfPunc</ability>
      <abilityName>全半角检查</abilityName>
      <candidateList>
        <item>（</item>
      </candidateList>
      <explain>文本全半角错误。</explain>
      <paraID>11C34E94</paraID>
      <start>5</start>
      <end>6</end>
      <status>unmodified</status>
      <modifiedWord/>
      <trackRevisions>false</trackRevisions>
    </reviewItem>
    <reviewItem>
      <errorID>ab9450a3-8435-41cb-a86b-e0242509d37a</errorID>
      <errorWord>)</errorWord>
      <group>L1_Format</group>
      <groupName>格式问题</groupName>
      <ability>L2_HalfPunc</ability>
      <abilityName>全半角检查</abilityName>
      <candidateList>
        <item>）</item>
      </candidateList>
      <explain>文本全半角错误。</explain>
      <paraID>11C34E94</paraID>
      <start>15</start>
      <end>16</end>
      <status>unmodified</status>
      <modifiedWord/>
      <trackRevisions>false</trackRevisions>
    </reviewItem>
    <reviewItem>
      <errorID>9afd9273-9b7d-434f-bb62-78bf600138a7</errorID>
      <errorWord>(</errorWord>
      <group>L1_Format</group>
      <groupName>格式问题</groupName>
      <ability>L2_HalfPunc</ability>
      <abilityName>全半角检查</abilityName>
      <candidateList>
        <item>（</item>
      </candidateList>
      <explain>文本全半角错误。</explain>
      <paraID>232FC5C6</paraID>
      <start>3</start>
      <end>4</end>
      <status>unmodified</status>
      <modifiedWord/>
      <trackRevisions>false</trackRevisions>
    </reviewItem>
    <reviewItem>
      <errorID>4e58d815-2922-42b6-8a49-36da59680f58</errorID>
      <errorWord>)</errorWord>
      <group>L1_Format</group>
      <groupName>格式问题</groupName>
      <ability>L2_HalfPunc</ability>
      <abilityName>全半角检查</abilityName>
      <candidateList>
        <item>）</item>
      </candidateList>
      <explain>文本全半角错误。</explain>
      <paraID>232FC5C6</paraID>
      <start>8</start>
      <end>9</end>
      <status>unmodified</status>
      <modifiedWord/>
      <trackRevisions>false</trackRevisions>
    </reviewItem>
    <reviewItem>
      <errorID>490a25a3-8da5-4be2-8091-ad1f037d0c66</errorID>
      <errorWord>(</errorWord>
      <group>L1_Format</group>
      <groupName>格式问题</groupName>
      <ability>L2_HalfPunc</ability>
      <abilityName>全半角检查</abilityName>
      <candidateList>
        <item>（</item>
      </candidateList>
      <explain>文本全半角错误。</explain>
      <paraID>6A902BC7</paraID>
      <start>2</start>
      <end>3</end>
      <status>unmodified</status>
      <modifiedWord/>
      <trackRevisions>false</trackRevisions>
    </reviewItem>
    <reviewItem>
      <errorID>0e014349-725a-4d44-8d1a-489ab24f7e11</errorID>
      <errorWord>)</errorWord>
      <group>L1_Format</group>
      <groupName>格式问题</groupName>
      <ability>L2_HalfPunc</ability>
      <abilityName>全半角检查</abilityName>
      <candidateList>
        <item>）</item>
      </candidateList>
      <explain>文本全半角错误。</explain>
      <paraID>6A902BC7</paraID>
      <start>7</start>
      <end>8</end>
      <status>unmodified</status>
      <modifiedWord/>
      <trackRevisions>false</trackRevisions>
    </reviewItem>
    <reviewItem>
      <errorID>a90bd7e1-218d-4296-af09-597b93bb77f4</errorID>
      <errorWord>(</errorWord>
      <group>L1_Format</group>
      <groupName>格式问题</groupName>
      <ability>L2_HalfPunc</ability>
      <abilityName>全半角检查</abilityName>
      <candidateList>
        <item>（</item>
      </candidateList>
      <explain>文本全半角错误。</explain>
      <paraID>59E55EC8</paraID>
      <start>5</start>
      <end>6</end>
      <status>unmodified</status>
      <modifiedWord/>
      <trackRevisions>false</trackRevisions>
    </reviewItem>
    <reviewItem>
      <errorID>d4d78862-ab2c-42e0-95ce-dae9278f3fdd</errorID>
      <errorWord>)</errorWord>
      <group>L1_Format</group>
      <groupName>格式问题</groupName>
      <ability>L2_HalfPunc</ability>
      <abilityName>全半角检查</abilityName>
      <candidateList>
        <item>）</item>
      </candidateList>
      <explain>文本全半角错误。</explain>
      <paraID>59E55EC8</paraID>
      <start>10</start>
      <end>11</end>
      <status>unmodified</status>
      <modifiedWord/>
      <trackRevisions>false</trackRevisions>
    </reviewItem>
    <reviewItem>
      <errorID>5f4b9e74-ad0b-4b38-8176-b1e11909fa00</errorID>
      <errorWord>(</errorWord>
      <group>L1_Format</group>
      <groupName>格式问题</groupName>
      <ability>L2_HalfPunc</ability>
      <abilityName>全半角检查</abilityName>
      <candidateList>
        <item>（</item>
      </candidateList>
      <explain>文本全半角错误。</explain>
      <paraID> EA836F1</paraID>
      <start>3</start>
      <end>4</end>
      <status>unmodified</status>
      <modifiedWord/>
      <trackRevisions>false</trackRevisions>
    </reviewItem>
    <reviewItem>
      <errorID>dea0a3fd-4438-4f56-b6f1-2bc7af7e9d5b</errorID>
      <errorWord>)</errorWord>
      <group>L1_Format</group>
      <groupName>格式问题</groupName>
      <ability>L2_HalfPunc</ability>
      <abilityName>全半角检查</abilityName>
      <candidateList>
        <item>）</item>
      </candidateList>
      <explain>文本全半角错误。</explain>
      <paraID> EA836F1</paraID>
      <start>7</start>
      <end>8</end>
      <status>unmodified</status>
      <modifiedWord/>
      <trackRevisions>false</trackRevisions>
    </reviewItem>
    <reviewItem>
      <errorID>f2f557f6-7c43-4304-be4e-71dad60e8987</errorID>
      <errorWord>(</errorWord>
      <group>L1_Format</group>
      <groupName>格式问题</groupName>
      <ability>L2_HalfPunc</ability>
      <abilityName>全半角检查</abilityName>
      <candidateList>
        <item>（</item>
      </candidateList>
      <explain>文本全半角错误。</explain>
      <paraID> 49EAABE</paraID>
      <start>3</start>
      <end>4</end>
      <status>unmodified</status>
      <modifiedWord/>
      <trackRevisions>false</trackRevisions>
    </reviewItem>
    <reviewItem>
      <errorID>c8720e71-669d-4a14-ae6a-92b1afb7c9fe</errorID>
      <errorWord>)</errorWord>
      <group>L1_Format</group>
      <groupName>格式问题</groupName>
      <ability>L2_HalfPunc</ability>
      <abilityName>全半角检查</abilityName>
      <candidateList>
        <item>）</item>
      </candidateList>
      <explain>文本全半角错误。</explain>
      <paraID> 49EAABE</paraID>
      <start>8</start>
      <end>9</end>
      <status>unmodified</status>
      <modifiedWord/>
      <trackRevisions>false</trackRevisions>
    </reviewItem>
    <reviewItem>
      <errorID>66482734-897a-4c1f-8fa1-b34848ff5037</errorID>
      <errorWord>(</errorWord>
      <group>L1_Format</group>
      <groupName>格式问题</groupName>
      <ability>L2_HalfPunc</ability>
      <abilityName>全半角检查</abilityName>
      <candidateList>
        <item>（</item>
      </candidateList>
      <explain>文本全半角错误。</explain>
      <paraID>26329028</paraID>
      <start>3</start>
      <end>4</end>
      <status>unmodified</status>
      <modifiedWord/>
      <trackRevisions>false</trackRevisions>
    </reviewItem>
    <reviewItem>
      <errorID>db4fbc89-433b-47b2-98d3-b4ebe8c5e350</errorID>
      <errorWord>)</errorWord>
      <group>L1_Format</group>
      <groupName>格式问题</groupName>
      <ability>L2_HalfPunc</ability>
      <abilityName>全半角检查</abilityName>
      <candidateList>
        <item>）</item>
      </candidateList>
      <explain>文本全半角错误。</explain>
      <paraID>26329028</paraID>
      <start>8</start>
      <end>9</end>
      <status>unmodified</status>
      <modifiedWord/>
      <trackRevisions>false</trackRevisions>
    </reviewItem>
    <reviewItem>
      <errorID>12020259-297b-4e7c-af27-02b06d2b1604</errorID>
      <errorWord>(</errorWord>
      <group>L1_Format</group>
      <groupName>格式问题</groupName>
      <ability>L2_HalfPunc</ability>
      <abilityName>全半角检查</abilityName>
      <candidateList>
        <item>（</item>
      </candidateList>
      <explain>文本全半角错误。</explain>
      <paraID>19F858A7</paraID>
      <start>3</start>
      <end>4</end>
      <status>unmodified</status>
      <modifiedWord/>
      <trackRevisions>false</trackRevisions>
    </reviewItem>
    <reviewItem>
      <errorID>af1950c7-39c8-43b1-baec-e9d8ec96ae25</errorID>
      <errorWord>)</errorWord>
      <group>L1_Format</group>
      <groupName>格式问题</groupName>
      <ability>L2_HalfPunc</ability>
      <abilityName>全半角检查</abilityName>
      <candidateList>
        <item>）</item>
      </candidateList>
      <explain>文本全半角错误。</explain>
      <paraID>19F858A7</paraID>
      <start>8</start>
      <end>9</end>
      <status>unmodified</status>
      <modifiedWord/>
      <trackRevisions>false</trackRevisions>
    </reviewItem>
    <reviewItem>
      <errorID>d71d7f3b-dd01-401a-81f6-5fcdde54920d</errorID>
      <errorWord>(</errorWord>
      <group>L1_Format</group>
      <groupName>格式问题</groupName>
      <ability>L2_HalfPunc</ability>
      <abilityName>全半角检查</abilityName>
      <candidateList>
        <item>（</item>
      </candidateList>
      <explain>文本全半角错误。</explain>
      <paraID> 55BC6A1</paraID>
      <start>3</start>
      <end>4</end>
      <status>unmodified</status>
      <modifiedWord/>
      <trackRevisions>false</trackRevisions>
    </reviewItem>
    <reviewItem>
      <errorID>9f33b806-dd79-4206-8e41-41163085a239</errorID>
      <errorWord>)</errorWord>
      <group>L1_Format</group>
      <groupName>格式问题</groupName>
      <ability>L2_HalfPunc</ability>
      <abilityName>全半角检查</abilityName>
      <candidateList>
        <item>）</item>
      </candidateList>
      <explain>文本全半角错误。</explain>
      <paraID> 55BC6A1</paraID>
      <start>8</start>
      <end>9</end>
      <status>unmodified</status>
      <modifiedWord/>
      <trackRevisions>false</trackRevisions>
    </reviewItem>
    <reviewItem>
      <errorID>b889b432-a0d2-4d72-a2e1-e066448e4144</errorID>
      <errorWord>(</errorWord>
      <group>L1_Format</group>
      <groupName>格式问题</groupName>
      <ability>L2_HalfPunc</ability>
      <abilityName>全半角检查</abilityName>
      <candidateList>
        <item>（</item>
      </candidateList>
      <explain>文本全半角错误。</explain>
      <paraID>185879BA</paraID>
      <start>4</start>
      <end>5</end>
      <status>unmodified</status>
      <modifiedWord/>
      <trackRevisions>false</trackRevisions>
    </reviewItem>
    <reviewItem>
      <errorID>8882b83f-c766-4131-9adc-941a2682203e</errorID>
      <errorWord>)</errorWord>
      <group>L1_Format</group>
      <groupName>格式问题</groupName>
      <ability>L2_HalfPunc</ability>
      <abilityName>全半角检查</abilityName>
      <candidateList>
        <item>）</item>
      </candidateList>
      <explain>文本全半角错误。</explain>
      <paraID>185879BA</paraID>
      <start>8</start>
      <end>9</end>
      <status>unmodified</status>
      <modifiedWord/>
      <trackRevisions>false</trackRevisions>
    </reviewItem>
    <reviewItem>
      <errorID>f47d19a0-0cc2-493e-b6e8-d434fec358e9</errorID>
      <errorWord>(</errorWord>
      <group>L1_Format</group>
      <groupName>格式问题</groupName>
      <ability>L2_HalfPunc</ability>
      <abilityName>全半角检查</abilityName>
      <candidateList>
        <item>（</item>
      </candidateList>
      <explain>文本全半角错误。</explain>
      <paraID> 4FDE513</paraID>
      <start>3</start>
      <end>4</end>
      <status>unmodified</status>
      <modifiedWord/>
      <trackRevisions>false</trackRevisions>
    </reviewItem>
    <reviewItem>
      <errorID>8b0eb169-24f9-4aa4-8879-35e538b3e239</errorID>
      <errorWord>)</errorWord>
      <group>L1_Format</group>
      <groupName>格式问题</groupName>
      <ability>L2_HalfPunc</ability>
      <abilityName>全半角检查</abilityName>
      <candidateList>
        <item>）</item>
      </candidateList>
      <explain>文本全半角错误。</explain>
      <paraID> 4FDE513</paraID>
      <start>7</start>
      <end>8</end>
      <status>unmodified</status>
      <modifiedWord/>
      <trackRevisions>false</trackRevisions>
    </reviewItem>
    <reviewItem>
      <errorID>f7d38e14-d5e5-484b-908c-31b894842e76</errorID>
      <errorWord>(</errorWord>
      <group>L1_Format</group>
      <groupName>格式问题</groupName>
      <ability>L2_HalfPunc</ability>
      <abilityName>全半角检查</abilityName>
      <candidateList>
        <item>（</item>
      </candidateList>
      <explain>文本全半角错误。</explain>
      <paraID> 1E1C523</paraID>
      <start>3</start>
      <end>4</end>
      <status>unmodified</status>
      <modifiedWord/>
      <trackRevisions>false</trackRevisions>
    </reviewItem>
    <reviewItem>
      <errorID>c745c967-3d00-4374-bee7-91f8af5b2c47</errorID>
      <errorWord>)</errorWord>
      <group>L1_Format</group>
      <groupName>格式问题</groupName>
      <ability>L2_HalfPunc</ability>
      <abilityName>全半角检查</abilityName>
      <candidateList>
        <item>）</item>
      </candidateList>
      <explain>文本全半角错误。</explain>
      <paraID> 1E1C523</paraID>
      <start>8</start>
      <end>9</end>
      <status>unmodified</status>
      <modifiedWord/>
      <trackRevisions>false</trackRevisions>
    </reviewItem>
    <reviewItem>
      <errorID>c72cfa2e-fed1-4a57-8925-8f130c3c3e68</errorID>
      <errorWord>(</errorWord>
      <group>L1_Format</group>
      <groupName>格式问题</groupName>
      <ability>L2_HalfPunc</ability>
      <abilityName>全半角检查</abilityName>
      <candidateList>
        <item>（</item>
      </candidateList>
      <explain>文本全半角错误。</explain>
      <paraID>64BCDDA4</paraID>
      <start>3</start>
      <end>4</end>
      <status>unmodified</status>
      <modifiedWord/>
      <trackRevisions>false</trackRevisions>
    </reviewItem>
    <reviewItem>
      <errorID>75a63b70-e2ea-4211-b8a1-1d7db2cdf01c</errorID>
      <errorWord>)</errorWord>
      <group>L1_Format</group>
      <groupName>格式问题</groupName>
      <ability>L2_HalfPunc</ability>
      <abilityName>全半角检查</abilityName>
      <candidateList>
        <item>）</item>
      </candidateList>
      <explain>文本全半角错误。</explain>
      <paraID>64BCDDA4</paraID>
      <start>8</start>
      <end>9</end>
      <status>unmodified</status>
      <modifiedWord/>
      <trackRevisions>false</trackRevisions>
    </reviewItem>
    <reviewItem>
      <errorID>6da804b5-329b-4046-8157-0f4f6bfba29c</errorID>
      <errorWord>(</errorWord>
      <group>L1_Format</group>
      <groupName>格式问题</groupName>
      <ability>L2_HalfPunc</ability>
      <abilityName>全半角检查</abilityName>
      <candidateList>
        <item>（</item>
      </candidateList>
      <explain>文本全半角错误。</explain>
      <paraID>5A5DA63C</paraID>
      <start>3</start>
      <end>4</end>
      <status>unmodified</status>
      <modifiedWord/>
      <trackRevisions>false</trackRevisions>
    </reviewItem>
    <reviewItem>
      <errorID>6d9db209-b030-4320-bd83-7c0679c5f2d9</errorID>
      <errorWord>)</errorWord>
      <group>L1_Format</group>
      <groupName>格式问题</groupName>
      <ability>L2_HalfPunc</ability>
      <abilityName>全半角检查</abilityName>
      <candidateList>
        <item>）</item>
      </candidateList>
      <explain>文本全半角错误。</explain>
      <paraID>5A5DA63C</paraID>
      <start>8</start>
      <end>9</end>
      <status>unmodified</status>
      <modifiedWord/>
      <trackRevisions>false</trackRevisions>
    </reviewItem>
    <reviewItem>
      <errorID>97b99f25-c6ea-44b4-8a10-411c0cce6291</errorID>
      <errorWord>(</errorWord>
      <group>L1_Format</group>
      <groupName>格式问题</groupName>
      <ability>L2_HalfPunc</ability>
      <abilityName>全半角检查</abilityName>
      <candidateList>
        <item>（</item>
      </candidateList>
      <explain>文本全半角错误。</explain>
      <paraID>628ED57A</paraID>
      <start>2</start>
      <end>3</end>
      <status>unmodified</status>
      <modifiedWord/>
      <trackRevisions>false</trackRevisions>
    </reviewItem>
    <reviewItem>
      <errorID>0ef6a1b3-b243-4174-9fe4-b8fa33678536</errorID>
      <errorWord>)</errorWord>
      <group>L1_Format</group>
      <groupName>格式问题</groupName>
      <ability>L2_HalfPunc</ability>
      <abilityName>全半角检查</abilityName>
      <candidateList>
        <item>）</item>
      </candidateList>
      <explain>文本全半角错误。</explain>
      <paraID>628ED57A</paraID>
      <start>6</start>
      <end>7</end>
      <status>unmodified</status>
      <modifiedWord/>
      <trackRevisions>false</trackRevisions>
    </reviewItem>
    <reviewItem>
      <errorID>5ea1d27c-5604-4ec1-abad-bb0f91dcfb45</errorID>
      <errorWord>(</errorWord>
      <group>L1_Format</group>
      <groupName>格式问题</groupName>
      <ability>L2_HalfPunc</ability>
      <abilityName>全半角检查</abilityName>
      <candidateList>
        <item>（</item>
      </candidateList>
      <explain>文本全半角错误。</explain>
      <paraID>2B48D78D</paraID>
      <start>3</start>
      <end>4</end>
      <status>unmodified</status>
      <modifiedWord/>
      <trackRevisions>false</trackRevisions>
    </reviewItem>
    <reviewItem>
      <errorID>6fdceb39-8c65-422a-90a7-5909d51f7be2</errorID>
      <errorWord>)</errorWord>
      <group>L1_Format</group>
      <groupName>格式问题</groupName>
      <ability>L2_HalfPunc</ability>
      <abilityName>全半角检查</abilityName>
      <candidateList>
        <item>）</item>
      </candidateList>
      <explain>文本全半角错误。</explain>
      <paraID>2B48D78D</paraID>
      <start>15</start>
      <end>16</end>
      <status>unmodified</status>
      <modifiedWord/>
      <trackRevisions>false</trackRevisions>
    </reviewItem>
    <reviewItem>
      <errorID>fce2d192-ebf4-4ae1-bea4-b6eba16ac2c0</errorID>
      <errorWord>(</errorWord>
      <group>L1_Format</group>
      <groupName>格式问题</groupName>
      <ability>L2_HalfPunc</ability>
      <abilityName>全半角检查</abilityName>
      <candidateList>
        <item>（</item>
      </candidateList>
      <explain>文本全半角错误。</explain>
      <paraID> F7DE9DC</paraID>
      <start>3</start>
      <end>4</end>
      <status>unmodified</status>
      <modifiedWord/>
      <trackRevisions>false</trackRevisions>
    </reviewItem>
    <reviewItem>
      <errorID>737d9c70-3e0d-4224-b4ea-f45046131929</errorID>
      <errorWord>)</errorWord>
      <group>L1_Format</group>
      <groupName>格式问题</groupName>
      <ability>L2_HalfPunc</ability>
      <abilityName>全半角检查</abilityName>
      <candidateList>
        <item>）</item>
      </candidateList>
      <explain>文本全半角错误。</explain>
      <paraID> F7DE9DC</paraID>
      <start>8</start>
      <end>9</end>
      <status>unmodified</status>
      <modifiedWord/>
      <trackRevisions>false</trackRevisions>
    </reviewItem>
    <reviewItem>
      <errorID>6c143399-c6cd-4983-a120-f9477fbc9b73</errorID>
      <errorWord>(</errorWord>
      <group>L1_Format</group>
      <groupName>格式问题</groupName>
      <ability>L2_HalfPunc</ability>
      <abilityName>全半角检查</abilityName>
      <candidateList>
        <item>（</item>
      </candidateList>
      <explain>文本全半角错误。</explain>
      <paraID>17EAB5D1</paraID>
      <start>3</start>
      <end>4</end>
      <status>unmodified</status>
      <modifiedWord/>
      <trackRevisions>false</trackRevisions>
    </reviewItem>
    <reviewItem>
      <errorID>616534d2-59d4-41d2-b0e0-4d755313d4fb</errorID>
      <errorWord>)</errorWord>
      <group>L1_Format</group>
      <groupName>格式问题</groupName>
      <ability>L2_HalfPunc</ability>
      <abilityName>全半角检查</abilityName>
      <candidateList>
        <item>）</item>
      </candidateList>
      <explain>文本全半角错误。</explain>
      <paraID>17EAB5D1</paraID>
      <start>8</start>
      <end>9</end>
      <status>unmodified</status>
      <modifiedWord/>
      <trackRevisions>false</trackRevisions>
    </reviewItem>
    <reviewItem>
      <errorID>6370955f-0af8-4e22-a115-1e96bfbe7757</errorID>
      <errorWord>(</errorWord>
      <group>L1_Format</group>
      <groupName>格式问题</groupName>
      <ability>L2_HalfPunc</ability>
      <abilityName>全半角检查</abilityName>
      <candidateList>
        <item>（</item>
      </candidateList>
      <explain>文本全半角错误。</explain>
      <paraID>52F0EE60</paraID>
      <start>1</start>
      <end>2</end>
      <status>unmodified</status>
      <modifiedWord/>
      <trackRevisions>false</trackRevisions>
    </reviewItem>
    <reviewItem>
      <errorID>e2e491e7-c654-48ad-8d91-5a77c5cc22dc</errorID>
      <errorWord>)</errorWord>
      <group>L1_Format</group>
      <groupName>格式问题</groupName>
      <ability>L2_HalfPunc</ability>
      <abilityName>全半角检查</abilityName>
      <candidateList>
        <item>）</item>
      </candidateList>
      <explain>文本全半角错误。</explain>
      <paraID>52F0EE60</paraID>
      <start>6</start>
      <end>7</end>
      <status>unmodified</status>
      <modifiedWord/>
      <trackRevisions>false</trackRevisions>
    </reviewItem>
    <reviewItem>
      <errorID>d6b6c6fb-2e5f-4483-8a45-07ba80db69a0</errorID>
      <errorWord>(</errorWord>
      <group>L1_Format</group>
      <groupName>格式问题</groupName>
      <ability>L2_HalfPunc</ability>
      <abilityName>全半角检查</abilityName>
      <candidateList>
        <item>（</item>
      </candidateList>
      <explain>文本全半角错误。</explain>
      <paraID>11262673</paraID>
      <start>1</start>
      <end>2</end>
      <status>unmodified</status>
      <modifiedWord/>
      <trackRevisions>false</trackRevisions>
    </reviewItem>
    <reviewItem>
      <errorID>2cebc683-9936-44d5-8678-46260b681301</errorID>
      <errorWord>)</errorWord>
      <group>L1_Format</group>
      <groupName>格式问题</groupName>
      <ability>L2_HalfPunc</ability>
      <abilityName>全半角检查</abilityName>
      <candidateList>
        <item>）</item>
      </candidateList>
      <explain>文本全半角错误。</explain>
      <paraID>11262673</paraID>
      <start>6</start>
      <end>7</end>
      <status>unmodified</status>
      <modifiedWord/>
      <trackRevisions>false</trackRevisions>
    </reviewItem>
    <reviewItem>
      <errorID>ad2b006b-c9ba-4b07-b1ea-4ceb0490159c</errorID>
      <errorWord>(</errorWord>
      <group>L1_Format</group>
      <groupName>格式问题</groupName>
      <ability>L2_HalfPunc</ability>
      <abilityName>全半角检查</abilityName>
      <candidateList>
        <item>（</item>
      </candidateList>
      <explain>文本全半角错误。</explain>
      <paraID>4EB528EE</paraID>
      <start>1</start>
      <end>2</end>
      <status>unmodified</status>
      <modifiedWord/>
      <trackRevisions>false</trackRevisions>
    </reviewItem>
    <reviewItem>
      <errorID>f11bc8a0-f0cc-4740-b2cc-c0126ae1ad5c</errorID>
      <errorWord>)</errorWord>
      <group>L1_Format</group>
      <groupName>格式问题</groupName>
      <ability>L2_HalfPunc</ability>
      <abilityName>全半角检查</abilityName>
      <candidateList>
        <item>）</item>
      </candidateList>
      <explain>文本全半角错误。</explain>
      <paraID>4EB528EE</paraID>
      <start>6</start>
      <end>7</end>
      <status>unmodified</status>
      <modifiedWord/>
      <trackRevisions>false</trackRevisions>
    </reviewItem>
    <reviewItem>
      <errorID>c988a749-bd6a-401f-8cd7-4f18fbea3ba8</errorID>
      <errorWord>(</errorWord>
      <group>L1_Format</group>
      <groupName>格式问题</groupName>
      <ability>L2_HalfPunc</ability>
      <abilityName>全半角检查</abilityName>
      <candidateList>
        <item>（</item>
      </candidateList>
      <explain>文本全半角错误。</explain>
      <paraID>1F21E1EB</paraID>
      <start>1</start>
      <end>2</end>
      <status>unmodified</status>
      <modifiedWord/>
      <trackRevisions>false</trackRevisions>
    </reviewItem>
    <reviewItem>
      <errorID>065d2341-be55-4486-8891-112fe4ed8c0e</errorID>
      <errorWord>)</errorWord>
      <group>L1_Format</group>
      <groupName>格式问题</groupName>
      <ability>L2_HalfPunc</ability>
      <abilityName>全半角检查</abilityName>
      <candidateList>
        <item>）</item>
      </candidateList>
      <explain>文本全半角错误。</explain>
      <paraID>1F21E1EB</paraID>
      <start>6</start>
      <end>7</end>
      <status>unmodified</status>
      <modifiedWord/>
      <trackRevisions>false</trackRevisions>
    </reviewItem>
    <reviewItem>
      <errorID>fb655e9d-71e8-498b-bccb-34ad12d01f35</errorID>
      <errorWord>(</errorWord>
      <group>L1_Format</group>
      <groupName>格式问题</groupName>
      <ability>L2_HalfPunc</ability>
      <abilityName>全半角检查</abilityName>
      <candidateList>
        <item>（</item>
      </candidateList>
      <explain>文本全半角错误。</explain>
      <paraID>7731663A</paraID>
      <start>1</start>
      <end>2</end>
      <status>unmodified</status>
      <modifiedWord/>
      <trackRevisions>false</trackRevisions>
    </reviewItem>
    <reviewItem>
      <errorID>259e320c-ae81-4fc9-b4dd-36975cdad34a</errorID>
      <errorWord>)</errorWord>
      <group>L1_Format</group>
      <groupName>格式问题</groupName>
      <ability>L2_HalfPunc</ability>
      <abilityName>全半角检查</abilityName>
      <candidateList>
        <item>）</item>
      </candidateList>
      <explain>文本全半角错误。</explain>
      <paraID>7731663A</paraID>
      <start>6</start>
      <end>7</end>
      <status>unmodified</status>
      <modifiedWord/>
      <trackRevisions>false</trackRevisions>
    </reviewItem>
    <reviewItem>
      <errorID>e279b311-7f1b-46b7-b38f-55347fc835be</errorID>
      <errorWord>(</errorWord>
      <group>L1_Format</group>
      <groupName>格式问题</groupName>
      <ability>L2_HalfPunc</ability>
      <abilityName>全半角检查</abilityName>
      <candidateList>
        <item>（</item>
      </candidateList>
      <explain>文本全半角错误。</explain>
      <paraID>434BF7B6</paraID>
      <start>3</start>
      <end>4</end>
      <status>unmodified</status>
      <modifiedWord/>
      <trackRevisions>false</trackRevisions>
    </reviewItem>
    <reviewItem>
      <errorID>a3f76905-d2bc-406c-a67a-d9e86649bbf2</errorID>
      <errorWord>)</errorWord>
      <group>L1_Format</group>
      <groupName>格式问题</groupName>
      <ability>L2_HalfPunc</ability>
      <abilityName>全半角检查</abilityName>
      <candidateList>
        <item>）</item>
      </candidateList>
      <explain>文本全半角错误。</explain>
      <paraID>434BF7B6</paraID>
      <start>8</start>
      <end>9</end>
      <status>unmodified</status>
      <modifiedWord/>
      <trackRevisions>false</trackRevisions>
    </reviewItem>
    <reviewItem>
      <errorID>f78ade7a-68f6-4e9c-b44c-3bd075ec6f46</errorID>
      <errorWord>(</errorWord>
      <group>L1_Format</group>
      <groupName>格式问题</groupName>
      <ability>L2_HalfPunc</ability>
      <abilityName>全半角检查</abilityName>
      <candidateList>
        <item>（</item>
      </candidateList>
      <explain>文本全半角错误。</explain>
      <paraID>7A53D2EB</paraID>
      <start>8</start>
      <end>9</end>
      <status>unmodified</status>
      <modifiedWord/>
      <trackRevisions>false</trackRevisions>
    </reviewItem>
    <reviewItem>
      <errorID>153bc059-ebda-4eb9-8a1b-7929f89913a2</errorID>
      <errorWord>)</errorWord>
      <group>L1_Format</group>
      <groupName>格式问题</groupName>
      <ability>L2_HalfPunc</ability>
      <abilityName>全半角检查</abilityName>
      <candidateList>
        <item>）</item>
      </candidateList>
      <explain>文本全半角错误。</explain>
      <paraID>7A53D2EB</paraID>
      <start>13</start>
      <end>14</end>
      <status>unmodified</status>
      <modifiedWord/>
      <trackRevisions>false</trackRevisions>
    </reviewItem>
    <reviewItem>
      <errorID>95b45483-838f-4fdd-80cb-3d5e6522b2f8</errorID>
      <errorWord>(</errorWord>
      <group>L1_Format</group>
      <groupName>格式问题</groupName>
      <ability>L2_HalfPunc</ability>
      <abilityName>全半角检查</abilityName>
      <candidateList>
        <item>（</item>
      </candidateList>
      <explain>文本全半角错误。</explain>
      <paraID>72315A11</paraID>
      <start>3</start>
      <end>4</end>
      <status>unmodified</status>
      <modifiedWord/>
      <trackRevisions>false</trackRevisions>
    </reviewItem>
    <reviewItem>
      <errorID>715bec2d-4a7b-427f-964a-c856d253dca4</errorID>
      <errorWord>)</errorWord>
      <group>L1_Format</group>
      <groupName>格式问题</groupName>
      <ability>L2_HalfPunc</ability>
      <abilityName>全半角检查</abilityName>
      <candidateList>
        <item>）</item>
      </candidateList>
      <explain>文本全半角错误。</explain>
      <paraID>72315A11</paraID>
      <start>8</start>
      <end>9</end>
      <status>unmodified</status>
      <modifiedWord/>
      <trackRevisions>false</trackRevisions>
    </reviewItem>
    <reviewItem>
      <errorID>ac85391a-1e5f-4f1e-893c-1a6d015e052d</errorID>
      <errorWord>(</errorWord>
      <group>L1_Format</group>
      <groupName>格式问题</groupName>
      <ability>L2_HalfPunc</ability>
      <abilityName>全半角检查</abilityName>
      <candidateList>
        <item>（</item>
      </candidateList>
      <explain>文本全半角错误。</explain>
      <paraID>6B3DB3F2</paraID>
      <start>1</start>
      <end>2</end>
      <status>unmodified</status>
      <modifiedWord/>
      <trackRevisions>false</trackRevisions>
    </reviewItem>
    <reviewItem>
      <errorID>ff4f6ea9-1531-4dd1-841f-ec6e163f0687</errorID>
      <errorWord>)</errorWord>
      <group>L1_Format</group>
      <groupName>格式问题</groupName>
      <ability>L2_HalfPunc</ability>
      <abilityName>全半角检查</abilityName>
      <candidateList>
        <item>）</item>
      </candidateList>
      <explain>文本全半角错误。</explain>
      <paraID>6B3DB3F2</paraID>
      <start>6</start>
      <end>7</end>
      <status>unmodified</status>
      <modifiedWord/>
      <trackRevisions>false</trackRevisions>
    </reviewItem>
    <reviewItem>
      <errorID>47bce40e-822d-4886-9e05-dfa2e4d0b90f</errorID>
      <errorWord>(</errorWord>
      <group>L1_Format</group>
      <groupName>格式问题</groupName>
      <ability>L2_HalfPunc</ability>
      <abilityName>全半角检查</abilityName>
      <candidateList>
        <item>（</item>
      </candidateList>
      <explain>文本全半角错误。</explain>
      <paraID>775FB6E9</paraID>
      <start>1</start>
      <end>2</end>
      <status>unmodified</status>
      <modifiedWord/>
      <trackRevisions>false</trackRevisions>
    </reviewItem>
    <reviewItem>
      <errorID>70d53080-e6ce-461d-a0f0-48cf1ead7591</errorID>
      <errorWord>)</errorWord>
      <group>L1_Format</group>
      <groupName>格式问题</groupName>
      <ability>L2_HalfPunc</ability>
      <abilityName>全半角检查</abilityName>
      <candidateList>
        <item>）</item>
      </candidateList>
      <explain>文本全半角错误。</explain>
      <paraID>775FB6E9</paraID>
      <start>6</start>
      <end>7</end>
      <status>unmodified</status>
      <modifiedWord/>
      <trackRevisions>false</trackRevisions>
    </reviewItem>
    <reviewItem>
      <errorID>f75e0c0c-3f7a-4db9-9038-037a3b9daa35</errorID>
      <errorWord>(</errorWord>
      <group>L1_Format</group>
      <groupName>格式问题</groupName>
      <ability>L2_HalfPunc</ability>
      <abilityName>全半角检查</abilityName>
      <candidateList>
        <item>（</item>
      </candidateList>
      <explain>文本全半角错误。</explain>
      <paraID>5A7C0266</paraID>
      <start>1</start>
      <end>2</end>
      <status>unmodified</status>
      <modifiedWord/>
      <trackRevisions>false</trackRevisions>
    </reviewItem>
    <reviewItem>
      <errorID>22d1812e-fef6-49df-8a06-84157ebee2b3</errorID>
      <errorWord>)</errorWord>
      <group>L1_Format</group>
      <groupName>格式问题</groupName>
      <ability>L2_HalfPunc</ability>
      <abilityName>全半角检查</abilityName>
      <candidateList>
        <item>）</item>
      </candidateList>
      <explain>文本全半角错误。</explain>
      <paraID>5A7C0266</paraID>
      <start>6</start>
      <end>7</end>
      <status>unmodified</status>
      <modifiedWord/>
      <trackRevisions>false</trackRevisions>
    </reviewItem>
    <reviewItem>
      <errorID>1d26f06c-4e62-48b9-9add-a8b950ea9a0d</errorID>
      <errorWord>(</errorWord>
      <group>L1_Format</group>
      <groupName>格式问题</groupName>
      <ability>L2_HalfPunc</ability>
      <abilityName>全半角检查</abilityName>
      <candidateList>
        <item>（</item>
      </candidateList>
      <explain>文本全半角错误。</explain>
      <paraID>4F0B3281</paraID>
      <start>1</start>
      <end>2</end>
      <status>unmodified</status>
      <modifiedWord/>
      <trackRevisions>false</trackRevisions>
    </reviewItem>
    <reviewItem>
      <errorID>37bd2375-b5da-4af5-b1a4-82ade48cb52c</errorID>
      <errorWord>)</errorWord>
      <group>L1_Format</group>
      <groupName>格式问题</groupName>
      <ability>L2_HalfPunc</ability>
      <abilityName>全半角检查</abilityName>
      <candidateList>
        <item>）</item>
      </candidateList>
      <explain>文本全半角错误。</explain>
      <paraID>4F0B3281</paraID>
      <start>6</start>
      <end>7</end>
      <status>unmodified</status>
      <modifiedWord/>
      <trackRevisions>false</trackRevisions>
    </reviewItem>
    <reviewItem>
      <errorID>fa620583-b3ba-48b9-9340-8d4fe1d49c21</errorID>
      <errorWord>(</errorWord>
      <group>L1_Format</group>
      <groupName>格式问题</groupName>
      <ability>L2_HalfPunc</ability>
      <abilityName>全半角检查</abilityName>
      <candidateList>
        <item>（</item>
      </candidateList>
      <explain>文本全半角错误。</explain>
      <paraID>42398674</paraID>
      <start>1</start>
      <end>2</end>
      <status>unmodified</status>
      <modifiedWord/>
      <trackRevisions>false</trackRevisions>
    </reviewItem>
    <reviewItem>
      <errorID>64dfab56-cbe5-4e5b-b269-7d8cb747c377</errorID>
      <errorWord>)</errorWord>
      <group>L1_Format</group>
      <groupName>格式问题</groupName>
      <ability>L2_HalfPunc</ability>
      <abilityName>全半角检查</abilityName>
      <candidateList>
        <item>）</item>
      </candidateList>
      <explain>文本全半角错误。</explain>
      <paraID>42398674</paraID>
      <start>6</start>
      <end>7</end>
      <status>unmodified</status>
      <modifiedWord/>
      <trackRevisions>false</trackRevisions>
    </reviewItem>
    <reviewItem>
      <errorID>9e1f32ae-e727-4433-a38b-cb912a17a48a</errorID>
      <errorWord>(</errorWord>
      <group>L1_Format</group>
      <groupName>格式问题</groupName>
      <ability>L2_HalfPunc</ability>
      <abilityName>全半角检查</abilityName>
      <candidateList>
        <item>（</item>
      </candidateList>
      <explain>文本全半角错误。</explain>
      <paraID>48C8B002</paraID>
      <start>1</start>
      <end>2</end>
      <status>unmodified</status>
      <modifiedWord/>
      <trackRevisions>false</trackRevisions>
    </reviewItem>
    <reviewItem>
      <errorID>b3304783-c9ed-455f-a121-80312c1b858a</errorID>
      <errorWord>)</errorWord>
      <group>L1_Format</group>
      <groupName>格式问题</groupName>
      <ability>L2_HalfPunc</ability>
      <abilityName>全半角检查</abilityName>
      <candidateList>
        <item>）</item>
      </candidateList>
      <explain>文本全半角错误。</explain>
      <paraID>48C8B002</paraID>
      <start>6</start>
      <end>7</end>
      <status>unmodified</status>
      <modifiedWord/>
      <trackRevisions>false</trackRevisions>
    </reviewItem>
    <reviewItem>
      <errorID>d119ae1d-fb37-4cf5-966b-00dff78d4b95</errorID>
      <errorWord>(</errorWord>
      <group>L1_Format</group>
      <groupName>格式问题</groupName>
      <ability>L2_HalfPunc</ability>
      <abilityName>全半角检查</abilityName>
      <candidateList>
        <item>（</item>
      </candidateList>
      <explain>文本全半角错误。</explain>
      <paraID>492D3A26</paraID>
      <start>1</start>
      <end>2</end>
      <status>unmodified</status>
      <modifiedWord/>
      <trackRevisions>false</trackRevisions>
    </reviewItem>
    <reviewItem>
      <errorID>a8796121-cf49-4554-b23e-5f681a930164</errorID>
      <errorWord>)</errorWord>
      <group>L1_Format</group>
      <groupName>格式问题</groupName>
      <ability>L2_HalfPunc</ability>
      <abilityName>全半角检查</abilityName>
      <candidateList>
        <item>）</item>
      </candidateList>
      <explain>文本全半角错误。</explain>
      <paraID>492D3A26</paraID>
      <start>4</start>
      <end>5</end>
      <status>unmodified</status>
      <modifiedWord/>
      <trackRevisions>false</trackRevisions>
    </reviewItem>
    <reviewItem>
      <errorID>bcbc021a-a1af-4098-894d-9ef9d2c77d05</errorID>
      <errorWord>(</errorWord>
      <group>L1_Format</group>
      <groupName>格式问题</groupName>
      <ability>L2_HalfPunc</ability>
      <abilityName>全半角检查</abilityName>
      <candidateList>
        <item>（</item>
      </candidateList>
      <explain>文本全半角错误。</explain>
      <paraID>768569FF</paraID>
      <start>3</start>
      <end>4</end>
      <status>unmodified</status>
      <modifiedWord/>
      <trackRevisions>false</trackRevisions>
    </reviewItem>
    <reviewItem>
      <errorID>90701b19-b105-4ae2-9058-e15c517fa195</errorID>
      <errorWord>)</errorWord>
      <group>L1_Format</group>
      <groupName>格式问题</groupName>
      <ability>L2_HalfPunc</ability>
      <abilityName>全半角检查</abilityName>
      <candidateList>
        <item>）</item>
      </candidateList>
      <explain>文本全半角错误。</explain>
      <paraID>768569FF</paraID>
      <start>11</start>
      <end>12</end>
      <status>unmodified</status>
      <modifiedWord/>
      <trackRevisions>false</trackRevisions>
    </reviewItem>
    <reviewItem>
      <errorID>d049637c-3ff4-4be3-8555-1464df748d6c</errorID>
      <errorWord>(</errorWord>
      <group>L1_Format</group>
      <groupName>格式问题</groupName>
      <ability>L2_HalfPunc</ability>
      <abilityName>全半角检查</abilityName>
      <candidateList>
        <item>（</item>
      </candidateList>
      <explain>文本全半角错误。</explain>
      <paraID> DE1A829</paraID>
      <start>6</start>
      <end>7</end>
      <status>unmodified</status>
      <modifiedWord/>
      <trackRevisions>false</trackRevisions>
    </reviewItem>
    <reviewItem>
      <errorID>010daf2e-971b-4dc6-9979-67a2aa537dbe</errorID>
      <errorWord>)</errorWord>
      <group>L1_Format</group>
      <groupName>格式问题</groupName>
      <ability>L2_HalfPunc</ability>
      <abilityName>全半角检查</abilityName>
      <candidateList>
        <item>）</item>
      </candidateList>
      <explain>文本全半角错误。</explain>
      <paraID> DE1A829</paraID>
      <start>10</start>
      <end>11</end>
      <status>unmodified</status>
      <modifiedWord/>
      <trackRevisions>false</trackRevisions>
    </reviewItem>
    <reviewItem>
      <errorID>d591e315-e0ac-4f0a-afc0-15a24b4af2c3</errorID>
      <errorWord>(</errorWord>
      <group>L1_Format</group>
      <groupName>格式问题</groupName>
      <ability>L2_HalfPunc</ability>
      <abilityName>全半角检查</abilityName>
      <candidateList>
        <item>（</item>
      </candidateList>
      <explain>文本全半角错误。</explain>
      <paraID>65B21BEC</paraID>
      <start>1</start>
      <end>2</end>
      <status>unmodified</status>
      <modifiedWord/>
      <trackRevisions>false</trackRevisions>
    </reviewItem>
    <reviewItem>
      <errorID>cae37ef4-5413-4744-8062-3abda2a34b41</errorID>
      <errorWord>)</errorWord>
      <group>L1_Format</group>
      <groupName>格式问题</groupName>
      <ability>L2_HalfPunc</ability>
      <abilityName>全半角检查</abilityName>
      <candidateList>
        <item>）</item>
      </candidateList>
      <explain>文本全半角错误。</explain>
      <paraID>65B21BEC</paraID>
      <start>6</start>
      <end>7</end>
      <status>unmodified</status>
      <modifiedWord/>
      <trackRevisions>false</trackRevisions>
    </reviewItem>
    <reviewItem>
      <errorID>1fb7ba2d-0fc1-4f03-9d4e-7fc14fc08421</errorID>
      <errorWord>(</errorWord>
      <group>L1_Format</group>
      <groupName>格式问题</groupName>
      <ability>L2_HalfPunc</ability>
      <abilityName>全半角检查</abilityName>
      <candidateList>
        <item>（</item>
      </candidateList>
      <explain>文本全半角错误。</explain>
      <paraID> A8E06B0</paraID>
      <start>2</start>
      <end>3</end>
      <status>unmodified</status>
      <modifiedWord/>
      <trackRevisions>false</trackRevisions>
    </reviewItem>
    <reviewItem>
      <errorID>c3cc5638-9e80-4e56-b7b3-2e84e968a313</errorID>
      <errorWord>)</errorWord>
      <group>L1_Format</group>
      <groupName>格式问题</groupName>
      <ability>L2_HalfPunc</ability>
      <abilityName>全半角检查</abilityName>
      <candidateList>
        <item>）</item>
      </candidateList>
      <explain>文本全半角错误。</explain>
      <paraID> A8E06B0</paraID>
      <start>7</start>
      <end>8</end>
      <status>unmodified</status>
      <modifiedWord/>
      <trackRevisions>false</trackRevisions>
    </reviewItem>
    <reviewItem>
      <errorID>7a63191b-c593-4848-aec2-c467db46ad0f</errorID>
      <errorWord>(</errorWord>
      <group>L1_Format</group>
      <groupName>格式问题</groupName>
      <ability>L2_HalfPunc</ability>
      <abilityName>全半角检查</abilityName>
      <candidateList>
        <item>（</item>
      </candidateList>
      <explain>文本全半角错误。</explain>
      <paraID>6D07937B</paraID>
      <start>4</start>
      <end>5</end>
      <status>unmodified</status>
      <modifiedWord/>
      <trackRevisions>false</trackRevisions>
    </reviewItem>
    <reviewItem>
      <errorID>c90d52da-7c9a-4dbb-97ae-011362fc3c4e</errorID>
      <errorWord>)</errorWord>
      <group>L1_Format</group>
      <groupName>格式问题</groupName>
      <ability>L2_HalfPunc</ability>
      <abilityName>全半角检查</abilityName>
      <candidateList>
        <item>）</item>
      </candidateList>
      <explain>文本全半角错误。</explain>
      <paraID>6D07937B</paraID>
      <start>9</start>
      <end>10</end>
      <status>unmodified</status>
      <modifiedWord/>
      <trackRevisions>false</trackRevisions>
    </reviewItem>
    <reviewItem>
      <errorID>b9a85f1a-5a9b-43c8-96d3-646e65a11e6e</errorID>
      <errorWord>(</errorWord>
      <group>L1_Format</group>
      <groupName>格式问题</groupName>
      <ability>L2_HalfPunc</ability>
      <abilityName>全半角检查</abilityName>
      <candidateList>
        <item>（</item>
      </candidateList>
      <explain>文本全半角错误。</explain>
      <paraID>7B095ED5</paraID>
      <start>4</start>
      <end>5</end>
      <status>unmodified</status>
      <modifiedWord/>
      <trackRevisions>false</trackRevisions>
    </reviewItem>
    <reviewItem>
      <errorID>d2f2fdca-8721-4468-8a71-9958f6e3ab5d</errorID>
      <errorWord>)</errorWord>
      <group>L1_Format</group>
      <groupName>格式问题</groupName>
      <ability>L2_HalfPunc</ability>
      <abilityName>全半角检查</abilityName>
      <candidateList>
        <item>）</item>
      </candidateList>
      <explain>文本全半角错误。</explain>
      <paraID>7B095ED5</paraID>
      <start>8</start>
      <end>9</end>
      <status>unmodified</status>
      <modifiedWord/>
      <trackRevisions>false</trackRevisions>
    </reviewItem>
    <reviewItem>
      <errorID>89332291-af3a-4928-8d41-6a9bafc6a18d</errorID>
      <errorWord>(</errorWord>
      <group>L1_Format</group>
      <groupName>格式问题</groupName>
      <ability>L2_HalfPunc</ability>
      <abilityName>全半角检查</abilityName>
      <candidateList>
        <item>（</item>
      </candidateList>
      <explain>文本全半角错误。</explain>
      <paraID>49E50D9D</paraID>
      <start>5</start>
      <end>6</end>
      <status>unmodified</status>
      <modifiedWord/>
      <trackRevisions>false</trackRevisions>
    </reviewItem>
    <reviewItem>
      <errorID>7f978303-7431-48b8-ae6a-a9fc2c1aa525</errorID>
      <errorWord>)</errorWord>
      <group>L1_Format</group>
      <groupName>格式问题</groupName>
      <ability>L2_HalfPunc</ability>
      <abilityName>全半角检查</abilityName>
      <candidateList>
        <item>）</item>
      </candidateList>
      <explain>文本全半角错误。</explain>
      <paraID>49E50D9D</paraID>
      <start>15</start>
      <end>16</end>
      <status>unmodified</status>
      <modifiedWord/>
      <trackRevisions>false</trackRevisions>
    </reviewItem>
    <reviewItem>
      <errorID>ad0bd060-0b18-4240-8ed6-c2294bf88997</errorID>
      <errorWord>(</errorWord>
      <group>L1_Format</group>
      <groupName>格式问题</groupName>
      <ability>L2_HalfPunc</ability>
      <abilityName>全半角检查</abilityName>
      <candidateList>
        <item>（</item>
      </candidateList>
      <explain>文本全半角错误。</explain>
      <paraID>2F327BA6</paraID>
      <start>4</start>
      <end>5</end>
      <status>unmodified</status>
      <modifiedWord/>
      <trackRevisions>false</trackRevisions>
    </reviewItem>
    <reviewItem>
      <errorID>33b9d283-cad7-4873-949b-2574e850d258</errorID>
      <errorWord>)</errorWord>
      <group>L1_Format</group>
      <groupName>格式问题</groupName>
      <ability>L2_HalfPunc</ability>
      <abilityName>全半角检查</abilityName>
      <candidateList>
        <item>）</item>
      </candidateList>
      <explain>文本全半角错误。</explain>
      <paraID>2F327BA6</paraID>
      <start>11</start>
      <end>12</end>
      <status>unmodified</status>
      <modifiedWord/>
      <trackRevisions>false</trackRevisions>
    </reviewItem>
    <reviewItem>
      <errorID>853e6257-4b5d-4726-bf8c-b2bad4e3494e</errorID>
      <errorWord>(</errorWord>
      <group>L1_Format</group>
      <groupName>格式问题</groupName>
      <ability>L2_HalfPunc</ability>
      <abilityName>全半角检查</abilityName>
      <candidateList>
        <item>（</item>
      </candidateList>
      <explain>文本全半角错误。</explain>
      <paraID> EB4FF14</paraID>
      <start>2</start>
      <end>3</end>
      <status>unmodified</status>
      <modifiedWord/>
      <trackRevisions>false</trackRevisions>
    </reviewItem>
    <reviewItem>
      <errorID>03ce9c38-ba17-46ff-8f50-40013d10c2df</errorID>
      <errorWord>)</errorWord>
      <group>L1_Format</group>
      <groupName>格式问题</groupName>
      <ability>L2_HalfPunc</ability>
      <abilityName>全半角检查</abilityName>
      <candidateList>
        <item>）</item>
      </candidateList>
      <explain>文本全半角错误。</explain>
      <paraID> EB4FF14</paraID>
      <start>7</start>
      <end>8</end>
      <status>unmodified</status>
      <modifiedWord/>
      <trackRevisions>false</trackRevisions>
    </reviewItem>
    <reviewItem>
      <errorID>fbb4aede-a477-4a90-8129-e3ee7d168b89</errorID>
      <errorWord>(</errorWord>
      <group>L1_Format</group>
      <groupName>格式问题</groupName>
      <ability>L2_HalfPunc</ability>
      <abilityName>全半角检查</abilityName>
      <candidateList>
        <item>（</item>
      </candidateList>
      <explain>文本全半角错误。</explain>
      <paraID>5DFE6D5C</paraID>
      <start>3</start>
      <end>4</end>
      <status>unmodified</status>
      <modifiedWord/>
      <trackRevisions>false</trackRevisions>
    </reviewItem>
    <reviewItem>
      <errorID>cc1bc994-c679-460f-9519-a037957ef66d</errorID>
      <errorWord>)</errorWord>
      <group>L1_Format</group>
      <groupName>格式问题</groupName>
      <ability>L2_HalfPunc</ability>
      <abilityName>全半角检查</abilityName>
      <candidateList>
        <item>）</item>
      </candidateList>
      <explain>文本全半角错误。</explain>
      <paraID>5DFE6D5C</paraID>
      <start>8</start>
      <end>9</end>
      <status>unmodified</status>
      <modifiedWord/>
      <trackRevisions>false</trackRevisions>
    </reviewItem>
    <reviewItem>
      <errorID>ee141a74-37f9-424c-9895-77510f30f19b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742A4498</paraID>
      <start>0</start>
      <end>2</end>
      <status>unmodified</status>
      <modifiedWord/>
      <trackRevisions>false</trackRevisions>
    </reviewItem>
    <reviewItem>
      <errorID>98a6c16b-68d6-44fc-9055-5399b438e77d</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6A1B4639</paraID>
      <start>0</start>
      <end>2</end>
      <status>unmodified</status>
      <modifiedWord/>
      <trackRevisions>false</trackRevisions>
    </reviewItem>
    <reviewItem>
      <errorID>d4fdabf1-4f2f-45ad-a12e-da82d6e24013</errorID>
      <errorWord>监测方法</errorWord>
      <group>L1_Word</group>
      <groupName>字词问题</groupName>
      <ability>L2_Typo</ability>
      <abilityName>字词错误</abilityName>
      <candidateList>
        <item>检测方法</item>
      </candidateList>
      <explain/>
      <paraID>6A1B4639</paraID>
      <start>2</start>
      <end>6</end>
      <status>unmodified</status>
      <modifiedWord/>
      <trackRevisions>false</trackRevisions>
    </reviewItem>
    <reviewItem>
      <errorID>2f7523e4-5213-4980-9ff8-d9008e82f8bf</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4E8E8BB9</paraID>
      <start>0</start>
      <end>2</end>
      <status>unmodified</status>
      <modifiedWord/>
      <trackRevisions>false</trackRevisions>
    </reviewItem>
    <reviewItem>
      <errorID>ccef0b67-bba8-4989-9888-25930039f178</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20A36B74</paraID>
      <start>0</start>
      <end>2</end>
      <status>unmodified</status>
      <modifiedWord/>
      <trackRevisions>false</trackRevisions>
    </reviewItem>
    <reviewItem>
      <errorID>f27134ff-75f2-4369-9056-70fe986c0486</errorID>
      <errorWord>本次后</errorWord>
      <group>L1_Word</group>
      <groupName>字词问题</groupName>
      <ability>L2_Typo</ability>
      <abilityName>字词错误</abilityName>
      <candidateList>
        <item>本次</item>
      </candidateList>
      <explain/>
      <paraID> 5DD594C</paraID>
      <start>0</start>
      <end>3</end>
      <status>unmodified</status>
      <modifiedWord/>
      <trackRevisions>false</trackRevisions>
    </reviewItem>
    <reviewItem>
      <errorID>3fb041dc-6784-4d09-872d-e37c4299a025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17B7717C</paraID>
      <start>0</start>
      <end>2</end>
      <status>unmodified</status>
      <modifiedWord/>
      <trackRevisions>false</trackRevisions>
    </reviewItem>
    <reviewItem>
      <errorID>5468104f-878f-431c-8fb0-1a2ecbf424a3</errorID>
      <errorWord>采用</errorWord>
      <group>L1_Word</group>
      <groupName>字词问题</groupName>
      <ability>L2_Typo</ability>
      <abilityName>字词错误</abilityName>
      <candidateList>
        <item>采样</item>
      </candidateList>
      <explain>〈动〉采集样品；取样：食品～检查。</explain>
      <paraID>7389505A</paraID>
      <start>38</start>
      <end>40</end>
      <status>unmodified</status>
      <modifiedWord/>
      <trackRevisions>false</trackRevisions>
    </reviewItem>
    <reviewItem>
      <errorID>7e936fc7-e021-484f-a9e8-e5ddbf63f6db</errorID>
      <errorWord>样作</errorWord>
      <group>L1_Word</group>
      <groupName>字词问题</groupName>
      <ability>L2_Typo</ability>
      <abilityName>字词错误</abilityName>
      <candidateList>
        <item>样</item>
      </candidateList>
      <explain/>
      <paraID>7389505A</paraID>
      <start>112</start>
      <end>114</end>
      <status>unmodified</status>
      <modifiedWord/>
      <trackRevisions>false</trackRevisions>
    </reviewItem>
    <reviewItem>
      <errorID>46e1e898-1f7f-4431-848c-525789b89e3a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75DC7046</paraID>
      <start>0</start>
      <end>2</end>
      <status>unmodified</status>
      <modifiedWord/>
      <trackRevisions>false</trackRevisions>
    </reviewItem>
    <reviewItem>
      <errorID>7bdb8348-8f47-4da2-9572-053fd999b80b</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448FD92C</paraID>
      <start>0</start>
      <end>2</end>
      <status>unmodified</status>
      <modifiedWord/>
      <trackRevisions>false</trackRevisions>
    </reviewItem>
    <reviewItem>
      <errorID>ed9da147-e562-48ca-9af4-f358cbc4459c</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1DAC9F40</paraID>
      <start>0</start>
      <end>2</end>
      <status>unmodified</status>
      <modifiedWord/>
      <trackRevisions>false</trackRevisions>
    </reviewItem>
    <reviewItem>
      <errorID>4ecfbcb7-a1ec-470d-a196-cfdbc991973a</errorID>
      <errorWord>~</errorWord>
      <group>L1_Format</group>
      <groupName>格式问题</groupName>
      <ability>L2_HalfPunc</ability>
      <abilityName>全半角检查</abilityName>
      <candidateList>
        <item>～</item>
      </candidateList>
      <explain>文本全半角错误。</explain>
      <paraID>41F99407</paraID>
      <start>3</start>
      <end>4</end>
      <status>unmodified</status>
      <modifiedWord/>
      <trackRevisions>false</trackRevisions>
    </reviewItem>
    <reviewItem>
      <errorID>84974d22-98fe-490a-b207-cad5a1885b47</errorID>
      <errorWord>~</errorWord>
      <group>L1_Format</group>
      <groupName>格式问题</groupName>
      <ability>L2_HalfPunc</ability>
      <abilityName>全半角检查</abilityName>
      <candidateList>
        <item>～</item>
      </candidateList>
      <explain>文本全半角错误。</explain>
      <paraID>1EB0B4CD</paraID>
      <start>3</start>
      <end>4</end>
      <status>unmodified</status>
      <modifiedWord/>
      <trackRevisions>false</trackRevisions>
    </reviewItem>
    <reviewItem>
      <errorID>c0d9e947-f44b-4329-9afd-5b2d6bd873ba</errorID>
      <errorWord>~</errorWord>
      <group>L1_Format</group>
      <groupName>格式问题</groupName>
      <ability>L2_HalfPunc</ability>
      <abilityName>全半角检查</abilityName>
      <candidateList>
        <item>～</item>
      </candidateList>
      <explain>文本全半角错误。</explain>
      <paraID>45AE2C9F</paraID>
      <start>3</start>
      <end>4</end>
      <status>unmodified</status>
      <modifiedWord/>
      <trackRevisions>false</trackRevisions>
    </reviewItem>
    <reviewItem>
      <errorID>1e615456-cb9f-46af-9530-a73c068a5eb3</errorID>
      <errorWord>~</errorWord>
      <group>L1_Format</group>
      <groupName>格式问题</groupName>
      <ability>L2_HalfPunc</ability>
      <abilityName>全半角检查</abilityName>
      <candidateList>
        <item>～</item>
      </candidateList>
      <explain>文本全半角错误。</explain>
      <paraID>45F2ABB3</paraID>
      <start>3</start>
      <end>4</end>
      <status>unmodified</status>
      <modifiedWord/>
      <trackRevisions>false</trackRevisions>
    </reviewItem>
    <reviewItem>
      <errorID>b698f2ba-b845-4444-b5d8-fb16adcffc5b</errorID>
      <errorWord>~</errorWord>
      <group>L1_Format</group>
      <groupName>格式问题</groupName>
      <ability>L2_HalfPunc</ability>
      <abilityName>全半角检查</abilityName>
      <candidateList>
        <item>～</item>
      </candidateList>
      <explain>文本全半角错误。</explain>
      <paraID> 42BFDBB</paraID>
      <start>3</start>
      <end>4</end>
      <status>unmodified</status>
      <modifiedWord/>
      <trackRevisions>false</trackRevisions>
    </reviewItem>
    <reviewItem>
      <errorID>a24cc51e-5493-4d77-96e8-995ba0cf8161</errorID>
      <errorWord>~</errorWord>
      <group>L1_Format</group>
      <groupName>格式问题</groupName>
      <ability>L2_HalfPunc</ability>
      <abilityName>全半角检查</abilityName>
      <candidateList>
        <item>～</item>
      </candidateList>
      <explain>文本全半角错误。</explain>
      <paraID>26B1A14A</paraID>
      <start>3</start>
      <end>4</end>
      <status>unmodified</status>
      <modifiedWord/>
      <trackRevisions>false</trackRevisions>
    </reviewItem>
    <reviewItem>
      <errorID>80baa54f-5fc2-4fc6-952e-a17e185d326f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14069122</paraID>
      <start>0</start>
      <end>2</end>
      <status>unmodified</status>
      <modifiedWord/>
      <trackRevisions>false</trackRevisions>
    </reviewItem>
    <reviewItem>
      <errorID>5a6e0e34-a01f-45ed-b075-15171c3ec98a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F136082</paraID>
      <start>0</start>
      <end>2</end>
      <status>unmodified</status>
      <modifiedWord/>
      <trackRevisions>false</trackRevisions>
    </reviewItem>
    <reviewItem>
      <errorID>bf4c52a0-bd86-442b-8b8d-52ff76bf78b1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19A48BB5</paraID>
      <start>0</start>
      <end>2</end>
      <status>unmodified</status>
      <modifiedWord/>
      <trackRevisions>false</trackRevisions>
    </reviewItem>
    <reviewItem>
      <errorID>f2275b17-5e7b-4532-aedd-72263b3db15c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70BC6D61</paraID>
      <start>0</start>
      <end>2</end>
      <status>unmodified</status>
      <modifiedWord/>
      <trackRevisions>false</trackRevisions>
    </reviewItem>
    <reviewItem>
      <errorID>86df264f-c9da-48b3-b9ce-e52439824869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28B35F81</paraID>
      <start>0</start>
      <end>2</end>
      <status>unmodified</status>
      <modifiedWord/>
      <trackRevisions>false</trackRevisions>
    </reviewItem>
    <reviewItem>
      <errorID>724230f4-e061-4827-b8e1-2c7ec45f7460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7335DE03</paraID>
      <start>0</start>
      <end>2</end>
      <status>unmodified</status>
      <modifiedWord/>
      <trackRevisions>false</trackRevisions>
    </reviewItem>
    <reviewItem>
      <errorID>f2a8b70f-41ea-4ea9-9f47-f1d1885d380a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1D30351B</paraID>
      <start>0</start>
      <end>2</end>
      <status>unmodified</status>
      <modifiedWord/>
      <trackRevisions>false</trackRevisions>
    </reviewItem>
    <reviewItem>
      <errorID>43c5b636-e6b3-488d-b07b-64f9b2461c2f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15D2FF0</paraID>
      <start>0</start>
      <end>2</end>
      <status>unmodified</status>
      <modifiedWord/>
      <trackRevisions>false</trackRevisions>
    </reviewItem>
    <reviewItem>
      <errorID>c21e2cbf-b3b3-42c9-a097-1760ddebfd21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1B7190D9</paraID>
      <start>0</start>
      <end>2</end>
      <status>unmodified</status>
      <modifiedWord/>
      <trackRevisions>false</trackRevisions>
    </reviewItem>
    <reviewItem>
      <errorID>b039ecf7-6bf1-4956-bb83-81389894e938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454B71D6</paraID>
      <start>0</start>
      <end>2</end>
      <status>unmodified</status>
      <modifiedWord/>
      <trackRevisions>false</trackRevisions>
    </reviewItem>
    <reviewItem>
      <errorID>3a11e8ee-1ab8-4acb-8e16-e4f75c8e8e42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62402AFE</paraID>
      <start>0</start>
      <end>2</end>
      <status>unmodified</status>
      <modifiedWord/>
      <trackRevisions>false</trackRevisions>
    </reviewItem>
    <reviewItem>
      <errorID>ee131bc1-2196-4c35-be6c-78cf1578ef4a</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2BF78B92</paraID>
      <start>0</start>
      <end>2</end>
      <status>unmodified</status>
      <modifiedWord/>
      <trackRevisions>false</trackRevisions>
    </reviewItem>
    <reviewItem>
      <errorID>bff85e73-e44e-496f-9046-c699e243aaee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7FB0C382</paraID>
      <start>0</start>
      <end>2</end>
      <status>unmodified</status>
      <modifiedWord/>
      <trackRevisions>false</trackRevisions>
    </reviewItem>
    <reviewItem>
      <errorID>65a38c9e-2cee-40e9-8e1e-e14d9423020a</errorID>
      <errorWord>其它</errorWord>
      <group>L1_Word</group>
      <groupName>字词问题</groupName>
      <ability>L2_Alias</ability>
      <abilityName>也作/曾用词</abilityName>
      <candidateList>
        <item>其他</item>
      </candidateList>
      <explain>词汇[其它]为不规范表述或旧称，其规范书面表述为[其他]。</explain>
      <paraID>76393115</paraID>
      <start>53</start>
      <end>55</end>
      <status>unmodified</status>
      <modifiedWord/>
      <trackRevisions>false</trackRevisions>
    </reviewItem>
    <reviewItem>
      <errorID>726e39f5-a347-489d-b0e3-c246efe1b10d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6AAF1753</paraID>
      <start>78</start>
      <end>79</end>
      <status>unmodified</status>
      <modifiedWord/>
      <trackRevisions>false</trackRevisions>
    </reviewItem>
    <reviewItem>
      <errorID>1fe2feda-8a18-41cb-9d66-a3741e1b62dd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6AAF1753</paraID>
      <start>227</start>
      <end>228</end>
      <status>unmodified</status>
      <modifiedWord/>
      <trackRevisions>false</trackRevisions>
    </reviewItem>
    <reviewItem>
      <errorID>d81ca30d-4c59-4b17-8188-708d154bffe1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6AAF1753</paraID>
      <start>237</start>
      <end>238</end>
      <status>unmodified</status>
      <modifiedWord/>
      <trackRevisions>false</trackRevisions>
    </reviewItem>
    <reviewItem>
      <errorID>07d8af67-8773-45c6-a129-ba2c538f9fc3</errorID>
      <errorWord>》、《</errorWord>
      <group>L1_Punc</group>
      <groupName>标点问题</groupName>
      <ability>L2_Punc</ability>
      <abilityName>标点符号检查</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1D61C699</paraID>
      <start>64</start>
      <end>67</end>
      <status>unmodified</status>
      <modifiedWord/>
      <trackRevisions>false</trackRevisions>
    </reviewItem>
    <reviewItem>
      <errorID>0c881a24-7f90-4638-a721-ca5a8000981b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3331DF54</paraID>
      <start>58</start>
      <end>59</end>
      <status>unmodified</status>
      <modifiedWord/>
      <trackRevisions>false</trackRevisions>
    </reviewItem>
    <reviewItem>
      <errorID>e9ff4bfa-94db-4191-93dd-c947a24774f1</errorID>
      <errorWord>检测点</errorWord>
      <group>L1_Word</group>
      <groupName>字词问题</groupName>
      <ability>L2_Typo</ability>
      <abilityName>字词错误</abilityName>
      <candidateList>
        <item>监测点</item>
      </candidateList>
      <explain/>
      <paraID>4D24927A</paraID>
      <start>0</start>
      <end>3</end>
      <status>unmodified</status>
      <modifiedWord/>
      <trackRevisions>false</trackRevisions>
    </reviewItem>
    <reviewItem>
      <errorID>05d76ac5-a722-4e32-9788-5042e2da5f10</errorID>
      <errorWord>01月16日</errorWord>
      <group>L1_Knowledge</group>
      <groupName>知识性问题</groupName>
      <ability>L2_Time</ability>
      <abilityName>日期时间</abilityName>
      <candidateList>
        <item>1月16日</item>
      </candidateList>
      <explain>根据日常书写习惯，月份一般会省略前导零。</explain>
      <paraID> 232770E</paraID>
      <start>0</start>
      <end>6</end>
      <status>unmodified</status>
      <modifiedWord/>
      <trackRevisions>false</trackRevisions>
    </reviewItem>
    <reviewItem>
      <errorID>28099d2b-2d4e-4b29-acc2-e10f7d0aa5c1</errorID>
      <errorWord>01月17日</errorWord>
      <group>L1_Knowledge</group>
      <groupName>知识性问题</groupName>
      <ability>L2_Time</ability>
      <abilityName>日期时间</abilityName>
      <candidateList>
        <item>1月17日</item>
      </candidateList>
      <explain>根据日常书写习惯，月份一般会省略前导零。</explain>
      <paraID> C9DEB53</paraID>
      <start>0</start>
      <end>6</end>
      <status>unmodified</status>
      <modifiedWord/>
      <trackRevisions>false</trackRevisions>
    </reviewItem>
    <reviewItem>
      <errorID>8ec78e2f-1937-4bd0-b310-fc8684989d44</errorID>
      <errorWord>01月16日</errorWord>
      <group>L1_Knowledge</group>
      <groupName>知识性问题</groupName>
      <ability>L2_Time</ability>
      <abilityName>日期时间</abilityName>
      <candidateList>
        <item>1月16日</item>
      </candidateList>
      <explain>根据日常书写习惯，月份一般会省略前导零。</explain>
      <paraID>3A662E55</paraID>
      <start>0</start>
      <end>6</end>
      <status>unmodified</status>
      <modifiedWord/>
      <trackRevisions>false</trackRevisions>
    </reviewItem>
    <reviewItem>
      <errorID>35bf6031-1d8b-48f5-b720-554713bc0eef</errorID>
      <errorWord>01月17日</errorWord>
      <group>L1_Knowledge</group>
      <groupName>知识性问题</groupName>
      <ability>L2_Time</ability>
      <abilityName>日期时间</abilityName>
      <candidateList>
        <item>1月17日</item>
      </candidateList>
      <explain>根据日常书写习惯，月份一般会省略前导零。</explain>
      <paraID>24938E8C</paraID>
      <start>0</start>
      <end>6</end>
      <status>unmodified</status>
      <modifiedWord/>
      <trackRevisions>false</trackRevisions>
    </reviewItem>
    <reviewItem>
      <errorID>4cac244f-5d55-4f21-877d-ef01c34e4647</errorID>
      <errorWord>01月16日</errorWord>
      <group>L1_Knowledge</group>
      <groupName>知识性问题</groupName>
      <ability>L2_Time</ability>
      <abilityName>日期时间</abilityName>
      <candidateList>
        <item>1月16日</item>
      </candidateList>
      <explain>根据日常书写习惯，月份一般会省略前导零。</explain>
      <paraID>5A24BC29</paraID>
      <start>0</start>
      <end>6</end>
      <status>unmodified</status>
      <modifiedWord/>
      <trackRevisions>false</trackRevisions>
    </reviewItem>
    <reviewItem>
      <errorID>ae939c07-476f-47aa-aef3-c32d5b953902</errorID>
      <errorWord>01月17日</errorWord>
      <group>L1_Knowledge</group>
      <groupName>知识性问题</groupName>
      <ability>L2_Time</ability>
      <abilityName>日期时间</abilityName>
      <candidateList>
        <item>1月17日</item>
      </candidateList>
      <explain>根据日常书写习惯，月份一般会省略前导零。</explain>
      <paraID>712630E1</paraID>
      <start>0</start>
      <end>6</end>
      <status>unmodified</status>
      <modifiedWord/>
      <trackRevisions>false</trackRevisions>
    </reviewItem>
    <reviewItem>
      <errorID>18cc1678-a85b-4da4-a1f0-7bbea3844c6c</errorID>
      <errorWord>01月16日</errorWord>
      <group>L1_Knowledge</group>
      <groupName>知识性问题</groupName>
      <ability>L2_Time</ability>
      <abilityName>日期时间</abilityName>
      <candidateList>
        <item>1月16日</item>
      </candidateList>
      <explain>根据日常书写习惯，月份一般会省略前导零。</explain>
      <paraID>  FA03B7</paraID>
      <start>0</start>
      <end>6</end>
      <status>unmodified</status>
      <modifiedWord/>
      <trackRevisions>false</trackRevisions>
    </reviewItem>
    <reviewItem>
      <errorID>b4d4747e-be7f-4084-9670-8cf0610c8c4b</errorID>
      <errorWord>01月17日</errorWord>
      <group>L1_Knowledge</group>
      <groupName>知识性问题</groupName>
      <ability>L2_Time</ability>
      <abilityName>日期时间</abilityName>
      <candidateList>
        <item>1月17日</item>
      </candidateList>
      <explain>根据日常书写习惯，月份一般会省略前导零。</explain>
      <paraID>4D4A9C58</paraID>
      <start>0</start>
      <end>6</end>
      <status>unmodified</status>
      <modifiedWord/>
      <trackRevisions>false</trackRevisions>
    </reviewItem>
    <reviewItem>
      <errorID>3f3159bf-ea20-467f-9bac-2bccb3442c65</errorID>
      <errorWord>(</errorWord>
      <group>L1_Format</group>
      <groupName>格式问题</groupName>
      <ability>L2_HalfPunc</ability>
      <abilityName>全半角检查</abilityName>
      <candidateList>
        <item>（</item>
      </candidateList>
      <explain>文本全半角错误。</explain>
      <paraID>119047E8</paraID>
      <start>3</start>
      <end>4</end>
      <status>unmodified</status>
      <modifiedWord/>
      <trackRevisions>false</trackRevisions>
    </reviewItem>
    <reviewItem>
      <errorID>2276ee96-ae12-431f-9de2-3aa064323078</errorID>
      <errorWord>)</errorWord>
      <group>L1_Format</group>
      <groupName>格式问题</groupName>
      <ability>L2_HalfPunc</ability>
      <abilityName>全半角检查</abilityName>
      <candidateList>
        <item>）</item>
      </candidateList>
      <explain>文本全半角错误。</explain>
      <paraID>119047E8</paraID>
      <start>9</start>
      <end>10</end>
      <status>unmodified</status>
      <modifiedWord/>
      <trackRevisions>false</trackRevisions>
    </reviewItem>
    <reviewItem>
      <errorID>c24bffbc-8fc2-43d1-89a1-178905753f9e</errorID>
      <errorWord>01月16日</errorWord>
      <group>L1_Knowledge</group>
      <groupName>知识性问题</groupName>
      <ability>L2_Time</ability>
      <abilityName>日期时间</abilityName>
      <candidateList>
        <item>1月16日</item>
      </candidateList>
      <explain>根据日常书写习惯，月份一般会省略前导零。</explain>
      <paraID>64BC2215</paraID>
      <start>0</start>
      <end>6</end>
      <status>unmodified</status>
      <modifiedWord/>
      <trackRevisions>false</trackRevisions>
    </reviewItem>
    <reviewItem>
      <errorID>2f2b6bf5-d606-4d0a-bef8-71e6ff3d4c4e</errorID>
      <errorWord>01月17日</errorWord>
      <group>L1_Knowledge</group>
      <groupName>知识性问题</groupName>
      <ability>L2_Time</ability>
      <abilityName>日期时间</abilityName>
      <candidateList>
        <item>1月17日</item>
      </candidateList>
      <explain>根据日常书写习惯，月份一般会省略前导零。</explain>
      <paraID>67B21671</paraID>
      <start>0</start>
      <end>6</end>
      <status>unmodified</status>
      <modifiedWord/>
      <trackRevisions>false</trackRevisions>
    </reviewItem>
    <reviewItem>
      <errorID>beb8c44a-f65e-4661-b9a8-d000f08ae7fd</errorID>
      <errorWord>01月16日</errorWord>
      <group>L1_Knowledge</group>
      <groupName>知识性问题</groupName>
      <ability>L2_Time</ability>
      <abilityName>日期时间</abilityName>
      <candidateList>
        <item>1月16日</item>
      </candidateList>
      <explain>根据日常书写习惯，月份一般会省略前导零。</explain>
      <paraID>7315E927</paraID>
      <start>0</start>
      <end>6</end>
      <status>unmodified</status>
      <modifiedWord/>
      <trackRevisions>false</trackRevisions>
    </reviewItem>
    <reviewItem>
      <errorID>ab89ff38-c397-4a33-bca5-ccaedabb1664</errorID>
      <errorWord>01月17日</errorWord>
      <group>L1_Knowledge</group>
      <groupName>知识性问题</groupName>
      <ability>L2_Time</ability>
      <abilityName>日期时间</abilityName>
      <candidateList>
        <item>1月17日</item>
      </candidateList>
      <explain>根据日常书写习惯，月份一般会省略前导零。</explain>
      <paraID>400CE779</paraID>
      <start>0</start>
      <end>6</end>
      <status>unmodified</status>
      <modifiedWord/>
      <trackRevisions>false</trackRevisions>
    </reviewItem>
    <reviewItem>
      <errorID>3ae7308f-db74-4b94-aeb9-81551fb26edf</errorID>
      <errorWord>01月16日</errorWord>
      <group>L1_Knowledge</group>
      <groupName>知识性问题</groupName>
      <ability>L2_Time</ability>
      <abilityName>日期时间</abilityName>
      <candidateList>
        <item>1月16日</item>
      </candidateList>
      <explain>根据日常书写习惯，月份一般会省略前导零。</explain>
      <paraID>540710A2</paraID>
      <start>0</start>
      <end>6</end>
      <status>unmodified</status>
      <modifiedWord/>
      <trackRevisions>false</trackRevisions>
    </reviewItem>
    <reviewItem>
      <errorID>6ae22c0e-7aba-4b0d-9195-7de7e6e7fca7</errorID>
      <errorWord>01月17日</errorWord>
      <group>L1_Knowledge</group>
      <groupName>知识性问题</groupName>
      <ability>L2_Time</ability>
      <abilityName>日期时间</abilityName>
      <candidateList>
        <item>1月17日</item>
      </candidateList>
      <explain>根据日常书写习惯，月份一般会省略前导零。</explain>
      <paraID>2A7F7FEA</paraID>
      <start>0</start>
      <end>6</end>
      <status>unmodified</status>
      <modifiedWord/>
      <trackRevisions>false</trackRevisions>
    </reviewItem>
    <reviewItem>
      <errorID>43e18810-5a12-4535-8116-be76baaf90f2</errorID>
      <errorWord>01月16日</errorWord>
      <group>L1_Knowledge</group>
      <groupName>知识性问题</groupName>
      <ability>L2_Time</ability>
      <abilityName>日期时间</abilityName>
      <candidateList>
        <item>1月16日</item>
      </candidateList>
      <explain>根据日常书写习惯，月份一般会省略前导零。</explain>
      <paraID>522861F1</paraID>
      <start>0</start>
      <end>6</end>
      <status>unmodified</status>
      <modifiedWord/>
      <trackRevisions>false</trackRevisions>
    </reviewItem>
    <reviewItem>
      <errorID>abfb815e-faea-49a0-850f-90eeb4a74019</errorID>
      <errorWord>01月17日</errorWord>
      <group>L1_Knowledge</group>
      <groupName>知识性问题</groupName>
      <ability>L2_Time</ability>
      <abilityName>日期时间</abilityName>
      <candidateList>
        <item>1月17日</item>
      </candidateList>
      <explain>根据日常书写习惯，月份一般会省略前导零。</explain>
      <paraID> 278A2DF</paraID>
      <start>0</start>
      <end>6</end>
      <status>unmodified</status>
      <modifiedWord/>
      <trackRevisions>false</trackRevisions>
    </reviewItem>
    <reviewItem>
      <errorID>da9d0f8b-9dd3-47b2-a626-700c074a9f69</errorID>
      <errorWord>01月16日</errorWord>
      <group>L1_Knowledge</group>
      <groupName>知识性问题</groupName>
      <ability>L2_Time</ability>
      <abilityName>日期时间</abilityName>
      <candidateList>
        <item>1月16日</item>
      </candidateList>
      <explain>根据日常书写习惯，月份一般会省略前导零。</explain>
      <paraID>5798EABD</paraID>
      <start>0</start>
      <end>6</end>
      <status>unmodified</status>
      <modifiedWord/>
      <trackRevisions>false</trackRevisions>
    </reviewItem>
    <reviewItem>
      <errorID>90791ac2-c5cf-430c-9241-87b7093f44c2</errorID>
      <errorWord>01月17日</errorWord>
      <group>L1_Knowledge</group>
      <groupName>知识性问题</groupName>
      <ability>L2_Time</ability>
      <abilityName>日期时间</abilityName>
      <candidateList>
        <item>1月17日</item>
      </candidateList>
      <explain>根据日常书写习惯，月份一般会省略前导零。</explain>
      <paraID>23FF23ED</paraID>
      <start>0</start>
      <end>6</end>
      <status>unmodified</status>
      <modifiedWord/>
      <trackRevisions>false</trackRevisions>
    </reviewItem>
    <reviewItem>
      <errorID>49716d7d-136c-4a41-9b5c-ab22dac56abe</errorID>
      <errorWord>01月16日</errorWord>
      <group>L1_Knowledge</group>
      <groupName>知识性问题</groupName>
      <ability>L2_Time</ability>
      <abilityName>日期时间</abilityName>
      <candidateList>
        <item>1月16日</item>
      </candidateList>
      <explain>根据日常书写习惯，月份一般会省略前导零。</explain>
      <paraID> F5E230B</paraID>
      <start>0</start>
      <end>6</end>
      <status>unmodified</status>
      <modifiedWord/>
      <trackRevisions>false</trackRevisions>
    </reviewItem>
    <reviewItem>
      <errorID>552021d6-4b4d-40c5-a62a-40770a51bf5f</errorID>
      <errorWord>01月17日</errorWord>
      <group>L1_Knowledge</group>
      <groupName>知识性问题</groupName>
      <ability>L2_Time</ability>
      <abilityName>日期时间</abilityName>
      <candidateList>
        <item>1月17日</item>
      </candidateList>
      <explain>根据日常书写习惯，月份一般会省略前导零。</explain>
      <paraID>12B1EFEB</paraID>
      <start>0</start>
      <end>6</end>
      <status>unmodified</status>
      <modifiedWord/>
      <trackRevisions>false</trackRevisions>
    </reviewItem>
    <reviewItem>
      <errorID>6503f43c-d08a-4d77-9cc0-d69b06740abb</errorID>
      <errorWord>01月16日</errorWord>
      <group>L1_Knowledge</group>
      <groupName>知识性问题</groupName>
      <ability>L2_Time</ability>
      <abilityName>日期时间</abilityName>
      <candidateList>
        <item>1月16日</item>
      </candidateList>
      <explain>根据日常书写习惯，月份一般会省略前导零。</explain>
      <paraID>7BD07053</paraID>
      <start>0</start>
      <end>6</end>
      <status>unmodified</status>
      <modifiedWord/>
      <trackRevisions>false</trackRevisions>
    </reviewItem>
    <reviewItem>
      <errorID>ecb7b11d-b135-47e1-b2a0-08c44bd93d1a</errorID>
      <errorWord>01月17日</errorWord>
      <group>L1_Knowledge</group>
      <groupName>知识性问题</groupName>
      <ability>L2_Time</ability>
      <abilityName>日期时间</abilityName>
      <candidateList>
        <item>1月17日</item>
      </candidateList>
      <explain>根据日常书写习惯，月份一般会省略前导零。</explain>
      <paraID> 464F8A4</paraID>
      <start>0</start>
      <end>6</end>
      <status>unmodified</status>
      <modifiedWord/>
      <trackRevisions>false</trackRevisions>
    </reviewItem>
    <reviewItem>
      <errorID>3dae6215-f870-48c0-9bbc-7204c7daa0f6</errorID>
      <errorWord>01月16日</errorWord>
      <group>L1_Knowledge</group>
      <groupName>知识性问题</groupName>
      <ability>L2_Time</ability>
      <abilityName>日期时间</abilityName>
      <candidateList>
        <item>1月16日</item>
      </candidateList>
      <explain>根据日常书写习惯，月份一般会省略前导零。</explain>
      <paraID>27992044</paraID>
      <start>0</start>
      <end>6</end>
      <status>unmodified</status>
      <modifiedWord/>
      <trackRevisions>false</trackRevisions>
    </reviewItem>
    <reviewItem>
      <errorID>a2cc83c5-94f0-4adb-9223-d02bf5d0561a</errorID>
      <errorWord>01月17日</errorWord>
      <group>L1_Knowledge</group>
      <groupName>知识性问题</groupName>
      <ability>L2_Time</ability>
      <abilityName>日期时间</abilityName>
      <candidateList>
        <item>1月17日</item>
      </candidateList>
      <explain>根据日常书写习惯，月份一般会省略前导零。</explain>
      <paraID>3F53E6B4</paraID>
      <start>0</start>
      <end>6</end>
      <status>unmodified</status>
      <modifiedWord/>
      <trackRevisions>false</trackRevisions>
    </reviewItem>
    <reviewItem>
      <errorID>f4994983-8546-44a0-99f6-304f4d7a961f</errorID>
      <errorWord>01月16日</errorWord>
      <group>L1_Knowledge</group>
      <groupName>知识性问题</groupName>
      <ability>L2_Time</ability>
      <abilityName>日期时间</abilityName>
      <candidateList>
        <item>1月16日</item>
      </candidateList>
      <explain>根据日常书写习惯，月份一般会省略前导零。</explain>
      <paraID> 5C861C8</paraID>
      <start>0</start>
      <end>6</end>
      <status>unmodified</status>
      <modifiedWord/>
      <trackRevisions>false</trackRevisions>
    </reviewItem>
    <reviewItem>
      <errorID>3ef29932-f19e-4d54-bd96-c64a2bf691a8</errorID>
      <errorWord>01月17日</errorWord>
      <group>L1_Knowledge</group>
      <groupName>知识性问题</groupName>
      <ability>L2_Time</ability>
      <abilityName>日期时间</abilityName>
      <candidateList>
        <item>1月17日</item>
      </candidateList>
      <explain>根据日常书写习惯，月份一般会省略前导零。</explain>
      <paraID>1C7F20FA</paraID>
      <start>0</start>
      <end>6</end>
      <status>unmodified</status>
      <modifiedWord/>
      <trackRevisions>false</trackRevisions>
    </reviewItem>
    <reviewItem>
      <errorID>d3b09974-9757-4060-97b4-756240ba3d0c</errorID>
      <errorWord>(</errorWord>
      <group>L1_Format</group>
      <groupName>格式问题</groupName>
      <ability>L2_HalfPunc</ability>
      <abilityName>全半角检查</abilityName>
      <candidateList>
        <item>（</item>
      </candidateList>
      <explain>文本全半角错误。</explain>
      <paraID>70DB77CA</paraID>
      <start>2</start>
      <end>3</end>
      <status>unmodified</status>
      <modifiedWord/>
      <trackRevisions>false</trackRevisions>
    </reviewItem>
    <reviewItem>
      <errorID>d09d33d4-6c8c-4710-a90b-6ab4adf113b7</errorID>
      <errorWord>)</errorWord>
      <group>L1_Format</group>
      <groupName>格式问题</groupName>
      <ability>L2_HalfPunc</ability>
      <abilityName>全半角检查</abilityName>
      <candidateList>
        <item>）</item>
      </candidateList>
      <explain>文本全半角错误。</explain>
      <paraID>70DB77CA</paraID>
      <start>4</start>
      <end>5</end>
      <status>unmodified</status>
      <modifiedWord/>
      <trackRevisions>false</trackRevisions>
    </reviewItem>
    <reviewItem>
      <errorID>1c3d7dd6-5544-4fad-a0b8-ffb1871bf048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3FE7CD36</paraID>
      <start>56</start>
      <end>57</end>
      <status>unmodified</status>
      <modifiedWord/>
      <trackRevisions>false</trackRevisions>
    </reviewItem>
    <reviewItem>
      <errorID>0a5538f2-8e64-4511-93db-ab9fbd6f149f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3FE7CD36</paraID>
      <start>88</start>
      <end>89</end>
      <status>unmodified</status>
      <modifiedWord/>
      <trackRevisions>false</trackRevisions>
    </reviewItem>
    <reviewItem>
      <errorID>3529e0be-9aa8-4118-b790-e18c26ab2850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3FE7CD36</paraID>
      <start>119</start>
      <end>120</end>
      <status>unmodified</status>
      <modifiedWord/>
      <trackRevisions>false</trackRevisions>
    </reviewItem>
    <reviewItem>
      <errorID>87c24a6f-a443-4ab4-a3c7-7f217f593576</errorID>
      <errorWord>(</errorWord>
      <group>L1_Format</group>
      <groupName>格式问题</groupName>
      <ability>L2_HalfPunc</ability>
      <abilityName>全半角检查</abilityName>
      <candidateList>
        <item>（</item>
      </candidateList>
      <explain>文本全半角错误。</explain>
      <paraID>63E24551</paraID>
      <start>3</start>
      <end>4</end>
      <status>unmodified</status>
      <modifiedWord/>
      <trackRevisions>false</trackRevisions>
    </reviewItem>
    <reviewItem>
      <errorID>0fd808de-2224-4714-b851-c621e7b9737e</errorID>
      <errorWord>)</errorWord>
      <group>L1_Format</group>
      <groupName>格式问题</groupName>
      <ability>L2_HalfPunc</ability>
      <abilityName>全半角检查</abilityName>
      <candidateList>
        <item>）</item>
      </candidateList>
      <explain>文本全半角错误。</explain>
      <paraID>63E24551</paraID>
      <start>7</start>
      <end>8</end>
      <status>unmodified</status>
      <modifiedWord/>
      <trackRevisions>false</trackRevisions>
    </reviewItem>
    <reviewItem>
      <errorID>4a48fe4b-59b3-4ee1-97dd-cebe6d8ca92c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722EB4DC</paraID>
      <start>22</start>
      <end>23</end>
      <status>unmodified</status>
      <modifiedWord/>
      <trackRevisions>false</trackRevisions>
    </reviewItem>
    <reviewItem>
      <errorID>831164e2-34d3-445e-9724-fe39a3b181aa</errorID>
      <errorWord>IV类</errorWord>
      <group>L1_Knowledge</group>
      <groupName>知识性问题</groupName>
      <ability>L2_Knowledge</ability>
      <abilityName>其他知识</abilityName>
      <candidateList>
        <item>Ⅳ类</item>
      </candidateList>
      <explain/>
      <paraID>16C1C86B</paraID>
      <start>105</start>
      <end>108</end>
      <status>unmodified</status>
      <modifiedWord/>
      <trackRevisions>false</trackRevisions>
    </reviewItem>
    <reviewItem>
      <errorID>e5cee8ea-9dde-42de-8434-b7f85f0067cd</errorID>
      <errorWord>附件</errorWord>
      <group>L1_Word</group>
      <groupName>字词问题</groupName>
      <ability>L2_Typo</ability>
      <abilityName>字词错误</abilityName>
      <candidateList>
        <item>附近</item>
      </candidateList>
      <explain>存在发音相近字词的误用。</explain>
      <paraID>3A279CF7</paraID>
      <start>3</start>
      <end>5</end>
      <status>unmodified</status>
      <modifiedWord/>
      <trackRevisions>false</trackRevisions>
    </reviewItem>
    <reviewItem>
      <errorID>e5894d63-7fd7-4dcb-bb43-49f30d3cff23</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42F21445</paraID>
      <start>0</start>
      <end>2</end>
      <status>unmodified</status>
      <modifiedWord/>
      <trackRevisions>false</trackRevisions>
    </reviewItem>
    <reviewItem>
      <errorID>c8eab1f5-d4b4-4937-b4ee-48b851cede65</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1512544A</paraID>
      <start>0</start>
      <end>2</end>
      <status>unmodified</status>
      <modifiedWord/>
      <trackRevisions>false</trackRevisions>
    </reviewItem>
    <reviewItem>
      <errorID>a56e2859-6f46-4c1c-8bdc-47d655cc0c60</errorID>
      <errorWord>(</errorWord>
      <group>L1_Format</group>
      <groupName>格式问题</groupName>
      <ability>L2_HalfPunc</ability>
      <abilityName>全半角检查</abilityName>
      <candidateList>
        <item>（</item>
      </candidateList>
      <explain>文本全半角错误。</explain>
      <paraID> B6DABC8</paraID>
      <start>2</start>
      <end>3</end>
      <status>unmodified</status>
      <modifiedWord/>
      <trackRevisions>false</trackRevisions>
    </reviewItem>
    <reviewItem>
      <errorID>aa277955-e621-4631-ace4-f54bd0f0daac</errorID>
      <errorWord>)</errorWord>
      <group>L1_Format</group>
      <groupName>格式问题</groupName>
      <ability>L2_HalfPunc</ability>
      <abilityName>全半角检查</abilityName>
      <candidateList>
        <item>）</item>
      </candidateList>
      <explain>文本全半角错误。</explain>
      <paraID> B6DABC8</paraID>
      <start>6</start>
      <end>7</end>
      <status>unmodified</status>
      <modifiedWord/>
      <trackRevisions>false</trackRevisions>
    </reviewItem>
    <reviewItem>
      <errorID>2dca8376-d165-4e46-8d96-d003100d27e2</errorID>
      <errorWord>(</errorWord>
      <group>L1_Format</group>
      <groupName>格式问题</groupName>
      <ability>L2_HalfPunc</ability>
      <abilityName>全半角检查</abilityName>
      <candidateList>
        <item>（</item>
      </candidateList>
      <explain>文本全半角错误。</explain>
      <paraID> FDA25B5</paraID>
      <start>3</start>
      <end>4</end>
      <status>unmodified</status>
      <modifiedWord/>
      <trackRevisions>false</trackRevisions>
    </reviewItem>
    <reviewItem>
      <errorID>76b94c15-ca2a-487c-8c2b-52661eec854f</errorID>
      <errorWord>)</errorWord>
      <group>L1_Format</group>
      <groupName>格式问题</groupName>
      <ability>L2_HalfPunc</ability>
      <abilityName>全半角检查</abilityName>
      <candidateList>
        <item>）</item>
      </candidateList>
      <explain>文本全半角错误。</explain>
      <paraID> FDA25B5</paraID>
      <start>8</start>
      <end>9</end>
      <status>unmodified</status>
      <modifiedWord/>
      <trackRevisions>false</trackRevisions>
    </reviewItem>
    <reviewItem>
      <errorID>a3d88eb4-99dc-453e-8e39-50523199c6b6</errorID>
      <errorWord>(</errorWord>
      <group>L1_Format</group>
      <groupName>格式问题</groupName>
      <ability>L2_HalfPunc</ability>
      <abilityName>全半角检查</abilityName>
      <candidateList>
        <item>（</item>
      </candidateList>
      <explain>文本全半角错误。</explain>
      <paraID>2F1622DF</paraID>
      <start>7</start>
      <end>8</end>
      <status>unmodified</status>
      <modifiedWord/>
      <trackRevisions>false</trackRevisions>
    </reviewItem>
    <reviewItem>
      <errorID>456b7a53-c008-485e-b6b6-af5965aa9d3e</errorID>
      <errorWord>)</errorWord>
      <group>L1_Format</group>
      <groupName>格式问题</groupName>
      <ability>L2_HalfPunc</ability>
      <abilityName>全半角检查</abilityName>
      <candidateList>
        <item>）</item>
      </candidateList>
      <explain>文本全半角错误。</explain>
      <paraID>2F1622DF</paraID>
      <start>12</start>
      <end>13</end>
      <status>unmodified</status>
      <modifiedWord/>
      <trackRevisions>false</trackRevisions>
    </reviewItem>
    <reviewItem>
      <errorID>ab46e306-b38d-41a1-b27b-1adb9c51c396</errorID>
      <errorWord>(</errorWord>
      <group>L1_Format</group>
      <groupName>格式问题</groupName>
      <ability>L2_HalfPunc</ability>
      <abilityName>全半角检查</abilityName>
      <candidateList>
        <item>（</item>
      </candidateList>
      <explain>文本全半角错误。</explain>
      <paraID>225CF1BF</paraID>
      <start>5</start>
      <end>6</end>
      <status>unmodified</status>
      <modifiedWord/>
      <trackRevisions>false</trackRevisions>
    </reviewItem>
    <reviewItem>
      <errorID>44e42b38-7267-49df-a041-33f34093c9db</errorID>
      <errorWord>)</errorWord>
      <group>L1_Format</group>
      <groupName>格式问题</groupName>
      <ability>L2_HalfPunc</ability>
      <abilityName>全半角检查</abilityName>
      <candidateList>
        <item>）</item>
      </candidateList>
      <explain>文本全半角错误。</explain>
      <paraID>225CF1BF</paraID>
      <start>10</start>
      <end>11</end>
      <status>unmodified</status>
      <modifiedWord/>
      <trackRevisions>false</trackRevisions>
    </reviewItem>
    <reviewItem>
      <errorID>baa86af9-0938-4952-a8c4-59ed1c8cefc7</errorID>
      <errorWord>(</errorWord>
      <group>L1_Format</group>
      <groupName>格式问题</groupName>
      <ability>L2_HalfPunc</ability>
      <abilityName>全半角检查</abilityName>
      <candidateList>
        <item>（</item>
      </candidateList>
      <explain>文本全半角错误。</explain>
      <paraID>4C3222C1</paraID>
      <start>2</start>
      <end>3</end>
      <status>unmodified</status>
      <modifiedWord/>
      <trackRevisions>false</trackRevisions>
    </reviewItem>
    <reviewItem>
      <errorID>85065f58-d2f5-4435-840b-932e5c52d0c6</errorID>
      <errorWord>)</errorWord>
      <group>L1_Format</group>
      <groupName>格式问题</groupName>
      <ability>L2_HalfPunc</ability>
      <abilityName>全半角检查</abilityName>
      <candidateList>
        <item>）</item>
      </candidateList>
      <explain>文本全半角错误。</explain>
      <paraID>4C3222C1</paraID>
      <start>7</start>
      <end>8</end>
      <status>unmodified</status>
      <modifiedWord/>
      <trackRevisions>false</trackRevisions>
    </reviewItem>
    <reviewItem>
      <errorID>90b576b7-16a8-4e94-931c-4fd2517c6870</errorID>
      <errorWord>(</errorWord>
      <group>L1_Format</group>
      <groupName>格式问题</groupName>
      <ability>L2_HalfPunc</ability>
      <abilityName>全半角检查</abilityName>
      <candidateList>
        <item>（</item>
      </candidateList>
      <explain>文本全半角错误。</explain>
      <paraID>1F7183F3</paraID>
      <start>2</start>
      <end>3</end>
      <status>unmodified</status>
      <modifiedWord/>
      <trackRevisions>false</trackRevisions>
    </reviewItem>
    <reviewItem>
      <errorID>6eb3d804-a925-4570-8dcc-80e8b7ebc441</errorID>
      <errorWord>)</errorWord>
      <group>L1_Format</group>
      <groupName>格式问题</groupName>
      <ability>L2_HalfPunc</ability>
      <abilityName>全半角检查</abilityName>
      <candidateList>
        <item>）</item>
      </candidateList>
      <explain>文本全半角错误。</explain>
      <paraID>1F7183F3</paraID>
      <start>7</start>
      <end>8</end>
      <status>unmodified</status>
      <modifiedWord/>
      <trackRevisions>false</trackRevisions>
    </reviewItem>
    <reviewItem>
      <errorID>5463866e-5565-4a2b-85d3-06874b2d00a8</errorID>
      <errorWord>(</errorWord>
      <group>L1_Format</group>
      <groupName>格式问题</groupName>
      <ability>L2_HalfPunc</ability>
      <abilityName>全半角检查</abilityName>
      <candidateList>
        <item>（</item>
      </candidateList>
      <explain>文本全半角错误。</explain>
      <paraID>41F2251D</paraID>
      <start>2</start>
      <end>3</end>
      <status>unmodified</status>
      <modifiedWord/>
      <trackRevisions>false</trackRevisions>
    </reviewItem>
    <reviewItem>
      <errorID>373fe165-9b5c-4e70-8c9f-39a190733383</errorID>
      <errorWord>)</errorWord>
      <group>L1_Format</group>
      <groupName>格式问题</groupName>
      <ability>L2_HalfPunc</ability>
      <abilityName>全半角检查</abilityName>
      <candidateList>
        <item>）</item>
      </candidateList>
      <explain>文本全半角错误。</explain>
      <paraID>41F2251D</paraID>
      <start>7</start>
      <end>8</end>
      <status>unmodified</status>
      <modifiedWord/>
      <trackRevisions>false</trackRevisions>
    </reviewItem>
    <reviewItem>
      <errorID>22d5201a-354b-440c-b90f-9412f785aef7</errorID>
      <errorWord>达到了</errorWord>
      <group>L1_Word</group>
      <groupName>字词问题</groupName>
      <ability>L2_Typo</ability>
      <abilityName>字词错误</abilityName>
      <candidateList>
        <item>达到</item>
      </candidateList>
      <explain>〈动〉到（多指抽象事物或程度）：达得到｜达不到｜目的没有～｜～国际水平。</explain>
      <paraID>3519C3CE</paraID>
      <start>156</start>
      <end>159</end>
      <status>unmodified</status>
      <modifiedWord/>
      <trackRevisions>false</trackRevisions>
    </reviewItem>
    <reviewItem>
      <errorID>e11336c6-fad7-4c43-9aeb-f878931bbc30</errorID>
      <errorWord>(</errorWord>
      <group>L1_Format</group>
      <groupName>格式问题</groupName>
      <ability>L2_HalfPunc</ability>
      <abilityName>全半角检查</abilityName>
      <candidateList>
        <item>（</item>
      </candidateList>
      <explain>文本全半角错误。</explain>
      <paraID> 9DB5190</paraID>
      <start>3</start>
      <end>4</end>
      <status>unmodified</status>
      <modifiedWord/>
      <trackRevisions>false</trackRevisions>
    </reviewItem>
    <reviewItem>
      <errorID>8aa1b4a0-1db9-4c66-8f15-edab96e4748d</errorID>
      <errorWord>)</errorWord>
      <group>L1_Format</group>
      <groupName>格式问题</groupName>
      <ability>L2_HalfPunc</ability>
      <abilityName>全半角检查</abilityName>
      <candidateList>
        <item>）</item>
      </candidateList>
      <explain>文本全半角错误。</explain>
      <paraID> 9DB5190</paraID>
      <start>7</start>
      <end>8</end>
      <status>unmodified</status>
      <modifiedWord/>
      <trackRevisions>false</trackRevisions>
    </reviewItem>
    <reviewItem>
      <errorID>4efb74ab-a6b4-4100-bf69-eef56c197100</errorID>
      <errorWord>(</errorWord>
      <group>L1_Format</group>
      <groupName>格式问题</groupName>
      <ability>L2_HalfPunc</ability>
      <abilityName>全半角检查</abilityName>
      <candidateList>
        <item>（</item>
      </candidateList>
      <explain>文本全半角错误。</explain>
      <paraID>699A536B</paraID>
      <start>3</start>
      <end>4</end>
      <status>unmodified</status>
      <modifiedWord/>
      <trackRevisions>false</trackRevisions>
    </reviewItem>
    <reviewItem>
      <errorID>8677a695-a5e1-428c-835b-1cec671e0e4f</errorID>
      <errorWord>)</errorWord>
      <group>L1_Format</group>
      <groupName>格式问题</groupName>
      <ability>L2_HalfPunc</ability>
      <abilityName>全半角检查</abilityName>
      <candidateList>
        <item>）</item>
      </candidateList>
      <explain>文本全半角错误。</explain>
      <paraID>699A536B</paraID>
      <start>8</start>
      <end>9</end>
      <status>unmodified</status>
      <modifiedWord/>
      <trackRevisions>false</trackRevisions>
    </reviewItem>
    <reviewItem>
      <errorID>6532d164-a77c-47fa-bde4-ebee13438060</errorID>
      <errorWord>(</errorWord>
      <group>L1_Format</group>
      <groupName>格式问题</groupName>
      <ability>L2_HalfPunc</ability>
      <abilityName>全半角检查</abilityName>
      <candidateList>
        <item>（</item>
      </candidateList>
      <explain>文本全半角错误。</explain>
      <paraID>5DEB9FB3</paraID>
      <start>6</start>
      <end>7</end>
      <status>unmodified</status>
      <modifiedWord/>
      <trackRevisions>false</trackRevisions>
    </reviewItem>
    <reviewItem>
      <errorID>b4a827c7-483b-4189-a2dd-0563f8fe11d9</errorID>
      <errorWord>)</errorWord>
      <group>L1_Format</group>
      <groupName>格式问题</groupName>
      <ability>L2_HalfPunc</ability>
      <abilityName>全半角检查</abilityName>
      <candidateList>
        <item>）</item>
      </candidateList>
      <explain>文本全半角错误。</explain>
      <paraID>5DEB9FB3</paraID>
      <start>11</start>
      <end>12</end>
      <status>unmodified</status>
      <modifiedWord/>
      <trackRevisions>false</trackRevisions>
    </reviewItem>
    <reviewItem>
      <errorID>4c6fef03-fbce-4475-83db-664b98cff9f6</errorID>
      <errorWord>(</errorWord>
      <group>L1_Format</group>
      <groupName>格式问题</groupName>
      <ability>L2_HalfPunc</ability>
      <abilityName>全半角检查</abilityName>
      <candidateList>
        <item>（</item>
      </candidateList>
      <explain>文本全半角错误。</explain>
      <paraID>44F4242F</paraID>
      <start>5</start>
      <end>6</end>
      <status>unmodified</status>
      <modifiedWord/>
      <trackRevisions>false</trackRevisions>
    </reviewItem>
    <reviewItem>
      <errorID>f82c70db-f5d5-4f80-8c53-6d5d5c1cf770</errorID>
      <errorWord>)</errorWord>
      <group>L1_Format</group>
      <groupName>格式问题</groupName>
      <ability>L2_HalfPunc</ability>
      <abilityName>全半角检查</abilityName>
      <candidateList>
        <item>）</item>
      </candidateList>
      <explain>文本全半角错误。</explain>
      <paraID>44F4242F</paraID>
      <start>15</start>
      <end>16</end>
      <status>unmodified</status>
      <modifiedWord/>
      <trackRevisions>false</trackRevisions>
    </reviewItem>
    <reviewItem>
      <errorID>2b8d302e-a7cc-4c2c-bb80-f7c167eb656a</errorID>
      <errorWord>(</errorWord>
      <group>L1_Format</group>
      <groupName>格式问题</groupName>
      <ability>L2_HalfPunc</ability>
      <abilityName>全半角检查</abilityName>
      <candidateList>
        <item>（</item>
      </candidateList>
      <explain>文本全半角错误。</explain>
      <paraID>6D5FB4C1</paraID>
      <start>3</start>
      <end>4</end>
      <status>unmodified</status>
      <modifiedWord/>
      <trackRevisions>false</trackRevisions>
    </reviewItem>
    <reviewItem>
      <errorID>76a0f049-f489-4f5d-8e80-b6c4e271c69b</errorID>
      <errorWord>)</errorWord>
      <group>L1_Format</group>
      <groupName>格式问题</groupName>
      <ability>L2_HalfPunc</ability>
      <abilityName>全半角检查</abilityName>
      <candidateList>
        <item>）</item>
      </candidateList>
      <explain>文本全半角错误。</explain>
      <paraID>6D5FB4C1</paraID>
      <start>8</start>
      <end>9</end>
      <status>unmodified</status>
      <modifiedWord/>
      <trackRevisions>false</trackRevisions>
    </reviewItem>
    <reviewItem>
      <errorID>566c12e0-ba2f-4e9b-9dbe-220b287907af</errorID>
      <errorWord>(</errorWord>
      <group>L1_Format</group>
      <groupName>格式问题</groupName>
      <ability>L2_HalfPunc</ability>
      <abilityName>全半角检查</abilityName>
      <candidateList>
        <item>（</item>
      </candidateList>
      <explain>文本全半角错误。</explain>
      <paraID>76D85A96</paraID>
      <start>2</start>
      <end>3</end>
      <status>unmodified</status>
      <modifiedWord/>
      <trackRevisions>false</trackRevisions>
    </reviewItem>
    <reviewItem>
      <errorID>ac41a316-1542-4fc4-b791-0f9f30cd9a26</errorID>
      <errorWord>)</errorWord>
      <group>L1_Format</group>
      <groupName>格式问题</groupName>
      <ability>L2_HalfPunc</ability>
      <abilityName>全半角检查</abilityName>
      <candidateList>
        <item>）</item>
      </candidateList>
      <explain>文本全半角错误。</explain>
      <paraID>76D85A96</paraID>
      <start>7</start>
      <end>8</end>
      <status>unmodified</status>
      <modifiedWord/>
      <trackRevisions>false</trackRevisions>
    </reviewItem>
    <reviewItem>
      <errorID>8892b084-e5eb-4b75-98d8-073588d3ad21</errorID>
      <errorWord>(</errorWord>
      <group>L1_Format</group>
      <groupName>格式问题</groupName>
      <ability>L2_HalfPunc</ability>
      <abilityName>全半角检查</abilityName>
      <candidateList>
        <item>（</item>
      </candidateList>
      <explain>文本全半角错误。</explain>
      <paraID>210299FB</paraID>
      <start>5</start>
      <end>6</end>
      <status>unmodified</status>
      <modifiedWord/>
      <trackRevisions>false</trackRevisions>
    </reviewItem>
    <reviewItem>
      <errorID>e3121530-e1d6-4edf-acee-34824a072aa7</errorID>
      <errorWord>)</errorWord>
      <group>L1_Format</group>
      <groupName>格式问题</groupName>
      <ability>L2_HalfPunc</ability>
      <abilityName>全半角检查</abilityName>
      <candidateList>
        <item>）</item>
      </candidateList>
      <explain>文本全半角错误。</explain>
      <paraID>210299FB</paraID>
      <start>10</start>
      <end>11</end>
      <status>unmodified</status>
      <modifiedWord/>
      <trackRevisions>false</trackRevisions>
    </reviewItem>
    <reviewItem>
      <errorID>7cd0bebb-508d-4abc-925b-95c754c84d25</errorID>
      <errorWord>(</errorWord>
      <group>L1_Format</group>
      <groupName>格式问题</groupName>
      <ability>L2_HalfPunc</ability>
      <abilityName>全半角检查</abilityName>
      <candidateList>
        <item>（</item>
      </candidateList>
      <explain>文本全半角错误。</explain>
      <paraID>4549D9B2</paraID>
      <start>3</start>
      <end>4</end>
      <status>unmodified</status>
      <modifiedWord/>
      <trackRevisions>false</trackRevisions>
    </reviewItem>
    <reviewItem>
      <errorID>de43dde3-ed0f-4f2c-bf7e-801e2f90145a</errorID>
      <errorWord>)</errorWord>
      <group>L1_Format</group>
      <groupName>格式问题</groupName>
      <ability>L2_HalfPunc</ability>
      <abilityName>全半角检查</abilityName>
      <candidateList>
        <item>）</item>
      </candidateList>
      <explain>文本全半角错误。</explain>
      <paraID>4549D9B2</paraID>
      <start>7</start>
      <end>8</end>
      <status>unmodified</status>
      <modifiedWord/>
      <trackRevisions>false</trackRevisions>
    </reviewItem>
    <reviewItem>
      <errorID>238168e6-7e00-4fb8-92be-1ca99bbd68e8</errorID>
      <errorWord>(</errorWord>
      <group>L1_Format</group>
      <groupName>格式问题</groupName>
      <ability>L2_HalfPunc</ability>
      <abilityName>全半角检查</abilityName>
      <candidateList>
        <item>（</item>
      </candidateList>
      <explain>文本全半角错误。</explain>
      <paraID> FAE9D5F</paraID>
      <start>3</start>
      <end>4</end>
      <status>unmodified</status>
      <modifiedWord/>
      <trackRevisions>false</trackRevisions>
    </reviewItem>
    <reviewItem>
      <errorID>36e77168-2cb4-40e7-b98b-205a84663ae5</errorID>
      <errorWord>)</errorWord>
      <group>L1_Format</group>
      <groupName>格式问题</groupName>
      <ability>L2_HalfPunc</ability>
      <abilityName>全半角检查</abilityName>
      <candidateList>
        <item>）</item>
      </candidateList>
      <explain>文本全半角错误。</explain>
      <paraID> FAE9D5F</paraID>
      <start>8</start>
      <end>9</end>
      <status>unmodified</status>
      <modifiedWord/>
      <trackRevisions>false</trackRevisions>
    </reviewItem>
    <reviewItem>
      <errorID>96841925-cbc7-414e-ae9e-6c0fe3c99aa4</errorID>
      <errorWord>(</errorWord>
      <group>L1_Format</group>
      <groupName>格式问题</groupName>
      <ability>L2_HalfPunc</ability>
      <abilityName>全半角检查</abilityName>
      <candidateList>
        <item>（</item>
      </candidateList>
      <explain>文本全半角错误。</explain>
      <paraID>7B3C479E</paraID>
      <start>3</start>
      <end>4</end>
      <status>unmodified</status>
      <modifiedWord/>
      <trackRevisions>false</trackRevisions>
    </reviewItem>
    <reviewItem>
      <errorID>90923aa8-2342-46e1-8099-22f5f68c553f</errorID>
      <errorWord>)</errorWord>
      <group>L1_Format</group>
      <groupName>格式问题</groupName>
      <ability>L2_HalfPunc</ability>
      <abilityName>全半角检查</abilityName>
      <candidateList>
        <item>）</item>
      </candidateList>
      <explain>文本全半角错误。</explain>
      <paraID>7B3C479E</paraID>
      <start>8</start>
      <end>9</end>
      <status>unmodified</status>
      <modifiedWord/>
      <trackRevisions>false</trackRevisions>
    </reviewItem>
    <reviewItem>
      <errorID>726f1112-1e2c-4d7e-898e-71098442a2b4</errorID>
      <errorWord>(</errorWord>
      <group>L1_Format</group>
      <groupName>格式问题</groupName>
      <ability>L2_HalfPunc</ability>
      <abilityName>全半角检查</abilityName>
      <candidateList>
        <item>（</item>
      </candidateList>
      <explain>文本全半角错误。</explain>
      <paraID>62A691C7</paraID>
      <start>3</start>
      <end>4</end>
      <status>unmodified</status>
      <modifiedWord/>
      <trackRevisions>false</trackRevisions>
    </reviewItem>
    <reviewItem>
      <errorID>1cb5805f-37b7-4dd9-8556-901c5cb12f50</errorID>
      <errorWord>)</errorWord>
      <group>L1_Format</group>
      <groupName>格式问题</groupName>
      <ability>L2_HalfPunc</ability>
      <abilityName>全半角检查</abilityName>
      <candidateList>
        <item>）</item>
      </candidateList>
      <explain>文本全半角错误。</explain>
      <paraID>62A691C7</paraID>
      <start>8</start>
      <end>9</end>
      <status>unmodified</status>
      <modifiedWord/>
      <trackRevisions>false</trackRevisions>
    </reviewItem>
    <reviewItem>
      <errorID>f7183643-a375-430b-a5d1-7f93b98d7e68</errorID>
      <errorWord>(</errorWord>
      <group>L1_Format</group>
      <groupName>格式问题</groupName>
      <ability>L2_HalfPunc</ability>
      <abilityName>全半角检查</abilityName>
      <candidateList>
        <item>（</item>
      </candidateList>
      <explain>文本全半角错误。</explain>
      <paraID>131F1643</paraID>
      <start>3</start>
      <end>4</end>
      <status>unmodified</status>
      <modifiedWord/>
      <trackRevisions>false</trackRevisions>
    </reviewItem>
    <reviewItem>
      <errorID>f2ef3d53-5624-4170-b5a7-290c7d0fe209</errorID>
      <errorWord>)</errorWord>
      <group>L1_Format</group>
      <groupName>格式问题</groupName>
      <ability>L2_HalfPunc</ability>
      <abilityName>全半角检查</abilityName>
      <candidateList>
        <item>）</item>
      </candidateList>
      <explain>文本全半角错误。</explain>
      <paraID>131F1643</paraID>
      <start>8</start>
      <end>9</end>
      <status>unmodified</status>
      <modifiedWord/>
      <trackRevisions>false</trackRevisions>
    </reviewItem>
    <reviewItem>
      <errorID>1ace407b-bd1d-4bc5-b837-478e1d405cf9</errorID>
      <errorWord>III类</errorWord>
      <group>L1_Knowledge</group>
      <groupName>知识性问题</groupName>
      <ability>L2_Knowledge</ability>
      <abilityName>其他知识</abilityName>
      <candidateList>
        <item>Ⅲ类</item>
      </candidateList>
      <explain/>
      <paraID>3F8FDE62</paraID>
      <start>56</start>
      <end>60</end>
      <status>unmodified</status>
      <modifiedWord/>
      <trackRevisions>false</trackRevisions>
    </reviewItem>
    <reviewItem>
      <errorID>03dbe327-d8f0-4821-83dc-52980e57d210</errorID>
      <errorWord>可</errorWord>
      <group>L1_Word</group>
      <groupName>字词问题</groupName>
      <ability>L2_Typo</ability>
      <abilityName>字词错误</abilityName>
      <candidateList>
        <item>可以</item>
      </candidateList>
      <explain>〈口〉〈形〉❶好；不坏；过得去：这篇文章写得还～。❷厉害：你这张嘴真～｜天气实在热得～。</explain>
      <paraID> 9C0C2A3</paraID>
      <start>68</start>
      <end>69</end>
      <status>unmodified</status>
      <modifiedWord/>
      <trackRevisions>false</trackRevisions>
    </reviewItem>
    <reviewItem>
      <errorID>3ac9f454-d833-4e0c-a9fc-db1ce0cbe672</errorID>
      <errorWord>(</errorWord>
      <group>L1_Format</group>
      <groupName>格式问题</groupName>
      <ability>L2_HalfPunc</ability>
      <abilityName>全半角检查</abilityName>
      <candidateList>
        <item>（</item>
      </candidateList>
      <explain>文本全半角错误。</explain>
      <paraID>26B45A0E</paraID>
      <start>34</start>
      <end>35</end>
      <status>unmodified</status>
      <modifiedWord/>
      <trackRevisions>false</trackRevisions>
    </reviewItem>
    <reviewItem>
      <errorID>7151378f-b216-4c9f-a21d-df20363617bb</errorID>
      <errorWord>)</errorWord>
      <group>L1_Format</group>
      <groupName>格式问题</groupName>
      <ability>L2_HalfPunc</ability>
      <abilityName>全半角检查</abilityName>
      <candidateList>
        <item>）</item>
      </candidateList>
      <explain>文本全半角错误。</explain>
      <paraID>26B45A0E</paraID>
      <start>47</start>
      <end>48</end>
      <status>unmodified</status>
      <modifiedWord/>
      <trackRevisions>false</trackRevisions>
    </reviewItem>
    <reviewItem>
      <errorID>a8afcc3e-889d-48d7-a9bf-9030cd2187f2</errorID>
      <errorWord>（</errorWord>
      <group>L1_Format</group>
      <groupName>格式问题</groupName>
      <ability>L2_HalfPunc</ability>
      <abilityName>全半角检查</abilityName>
      <candidateList>
        <item>(</item>
      </candidateList>
      <explain>文本全半角错误。</explain>
      <paraID>6F10582B</paraID>
      <start>3</start>
      <end>4</end>
      <status>unmodified</status>
      <modifiedWord/>
      <trackRevisions>false</trackRevisions>
    </reviewItem>
    <reviewItem>
      <errorID>bd2c706f-1b24-4cdb-a676-57ac967bb734</errorID>
      <errorWord>）</errorWord>
      <group>L1_Format</group>
      <groupName>格式问题</groupName>
      <ability>L2_HalfPunc</ability>
      <abilityName>全半角检查</abilityName>
      <candidateList>
        <item>)</item>
      </candidateList>
      <explain>文本全半角错误。</explain>
      <paraID>6F10582B</paraID>
      <start>5</start>
      <end>6</end>
      <status>unmodified</status>
      <modifiedWord/>
      <trackRevisions>false</trackRevisions>
    </reviewItem>
    <reviewItem>
      <errorID>26198dd2-cec8-4648-abc4-1d7eeb7458a8</errorID>
      <errorWord>(</errorWord>
      <group>L1_Format</group>
      <groupName>格式问题</groupName>
      <ability>L2_HalfPunc</ability>
      <abilityName>全半角检查</abilityName>
      <candidateList>
        <item>（</item>
      </candidateList>
      <explain>文本全半角错误。</explain>
      <paraID>6717A273</paraID>
      <start>64</start>
      <end>65</end>
      <status>unmodified</status>
      <modifiedWord/>
      <trackRevisions>false</trackRevisions>
    </reviewItem>
    <reviewItem>
      <errorID>1a17a4b6-755f-41a3-9e4f-56f1facb0141</errorID>
      <errorWord>)</errorWord>
      <group>L1_Format</group>
      <groupName>格式问题</groupName>
      <ability>L2_HalfPunc</ability>
      <abilityName>全半角检查</abilityName>
      <candidateList>
        <item>）</item>
      </candidateList>
      <explain>文本全半角错误。</explain>
      <paraID>6717A273</paraID>
      <start>76</start>
      <end>77</end>
      <status>unmodified</status>
      <modifiedWord/>
      <trackRevisions>false</trackRevisions>
    </reviewItem>
    <reviewItem>
      <errorID>9cfea2e7-86f2-404e-a618-efa1d5c5ce7e</errorID>
      <errorWord>为率</errorWord>
      <group>L1_Word</group>
      <groupName>字词问题</groupName>
      <ability>L2_Typo</ability>
      <abilityName>字词错误</abilityName>
      <candidateList>
        <item>为</item>
      </candidateList>
      <explain>（爲、為）wèi❶〈书〉帮助；卫护：～吕氏者右袒，～刘氏者左袒。❷〈介〉表示行为的对象；替：～你庆幸｜～人民服务｜～这本书写一篇序。❸〈介〉表示原因、目的：大家都～这件事高兴｜～建设伟大祖国而奋斗。❹〈书〉〈介〉对；向：不足～外人道。</explain>
      <paraID>6717A273</paraID>
      <start>140</start>
      <end>142</end>
      <status>unmodified</status>
      <modifiedWord/>
      <trackRevisions>false</trackRevisions>
    </reviewItem>
    <reviewItem>
      <errorID>38e50ff9-2813-484a-b959-877dbec1f633</errorID>
      <errorWord>0.07%~0.5%</errorWord>
      <group>L1_Knowledge</group>
      <groupName>知识性问题</groupName>
      <ability>L2_Knowledge</ability>
      <abilityName>其他知识</abilityName>
      <candidateList>
        <item>0.07%～0.5%</item>
      </candidateList>
      <explain>1. “0.07%~0.5%”中的单位“%”仅出现在后一个数字上，容易引起歧义；根据《现代汉语标点符号数字用法规范手册》，数字表示范围两边需要使用统一的格式。2. 根据标点国标 4.13 中的规则，数字、时间或地域连接符应使用（视觉上更长的）“—”或“～”。</explain>
      <paraID>6717A273</paraID>
      <start>180</start>
      <end>190</end>
      <status>unmodified</status>
      <modifiedWord/>
      <trackRevisions>false</trackRevisions>
    </reviewItem>
    <reviewItem>
      <errorID>d87d237f-9ebc-4975-ad7c-8e6e577f0ef0</errorID>
      <errorWord>0.14%~4.99%</errorWord>
      <group>L1_Knowledge</group>
      <groupName>知识性问题</groupName>
      <ability>L2_Knowledge</ability>
      <abilityName>其他知识</abilityName>
      <candidateList>
        <item>0.14%～4.99%</item>
      </candidateList>
      <explain>1. “0.14%~4.99%”中的单位“%”仅出现在后一个数字上，容易引起歧义；根据《现代汉语标点符号数字用法规范手册》，数字表示范围两边需要使用统一的格式。2. 根据标点国标 4.13 中的规则，数字、时间或地域连接符应使用（视觉上更长的）“—”或“～”。</explain>
      <paraID>6717A273</paraID>
      <start>306</start>
      <end>317</end>
      <status>unmodified</status>
      <modifiedWord/>
      <trackRevisions>false</trackRevisions>
    </reviewItem>
    <reviewItem>
      <errorID>249a41b7-e97d-42d1-9615-1ba4219774ef</errorID>
      <errorWord>0.0214%~0.4116%</errorWord>
      <group>L1_Knowledge</group>
      <groupName>知识性问题</groupName>
      <ability>L2_Knowledge</ability>
      <abilityName>其他知识</abilityName>
      <candidateList>
        <item>0.0214%～0.4116%</item>
      </candidateList>
      <explain>1. “0.0214%~0.4116%”中的单位“%”仅出现在后一个数字上，容易引起歧义；根据《现代汉语标点符号数字用法规范手册》，数字表示范围两边需要使用统一的格式。2. 根据标点国标 4.13 中的规则，数字、时间或地域连接符应使用（视觉上更长的）“—”或“～”。</explain>
      <paraID>6717A273</paraID>
      <start>386</start>
      <end>401</end>
      <status>unmodified</status>
      <modifiedWord/>
      <trackRevisions>false</trackRevisions>
    </reviewItem>
    <reviewItem>
      <errorID>d9aedbb3-4192-4457-aa9f-8946ac532922</errorID>
      <errorWord>污水厂</errorWord>
      <group>L1_Word</group>
      <groupName>字词问题</groupName>
      <ability>L2_Typo</ability>
      <abilityName>字词错误</abilityName>
      <candidateList>
        <item>污水处理厂</item>
      </candidateList>
      <explain/>
      <paraID>6DE99A87</paraID>
      <start>78</start>
      <end>81</end>
      <status>unmodified</status>
      <modifiedWord/>
      <trackRevisions>false</trackRevisions>
    </reviewItem>
    <reviewItem>
      <errorID>a8610b24-aa7c-4f57-8873-91335ecd85ca</errorID>
      <errorWord>产生的</errorWord>
      <group>L1_Word</group>
      <groupName>字词问题</groupName>
      <ability>L2_Typo</ability>
      <abilityName>字词错误</abilityName>
      <candidateList>
        <item>产生</item>
      </candidateList>
      <explain/>
      <paraID> D96809B</paraID>
      <start>73</start>
      <end>76</end>
      <status>unmodified</status>
      <modifiedWord/>
      <trackRevisions>false</trackRevisions>
    </reviewItem>
    <reviewItem>
      <errorID>e4d88441-77e7-4d01-bddb-80037e17eaa1</errorID>
      <errorWord>，</errorWord>
      <group>L1_Word</group>
      <groupName>字词问题</groupName>
      <ability>L2_Typo</ability>
      <abilityName>字词错误</abilityName>
      <candidateList>
        <item>，对</item>
      </candidateList>
      <explain/>
      <paraID>1DD0ABA0</paraID>
      <start>67</start>
      <end>68</end>
      <status>unmodified</status>
      <modifiedWord/>
      <trackRevisions>false</trackRevisions>
    </reviewItem>
    <reviewItem>
      <errorID>7a6af366-4e6f-4c48-ac23-9124af8d288e</errorID>
      <errorWord>提高</errorWord>
      <group>L1_Word</group>
      <groupName>字词问题</groupName>
      <ability>L2_Typo</ability>
      <abilityName>字词错误</abilityName>
      <candidateList>
        <item>增强</item>
      </candidateList>
      <explain>“提高～意识”搭配不当，建议修改为“增强～意识”。</explain>
      <paraID>1DD0ABA0</paraID>
      <start>151</start>
      <end>153</end>
      <status>unmodified</status>
      <modifiedWord/>
      <trackRevisions>false</trackRevisions>
    </reviewItem>
    <reviewItem>
      <errorID>954f7492-460a-4046-b3a1-ef45a4d6666e</errorID>
      <errorWord>所述</errorWord>
      <group>L1_Word</group>
      <groupName>字词问题</groupName>
      <ability>L2_Typo</ability>
      <abilityName>字词错误</abilityName>
      <candidateList>
        <item>所示</item>
      </candidateList>
      <explain/>
      <paraID>1F1325EB</paraID>
      <start>30</start>
      <end>32</end>
      <status>unmodified</status>
      <modifiedWord/>
      <trackRevisions>false</trackRevisions>
    </reviewItem>
    <reviewItem>
      <errorID>90cd8c63-db49-4ddc-9904-7fa2be95ffa4</errorID>
      <errorWord>査</errorWord>
      <group>L1_Word</group>
      <groupName>字词问题</groupName>
      <ability>L2_Fanti</ability>
      <abilityName>繁转简</abilityName>
      <candidateList>
        <item>查</item>
      </candidateList>
      <explain>（査）Zhā〈名〉姓。</explain>
      <paraID>6C9A0997</paraID>
      <start>100</start>
      <end>101</end>
      <status>unmodified</status>
      <modifiedWord/>
      <trackRevisions>false</trackRevisions>
    </reviewItem>
    <reviewItem>
      <errorID>f2793b26-ffd6-4e15-a5c9-5d92f60cc54c</errorID>
      <errorWord>可</errorWord>
      <group>L1_Word</group>
      <groupName>字词问题</groupName>
      <ability>L2_Typo</ability>
      <abilityName>字词错误</abilityName>
      <candidateList>
        <item>可以</item>
      </candidateList>
      <explain>〈口〉〈形〉❶好；不坏；过得去：这篇文章写得还～。❷厉害：你这张嘴真～｜天气实在热得～。</explain>
      <paraID>3BD210AD</paraID>
      <start>44</start>
      <end>45</end>
      <status>unmodified</status>
      <modifiedWord/>
      <trackRevisions>false</trackRevisions>
    </reviewItem>
    <reviewItem>
      <errorID>38df30ad-d1e4-4ead-95c4-4406106b47b2</errorID>
      <errorWord>》</errorWord>
      <group>L1_Word</group>
      <groupName>字词问题</groupName>
      <ability>L2_Typo</ability>
      <abilityName>字词错误</abilityName>
      <candidateList>
        <item>》等</item>
      </candidateList>
      <explain/>
      <paraID> C83AE3D</paraID>
      <start>65</start>
      <end>66</end>
      <status>unmodified</status>
      <modifiedWord/>
      <trackRevisions>false</trackRevisions>
    </reviewItem>
    <reviewItem>
      <errorID>cb956318-9722-4737-bd16-4e16886e21c0</errorID>
      <errorWord>双随机、一公开</errorWord>
      <group>L1_Political</group>
      <groupName>政治性问题</groupName>
      <ability>L2_Keyword</ability>
      <abilityName>固定表述</abilityName>
      <candidateList>
        <item>“双随机、一公开”</item>
      </candidateList>
      <explain>注意检查当前固定表述标点是否使用规范。</explain>
      <paraID>32C01056</paraID>
      <start>120</start>
      <end>127</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7912bea-1180-4158-8e8a-5d47965c9ca9}">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113</Pages>
  <Words>7230</Words>
  <Characters>8346</Characters>
  <Lines>695</Lines>
  <Paragraphs>195</Paragraphs>
  <TotalTime>11</TotalTime>
  <ScaleCrop>false</ScaleCrop>
  <LinksUpToDate>false</LinksUpToDate>
  <CharactersWithSpaces>8646</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2018-08-02T07:21:00Z</dcterms:created>
  <dc:creator>admin</dc:creator>
  <cp:lastModifiedBy>Z</cp:lastModifiedBy>
  <cp:lastPrinted>2024-09-18T06:24:00Z</cp:lastPrinted>
  <dcterms:modified xsi:type="dcterms:W3CDTF">2026-04-02T02:15:50Z</dcterms:modified>
  <cp:revision>173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6D64369AB6C94D5592C6AA018AF2DA0D_13</vt:lpwstr>
  </property>
  <property fmtid="{D5CDD505-2E9C-101B-9397-08002B2CF9AE}" pid="4" name="KSOTemplateDocerSaveRecord">
    <vt:lpwstr>eyJoZGlkIjoiMmQ5NTY0MjQ1MzUyMzFmZjU0MDAzODFhMzhiMTM5ZTYiLCJ1c2VySWQiOiIyNzYwMzA3MjAifQ==</vt:lpwstr>
  </property>
</Properties>
</file>