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5C1D5D4">
      <w:pPr>
        <w:spacing w:line="560" w:lineRule="exact"/>
        <w:rPr>
          <w:rFonts w:hint="eastAsia" w:ascii="黑体" w:hAnsi="黑体" w:eastAsia="黑体" w:cs="黑体"/>
          <w:szCs w:val="32"/>
        </w:rPr>
      </w:pPr>
      <w:r>
        <w:rPr>
          <w:rFonts w:hint="eastAsia" w:ascii="黑体" w:hAnsi="黑体" w:eastAsia="黑体" w:cs="黑体"/>
          <w:szCs w:val="32"/>
        </w:rPr>
        <w:t>附件1-1</w:t>
      </w:r>
    </w:p>
    <w:p w14:paraId="3B27B344"/>
    <w:p w14:paraId="27A86131"/>
    <w:p w14:paraId="0CE2A71A"/>
    <w:p w14:paraId="1F867D31"/>
    <w:p w14:paraId="0EF2F6BA"/>
    <w:p w14:paraId="49DA0013"/>
    <w:p w14:paraId="35EEB031"/>
    <w:p w14:paraId="445095D8"/>
    <w:p w14:paraId="20B2A528">
      <w:pPr>
        <w:spacing w:line="560" w:lineRule="exact"/>
        <w:jc w:val="center"/>
        <w:rPr>
          <w:rFonts w:hint="eastAsia" w:ascii="黑体" w:hAnsi="黑体" w:eastAsia="黑体" w:cs="黑体"/>
          <w:b/>
          <w:sz w:val="44"/>
          <w:szCs w:val="44"/>
        </w:rPr>
      </w:pPr>
      <w:r>
        <w:rPr>
          <w:rFonts w:hint="eastAsia" w:ascii="黑体" w:hAnsi="黑体" w:eastAsia="黑体" w:cs="黑体"/>
          <w:b/>
          <w:sz w:val="44"/>
          <w:szCs w:val="44"/>
        </w:rPr>
        <w:t>淮北市生态环境保护综合行政执法支队</w:t>
      </w:r>
    </w:p>
    <w:p w14:paraId="5C96263F">
      <w:pPr>
        <w:spacing w:line="560" w:lineRule="exact"/>
        <w:jc w:val="center"/>
        <w:rPr>
          <w:rFonts w:hint="eastAsia" w:ascii="黑体" w:hAnsi="黑体" w:eastAsia="黑体" w:cs="黑体"/>
          <w:b/>
          <w:sz w:val="44"/>
          <w:szCs w:val="44"/>
        </w:rPr>
      </w:pPr>
      <w:r>
        <w:rPr>
          <w:rFonts w:hint="eastAsia" w:ascii="黑体" w:hAnsi="黑体" w:eastAsia="黑体" w:cs="黑体"/>
          <w:b/>
          <w:sz w:val="44"/>
          <w:szCs w:val="44"/>
        </w:rPr>
        <w:t>2025年单位预算</w:t>
      </w:r>
    </w:p>
    <w:p w14:paraId="2ABF4DCB"/>
    <w:p w14:paraId="16174985"/>
    <w:p w14:paraId="2AD080D3"/>
    <w:p w14:paraId="1245F6B9"/>
    <w:p w14:paraId="24E88454"/>
    <w:p w14:paraId="3795EE40"/>
    <w:p w14:paraId="68013B8A"/>
    <w:p w14:paraId="2ECE6D17"/>
    <w:p w14:paraId="0F51982A"/>
    <w:p w14:paraId="67BC75B4"/>
    <w:p w14:paraId="0A314E22"/>
    <w:p w14:paraId="1EB22769"/>
    <w:p w14:paraId="35BB67BE"/>
    <w:p w14:paraId="55189739"/>
    <w:p w14:paraId="0E033E90"/>
    <w:p w14:paraId="20ECD33A"/>
    <w:p w14:paraId="4C6E89E2"/>
    <w:p w14:paraId="04CF1A36"/>
    <w:p w14:paraId="6C688401"/>
    <w:p w14:paraId="7F072784"/>
    <w:p w14:paraId="48F1F2A9"/>
    <w:p w14:paraId="5FC8C198"/>
    <w:p w14:paraId="577E2093">
      <w:pPr>
        <w:pStyle w:val="6"/>
        <w:adjustRightInd w:val="0"/>
        <w:snapToGrid w:val="0"/>
        <w:spacing w:line="560" w:lineRule="exact"/>
        <w:jc w:val="center"/>
        <w:rPr>
          <w:rFonts w:ascii="TimesNewRoman" w:hAnsi="TimesNewRoman" w:eastAsia="黑体" w:cs="TimesNewRoman"/>
          <w:bCs/>
          <w:sz w:val="44"/>
          <w:szCs w:val="44"/>
        </w:rPr>
      </w:pPr>
    </w:p>
    <w:p w14:paraId="2CA18215">
      <w:pPr>
        <w:pStyle w:val="6"/>
        <w:adjustRightInd w:val="0"/>
        <w:snapToGrid w:val="0"/>
        <w:spacing w:line="560" w:lineRule="exact"/>
        <w:jc w:val="center"/>
        <w:rPr>
          <w:rFonts w:hint="eastAsia" w:ascii="黑体" w:hAnsi="黑体" w:eastAsia="黑体" w:cs="黑体"/>
          <w:bCs/>
          <w:sz w:val="44"/>
          <w:szCs w:val="44"/>
        </w:rPr>
      </w:pPr>
      <w:r>
        <w:rPr>
          <w:rFonts w:hint="eastAsia" w:ascii="黑体" w:hAnsi="黑体" w:eastAsia="黑体" w:cs="黑体"/>
          <w:bCs/>
          <w:sz w:val="44"/>
          <w:szCs w:val="44"/>
        </w:rPr>
        <w:t>2025年</w:t>
      </w:r>
      <w:r>
        <w:rPr>
          <w:rFonts w:hint="eastAsia" w:ascii="黑体" w:hAnsi="黑体" w:eastAsia="黑体" w:cs="黑体"/>
          <w:bCs/>
          <w:sz w:val="44"/>
          <w:szCs w:val="44"/>
          <w:lang w:val="en-US" w:eastAsia="zh-CN"/>
        </w:rPr>
        <w:t>2</w:t>
      </w:r>
      <w:r>
        <w:rPr>
          <w:rFonts w:hint="eastAsia" w:ascii="黑体" w:hAnsi="黑体" w:eastAsia="黑体" w:cs="黑体"/>
          <w:bCs/>
          <w:sz w:val="44"/>
          <w:szCs w:val="44"/>
        </w:rPr>
        <w:t>月</w:t>
      </w:r>
    </w:p>
    <w:p w14:paraId="590C3085"/>
    <w:p w14:paraId="2DCED5AF"/>
    <w:p w14:paraId="7F36BAC1">
      <w:pPr>
        <w:pStyle w:val="6"/>
        <w:adjustRightInd w:val="0"/>
        <w:snapToGrid w:val="0"/>
        <w:spacing w:line="560" w:lineRule="exact"/>
        <w:jc w:val="center"/>
        <w:rPr>
          <w:rFonts w:ascii="TimesNewRoman" w:hAnsi="TimesNewRoman" w:eastAsia="黑体" w:cs="TimesNewRoman"/>
          <w:bCs/>
          <w:sz w:val="44"/>
          <w:szCs w:val="44"/>
        </w:rPr>
      </w:pPr>
      <w:r>
        <w:rPr>
          <w:rFonts w:hint="eastAsia" w:ascii="TimesNewRoman" w:hAnsi="TimesNewRoman" w:eastAsia="黑体" w:cs="TimesNewRoman"/>
          <w:bCs/>
          <w:sz w:val="44"/>
          <w:szCs w:val="44"/>
        </w:rPr>
        <w:t>目  录</w:t>
      </w:r>
    </w:p>
    <w:p w14:paraId="4E45F202"/>
    <w:p w14:paraId="5524B82D">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sz w:val="32"/>
          <w:szCs w:val="32"/>
        </w:rPr>
      </w:pPr>
      <w:r>
        <w:rPr>
          <w:rFonts w:hint="eastAsia" w:ascii="仿宋" w:hAnsi="仿宋" w:eastAsia="仿宋" w:cs="仿宋"/>
          <w:b/>
          <w:sz w:val="32"/>
          <w:szCs w:val="32"/>
        </w:rPr>
        <w:t>第一部分 单位概况</w:t>
      </w:r>
    </w:p>
    <w:p w14:paraId="244ABAD8">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rPr>
        <w:t>1、主要职责</w:t>
      </w:r>
    </w:p>
    <w:p w14:paraId="61CE303A">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rPr>
        <w:t>2、单位预算构成</w:t>
      </w:r>
    </w:p>
    <w:p w14:paraId="1FC95EAB">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rPr>
        <w:t>3、2025年度主要工作任务</w:t>
      </w:r>
    </w:p>
    <w:p w14:paraId="7EB682B4">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sz w:val="32"/>
          <w:szCs w:val="32"/>
        </w:rPr>
      </w:pPr>
      <w:r>
        <w:rPr>
          <w:rFonts w:hint="eastAsia" w:ascii="仿宋" w:hAnsi="仿宋" w:eastAsia="仿宋" w:cs="仿宋"/>
          <w:b/>
          <w:sz w:val="32"/>
          <w:szCs w:val="32"/>
        </w:rPr>
        <w:t>第二部分 2025年单位预算表</w:t>
      </w:r>
    </w:p>
    <w:p w14:paraId="4041809A">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rPr>
        <w:t>1、淮北市生态环境保护综合行政执法支队2025年收支总表</w:t>
      </w:r>
    </w:p>
    <w:p w14:paraId="3E5AAF4C">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rPr>
        <w:t>2、淮北市生态环境保护综合行政执法支队2025年收入总表</w:t>
      </w:r>
    </w:p>
    <w:p w14:paraId="562E7783">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rPr>
        <w:t>3、淮北市生态环境保护综合行政执法支队2025年支出总表</w:t>
      </w:r>
    </w:p>
    <w:p w14:paraId="74678004">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rPr>
        <w:t>4、淮北市生态环境保护综合行政执法支队2025年财政拨款收支总表</w:t>
      </w:r>
    </w:p>
    <w:p w14:paraId="5CB64D08">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rPr>
        <w:t>5、淮北市生态环境保护综合行政执法支队2025年一般公共预算支出表</w:t>
      </w:r>
    </w:p>
    <w:p w14:paraId="57685D96">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rPr>
        <w:t>6、淮北市生态环境保护综合行政执法支队2025年一般公共预算基本支出表</w:t>
      </w:r>
    </w:p>
    <w:p w14:paraId="07310497">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rPr>
        <w:t>7、淮北市生态环境保护综合行政执法支队2025年政府性基金预算支出表</w:t>
      </w:r>
    </w:p>
    <w:p w14:paraId="77A67217">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rPr>
        <w:t>8、淮北市生态环境保护综合行政执法支队2025年国有资本经营预算支出表</w:t>
      </w:r>
    </w:p>
    <w:p w14:paraId="2CAE7E19">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rPr>
        <w:t>9、淮北市生态环境保护综合行政执法支队2025年项目支出表</w:t>
      </w:r>
    </w:p>
    <w:p w14:paraId="61EFDA17">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rPr>
        <w:t>10、淮北市生态环境保护综合行政执法支队2025年政府采购支出表</w:t>
      </w:r>
    </w:p>
    <w:p w14:paraId="62072749">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rPr>
        <w:t>11、淮北市生态环境保护综合行政执法支队2025年政府购买服务支出表</w:t>
      </w:r>
    </w:p>
    <w:p w14:paraId="4F7D6475">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rPr>
        <w:t>12、淮北市生态环境保护综合行政执法支队2025年通用资产配置支出表</w:t>
      </w:r>
    </w:p>
    <w:p w14:paraId="1195DFD1">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sz w:val="32"/>
          <w:szCs w:val="32"/>
        </w:rPr>
      </w:pPr>
      <w:r>
        <w:rPr>
          <w:rFonts w:hint="eastAsia" w:ascii="仿宋" w:hAnsi="仿宋" w:eastAsia="仿宋" w:cs="仿宋"/>
          <w:b/>
          <w:sz w:val="32"/>
          <w:szCs w:val="32"/>
        </w:rPr>
        <w:t>第三部分 2025年单位预算情况说明</w:t>
      </w:r>
    </w:p>
    <w:p w14:paraId="5D095B48">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rPr>
        <w:t>1、关于2025年收支总表的说明</w:t>
      </w:r>
    </w:p>
    <w:p w14:paraId="444B09D4">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rPr>
        <w:t>2、关于2025年收入总表的说明</w:t>
      </w:r>
    </w:p>
    <w:p w14:paraId="2AFFE4CA">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rPr>
        <w:t>3、关于2025年支出总表的说明</w:t>
      </w:r>
    </w:p>
    <w:p w14:paraId="588C60E8">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rPr>
        <w:t>4、关于2025年财政拨款收支总表的说明</w:t>
      </w:r>
    </w:p>
    <w:p w14:paraId="3979C840">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rPr>
        <w:t>5、关于2025年一般公共预算支出表的说明</w:t>
      </w:r>
    </w:p>
    <w:p w14:paraId="4F8736DE">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rPr>
        <w:t>6、关于2025年一般公共预算基本支出表的说明</w:t>
      </w:r>
    </w:p>
    <w:p w14:paraId="42162BEF">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rPr>
        <w:t>7、关于2025年政府性基金预算支出表的说明</w:t>
      </w:r>
    </w:p>
    <w:p w14:paraId="4DB8F0EB">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rPr>
        <w:t>8、关于2025年国有资本经营预算支出表的说明</w:t>
      </w:r>
    </w:p>
    <w:p w14:paraId="6CE74F70">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rPr>
        <w:t>9、关于2025年项目支出表的说明</w:t>
      </w:r>
    </w:p>
    <w:p w14:paraId="667C96B0">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rPr>
        <w:t>10、关于2025年政府采购支出表的说明</w:t>
      </w:r>
    </w:p>
    <w:p w14:paraId="080DADB6">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rPr>
        <w:t>11、关于2025年政府购买服务支出表的说明</w:t>
      </w:r>
    </w:p>
    <w:p w14:paraId="475A59D0">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rPr>
        <w:t>12、关于2025年通用资产配置支出表的说明</w:t>
      </w:r>
    </w:p>
    <w:p w14:paraId="72C27566">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lang w:val="en-US" w:eastAsia="zh-CN"/>
        </w:rPr>
        <w:t>13、</w:t>
      </w:r>
      <w:r>
        <w:rPr>
          <w:rFonts w:hint="eastAsia" w:ascii="仿宋" w:hAnsi="仿宋" w:eastAsia="仿宋" w:cs="仿宋"/>
          <w:bCs/>
          <w:sz w:val="32"/>
          <w:szCs w:val="32"/>
        </w:rPr>
        <w:t>其他重要事项情况说明</w:t>
      </w:r>
    </w:p>
    <w:p w14:paraId="1BBB1C46">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sz w:val="32"/>
          <w:szCs w:val="32"/>
        </w:rPr>
      </w:pPr>
      <w:r>
        <w:rPr>
          <w:rFonts w:hint="eastAsia" w:ascii="仿宋" w:hAnsi="仿宋" w:eastAsia="仿宋" w:cs="仿宋"/>
          <w:b/>
          <w:sz w:val="32"/>
          <w:szCs w:val="32"/>
        </w:rPr>
        <w:t>第四部分 名词解释</w:t>
      </w:r>
    </w:p>
    <w:p w14:paraId="49E849A4">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sz w:val="32"/>
          <w:szCs w:val="32"/>
        </w:rPr>
      </w:pPr>
      <w:r>
        <w:rPr>
          <w:rFonts w:hint="eastAsia" w:ascii="仿宋" w:hAnsi="仿宋" w:eastAsia="仿宋" w:cs="仿宋"/>
          <w:b/>
          <w:sz w:val="32"/>
          <w:szCs w:val="32"/>
        </w:rPr>
        <w:t>第五部分 其它公开事项</w:t>
      </w:r>
    </w:p>
    <w:p w14:paraId="5B0E3B0C">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rPr>
        <w:t>1、淮北市生态环境保护综合行政执法支队2025年部门预算纳入绩效考评项目表</w:t>
      </w:r>
    </w:p>
    <w:p w14:paraId="221A2785">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rPr>
        <w:t>2、淮北市生态环境保护综合行政执法支队2025年部门预算专项资金管理清单（专栏公开）</w:t>
      </w:r>
    </w:p>
    <w:p w14:paraId="67985172">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p>
    <w:p w14:paraId="603B743C">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p>
    <w:p w14:paraId="50B3DA5A">
      <w:pPr>
        <w:pStyle w:val="6"/>
        <w:adjustRightInd w:val="0"/>
        <w:snapToGrid w:val="0"/>
        <w:spacing w:line="560" w:lineRule="exact"/>
        <w:jc w:val="center"/>
        <w:rPr>
          <w:rFonts w:ascii="TimesNewRoman" w:hAnsi="TimesNewRoman" w:eastAsia="黑体" w:cs="TimesNewRoman"/>
          <w:bCs/>
          <w:sz w:val="36"/>
          <w:szCs w:val="36"/>
        </w:rPr>
      </w:pPr>
      <w:r>
        <w:rPr>
          <w:rFonts w:hint="eastAsia" w:ascii="TimesNewRoman" w:hAnsi="TimesNewRoman" w:eastAsia="黑体" w:cs="TimesNewRoman"/>
          <w:bCs/>
          <w:sz w:val="36"/>
          <w:szCs w:val="36"/>
        </w:rPr>
        <w:t>第一部分 单位概况</w:t>
      </w:r>
    </w:p>
    <w:p w14:paraId="199E9BDB"/>
    <w:p w14:paraId="12CD7C48">
      <w:pPr>
        <w:pStyle w:val="6"/>
        <w:adjustRightInd w:val="0"/>
        <w:snapToGrid w:val="0"/>
        <w:spacing w:line="560" w:lineRule="exact"/>
        <w:ind w:firstLine="627" w:firstLineChars="196"/>
        <w:rPr>
          <w:rFonts w:ascii="TimesNewRoman" w:hAnsi="TimesNewRoman" w:eastAsia="黑体" w:cs="TimesNewRoman"/>
          <w:bCs/>
          <w:sz w:val="32"/>
          <w:szCs w:val="32"/>
        </w:rPr>
      </w:pPr>
      <w:r>
        <w:rPr>
          <w:rFonts w:hint="eastAsia" w:ascii="TimesNewRoman" w:hAnsi="TimesNewRoman" w:eastAsia="黑体" w:cs="TimesNewRoman"/>
          <w:bCs/>
          <w:sz w:val="32"/>
          <w:szCs w:val="32"/>
        </w:rPr>
        <w:t>一、主要职责</w:t>
      </w:r>
    </w:p>
    <w:p w14:paraId="5DF2968C">
      <w:pPr>
        <w:keepNext w:val="0"/>
        <w:keepLines w:val="0"/>
        <w:pageBreakBefore w:val="0"/>
        <w:kinsoku/>
        <w:wordWrap/>
        <w:overflowPunct/>
        <w:topLinePunct/>
        <w:autoSpaceDE/>
        <w:autoSpaceDN/>
        <w:bidi w:val="0"/>
        <w:adjustRightInd/>
        <w:spacing w:beforeAutospacing="0" w:afterAutospacing="0" w:line="560" w:lineRule="exact"/>
        <w:ind w:left="0" w:leftChars="0" w:firstLine="640" w:firstLineChars="200"/>
        <w:textAlignment w:val="auto"/>
        <w:rPr>
          <w:rFonts w:hint="eastAsia" w:ascii="仿宋" w:hAnsi="仿宋" w:eastAsia="仿宋" w:cs="仿宋"/>
          <w:bCs/>
          <w:kern w:val="0"/>
          <w:sz w:val="32"/>
          <w:szCs w:val="32"/>
        </w:rPr>
      </w:pPr>
      <w:r>
        <w:rPr>
          <w:rFonts w:hint="eastAsia" w:ascii="仿宋" w:hAnsi="仿宋" w:eastAsia="仿宋" w:cs="仿宋"/>
          <w:bCs/>
          <w:kern w:val="0"/>
          <w:sz w:val="32"/>
          <w:szCs w:val="32"/>
        </w:rPr>
        <w:t>（一）负责全市生态环境保护综合行政执法工作的业务指导、监督管理、组织协调、考核评价；</w:t>
      </w:r>
    </w:p>
    <w:p w14:paraId="79383BC2">
      <w:pPr>
        <w:keepNext w:val="0"/>
        <w:keepLines w:val="0"/>
        <w:pageBreakBefore w:val="0"/>
        <w:kinsoku/>
        <w:wordWrap/>
        <w:overflowPunct/>
        <w:topLinePunct/>
        <w:autoSpaceDE/>
        <w:autoSpaceDN/>
        <w:bidi w:val="0"/>
        <w:adjustRightInd/>
        <w:spacing w:beforeAutospacing="0" w:afterAutospacing="0" w:line="560" w:lineRule="exact"/>
        <w:ind w:left="0" w:leftChars="0" w:firstLine="640" w:firstLineChars="200"/>
        <w:textAlignment w:val="auto"/>
        <w:rPr>
          <w:rFonts w:hint="eastAsia" w:ascii="仿宋" w:hAnsi="仿宋" w:eastAsia="仿宋" w:cs="仿宋"/>
          <w:bCs/>
          <w:kern w:val="0"/>
          <w:sz w:val="32"/>
          <w:szCs w:val="32"/>
        </w:rPr>
      </w:pPr>
      <w:r>
        <w:rPr>
          <w:rFonts w:hint="eastAsia" w:ascii="仿宋" w:hAnsi="仿宋" w:eastAsia="仿宋" w:cs="仿宋"/>
          <w:bCs/>
          <w:kern w:val="0"/>
          <w:sz w:val="32"/>
          <w:szCs w:val="32"/>
        </w:rPr>
        <w:t>（二）依法统一行使污染防治、生态保护的行政处罚以及与行政处罚相关的行政检查、行政强制，核与辐射安全的行政处罚、行政强制等执法职能；</w:t>
      </w:r>
    </w:p>
    <w:p w14:paraId="6608D4C3">
      <w:pPr>
        <w:keepNext w:val="0"/>
        <w:keepLines w:val="0"/>
        <w:pageBreakBefore w:val="0"/>
        <w:kinsoku/>
        <w:wordWrap/>
        <w:overflowPunct/>
        <w:topLinePunct/>
        <w:autoSpaceDE/>
        <w:autoSpaceDN/>
        <w:bidi w:val="0"/>
        <w:adjustRightInd/>
        <w:spacing w:beforeAutospacing="0" w:afterAutospacing="0" w:line="560" w:lineRule="exact"/>
        <w:ind w:left="0" w:leftChars="0" w:firstLine="640" w:firstLineChars="200"/>
        <w:textAlignment w:val="auto"/>
        <w:rPr>
          <w:rFonts w:hint="eastAsia" w:ascii="仿宋" w:hAnsi="仿宋" w:eastAsia="仿宋" w:cs="仿宋"/>
          <w:bCs/>
          <w:kern w:val="0"/>
          <w:sz w:val="32"/>
          <w:szCs w:val="32"/>
        </w:rPr>
      </w:pPr>
      <w:r>
        <w:rPr>
          <w:rFonts w:hint="eastAsia" w:ascii="仿宋" w:hAnsi="仿宋" w:eastAsia="仿宋" w:cs="仿宋"/>
          <w:bCs/>
          <w:kern w:val="0"/>
          <w:sz w:val="32"/>
          <w:szCs w:val="32"/>
        </w:rPr>
        <w:t>（三）组织开展全市地下水、农业面源污染防治，流域水生态环境保护、入河排污口执法检查，对因开发土地、矿藏等和对自然保护地内进行非法开矿、修路、筑坝、建设造成生态破坏执法检查活动；</w:t>
      </w:r>
    </w:p>
    <w:p w14:paraId="54A052B4">
      <w:pPr>
        <w:keepNext w:val="0"/>
        <w:keepLines w:val="0"/>
        <w:pageBreakBefore w:val="0"/>
        <w:kinsoku/>
        <w:wordWrap/>
        <w:overflowPunct/>
        <w:topLinePunct/>
        <w:autoSpaceDE/>
        <w:autoSpaceDN/>
        <w:bidi w:val="0"/>
        <w:adjustRightInd/>
        <w:spacing w:beforeAutospacing="0" w:afterAutospacing="0" w:line="560" w:lineRule="exact"/>
        <w:ind w:left="0" w:leftChars="0" w:firstLine="640" w:firstLineChars="200"/>
        <w:textAlignment w:val="auto"/>
        <w:rPr>
          <w:rFonts w:hint="eastAsia" w:ascii="仿宋" w:hAnsi="仿宋" w:eastAsia="仿宋" w:cs="仿宋"/>
          <w:bCs/>
          <w:kern w:val="0"/>
          <w:sz w:val="32"/>
          <w:szCs w:val="32"/>
        </w:rPr>
      </w:pPr>
      <w:r>
        <w:rPr>
          <w:rFonts w:hint="eastAsia" w:ascii="仿宋" w:hAnsi="仿宋" w:eastAsia="仿宋" w:cs="仿宋"/>
          <w:bCs/>
          <w:kern w:val="0"/>
          <w:sz w:val="32"/>
          <w:szCs w:val="32"/>
        </w:rPr>
        <w:t>（四）负责受理提出生态环境举报（信访）和管理12369环保举报平台及热线，转办、督办生态环境举报（信访）案件，协调解决较大、跨区域环境污染纠纷；负责对生态环境举报（信访）案件的查处情况进行督查、考核；</w:t>
      </w:r>
    </w:p>
    <w:p w14:paraId="269AE240">
      <w:pPr>
        <w:keepNext w:val="0"/>
        <w:keepLines w:val="0"/>
        <w:pageBreakBefore w:val="0"/>
        <w:kinsoku/>
        <w:wordWrap/>
        <w:overflowPunct/>
        <w:topLinePunct/>
        <w:autoSpaceDE/>
        <w:autoSpaceDN/>
        <w:bidi w:val="0"/>
        <w:adjustRightInd/>
        <w:spacing w:beforeAutospacing="0" w:afterAutospacing="0" w:line="560" w:lineRule="exact"/>
        <w:ind w:left="0" w:leftChars="0" w:firstLine="640" w:firstLineChars="200"/>
        <w:textAlignment w:val="auto"/>
        <w:rPr>
          <w:rFonts w:hint="eastAsia" w:ascii="仿宋" w:hAnsi="仿宋" w:eastAsia="仿宋" w:cs="仿宋"/>
          <w:bCs/>
          <w:kern w:val="0"/>
          <w:sz w:val="32"/>
          <w:szCs w:val="32"/>
        </w:rPr>
      </w:pPr>
      <w:r>
        <w:rPr>
          <w:rFonts w:hint="eastAsia" w:ascii="仿宋" w:hAnsi="仿宋" w:eastAsia="仿宋" w:cs="仿宋"/>
          <w:bCs/>
          <w:kern w:val="0"/>
          <w:sz w:val="32"/>
          <w:szCs w:val="32"/>
        </w:rPr>
        <w:t>（五）负责全市污染源自动监控平台、生态环境移动执法系统建设和管理，组织重点污染源在线监管；</w:t>
      </w:r>
    </w:p>
    <w:p w14:paraId="7E8F3C80">
      <w:pPr>
        <w:pStyle w:val="3"/>
        <w:keepNext w:val="0"/>
        <w:keepLines w:val="0"/>
        <w:pageBreakBefore w:val="0"/>
        <w:kinsoku/>
        <w:wordWrap/>
        <w:overflowPunct/>
        <w:autoSpaceDE/>
        <w:autoSpaceDN/>
        <w:bidi w:val="0"/>
        <w:adjustRightInd/>
        <w:spacing w:beforeAutospacing="0" w:after="0" w:afterAutospacing="0" w:line="560" w:lineRule="exact"/>
        <w:ind w:left="0" w:leftChars="0" w:firstLine="640" w:firstLineChars="200"/>
        <w:textAlignment w:val="auto"/>
        <w:rPr>
          <w:rFonts w:hint="eastAsia" w:ascii="仿宋" w:hAnsi="仿宋" w:eastAsia="仿宋" w:cs="仿宋"/>
          <w:bCs/>
          <w:kern w:val="0"/>
          <w:sz w:val="32"/>
          <w:szCs w:val="32"/>
        </w:rPr>
      </w:pPr>
      <w:r>
        <w:rPr>
          <w:rFonts w:hint="eastAsia" w:ascii="仿宋" w:hAnsi="仿宋" w:eastAsia="仿宋" w:cs="仿宋"/>
          <w:bCs/>
          <w:kern w:val="0"/>
          <w:sz w:val="32"/>
          <w:szCs w:val="32"/>
        </w:rPr>
        <w:t>（六）组织跨区域、重大环境违法行为的案件调查、立案工作；</w:t>
      </w:r>
    </w:p>
    <w:p w14:paraId="15EA3B4A">
      <w:pPr>
        <w:keepNext w:val="0"/>
        <w:keepLines w:val="0"/>
        <w:pageBreakBefore w:val="0"/>
        <w:kinsoku/>
        <w:wordWrap/>
        <w:overflowPunct/>
        <w:topLinePunct/>
        <w:autoSpaceDE/>
        <w:autoSpaceDN/>
        <w:bidi w:val="0"/>
        <w:adjustRightInd/>
        <w:spacing w:beforeAutospacing="0" w:afterAutospacing="0" w:line="560" w:lineRule="exact"/>
        <w:ind w:left="0" w:leftChars="0" w:firstLine="640" w:firstLineChars="200"/>
        <w:textAlignment w:val="auto"/>
        <w:rPr>
          <w:rFonts w:hint="eastAsia" w:ascii="仿宋" w:hAnsi="仿宋" w:eastAsia="仿宋" w:cs="仿宋"/>
          <w:bCs/>
          <w:kern w:val="0"/>
          <w:sz w:val="32"/>
          <w:szCs w:val="32"/>
        </w:rPr>
      </w:pPr>
      <w:r>
        <w:rPr>
          <w:rFonts w:hint="eastAsia" w:ascii="仿宋" w:hAnsi="仿宋" w:eastAsia="仿宋" w:cs="仿宋"/>
          <w:bCs/>
          <w:kern w:val="0"/>
          <w:sz w:val="32"/>
          <w:szCs w:val="32"/>
        </w:rPr>
        <w:t>（七）组织较大、跨区域突发生态环境事件、环境污染事故现场调查处置工作；指导协调县（区）对一般突发生态环境事件、环境污染事故的现场调查处置工作；</w:t>
      </w:r>
    </w:p>
    <w:p w14:paraId="651DA8A1">
      <w:pPr>
        <w:keepNext w:val="0"/>
        <w:keepLines w:val="0"/>
        <w:pageBreakBefore w:val="0"/>
        <w:kinsoku/>
        <w:wordWrap/>
        <w:overflowPunct/>
        <w:topLinePunct/>
        <w:autoSpaceDE/>
        <w:autoSpaceDN/>
        <w:bidi w:val="0"/>
        <w:adjustRightInd/>
        <w:spacing w:beforeAutospacing="0" w:afterAutospacing="0" w:line="560" w:lineRule="exact"/>
        <w:ind w:left="0" w:leftChars="0" w:firstLine="640" w:firstLineChars="200"/>
        <w:textAlignment w:val="auto"/>
        <w:rPr>
          <w:rFonts w:hint="eastAsia" w:ascii="仿宋" w:hAnsi="仿宋" w:eastAsia="仿宋" w:cs="仿宋"/>
          <w:bCs/>
          <w:kern w:val="0"/>
          <w:sz w:val="32"/>
          <w:szCs w:val="32"/>
        </w:rPr>
      </w:pPr>
      <w:r>
        <w:rPr>
          <w:rFonts w:hint="eastAsia" w:ascii="仿宋" w:hAnsi="仿宋" w:eastAsia="仿宋" w:cs="仿宋"/>
          <w:bCs/>
          <w:kern w:val="0"/>
          <w:sz w:val="32"/>
          <w:szCs w:val="32"/>
        </w:rPr>
        <w:t>（八）负责对县（区）生态环境分局依法行政、规范执法等情况进行稽查，组织开展生态环境执法后督查；</w:t>
      </w:r>
    </w:p>
    <w:p w14:paraId="6043BA80">
      <w:pPr>
        <w:keepNext w:val="0"/>
        <w:keepLines w:val="0"/>
        <w:pageBreakBefore w:val="0"/>
        <w:kinsoku/>
        <w:wordWrap/>
        <w:overflowPunct/>
        <w:topLinePunct/>
        <w:autoSpaceDE/>
        <w:autoSpaceDN/>
        <w:bidi w:val="0"/>
        <w:adjustRightInd/>
        <w:spacing w:beforeAutospacing="0" w:afterAutospacing="0" w:line="560" w:lineRule="exact"/>
        <w:ind w:left="0" w:leftChars="0" w:firstLine="640" w:firstLineChars="200"/>
        <w:textAlignment w:val="auto"/>
        <w:rPr>
          <w:rFonts w:hint="eastAsia" w:ascii="仿宋" w:hAnsi="仿宋" w:eastAsia="仿宋" w:cs="仿宋"/>
          <w:bCs/>
          <w:kern w:val="0"/>
          <w:sz w:val="32"/>
          <w:szCs w:val="32"/>
        </w:rPr>
      </w:pPr>
      <w:r>
        <w:rPr>
          <w:rFonts w:hint="eastAsia" w:ascii="仿宋" w:hAnsi="仿宋" w:eastAsia="仿宋" w:cs="仿宋"/>
          <w:bCs/>
          <w:kern w:val="0"/>
          <w:sz w:val="32"/>
          <w:szCs w:val="32"/>
        </w:rPr>
        <w:t>（九）组织对建设项目执行环境影响评价制度和“三同时”制度、排污口许可证制度情况以及责令整改项目完成情况进行监督检查，实施行政强制和行政处罚；</w:t>
      </w:r>
    </w:p>
    <w:p w14:paraId="387BC8B9">
      <w:pPr>
        <w:keepNext w:val="0"/>
        <w:keepLines w:val="0"/>
        <w:pageBreakBefore w:val="0"/>
        <w:kinsoku/>
        <w:wordWrap/>
        <w:overflowPunct/>
        <w:topLinePunct/>
        <w:autoSpaceDE/>
        <w:autoSpaceDN/>
        <w:bidi w:val="0"/>
        <w:adjustRightInd/>
        <w:spacing w:beforeAutospacing="0" w:afterAutospacing="0" w:line="560" w:lineRule="exact"/>
        <w:ind w:left="0" w:leftChars="0" w:firstLine="640" w:firstLineChars="200"/>
        <w:textAlignment w:val="auto"/>
        <w:rPr>
          <w:rFonts w:hint="eastAsia" w:ascii="仿宋" w:hAnsi="仿宋" w:eastAsia="仿宋" w:cs="仿宋"/>
          <w:bCs/>
          <w:kern w:val="0"/>
          <w:sz w:val="32"/>
          <w:szCs w:val="32"/>
        </w:rPr>
      </w:pPr>
      <w:r>
        <w:rPr>
          <w:rFonts w:hint="eastAsia" w:ascii="仿宋" w:hAnsi="仿宋" w:eastAsia="仿宋" w:cs="仿宋"/>
          <w:bCs/>
          <w:kern w:val="0"/>
          <w:sz w:val="32"/>
          <w:szCs w:val="32"/>
        </w:rPr>
        <w:t>（十）负责组织污染源行政检查“双随机、一公开”及有关信息公开工作；</w:t>
      </w:r>
    </w:p>
    <w:p w14:paraId="225A3527">
      <w:pPr>
        <w:keepNext w:val="0"/>
        <w:keepLines w:val="0"/>
        <w:pageBreakBefore w:val="0"/>
        <w:kinsoku/>
        <w:wordWrap/>
        <w:overflowPunct/>
        <w:topLinePunct/>
        <w:autoSpaceDE/>
        <w:autoSpaceDN/>
        <w:bidi w:val="0"/>
        <w:adjustRightInd/>
        <w:spacing w:beforeAutospacing="0" w:afterAutospacing="0" w:line="560" w:lineRule="exact"/>
        <w:ind w:left="0" w:leftChars="0" w:firstLine="640" w:firstLineChars="200"/>
        <w:textAlignment w:val="auto"/>
        <w:rPr>
          <w:rFonts w:hint="eastAsia" w:ascii="仿宋" w:hAnsi="仿宋" w:eastAsia="仿宋" w:cs="仿宋"/>
          <w:bCs/>
          <w:kern w:val="0"/>
          <w:sz w:val="32"/>
          <w:szCs w:val="32"/>
        </w:rPr>
      </w:pPr>
      <w:r>
        <w:rPr>
          <w:rFonts w:hint="eastAsia" w:ascii="仿宋" w:hAnsi="仿宋" w:eastAsia="仿宋" w:cs="仿宋"/>
          <w:bCs/>
          <w:kern w:val="0"/>
          <w:sz w:val="32"/>
          <w:szCs w:val="32"/>
        </w:rPr>
        <w:t>（十一）会同有关城市生态环境保护综合执法机构建立健全协作机制，开展跨区域流域生态环境联合执法，联合公安等有关部门开展跨部门生态环境联合执法，开展生态环境行政执法与司法衔接工作；</w:t>
      </w:r>
    </w:p>
    <w:p w14:paraId="56658033">
      <w:pPr>
        <w:keepNext w:val="0"/>
        <w:keepLines w:val="0"/>
        <w:pageBreakBefore w:val="0"/>
        <w:kinsoku/>
        <w:wordWrap/>
        <w:overflowPunct/>
        <w:topLinePunct/>
        <w:autoSpaceDE/>
        <w:autoSpaceDN/>
        <w:bidi w:val="0"/>
        <w:adjustRightInd/>
        <w:spacing w:beforeAutospacing="0" w:afterAutospacing="0" w:line="560" w:lineRule="exact"/>
        <w:ind w:left="0" w:leftChars="0" w:firstLine="640" w:firstLineChars="200"/>
        <w:textAlignment w:val="auto"/>
        <w:rPr>
          <w:rFonts w:ascii="TimesNewRoman" w:hAnsi="TimesNewRoman" w:eastAsia="仿宋_GB2312" w:cs="TimesNewRoman"/>
          <w:bCs/>
          <w:sz w:val="32"/>
          <w:szCs w:val="32"/>
        </w:rPr>
      </w:pPr>
      <w:r>
        <w:rPr>
          <w:rFonts w:hint="eastAsia" w:ascii="仿宋" w:hAnsi="仿宋" w:eastAsia="仿宋" w:cs="仿宋"/>
          <w:bCs/>
          <w:kern w:val="0"/>
          <w:sz w:val="32"/>
          <w:szCs w:val="32"/>
        </w:rPr>
        <w:t>（十二）负责全市生态环境保护综合执法队伍建设、能力建设、作风建设和业务培训工作。</w:t>
      </w:r>
    </w:p>
    <w:p w14:paraId="20665CF8">
      <w:pPr>
        <w:pStyle w:val="6"/>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bCs w:val="0"/>
          <w:sz w:val="32"/>
          <w:szCs w:val="32"/>
        </w:rPr>
      </w:pPr>
      <w:r>
        <w:rPr>
          <w:rFonts w:hint="eastAsia" w:ascii="仿宋" w:hAnsi="仿宋" w:eastAsia="仿宋" w:cs="仿宋"/>
          <w:b/>
          <w:bCs w:val="0"/>
          <w:sz w:val="32"/>
          <w:szCs w:val="32"/>
        </w:rPr>
        <w:t>二、单位预算构成</w:t>
      </w:r>
    </w:p>
    <w:p w14:paraId="548086DD">
      <w:pPr>
        <w:pStyle w:val="6"/>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从预算单位构成看，</w:t>
      </w:r>
      <w:r>
        <w:rPr>
          <w:rFonts w:hint="eastAsia" w:ascii="仿宋" w:hAnsi="仿宋" w:eastAsia="仿宋" w:cs="仿宋"/>
          <w:bCs/>
          <w:sz w:val="32"/>
          <w:szCs w:val="32"/>
        </w:rPr>
        <w:t>淮北市生态环境保护综合行政执法支队</w:t>
      </w:r>
      <w:r>
        <w:rPr>
          <w:rFonts w:hint="eastAsia" w:ascii="仿宋" w:hAnsi="仿宋" w:eastAsia="仿宋" w:cs="仿宋"/>
          <w:sz w:val="32"/>
          <w:szCs w:val="32"/>
        </w:rPr>
        <w:t>2025年度部门预算仅包括本级预算，无其他下属单位预算。</w:t>
      </w:r>
    </w:p>
    <w:p w14:paraId="7E25E398">
      <w:pPr>
        <w:pStyle w:val="6"/>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bCs w:val="0"/>
          <w:sz w:val="32"/>
          <w:szCs w:val="32"/>
        </w:rPr>
      </w:pPr>
      <w:r>
        <w:rPr>
          <w:rFonts w:hint="eastAsia" w:ascii="仿宋" w:hAnsi="仿宋" w:eastAsia="仿宋" w:cs="仿宋"/>
          <w:b/>
          <w:bCs w:val="0"/>
          <w:sz w:val="32"/>
          <w:szCs w:val="32"/>
        </w:rPr>
        <w:t>三、2025年度主要工作任务</w:t>
      </w:r>
    </w:p>
    <w:p w14:paraId="79F82E22">
      <w:pPr>
        <w:keepNext w:val="0"/>
        <w:keepLines w:val="0"/>
        <w:pageBreakBefore w:val="0"/>
        <w:kinsoku/>
        <w:wordWrap/>
        <w:overflowPunct/>
        <w:topLinePunct w:val="0"/>
        <w:autoSpaceDE/>
        <w:autoSpaceDN/>
        <w:bidi w:val="0"/>
        <w:adjustRightInd/>
        <w:spacing w:beforeAutospacing="0" w:afterAutospacing="0"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2025年，淮北市生态环境</w:t>
      </w:r>
      <w:r>
        <w:rPr>
          <w:rFonts w:hint="eastAsia" w:ascii="仿宋" w:hAnsi="仿宋" w:eastAsia="仿宋" w:cs="仿宋"/>
          <w:sz w:val="32"/>
          <w:szCs w:val="32"/>
          <w:lang w:val="en-US" w:eastAsia="zh-CN"/>
        </w:rPr>
        <w:t>执法支队</w:t>
      </w:r>
      <w:r>
        <w:rPr>
          <w:rFonts w:hint="eastAsia" w:ascii="仿宋" w:hAnsi="仿宋" w:eastAsia="仿宋" w:cs="仿宋"/>
          <w:sz w:val="32"/>
          <w:szCs w:val="32"/>
        </w:rPr>
        <w:t>将继续以习近平生态文明思想为指引，围绕生态环境质量持续改善的核心目标，坚持党建引领，多</w:t>
      </w:r>
      <w:r>
        <w:rPr>
          <w:rFonts w:hint="eastAsia" w:ascii="仿宋" w:hAnsi="仿宋" w:eastAsia="仿宋" w:cs="仿宋"/>
          <w:sz w:val="32"/>
          <w:szCs w:val="32"/>
          <w:lang w:eastAsia="zh-CN"/>
        </w:rPr>
        <w:t>措</w:t>
      </w:r>
      <w:r>
        <w:rPr>
          <w:rFonts w:hint="eastAsia" w:ascii="仿宋" w:hAnsi="仿宋" w:eastAsia="仿宋" w:cs="仿宋"/>
          <w:sz w:val="32"/>
          <w:szCs w:val="32"/>
        </w:rPr>
        <w:t>并举，全面提升生态环境执法水平和服务质量，统筹推进生态环境保护与经济社会高质量发展，努力打造生态宜居的美丽淮北。</w:t>
      </w:r>
    </w:p>
    <w:p w14:paraId="51601DFB">
      <w:pPr>
        <w:keepNext w:val="0"/>
        <w:keepLines w:val="0"/>
        <w:pageBreakBefore w:val="0"/>
        <w:kinsoku/>
        <w:wordWrap/>
        <w:overflowPunct/>
        <w:topLinePunct w:val="0"/>
        <w:autoSpaceDE/>
        <w:autoSpaceDN/>
        <w:bidi w:val="0"/>
        <w:adjustRightInd/>
        <w:spacing w:beforeAutospacing="0" w:afterAutospacing="0" w:line="560" w:lineRule="exact"/>
        <w:ind w:firstLine="643" w:firstLineChars="200"/>
        <w:textAlignment w:val="auto"/>
        <w:rPr>
          <w:rFonts w:hint="eastAsia" w:ascii="仿宋" w:hAnsi="仿宋" w:eastAsia="仿宋" w:cs="仿宋"/>
          <w:b/>
          <w:sz w:val="32"/>
          <w:szCs w:val="32"/>
        </w:rPr>
      </w:pPr>
      <w:r>
        <w:rPr>
          <w:rFonts w:hint="eastAsia" w:ascii="仿宋" w:hAnsi="仿宋" w:eastAsia="仿宋" w:cs="仿宋"/>
          <w:b/>
          <w:sz w:val="32"/>
          <w:szCs w:val="32"/>
        </w:rPr>
        <w:t>（一）党建引领严执法，能力建设提效能</w:t>
      </w:r>
      <w:bookmarkStart w:id="0" w:name="_GoBack"/>
      <w:bookmarkEnd w:id="0"/>
    </w:p>
    <w:p w14:paraId="0FE4C0FD">
      <w:pPr>
        <w:keepNext w:val="0"/>
        <w:keepLines w:val="0"/>
        <w:pageBreakBefore w:val="0"/>
        <w:kinsoku/>
        <w:wordWrap/>
        <w:overflowPunct/>
        <w:topLinePunct w:val="0"/>
        <w:autoSpaceDE/>
        <w:autoSpaceDN/>
        <w:bidi w:val="0"/>
        <w:adjustRightInd/>
        <w:spacing w:beforeAutospacing="0" w:afterAutospacing="0" w:line="560" w:lineRule="exact"/>
        <w:ind w:firstLine="643" w:firstLineChars="200"/>
        <w:textAlignment w:val="auto"/>
        <w:rPr>
          <w:rFonts w:hint="eastAsia" w:ascii="仿宋" w:hAnsi="仿宋" w:eastAsia="仿宋" w:cs="仿宋"/>
          <w:b/>
          <w:sz w:val="32"/>
          <w:szCs w:val="32"/>
        </w:rPr>
      </w:pPr>
      <w:r>
        <w:rPr>
          <w:rFonts w:hint="eastAsia" w:ascii="仿宋" w:hAnsi="仿宋" w:eastAsia="仿宋" w:cs="仿宋"/>
          <w:b/>
          <w:sz w:val="32"/>
          <w:szCs w:val="32"/>
        </w:rPr>
        <w:t>一要党建赋能严执法。</w:t>
      </w:r>
      <w:r>
        <w:rPr>
          <w:rFonts w:hint="eastAsia" w:ascii="仿宋" w:hAnsi="仿宋" w:eastAsia="仿宋" w:cs="仿宋"/>
          <w:sz w:val="32"/>
          <w:szCs w:val="32"/>
        </w:rPr>
        <w:t>严格落实全面从严治党主体责任和监督责任，推进党建与业务深度融合。开展作风建设提升工程，坚持“每会一廉”，筑牢生态环境执法廉政防线；开展执法人员能力提升行动，通过典型案例讲解、现场执法技巧交流、案件互评等多种形式，提升一线执法人员的执法业务能力；建立执法能手先进人物的培养选树和常态化授课机制，加大生态环境执法事迹宣传力度，树立执法队伍的良好形象。</w:t>
      </w:r>
    </w:p>
    <w:p w14:paraId="3A226258">
      <w:pPr>
        <w:keepNext w:val="0"/>
        <w:keepLines w:val="0"/>
        <w:pageBreakBefore w:val="0"/>
        <w:kinsoku/>
        <w:wordWrap/>
        <w:overflowPunct/>
        <w:topLinePunct w:val="0"/>
        <w:autoSpaceDE/>
        <w:autoSpaceDN/>
        <w:bidi w:val="0"/>
        <w:adjustRightInd/>
        <w:spacing w:beforeAutospacing="0" w:afterAutospacing="0" w:line="560" w:lineRule="exact"/>
        <w:ind w:firstLine="643" w:firstLineChars="200"/>
        <w:textAlignment w:val="auto"/>
        <w:rPr>
          <w:rFonts w:hint="eastAsia" w:ascii="仿宋" w:hAnsi="仿宋" w:eastAsia="仿宋" w:cs="仿宋"/>
          <w:sz w:val="32"/>
          <w:szCs w:val="32"/>
        </w:rPr>
      </w:pPr>
      <w:r>
        <w:rPr>
          <w:rFonts w:hint="eastAsia" w:ascii="仿宋" w:hAnsi="仿宋" w:eastAsia="仿宋" w:cs="仿宋"/>
          <w:b/>
          <w:sz w:val="32"/>
          <w:szCs w:val="32"/>
        </w:rPr>
        <w:t>二要实战练兵强技能。</w:t>
      </w:r>
      <w:r>
        <w:rPr>
          <w:rFonts w:hint="eastAsia" w:ascii="仿宋" w:hAnsi="仿宋" w:eastAsia="仿宋" w:cs="仿宋"/>
          <w:sz w:val="32"/>
          <w:szCs w:val="32"/>
        </w:rPr>
        <w:t>以生态环境执法大练兵活动为引领，细化任务，明确目标。开展非现场监管执法技能竞赛；合理组织跨区域交叉执法，拓宽执法人员视野；开展模拟演练，设置复杂场景，提升执法人员应对与应急处置能力；参与复杂案件查办，在实践中提升调查取证、法律适用、案件办理等综合能力。邀请专家现场指导，及时纠正问题，总结经验，不断提升执法人员的专业素养与水平，打造一支能打胜仗、作风优良的执法铁军。</w:t>
      </w:r>
    </w:p>
    <w:p w14:paraId="4D2D9C81">
      <w:pPr>
        <w:keepNext w:val="0"/>
        <w:keepLines w:val="0"/>
        <w:pageBreakBefore w:val="0"/>
        <w:kinsoku/>
        <w:wordWrap/>
        <w:overflowPunct/>
        <w:topLinePunct w:val="0"/>
        <w:autoSpaceDE/>
        <w:autoSpaceDN/>
        <w:bidi w:val="0"/>
        <w:adjustRightInd/>
        <w:spacing w:beforeAutospacing="0" w:afterAutospacing="0" w:line="560" w:lineRule="exact"/>
        <w:ind w:firstLine="643" w:firstLineChars="200"/>
        <w:textAlignment w:val="auto"/>
        <w:rPr>
          <w:rFonts w:hint="eastAsia" w:ascii="仿宋" w:hAnsi="仿宋" w:eastAsia="仿宋" w:cs="仿宋"/>
          <w:sz w:val="32"/>
          <w:szCs w:val="32"/>
        </w:rPr>
      </w:pPr>
      <w:r>
        <w:rPr>
          <w:rFonts w:hint="eastAsia" w:ascii="仿宋" w:hAnsi="仿宋" w:eastAsia="仿宋" w:cs="仿宋"/>
          <w:b/>
          <w:sz w:val="32"/>
          <w:szCs w:val="32"/>
        </w:rPr>
        <w:t>三要装备升级提效能。</w:t>
      </w:r>
      <w:r>
        <w:rPr>
          <w:rFonts w:hint="eastAsia" w:ascii="仿宋" w:hAnsi="仿宋" w:eastAsia="仿宋" w:cs="仿宋"/>
          <w:sz w:val="32"/>
          <w:szCs w:val="32"/>
        </w:rPr>
        <w:t>强化执法装备配备。推进实施生态环境保护综合行政执法装备标准化建设指导标准（2024年版），推动全市生态环境执法机构执法装备达标升级，确保执法装备配备科学、规范、完备。加强执法人员的专业培训，将装备效能充分融入日常执法办案全过程，显著提高新装备使用率，实现人装结合的最佳效果。以科技赋能、机制创新为驱动，推进“互联网+执法”，充分发挥在线自动监测、大数据、无人机等科技作用。适当选配高科技执法装备，充分发挥科技优势，赋能现场执法，提升执法的精准性和高效性。</w:t>
      </w:r>
    </w:p>
    <w:p w14:paraId="5FBF99DA">
      <w:pPr>
        <w:keepNext w:val="0"/>
        <w:keepLines w:val="0"/>
        <w:pageBreakBefore w:val="0"/>
        <w:kinsoku/>
        <w:wordWrap/>
        <w:overflowPunct/>
        <w:topLinePunct w:val="0"/>
        <w:autoSpaceDE/>
        <w:autoSpaceDN/>
        <w:bidi w:val="0"/>
        <w:adjustRightInd/>
        <w:spacing w:beforeAutospacing="0" w:afterAutospacing="0" w:line="560" w:lineRule="exact"/>
        <w:ind w:firstLine="643" w:firstLineChars="200"/>
        <w:textAlignment w:val="auto"/>
        <w:rPr>
          <w:rFonts w:hint="eastAsia" w:ascii="仿宋" w:hAnsi="仿宋" w:eastAsia="仿宋" w:cs="仿宋"/>
          <w:b/>
          <w:sz w:val="32"/>
          <w:szCs w:val="32"/>
        </w:rPr>
      </w:pPr>
      <w:r>
        <w:rPr>
          <w:rFonts w:hint="eastAsia" w:ascii="仿宋" w:hAnsi="仿宋" w:eastAsia="仿宋" w:cs="仿宋"/>
          <w:b/>
          <w:sz w:val="32"/>
          <w:szCs w:val="32"/>
        </w:rPr>
        <w:t>（二）专项攻坚强监管，创新机制守环境</w:t>
      </w:r>
    </w:p>
    <w:p w14:paraId="547E1AA2">
      <w:pPr>
        <w:keepNext w:val="0"/>
        <w:keepLines w:val="0"/>
        <w:pageBreakBefore w:val="0"/>
        <w:kinsoku/>
        <w:wordWrap/>
        <w:overflowPunct/>
        <w:topLinePunct w:val="0"/>
        <w:autoSpaceDE/>
        <w:autoSpaceDN/>
        <w:bidi w:val="0"/>
        <w:adjustRightInd/>
        <w:spacing w:beforeAutospacing="0" w:afterAutospacing="0" w:line="560" w:lineRule="exact"/>
        <w:ind w:firstLine="643" w:firstLineChars="200"/>
        <w:textAlignment w:val="auto"/>
        <w:rPr>
          <w:rFonts w:hint="eastAsia" w:ascii="仿宋" w:hAnsi="仿宋" w:eastAsia="仿宋" w:cs="仿宋"/>
          <w:sz w:val="32"/>
          <w:szCs w:val="32"/>
        </w:rPr>
      </w:pPr>
      <w:r>
        <w:rPr>
          <w:rFonts w:hint="eastAsia" w:ascii="仿宋" w:hAnsi="仿宋" w:eastAsia="仿宋" w:cs="仿宋"/>
          <w:b/>
          <w:sz w:val="32"/>
          <w:szCs w:val="32"/>
        </w:rPr>
        <w:t>一要专项攻坚破难。</w:t>
      </w:r>
      <w:r>
        <w:rPr>
          <w:rFonts w:hint="eastAsia" w:ascii="仿宋" w:hAnsi="仿宋" w:eastAsia="仿宋" w:cs="仿宋"/>
          <w:sz w:val="32"/>
          <w:szCs w:val="32"/>
        </w:rPr>
        <w:t>继续组织落实各项专项行动。开展打击在线数据造假专项行动、砖瓦窑专项行动、危废专项行动、饮用水源保护专项行动、开展入河排污口专项执法、秋冬季大气专项执法、VOC专项执法、信访应急执法等行动，将发现的问题及时建立问题清单、整改标准、处理意见、责任人和包保领导清单式调度，及后督察的跟踪督办，实现解决问题的闭环管理机制，精准打击各类环境违法行为，切实守护生态环境安全。</w:t>
      </w:r>
    </w:p>
    <w:p w14:paraId="04D09BE9">
      <w:pPr>
        <w:keepNext w:val="0"/>
        <w:keepLines w:val="0"/>
        <w:pageBreakBefore w:val="0"/>
        <w:kinsoku/>
        <w:wordWrap/>
        <w:overflowPunct/>
        <w:topLinePunct w:val="0"/>
        <w:autoSpaceDE/>
        <w:autoSpaceDN/>
        <w:bidi w:val="0"/>
        <w:adjustRightInd/>
        <w:spacing w:beforeAutospacing="0" w:afterAutospacing="0" w:line="560" w:lineRule="exact"/>
        <w:ind w:firstLine="643" w:firstLineChars="200"/>
        <w:textAlignment w:val="auto"/>
        <w:rPr>
          <w:rFonts w:hint="eastAsia" w:ascii="仿宋" w:hAnsi="仿宋" w:eastAsia="仿宋" w:cs="仿宋"/>
          <w:sz w:val="32"/>
          <w:szCs w:val="32"/>
        </w:rPr>
      </w:pPr>
      <w:r>
        <w:rPr>
          <w:rFonts w:hint="eastAsia" w:ascii="仿宋" w:hAnsi="仿宋" w:eastAsia="仿宋" w:cs="仿宋"/>
          <w:b/>
          <w:sz w:val="32"/>
          <w:szCs w:val="32"/>
        </w:rPr>
        <w:t>二要强化执法监管。</w:t>
      </w:r>
      <w:r>
        <w:rPr>
          <w:rFonts w:hint="eastAsia" w:ascii="仿宋" w:hAnsi="仿宋" w:eastAsia="仿宋" w:cs="仿宋"/>
          <w:b/>
          <w:bCs/>
          <w:sz w:val="32"/>
          <w:szCs w:val="32"/>
        </w:rPr>
        <w:t>一是</w:t>
      </w:r>
      <w:r>
        <w:rPr>
          <w:rFonts w:hint="eastAsia" w:ascii="仿宋" w:hAnsi="仿宋" w:eastAsia="仿宋" w:cs="仿宋"/>
          <w:sz w:val="32"/>
          <w:szCs w:val="32"/>
        </w:rPr>
        <w:t>强化现场执法管理，统筹年度执法计划，细化月度执法安排，明确对重点信访件、“双随机、一公开”检查等事项实施现场执法，严格管控计划外执法，确保对市场主体“无事不扰”，减轻企业负担。</w:t>
      </w:r>
      <w:r>
        <w:rPr>
          <w:rFonts w:hint="eastAsia" w:ascii="仿宋" w:hAnsi="仿宋" w:eastAsia="仿宋" w:cs="仿宋"/>
          <w:b/>
          <w:bCs/>
          <w:sz w:val="32"/>
          <w:szCs w:val="32"/>
        </w:rPr>
        <w:t>二是</w:t>
      </w:r>
      <w:r>
        <w:rPr>
          <w:rFonts w:hint="eastAsia" w:ascii="仿宋" w:hAnsi="仿宋" w:eastAsia="仿宋" w:cs="仿宋"/>
          <w:sz w:val="32"/>
          <w:szCs w:val="32"/>
        </w:rPr>
        <w:t>深化行刑衔接机制，携手公安、检察机关，严厉打击危险废物环境犯罪、污染源监测数据造假及第三方环保服务弄虚作假等违法行为，力推一批典型案件办理，充分发挥警示、震慑与教育效能，营造不敢违法、不能违法、不想违法的良好氛围，有效提升了生态环境执法监管的精准性和威慑力。</w:t>
      </w:r>
    </w:p>
    <w:p w14:paraId="5CA27717">
      <w:pPr>
        <w:keepNext w:val="0"/>
        <w:keepLines w:val="0"/>
        <w:pageBreakBefore w:val="0"/>
        <w:kinsoku/>
        <w:wordWrap/>
        <w:overflowPunct/>
        <w:topLinePunct w:val="0"/>
        <w:autoSpaceDE/>
        <w:autoSpaceDN/>
        <w:bidi w:val="0"/>
        <w:adjustRightInd/>
        <w:spacing w:beforeAutospacing="0" w:afterAutospacing="0" w:line="560" w:lineRule="exact"/>
        <w:ind w:firstLine="643" w:firstLineChars="200"/>
        <w:textAlignment w:val="auto"/>
        <w:rPr>
          <w:rFonts w:hint="eastAsia" w:ascii="仿宋" w:hAnsi="仿宋" w:eastAsia="仿宋" w:cs="仿宋"/>
          <w:sz w:val="32"/>
          <w:szCs w:val="32"/>
        </w:rPr>
      </w:pPr>
      <w:r>
        <w:rPr>
          <w:rFonts w:hint="eastAsia" w:ascii="仿宋" w:hAnsi="仿宋" w:eastAsia="仿宋" w:cs="仿宋"/>
          <w:b/>
          <w:sz w:val="32"/>
          <w:szCs w:val="32"/>
        </w:rPr>
        <w:t>三要优化监管体系。</w:t>
      </w:r>
      <w:r>
        <w:rPr>
          <w:rFonts w:hint="eastAsia" w:ascii="仿宋" w:hAnsi="仿宋" w:eastAsia="仿宋" w:cs="仿宋"/>
          <w:b/>
          <w:bCs/>
          <w:sz w:val="32"/>
          <w:szCs w:val="32"/>
        </w:rPr>
        <w:t>一是</w:t>
      </w:r>
      <w:r>
        <w:rPr>
          <w:rFonts w:hint="eastAsia" w:ascii="仿宋" w:hAnsi="仿宋" w:eastAsia="仿宋" w:cs="仿宋"/>
          <w:sz w:val="32"/>
          <w:szCs w:val="32"/>
        </w:rPr>
        <w:t>强化非现场监管，依托省生态环境非现场监管平台，实现数据智能分析，快速响应环境问题线索，探索全流程线上执法新模式。</w:t>
      </w:r>
      <w:r>
        <w:rPr>
          <w:rFonts w:hint="eastAsia" w:ascii="仿宋" w:hAnsi="仿宋" w:eastAsia="仿宋" w:cs="仿宋"/>
          <w:b/>
          <w:bCs/>
          <w:sz w:val="32"/>
          <w:szCs w:val="32"/>
        </w:rPr>
        <w:t>二是</w:t>
      </w:r>
      <w:r>
        <w:rPr>
          <w:rFonts w:hint="eastAsia" w:ascii="仿宋" w:hAnsi="仿宋" w:eastAsia="仿宋" w:cs="仿宋"/>
          <w:sz w:val="32"/>
          <w:szCs w:val="32"/>
        </w:rPr>
        <w:t>优化交叉执法机制，整合全市执法力量，适时组织跨区域执法检查，对重点环境问题整改、化工园区绿色发展、“散乱污”企业清理等任务进行“回头看”，确保整改成效。</w:t>
      </w:r>
      <w:r>
        <w:rPr>
          <w:rFonts w:hint="eastAsia" w:ascii="仿宋" w:hAnsi="仿宋" w:eastAsia="仿宋" w:cs="仿宋"/>
          <w:b/>
          <w:bCs/>
          <w:sz w:val="32"/>
          <w:szCs w:val="32"/>
        </w:rPr>
        <w:t>三是</w:t>
      </w:r>
      <w:r>
        <w:rPr>
          <w:rFonts w:hint="eastAsia" w:ascii="仿宋" w:hAnsi="仿宋" w:eastAsia="仿宋" w:cs="仿宋"/>
          <w:sz w:val="32"/>
          <w:szCs w:val="32"/>
        </w:rPr>
        <w:t>创新夜间执法模式，针对群众反映强烈的夜间偷排、异味及噪声污染等问题，灵活开展夜间突击检查，填补夜间监管空白，有效震慑环境违法行为。</w:t>
      </w:r>
    </w:p>
    <w:p w14:paraId="0D9785DE">
      <w:pPr>
        <w:keepNext w:val="0"/>
        <w:keepLines w:val="0"/>
        <w:pageBreakBefore w:val="0"/>
        <w:kinsoku/>
        <w:wordWrap/>
        <w:overflowPunct/>
        <w:topLinePunct w:val="0"/>
        <w:autoSpaceDE/>
        <w:autoSpaceDN/>
        <w:bidi w:val="0"/>
        <w:adjustRightInd/>
        <w:spacing w:beforeAutospacing="0" w:afterAutospacing="0" w:line="560" w:lineRule="exact"/>
        <w:ind w:firstLine="643" w:firstLineChars="200"/>
        <w:textAlignment w:val="auto"/>
        <w:rPr>
          <w:rFonts w:hint="eastAsia" w:ascii="仿宋" w:hAnsi="仿宋" w:eastAsia="仿宋" w:cs="仿宋"/>
          <w:b/>
          <w:sz w:val="32"/>
          <w:szCs w:val="32"/>
        </w:rPr>
      </w:pPr>
      <w:r>
        <w:rPr>
          <w:rFonts w:hint="eastAsia" w:ascii="仿宋" w:hAnsi="仿宋" w:eastAsia="仿宋" w:cs="仿宋"/>
          <w:b/>
          <w:sz w:val="32"/>
          <w:szCs w:val="32"/>
        </w:rPr>
        <w:t>（三）应急信访稳民心，服务企业促发展</w:t>
      </w:r>
    </w:p>
    <w:p w14:paraId="08F73B31">
      <w:pPr>
        <w:keepNext w:val="0"/>
        <w:keepLines w:val="0"/>
        <w:pageBreakBefore w:val="0"/>
        <w:kinsoku/>
        <w:wordWrap/>
        <w:overflowPunct/>
        <w:topLinePunct w:val="0"/>
        <w:autoSpaceDE/>
        <w:autoSpaceDN/>
        <w:bidi w:val="0"/>
        <w:adjustRightInd/>
        <w:spacing w:beforeAutospacing="0" w:afterAutospacing="0" w:line="560" w:lineRule="exact"/>
        <w:ind w:firstLine="643" w:firstLineChars="200"/>
        <w:textAlignment w:val="auto"/>
        <w:rPr>
          <w:rFonts w:hint="eastAsia" w:ascii="仿宋" w:hAnsi="仿宋" w:eastAsia="仿宋" w:cs="仿宋"/>
          <w:sz w:val="32"/>
          <w:szCs w:val="32"/>
        </w:rPr>
      </w:pPr>
      <w:r>
        <w:rPr>
          <w:rFonts w:hint="eastAsia" w:ascii="仿宋" w:hAnsi="仿宋" w:eastAsia="仿宋" w:cs="仿宋"/>
          <w:b/>
          <w:sz w:val="32"/>
          <w:szCs w:val="32"/>
        </w:rPr>
        <w:t>一要应急强化保稳定。</w:t>
      </w:r>
      <w:r>
        <w:rPr>
          <w:rFonts w:hint="eastAsia" w:ascii="仿宋" w:hAnsi="仿宋" w:eastAsia="仿宋" w:cs="仿宋"/>
          <w:sz w:val="32"/>
          <w:szCs w:val="32"/>
        </w:rPr>
        <w:t>严格执行24小时应急值守与重点时段领导带班值班制度，确保应急响应及时迅速。加强环境应急信息报送工作，建立审核机制，严守报送时限，保证信息准确。做好重大活动和汛期等敏感时段环境安全保障，提前制定应急预案，储备应急物资，组织应急演练。按五个“第一时间”要求，及时、妥善处置突发环境事件。深入排查治理隐患，实现“一河一策一图”全覆盖并推动应用。有序推进化工园区环境应急三级防控体系建设，深化演练培训，构建应急监测和物资储备体系，加强应急队伍建设。</w:t>
      </w:r>
    </w:p>
    <w:p w14:paraId="64E057DC">
      <w:pPr>
        <w:keepNext w:val="0"/>
        <w:keepLines w:val="0"/>
        <w:pageBreakBefore w:val="0"/>
        <w:kinsoku/>
        <w:wordWrap/>
        <w:overflowPunct/>
        <w:topLinePunct w:val="0"/>
        <w:autoSpaceDE/>
        <w:autoSpaceDN/>
        <w:bidi w:val="0"/>
        <w:adjustRightInd/>
        <w:spacing w:beforeAutospacing="0" w:afterAutospacing="0" w:line="560" w:lineRule="exact"/>
        <w:ind w:firstLine="643" w:firstLineChars="200"/>
        <w:textAlignment w:val="auto"/>
        <w:rPr>
          <w:rFonts w:hint="eastAsia" w:ascii="仿宋" w:hAnsi="仿宋" w:eastAsia="仿宋" w:cs="仿宋"/>
          <w:sz w:val="32"/>
          <w:szCs w:val="32"/>
        </w:rPr>
      </w:pPr>
      <w:r>
        <w:rPr>
          <w:rFonts w:hint="eastAsia" w:ascii="仿宋" w:hAnsi="仿宋" w:eastAsia="仿宋" w:cs="仿宋"/>
          <w:b/>
          <w:sz w:val="32"/>
          <w:szCs w:val="32"/>
        </w:rPr>
        <w:t>二要信访提质解民忧。</w:t>
      </w:r>
      <w:r>
        <w:rPr>
          <w:rFonts w:hint="eastAsia" w:ascii="仿宋" w:hAnsi="仿宋" w:eastAsia="仿宋" w:cs="仿宋"/>
          <w:sz w:val="32"/>
          <w:szCs w:val="32"/>
        </w:rPr>
        <w:t>认真践行“浦江经验”“枫桥经验”与“六尺巷”工作法，传承“四下基层”优良作风，落实领导干部接访下访制度。围绕信访总量下降目标，制定工作方案和考核办法，定期梳理排查高频投诉事项，分析研究化解突出生态环境问题的最优路径和具体方案，聚焦重难件化解。做好环境违法行为举报奖励经费保障和发放工作，宣传奖励政策，激发公众积极性。严格落实初件首办责任，提高首办质量和效率。定期抽查信访办件，对抽查发现的问题及时进行督办，依法处置生态环境违法问题，切实维护群众的环境权益，提升群众满意度。</w:t>
      </w:r>
    </w:p>
    <w:p w14:paraId="7DE29548">
      <w:pPr>
        <w:keepNext w:val="0"/>
        <w:keepLines w:val="0"/>
        <w:pageBreakBefore w:val="0"/>
        <w:kinsoku/>
        <w:wordWrap/>
        <w:overflowPunct/>
        <w:topLinePunct w:val="0"/>
        <w:autoSpaceDE/>
        <w:autoSpaceDN/>
        <w:bidi w:val="0"/>
        <w:adjustRightInd/>
        <w:spacing w:beforeAutospacing="0" w:afterAutospacing="0" w:line="560" w:lineRule="exact"/>
        <w:ind w:firstLine="643" w:firstLineChars="200"/>
        <w:textAlignment w:val="auto"/>
        <w:rPr>
          <w:rFonts w:hint="eastAsia" w:ascii="仿宋" w:hAnsi="仿宋" w:eastAsia="仿宋" w:cs="仿宋"/>
          <w:sz w:val="32"/>
          <w:szCs w:val="32"/>
        </w:rPr>
      </w:pPr>
      <w:r>
        <w:rPr>
          <w:rFonts w:hint="eastAsia" w:ascii="仿宋" w:hAnsi="仿宋" w:eastAsia="仿宋" w:cs="仿宋"/>
          <w:b/>
          <w:sz w:val="32"/>
          <w:szCs w:val="32"/>
        </w:rPr>
        <w:t>三要服务企业促双赢。</w:t>
      </w:r>
      <w:r>
        <w:rPr>
          <w:rFonts w:hint="eastAsia" w:ascii="仿宋" w:hAnsi="仿宋" w:eastAsia="仿宋" w:cs="仿宋"/>
          <w:sz w:val="32"/>
          <w:szCs w:val="32"/>
        </w:rPr>
        <w:t>围绕“双碳”目标引领，统筹高质量发展和生态环境保护。加强执法帮扶，组织执法人员与企业进行面对面交流，深入了解企业需求，为企业送技术、送方案、送政策，助力企业提升环保管理水平。对轻微违法审慎包容，常态化实施监督执法正面清单制度，严格实施有奖举报，加强守法引导，提升企业守法经营。优化执法方式，提高执法效能，减少现场执法频次，降低对企业正常生产经营的影响，实现经济与环境的双赢发展。</w:t>
      </w:r>
    </w:p>
    <w:p w14:paraId="112827D8">
      <w:pPr>
        <w:keepNext w:val="0"/>
        <w:keepLines w:val="0"/>
        <w:pageBreakBefore w:val="0"/>
        <w:kinsoku/>
        <w:wordWrap/>
        <w:overflowPunct/>
        <w:topLinePunct w:val="0"/>
        <w:autoSpaceDE/>
        <w:autoSpaceDN/>
        <w:bidi w:val="0"/>
        <w:adjustRightInd/>
        <w:spacing w:beforeAutospacing="0" w:afterAutospacing="0" w:line="560" w:lineRule="exact"/>
        <w:ind w:firstLine="643" w:firstLineChars="200"/>
        <w:textAlignment w:val="auto"/>
        <w:rPr>
          <w:rFonts w:hint="eastAsia" w:ascii="仿宋" w:hAnsi="仿宋" w:eastAsia="仿宋" w:cs="仿宋"/>
          <w:b/>
          <w:sz w:val="32"/>
          <w:szCs w:val="32"/>
        </w:rPr>
      </w:pPr>
      <w:r>
        <w:rPr>
          <w:rFonts w:hint="eastAsia" w:ascii="仿宋" w:hAnsi="仿宋" w:eastAsia="仿宋" w:cs="仿宋"/>
          <w:b/>
          <w:sz w:val="32"/>
          <w:szCs w:val="32"/>
        </w:rPr>
        <w:t>（四）优化检查促发展，提升效能强监督</w:t>
      </w:r>
    </w:p>
    <w:p w14:paraId="69F92A23">
      <w:pPr>
        <w:keepNext w:val="0"/>
        <w:keepLines w:val="0"/>
        <w:pageBreakBefore w:val="0"/>
        <w:kinsoku/>
        <w:wordWrap/>
        <w:overflowPunct/>
        <w:topLinePunct w:val="0"/>
        <w:autoSpaceDE/>
        <w:autoSpaceDN/>
        <w:bidi w:val="0"/>
        <w:adjustRightInd/>
        <w:spacing w:beforeAutospacing="0" w:afterAutospacing="0" w:line="560" w:lineRule="exact"/>
        <w:ind w:firstLine="643" w:firstLineChars="200"/>
        <w:textAlignment w:val="auto"/>
        <w:rPr>
          <w:rFonts w:hint="eastAsia" w:ascii="仿宋" w:hAnsi="仿宋" w:eastAsia="仿宋" w:cs="仿宋"/>
          <w:sz w:val="32"/>
          <w:szCs w:val="32"/>
        </w:rPr>
      </w:pPr>
      <w:r>
        <w:rPr>
          <w:rFonts w:hint="eastAsia" w:ascii="仿宋" w:hAnsi="仿宋" w:eastAsia="仿宋" w:cs="仿宋"/>
          <w:b/>
          <w:sz w:val="32"/>
          <w:szCs w:val="32"/>
        </w:rPr>
        <w:t>一要优化企业发展环境。</w:t>
      </w:r>
      <w:r>
        <w:rPr>
          <w:rFonts w:hint="eastAsia" w:ascii="仿宋" w:hAnsi="仿宋" w:eastAsia="仿宋" w:cs="仿宋"/>
          <w:sz w:val="32"/>
          <w:szCs w:val="32"/>
        </w:rPr>
        <w:t>严格限制涉企行政检查主体，遵循非必要不入企原则，明确禁止政府议事协调机构、第三方检验检测机构、科研院所、外包中介机构及无证执法辅助人员、网格员、临时工等四类主体实施检查。完善涉企行政检查清单制度，依据最新法规全面梳理并更新检查事项，并将相关材料上报法规与标准科备案，实行动态管理，任何变动均需及时调整公布并再次备案。严格执行“清单之外无检查”原则，对企业提供明确指导与整改答复，实地检查时一次性告知合规标准，规范行政处罚流程，合理适用轻罚免罚措施，以全面、透明、高效的行政检查机制，为企业营造宽松良好的经营氛围。</w:t>
      </w:r>
    </w:p>
    <w:p w14:paraId="3CE668EA">
      <w:pPr>
        <w:keepNext w:val="0"/>
        <w:keepLines w:val="0"/>
        <w:pageBreakBefore w:val="0"/>
        <w:kinsoku/>
        <w:wordWrap/>
        <w:overflowPunct/>
        <w:topLinePunct w:val="0"/>
        <w:autoSpaceDE/>
        <w:autoSpaceDN/>
        <w:bidi w:val="0"/>
        <w:adjustRightInd/>
        <w:spacing w:beforeAutospacing="0" w:afterAutospacing="0" w:line="560" w:lineRule="exact"/>
        <w:ind w:firstLine="643" w:firstLineChars="200"/>
        <w:textAlignment w:val="auto"/>
        <w:rPr>
          <w:rFonts w:hint="eastAsia" w:ascii="仿宋" w:hAnsi="仿宋" w:eastAsia="仿宋" w:cs="仿宋"/>
          <w:sz w:val="32"/>
          <w:szCs w:val="32"/>
        </w:rPr>
      </w:pPr>
      <w:r>
        <w:rPr>
          <w:rFonts w:hint="eastAsia" w:ascii="仿宋" w:hAnsi="仿宋" w:eastAsia="仿宋" w:cs="仿宋"/>
          <w:b/>
          <w:sz w:val="32"/>
          <w:szCs w:val="32"/>
        </w:rPr>
        <w:t>二要提升涉企行政检查效率与质量。</w:t>
      </w:r>
      <w:r>
        <w:rPr>
          <w:rFonts w:hint="eastAsia" w:ascii="仿宋" w:hAnsi="仿宋" w:eastAsia="仿宋" w:cs="仿宋"/>
          <w:sz w:val="32"/>
          <w:szCs w:val="32"/>
        </w:rPr>
        <w:t>各科室、局属单位需依据更新后的清单制定年度检查计划，报法规与标准科备案并公开，确保除特殊情况外所有检查均纳入计划。市执法支队</w:t>
      </w:r>
      <w:r>
        <w:rPr>
          <w:rFonts w:hint="eastAsia" w:ascii="仿宋" w:hAnsi="仿宋" w:eastAsia="仿宋" w:cs="仿宋"/>
          <w:sz w:val="32"/>
          <w:szCs w:val="32"/>
          <w:lang w:val="en-US" w:eastAsia="zh-CN"/>
        </w:rPr>
        <w:t>进一步</w:t>
      </w:r>
      <w:r>
        <w:rPr>
          <w:rFonts w:hint="eastAsia" w:ascii="仿宋" w:hAnsi="仿宋" w:eastAsia="仿宋" w:cs="仿宋"/>
          <w:sz w:val="32"/>
          <w:szCs w:val="32"/>
        </w:rPr>
        <w:t>完善联合检查机制，实现“综合查一次”，利用“互联网+监管”减少重复检查，同时推行“信用+执法监管”免检机制，根据企业信用等级调整检查频次。检查过程中，严格执行行政执法“三项制度”，推行包容审慎执法，发现问题提供书面指导，非现场检查事项优先非现场处理，规范检查协助行为，避免违法委托，减轻企业负担。通过统筹计划、联合检查、信用监管及规范行为等措施，减少对企业经营的干扰，提升行政检查效能，营造公平、高效、透明的营商环境。</w:t>
      </w:r>
    </w:p>
    <w:p w14:paraId="210FC766">
      <w:pPr>
        <w:keepNext w:val="0"/>
        <w:keepLines w:val="0"/>
        <w:pageBreakBefore w:val="0"/>
        <w:kinsoku/>
        <w:wordWrap/>
        <w:overflowPunct/>
        <w:topLinePunct w:val="0"/>
        <w:autoSpaceDE/>
        <w:autoSpaceDN/>
        <w:bidi w:val="0"/>
        <w:adjustRightInd/>
        <w:spacing w:beforeAutospacing="0" w:afterAutospacing="0" w:line="560" w:lineRule="exact"/>
        <w:ind w:firstLine="643" w:firstLineChars="200"/>
        <w:textAlignment w:val="auto"/>
        <w:rPr>
          <w:rFonts w:hint="eastAsia" w:ascii="仿宋" w:hAnsi="仿宋" w:eastAsia="仿宋" w:cs="仿宋"/>
          <w:sz w:val="32"/>
          <w:szCs w:val="32"/>
        </w:rPr>
      </w:pPr>
      <w:r>
        <w:rPr>
          <w:rFonts w:hint="eastAsia" w:ascii="仿宋" w:hAnsi="仿宋" w:eastAsia="仿宋" w:cs="仿宋"/>
          <w:b/>
          <w:sz w:val="32"/>
          <w:szCs w:val="32"/>
        </w:rPr>
        <w:t>三要强化涉企行政检查监督。</w:t>
      </w:r>
      <w:r>
        <w:rPr>
          <w:rFonts w:hint="eastAsia" w:ascii="仿宋" w:hAnsi="仿宋" w:eastAsia="仿宋" w:cs="仿宋"/>
          <w:sz w:val="32"/>
          <w:szCs w:val="32"/>
        </w:rPr>
        <w:t>落实“一案一卡”制度，立案即发监督卡，并定期进行抽查。畅通“12345”热线投诉渠道，专人专责，定期通报并督查。邀请人大代表、政协委员、专家学者、企业代表等社会力量参与监督，公开检查情况，提升透明度。为保障涉企行政检查有效实施，完善领导小组，强化组织领导力，将行政检查规范纳入培训体系，定期开展评估与执法监督。加大宣传力度，落实普法责任，提供合规管理指引，督促企业提升合规水平。确保涉企行政检查工作的公正、高效、透明。</w:t>
      </w:r>
    </w:p>
    <w:p w14:paraId="1E2D145A"/>
    <w:p w14:paraId="71B97E7F">
      <w:pPr>
        <w:pStyle w:val="6"/>
        <w:adjustRightInd w:val="0"/>
        <w:snapToGrid w:val="0"/>
        <w:spacing w:line="560" w:lineRule="exact"/>
        <w:jc w:val="center"/>
        <w:rPr>
          <w:rFonts w:hint="eastAsia" w:ascii="黑体" w:hAnsi="黑体" w:eastAsia="黑体" w:cs="黑体"/>
          <w:bCs/>
          <w:sz w:val="36"/>
          <w:szCs w:val="36"/>
        </w:rPr>
      </w:pPr>
      <w:r>
        <w:rPr>
          <w:rFonts w:hint="eastAsia" w:ascii="黑体" w:hAnsi="黑体" w:eastAsia="黑体" w:cs="黑体"/>
          <w:bCs/>
          <w:sz w:val="36"/>
          <w:szCs w:val="36"/>
        </w:rPr>
        <w:t>第二部分 2025年单位预算表</w:t>
      </w:r>
    </w:p>
    <w:p w14:paraId="676D7C30">
      <w:pPr>
        <w:pStyle w:val="6"/>
        <w:adjustRightInd w:val="0"/>
        <w:snapToGrid w:val="0"/>
        <w:spacing w:line="560" w:lineRule="exact"/>
        <w:ind w:firstLine="627" w:firstLineChars="196"/>
        <w:jc w:val="center"/>
        <w:rPr>
          <w:rFonts w:hint="eastAsia" w:ascii="黑体" w:hAnsi="黑体" w:eastAsia="黑体" w:cs="黑体"/>
          <w:bCs/>
          <w:sz w:val="32"/>
          <w:szCs w:val="32"/>
        </w:rPr>
      </w:pPr>
      <w:r>
        <w:rPr>
          <w:rFonts w:hint="eastAsia" w:ascii="黑体" w:hAnsi="黑体" w:eastAsia="黑体" w:cs="黑体"/>
          <w:bCs/>
          <w:sz w:val="32"/>
          <w:szCs w:val="32"/>
        </w:rPr>
        <w:t>见附件1-2</w:t>
      </w:r>
    </w:p>
    <w:p w14:paraId="1CA12308"/>
    <w:p w14:paraId="1EE93F85"/>
    <w:p w14:paraId="496C2061"/>
    <w:p w14:paraId="2E87041D"/>
    <w:p w14:paraId="3D264F41"/>
    <w:p w14:paraId="0B6DD2D6"/>
    <w:p w14:paraId="76F659B3">
      <w:pPr>
        <w:pStyle w:val="6"/>
        <w:adjustRightInd w:val="0"/>
        <w:snapToGrid w:val="0"/>
        <w:spacing w:line="560" w:lineRule="exact"/>
        <w:jc w:val="center"/>
        <w:rPr>
          <w:rFonts w:hint="eastAsia" w:ascii="黑体" w:hAnsi="黑体" w:eastAsia="黑体" w:cs="黑体"/>
          <w:bCs/>
          <w:sz w:val="36"/>
          <w:szCs w:val="36"/>
        </w:rPr>
      </w:pPr>
      <w:r>
        <w:rPr>
          <w:rFonts w:hint="eastAsia" w:ascii="黑体" w:hAnsi="黑体" w:eastAsia="黑体" w:cs="黑体"/>
          <w:bCs/>
          <w:sz w:val="36"/>
          <w:szCs w:val="36"/>
        </w:rPr>
        <w:t>第三部分 2025年单位预算情况说明</w:t>
      </w:r>
    </w:p>
    <w:p w14:paraId="0D1DAE5E"/>
    <w:p w14:paraId="3BD6DD52">
      <w:pPr>
        <w:pStyle w:val="6"/>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bCs w:val="0"/>
          <w:sz w:val="32"/>
          <w:szCs w:val="32"/>
        </w:rPr>
      </w:pPr>
      <w:r>
        <w:rPr>
          <w:rFonts w:hint="eastAsia" w:ascii="仿宋" w:hAnsi="仿宋" w:eastAsia="仿宋" w:cs="仿宋"/>
          <w:b/>
          <w:bCs w:val="0"/>
          <w:sz w:val="32"/>
          <w:szCs w:val="32"/>
        </w:rPr>
        <w:t>一、关于2025年收支总表的说明</w:t>
      </w:r>
    </w:p>
    <w:p w14:paraId="15F3C5A9">
      <w:pPr>
        <w:pStyle w:val="6"/>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按照综合预算的原则，</w:t>
      </w:r>
      <w:r>
        <w:rPr>
          <w:rFonts w:hint="eastAsia" w:ascii="仿宋" w:hAnsi="仿宋" w:eastAsia="仿宋" w:cs="仿宋"/>
          <w:bCs/>
          <w:sz w:val="32"/>
          <w:szCs w:val="32"/>
        </w:rPr>
        <w:t>淮北市生态环境保护综合行政执法支队</w:t>
      </w:r>
      <w:r>
        <w:rPr>
          <w:rFonts w:hint="eastAsia" w:ascii="仿宋" w:hAnsi="仿宋" w:eastAsia="仿宋" w:cs="仿宋"/>
          <w:sz w:val="32"/>
          <w:szCs w:val="32"/>
        </w:rPr>
        <w:t>所有收入和支出均纳入单位预算管理。</w:t>
      </w:r>
      <w:r>
        <w:rPr>
          <w:rFonts w:hint="eastAsia" w:ascii="仿宋" w:hAnsi="仿宋" w:eastAsia="仿宋" w:cs="仿宋"/>
          <w:bCs/>
          <w:sz w:val="32"/>
          <w:szCs w:val="32"/>
        </w:rPr>
        <w:t>淮北市生态环境保护综合行政执法支队</w:t>
      </w:r>
      <w:r>
        <w:rPr>
          <w:rFonts w:hint="eastAsia" w:ascii="仿宋" w:hAnsi="仿宋" w:eastAsia="仿宋" w:cs="仿宋"/>
          <w:sz w:val="32"/>
          <w:szCs w:val="32"/>
        </w:rPr>
        <w:t>2025年收支总预算</w:t>
      </w:r>
      <w:r>
        <w:rPr>
          <w:rFonts w:hint="eastAsia" w:ascii="仿宋" w:hAnsi="仿宋" w:eastAsia="仿宋" w:cs="仿宋"/>
          <w:sz w:val="32"/>
          <w:szCs w:val="32"/>
          <w:lang w:val="en-US" w:eastAsia="zh-CN"/>
        </w:rPr>
        <w:t>772.78</w:t>
      </w:r>
      <w:r>
        <w:rPr>
          <w:rFonts w:hint="eastAsia" w:ascii="仿宋" w:hAnsi="仿宋" w:eastAsia="仿宋" w:cs="仿宋"/>
          <w:sz w:val="32"/>
          <w:szCs w:val="32"/>
        </w:rPr>
        <w:t>万元，收入</w:t>
      </w:r>
      <w:r>
        <w:rPr>
          <w:rFonts w:hint="eastAsia" w:ascii="仿宋" w:hAnsi="仿宋" w:eastAsia="仿宋" w:cs="仿宋"/>
          <w:sz w:val="32"/>
          <w:szCs w:val="32"/>
          <w:lang w:eastAsia="zh-CN"/>
        </w:rPr>
        <w:t>全部是</w:t>
      </w:r>
      <w:r>
        <w:rPr>
          <w:rFonts w:hint="eastAsia" w:ascii="仿宋" w:hAnsi="仿宋" w:eastAsia="仿宋" w:cs="仿宋"/>
          <w:sz w:val="32"/>
          <w:szCs w:val="32"/>
        </w:rPr>
        <w:t>一般公共预算拨款收入，支出包括：社会保障和就业支出、卫生健康支出、节能环保支出</w:t>
      </w:r>
      <w:r>
        <w:rPr>
          <w:rFonts w:hint="eastAsia" w:ascii="仿宋" w:hAnsi="仿宋" w:eastAsia="仿宋" w:cs="仿宋"/>
          <w:sz w:val="32"/>
          <w:szCs w:val="32"/>
          <w:lang w:eastAsia="zh-CN"/>
        </w:rPr>
        <w:t>、</w:t>
      </w:r>
      <w:r>
        <w:rPr>
          <w:rFonts w:hint="eastAsia" w:ascii="仿宋" w:hAnsi="仿宋" w:eastAsia="仿宋" w:cs="仿宋"/>
          <w:sz w:val="32"/>
          <w:szCs w:val="32"/>
        </w:rPr>
        <w:t>住房保障支出。</w:t>
      </w:r>
    </w:p>
    <w:p w14:paraId="16ADEB76">
      <w:pPr>
        <w:pStyle w:val="6"/>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bCs w:val="0"/>
          <w:sz w:val="32"/>
          <w:szCs w:val="32"/>
        </w:rPr>
      </w:pPr>
      <w:r>
        <w:rPr>
          <w:rFonts w:hint="eastAsia" w:ascii="仿宋" w:hAnsi="仿宋" w:eastAsia="仿宋" w:cs="仿宋"/>
          <w:b/>
          <w:bCs w:val="0"/>
          <w:sz w:val="32"/>
          <w:szCs w:val="32"/>
        </w:rPr>
        <w:t>二、关于2025年收入总表的说明</w:t>
      </w:r>
    </w:p>
    <w:p w14:paraId="5A5279FA">
      <w:pPr>
        <w:keepNext w:val="0"/>
        <w:keepLines w:val="0"/>
        <w:pageBreakBefore w:val="0"/>
        <w:kinsoku/>
        <w:wordWrap/>
        <w:overflowPunct/>
        <w:topLinePunct w:val="0"/>
        <w:autoSpaceDE/>
        <w:autoSpaceDN/>
        <w:bidi w:val="0"/>
        <w:adjustRightInd/>
        <w:spacing w:beforeAutospacing="0" w:afterAutospacing="0"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bCs/>
          <w:sz w:val="32"/>
          <w:szCs w:val="32"/>
        </w:rPr>
        <w:t>淮北市生态环境保护综合行政执法支队</w:t>
      </w:r>
      <w:r>
        <w:rPr>
          <w:rFonts w:hint="eastAsia" w:ascii="仿宋" w:hAnsi="仿宋" w:eastAsia="仿宋" w:cs="仿宋"/>
          <w:kern w:val="0"/>
          <w:sz w:val="32"/>
          <w:szCs w:val="32"/>
        </w:rPr>
        <w:t>2025年收入预算</w:t>
      </w:r>
      <w:r>
        <w:rPr>
          <w:rFonts w:hint="eastAsia" w:ascii="仿宋" w:hAnsi="仿宋" w:eastAsia="仿宋" w:cs="仿宋"/>
          <w:kern w:val="0"/>
          <w:sz w:val="32"/>
          <w:szCs w:val="32"/>
          <w:lang w:val="en-US" w:eastAsia="zh-CN"/>
        </w:rPr>
        <w:t>772.78</w:t>
      </w:r>
      <w:r>
        <w:rPr>
          <w:rFonts w:hint="eastAsia" w:ascii="仿宋" w:hAnsi="仿宋" w:eastAsia="仿宋" w:cs="仿宋"/>
          <w:kern w:val="0"/>
          <w:sz w:val="32"/>
          <w:szCs w:val="32"/>
        </w:rPr>
        <w:t>万元，其中，本年收入</w:t>
      </w:r>
      <w:r>
        <w:rPr>
          <w:rFonts w:hint="eastAsia" w:ascii="仿宋" w:hAnsi="仿宋" w:eastAsia="仿宋" w:cs="仿宋"/>
          <w:kern w:val="0"/>
          <w:sz w:val="32"/>
          <w:szCs w:val="32"/>
          <w:lang w:val="en-US" w:eastAsia="zh-CN"/>
        </w:rPr>
        <w:t>772.78</w:t>
      </w:r>
      <w:r>
        <w:rPr>
          <w:rFonts w:hint="eastAsia" w:ascii="仿宋" w:hAnsi="仿宋" w:eastAsia="仿宋" w:cs="仿宋"/>
          <w:kern w:val="0"/>
          <w:sz w:val="32"/>
          <w:szCs w:val="32"/>
        </w:rPr>
        <w:t>万元。</w:t>
      </w:r>
    </w:p>
    <w:p w14:paraId="44DFA8D1">
      <w:pPr>
        <w:keepNext w:val="0"/>
        <w:keepLines w:val="0"/>
        <w:pageBreakBefore w:val="0"/>
        <w:kinsoku/>
        <w:wordWrap/>
        <w:overflowPunct/>
        <w:topLinePunct w:val="0"/>
        <w:autoSpaceDE/>
        <w:autoSpaceDN/>
        <w:bidi w:val="0"/>
        <w:adjustRightInd/>
        <w:spacing w:beforeAutospacing="0" w:afterAutospacing="0" w:line="560" w:lineRule="exact"/>
        <w:ind w:firstLine="643" w:firstLineChars="200"/>
        <w:textAlignment w:val="auto"/>
        <w:rPr>
          <w:rFonts w:hint="eastAsia" w:ascii="仿宋" w:hAnsi="仿宋" w:eastAsia="仿宋" w:cs="仿宋"/>
          <w:kern w:val="0"/>
          <w:sz w:val="32"/>
          <w:szCs w:val="32"/>
        </w:rPr>
      </w:pPr>
      <w:r>
        <w:rPr>
          <w:rFonts w:hint="eastAsia" w:ascii="仿宋" w:hAnsi="仿宋" w:eastAsia="仿宋" w:cs="仿宋"/>
          <w:b/>
          <w:kern w:val="0"/>
          <w:sz w:val="32"/>
          <w:szCs w:val="32"/>
        </w:rPr>
        <w:t>（一）本年收入</w:t>
      </w:r>
      <w:r>
        <w:rPr>
          <w:rFonts w:hint="eastAsia" w:ascii="仿宋" w:hAnsi="仿宋" w:eastAsia="仿宋" w:cs="仿宋"/>
          <w:b/>
          <w:kern w:val="0"/>
          <w:sz w:val="32"/>
          <w:szCs w:val="32"/>
          <w:lang w:val="en-US" w:eastAsia="zh-CN"/>
        </w:rPr>
        <w:t>772.78</w:t>
      </w:r>
      <w:r>
        <w:rPr>
          <w:rFonts w:hint="eastAsia" w:ascii="仿宋" w:hAnsi="仿宋" w:eastAsia="仿宋" w:cs="仿宋"/>
          <w:b/>
          <w:kern w:val="0"/>
          <w:sz w:val="32"/>
          <w:szCs w:val="32"/>
        </w:rPr>
        <w:t>万元，</w:t>
      </w:r>
      <w:r>
        <w:rPr>
          <w:rFonts w:hint="eastAsia" w:ascii="仿宋" w:hAnsi="仿宋" w:eastAsia="仿宋" w:cs="仿宋"/>
          <w:kern w:val="0"/>
          <w:sz w:val="32"/>
          <w:szCs w:val="32"/>
        </w:rPr>
        <w:t>主要包括：一般公共预算拨款收入</w:t>
      </w:r>
      <w:r>
        <w:rPr>
          <w:rFonts w:hint="eastAsia" w:ascii="仿宋" w:hAnsi="仿宋" w:eastAsia="仿宋" w:cs="仿宋"/>
          <w:kern w:val="0"/>
          <w:sz w:val="32"/>
          <w:szCs w:val="32"/>
          <w:lang w:val="en-US" w:eastAsia="zh-CN"/>
        </w:rPr>
        <w:t>772.78</w:t>
      </w:r>
      <w:r>
        <w:rPr>
          <w:rFonts w:hint="eastAsia" w:ascii="仿宋" w:hAnsi="仿宋" w:eastAsia="仿宋" w:cs="仿宋"/>
          <w:kern w:val="0"/>
          <w:sz w:val="32"/>
          <w:szCs w:val="32"/>
        </w:rPr>
        <w:t>万元，占</w:t>
      </w:r>
      <w:r>
        <w:rPr>
          <w:rFonts w:hint="eastAsia" w:ascii="仿宋" w:hAnsi="仿宋" w:eastAsia="仿宋" w:cs="仿宋"/>
          <w:kern w:val="0"/>
          <w:sz w:val="32"/>
          <w:szCs w:val="32"/>
          <w:lang w:val="en-US" w:eastAsia="zh-CN"/>
        </w:rPr>
        <w:t>100</w:t>
      </w:r>
      <w:r>
        <w:rPr>
          <w:rFonts w:hint="eastAsia" w:ascii="仿宋" w:hAnsi="仿宋" w:eastAsia="仿宋" w:cs="仿宋"/>
          <w:kern w:val="0"/>
          <w:sz w:val="32"/>
          <w:szCs w:val="32"/>
        </w:rPr>
        <w:t>%，比2024年预算减少</w:t>
      </w:r>
      <w:r>
        <w:rPr>
          <w:rFonts w:hint="eastAsia" w:ascii="仿宋" w:hAnsi="仿宋" w:eastAsia="仿宋" w:cs="仿宋"/>
          <w:kern w:val="0"/>
          <w:sz w:val="32"/>
          <w:szCs w:val="32"/>
          <w:lang w:val="en-US" w:eastAsia="zh-CN"/>
        </w:rPr>
        <w:t>139.7</w:t>
      </w:r>
      <w:r>
        <w:rPr>
          <w:rFonts w:hint="eastAsia" w:ascii="仿宋" w:hAnsi="仿宋" w:eastAsia="仿宋" w:cs="仿宋"/>
          <w:kern w:val="0"/>
          <w:sz w:val="32"/>
          <w:szCs w:val="32"/>
        </w:rPr>
        <w:t>万元，下降</w:t>
      </w:r>
      <w:r>
        <w:rPr>
          <w:rFonts w:hint="eastAsia" w:ascii="仿宋" w:hAnsi="仿宋" w:eastAsia="仿宋" w:cs="仿宋"/>
          <w:kern w:val="0"/>
          <w:sz w:val="32"/>
          <w:szCs w:val="32"/>
          <w:lang w:val="en-US" w:eastAsia="zh-CN"/>
        </w:rPr>
        <w:t>15.31</w:t>
      </w:r>
      <w:r>
        <w:rPr>
          <w:rFonts w:hint="eastAsia" w:ascii="仿宋" w:hAnsi="仿宋" w:eastAsia="仿宋" w:cs="仿宋"/>
          <w:kern w:val="0"/>
          <w:sz w:val="32"/>
          <w:szCs w:val="32"/>
        </w:rPr>
        <w:t>%，原因主要是</w:t>
      </w:r>
      <w:r>
        <w:rPr>
          <w:rFonts w:hint="eastAsia" w:ascii="仿宋" w:hAnsi="仿宋" w:eastAsia="仿宋" w:cs="仿宋"/>
          <w:kern w:val="0"/>
          <w:sz w:val="32"/>
          <w:szCs w:val="32"/>
          <w:lang w:eastAsia="zh-CN"/>
        </w:rPr>
        <w:t>减少一次性</w:t>
      </w:r>
      <w:r>
        <w:rPr>
          <w:rFonts w:hint="eastAsia" w:ascii="仿宋" w:hAnsi="仿宋" w:eastAsia="仿宋" w:cs="仿宋"/>
          <w:kern w:val="0"/>
          <w:sz w:val="32"/>
          <w:szCs w:val="32"/>
          <w:lang w:val="en-US" w:eastAsia="zh-CN"/>
        </w:rPr>
        <w:t>2个项目35万元、</w:t>
      </w:r>
      <w:r>
        <w:rPr>
          <w:rFonts w:hint="eastAsia" w:ascii="仿宋" w:hAnsi="仿宋" w:eastAsia="仿宋" w:cs="仿宋"/>
          <w:kern w:val="0"/>
          <w:sz w:val="32"/>
          <w:szCs w:val="32"/>
          <w:lang w:eastAsia="zh-CN"/>
        </w:rPr>
        <w:t>项目资金额安排减少</w:t>
      </w:r>
      <w:r>
        <w:rPr>
          <w:rFonts w:hint="eastAsia" w:ascii="仿宋" w:hAnsi="仿宋" w:eastAsia="仿宋" w:cs="仿宋"/>
          <w:kern w:val="0"/>
          <w:sz w:val="32"/>
          <w:szCs w:val="32"/>
        </w:rPr>
        <w:t>；政府性基金预算拨款收入</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万元，占</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%，比2024年预算增加</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万元，增长</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%，原因主要是</w:t>
      </w:r>
      <w:r>
        <w:rPr>
          <w:rFonts w:hint="eastAsia" w:ascii="仿宋" w:hAnsi="仿宋" w:eastAsia="仿宋" w:cs="仿宋"/>
          <w:kern w:val="0"/>
          <w:sz w:val="32"/>
          <w:szCs w:val="32"/>
          <w:lang w:eastAsia="zh-CN"/>
        </w:rPr>
        <w:t>与</w:t>
      </w:r>
      <w:r>
        <w:rPr>
          <w:rFonts w:hint="eastAsia" w:ascii="仿宋" w:hAnsi="仿宋" w:eastAsia="仿宋" w:cs="仿宋"/>
          <w:kern w:val="0"/>
          <w:sz w:val="32"/>
          <w:szCs w:val="32"/>
          <w:lang w:val="en-US" w:eastAsia="zh-CN"/>
        </w:rPr>
        <w:t>2024年预算相同</w:t>
      </w:r>
      <w:r>
        <w:rPr>
          <w:rFonts w:hint="eastAsia" w:ascii="仿宋" w:hAnsi="仿宋" w:eastAsia="仿宋" w:cs="仿宋"/>
          <w:kern w:val="0"/>
          <w:sz w:val="32"/>
          <w:szCs w:val="32"/>
        </w:rPr>
        <w:t>；财政专户管理资金收入</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万元，占</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%，比2024年预算增加</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万元，增长</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%，原因主要是</w:t>
      </w:r>
      <w:r>
        <w:rPr>
          <w:rFonts w:hint="eastAsia" w:ascii="仿宋" w:hAnsi="仿宋" w:eastAsia="仿宋" w:cs="仿宋"/>
          <w:kern w:val="0"/>
          <w:sz w:val="32"/>
          <w:szCs w:val="32"/>
          <w:lang w:val="en-US" w:eastAsia="zh-CN"/>
        </w:rPr>
        <w:t>2024年预算相同</w:t>
      </w:r>
      <w:r>
        <w:rPr>
          <w:rFonts w:hint="eastAsia" w:ascii="仿宋" w:hAnsi="仿宋" w:eastAsia="仿宋" w:cs="仿宋"/>
          <w:kern w:val="0"/>
          <w:sz w:val="32"/>
          <w:szCs w:val="32"/>
        </w:rPr>
        <w:t>。</w:t>
      </w:r>
    </w:p>
    <w:p w14:paraId="73BD50A5">
      <w:pPr>
        <w:pStyle w:val="6"/>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bCs w:val="0"/>
          <w:sz w:val="32"/>
          <w:szCs w:val="32"/>
        </w:rPr>
      </w:pPr>
      <w:r>
        <w:rPr>
          <w:rFonts w:hint="eastAsia" w:ascii="仿宋" w:hAnsi="仿宋" w:eastAsia="仿宋" w:cs="仿宋"/>
          <w:b/>
          <w:bCs w:val="0"/>
          <w:sz w:val="32"/>
          <w:szCs w:val="32"/>
        </w:rPr>
        <w:t>三、关于2025年支出总表的说明</w:t>
      </w:r>
    </w:p>
    <w:p w14:paraId="1C52F7DC">
      <w:pPr>
        <w:keepNext w:val="0"/>
        <w:keepLines w:val="0"/>
        <w:pageBreakBefore w:val="0"/>
        <w:kinsoku/>
        <w:wordWrap/>
        <w:overflowPunct/>
        <w:topLinePunct w:val="0"/>
        <w:autoSpaceDE/>
        <w:autoSpaceDN/>
        <w:bidi w:val="0"/>
        <w:adjustRightInd/>
        <w:spacing w:beforeAutospacing="0" w:afterAutospacing="0"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bCs/>
          <w:sz w:val="32"/>
          <w:szCs w:val="32"/>
        </w:rPr>
        <w:t>淮北市生态环境保护综合行政执法支队</w:t>
      </w:r>
      <w:r>
        <w:rPr>
          <w:rFonts w:hint="eastAsia" w:ascii="仿宋" w:hAnsi="仿宋" w:eastAsia="仿宋" w:cs="仿宋"/>
          <w:kern w:val="0"/>
          <w:sz w:val="32"/>
          <w:szCs w:val="32"/>
        </w:rPr>
        <w:t>2025年支出预算</w:t>
      </w:r>
      <w:r>
        <w:rPr>
          <w:rFonts w:hint="eastAsia" w:ascii="仿宋" w:hAnsi="仿宋" w:eastAsia="仿宋" w:cs="仿宋"/>
          <w:kern w:val="0"/>
          <w:sz w:val="32"/>
          <w:szCs w:val="32"/>
          <w:lang w:val="en-US" w:eastAsia="zh-CN"/>
        </w:rPr>
        <w:t>772.78</w:t>
      </w:r>
      <w:r>
        <w:rPr>
          <w:rFonts w:hint="eastAsia" w:ascii="仿宋" w:hAnsi="仿宋" w:eastAsia="仿宋" w:cs="仿宋"/>
          <w:kern w:val="0"/>
          <w:sz w:val="32"/>
          <w:szCs w:val="32"/>
        </w:rPr>
        <w:t>万元，比2024年预算减少</w:t>
      </w:r>
      <w:r>
        <w:rPr>
          <w:rFonts w:hint="eastAsia" w:ascii="仿宋" w:hAnsi="仿宋" w:eastAsia="仿宋" w:cs="仿宋"/>
          <w:kern w:val="0"/>
          <w:sz w:val="32"/>
          <w:szCs w:val="32"/>
          <w:lang w:val="en-US" w:eastAsia="zh-CN"/>
        </w:rPr>
        <w:t>139.7</w:t>
      </w:r>
      <w:r>
        <w:rPr>
          <w:rFonts w:hint="eastAsia" w:ascii="仿宋" w:hAnsi="仿宋" w:eastAsia="仿宋" w:cs="仿宋"/>
          <w:kern w:val="0"/>
          <w:sz w:val="32"/>
          <w:szCs w:val="32"/>
        </w:rPr>
        <w:t>万元，下降</w:t>
      </w:r>
      <w:r>
        <w:rPr>
          <w:rFonts w:hint="eastAsia" w:ascii="仿宋" w:hAnsi="仿宋" w:eastAsia="仿宋" w:cs="仿宋"/>
          <w:kern w:val="0"/>
          <w:sz w:val="32"/>
          <w:szCs w:val="32"/>
          <w:lang w:val="en-US" w:eastAsia="zh-CN"/>
        </w:rPr>
        <w:t>15.31</w:t>
      </w:r>
      <w:r>
        <w:rPr>
          <w:rFonts w:hint="eastAsia" w:ascii="仿宋" w:hAnsi="仿宋" w:eastAsia="仿宋" w:cs="仿宋"/>
          <w:kern w:val="0"/>
          <w:sz w:val="32"/>
          <w:szCs w:val="32"/>
        </w:rPr>
        <w:t>%，原因主要是</w:t>
      </w:r>
      <w:r>
        <w:rPr>
          <w:rFonts w:hint="eastAsia" w:ascii="仿宋" w:hAnsi="仿宋" w:eastAsia="仿宋" w:cs="仿宋"/>
          <w:kern w:val="0"/>
          <w:sz w:val="32"/>
          <w:szCs w:val="32"/>
          <w:lang w:eastAsia="zh-CN"/>
        </w:rPr>
        <w:t>减少一次性</w:t>
      </w:r>
      <w:r>
        <w:rPr>
          <w:rFonts w:hint="eastAsia" w:ascii="仿宋" w:hAnsi="仿宋" w:eastAsia="仿宋" w:cs="仿宋"/>
          <w:kern w:val="0"/>
          <w:sz w:val="32"/>
          <w:szCs w:val="32"/>
          <w:lang w:val="en-US" w:eastAsia="zh-CN"/>
        </w:rPr>
        <w:t>2个项目35万元、</w:t>
      </w:r>
      <w:r>
        <w:rPr>
          <w:rFonts w:hint="eastAsia" w:ascii="仿宋" w:hAnsi="仿宋" w:eastAsia="仿宋" w:cs="仿宋"/>
          <w:kern w:val="0"/>
          <w:sz w:val="32"/>
          <w:szCs w:val="32"/>
          <w:lang w:eastAsia="zh-CN"/>
        </w:rPr>
        <w:t>项目资金额安排减少</w:t>
      </w:r>
      <w:r>
        <w:rPr>
          <w:rFonts w:hint="eastAsia" w:ascii="仿宋" w:hAnsi="仿宋" w:eastAsia="仿宋" w:cs="仿宋"/>
          <w:kern w:val="0"/>
          <w:sz w:val="32"/>
          <w:szCs w:val="32"/>
        </w:rPr>
        <w:t>。其中，基本支出</w:t>
      </w:r>
      <w:r>
        <w:rPr>
          <w:rFonts w:hint="eastAsia" w:ascii="仿宋" w:hAnsi="仿宋" w:eastAsia="仿宋" w:cs="仿宋"/>
          <w:kern w:val="0"/>
          <w:sz w:val="32"/>
          <w:szCs w:val="32"/>
          <w:lang w:val="en-US" w:eastAsia="zh-CN"/>
        </w:rPr>
        <w:t>593.95</w:t>
      </w:r>
      <w:r>
        <w:rPr>
          <w:rFonts w:hint="eastAsia" w:ascii="仿宋" w:hAnsi="仿宋" w:eastAsia="仿宋" w:cs="仿宋"/>
          <w:kern w:val="0"/>
          <w:sz w:val="32"/>
          <w:szCs w:val="32"/>
        </w:rPr>
        <w:t>万元，占</w:t>
      </w:r>
      <w:r>
        <w:rPr>
          <w:rFonts w:hint="eastAsia" w:ascii="仿宋" w:hAnsi="仿宋" w:eastAsia="仿宋" w:cs="仿宋"/>
          <w:kern w:val="0"/>
          <w:sz w:val="32"/>
          <w:szCs w:val="32"/>
          <w:lang w:val="en-US" w:eastAsia="zh-CN"/>
        </w:rPr>
        <w:t>76.86</w:t>
      </w:r>
      <w:r>
        <w:rPr>
          <w:rFonts w:hint="eastAsia" w:ascii="仿宋" w:hAnsi="仿宋" w:eastAsia="仿宋" w:cs="仿宋"/>
          <w:kern w:val="0"/>
          <w:sz w:val="32"/>
          <w:szCs w:val="32"/>
        </w:rPr>
        <w:t>%，主要用于保障机构日常运转、完成日常工作任务；项目支出</w:t>
      </w:r>
      <w:r>
        <w:rPr>
          <w:rFonts w:hint="eastAsia" w:ascii="仿宋" w:hAnsi="仿宋" w:eastAsia="仿宋" w:cs="仿宋"/>
          <w:kern w:val="0"/>
          <w:sz w:val="32"/>
          <w:szCs w:val="32"/>
          <w:lang w:val="en-US" w:eastAsia="zh-CN"/>
        </w:rPr>
        <w:t>178.83</w:t>
      </w:r>
      <w:r>
        <w:rPr>
          <w:rFonts w:hint="eastAsia" w:ascii="仿宋" w:hAnsi="仿宋" w:eastAsia="仿宋" w:cs="仿宋"/>
          <w:kern w:val="0"/>
          <w:sz w:val="32"/>
          <w:szCs w:val="32"/>
        </w:rPr>
        <w:t>万元，占</w:t>
      </w:r>
      <w:r>
        <w:rPr>
          <w:rFonts w:hint="eastAsia" w:ascii="仿宋" w:hAnsi="仿宋" w:eastAsia="仿宋" w:cs="仿宋"/>
          <w:kern w:val="0"/>
          <w:sz w:val="32"/>
          <w:szCs w:val="32"/>
          <w:lang w:val="en-US" w:eastAsia="zh-CN"/>
        </w:rPr>
        <w:t>23.14</w:t>
      </w:r>
      <w:r>
        <w:rPr>
          <w:rFonts w:hint="eastAsia" w:ascii="仿宋" w:hAnsi="仿宋" w:eastAsia="仿宋" w:cs="仿宋"/>
          <w:kern w:val="0"/>
          <w:sz w:val="32"/>
          <w:szCs w:val="32"/>
        </w:rPr>
        <w:t>%，主要用于</w:t>
      </w:r>
      <w:r>
        <w:rPr>
          <w:rFonts w:hint="eastAsia" w:ascii="仿宋" w:hAnsi="仿宋" w:eastAsia="仿宋" w:cs="仿宋"/>
          <w:sz w:val="32"/>
          <w:szCs w:val="32"/>
        </w:rPr>
        <w:t>监察执法能力建设</w:t>
      </w:r>
      <w:r>
        <w:rPr>
          <w:rFonts w:hint="eastAsia" w:ascii="仿宋" w:hAnsi="仿宋" w:eastAsia="仿宋" w:cs="仿宋"/>
          <w:kern w:val="0"/>
          <w:sz w:val="32"/>
          <w:szCs w:val="32"/>
        </w:rPr>
        <w:t>。</w:t>
      </w:r>
    </w:p>
    <w:p w14:paraId="37506D2C">
      <w:pPr>
        <w:pStyle w:val="6"/>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bCs w:val="0"/>
          <w:sz w:val="32"/>
          <w:szCs w:val="32"/>
        </w:rPr>
      </w:pPr>
      <w:r>
        <w:rPr>
          <w:rFonts w:hint="eastAsia" w:ascii="仿宋" w:hAnsi="仿宋" w:eastAsia="仿宋" w:cs="仿宋"/>
          <w:b/>
          <w:bCs w:val="0"/>
          <w:sz w:val="32"/>
          <w:szCs w:val="32"/>
        </w:rPr>
        <w:t>四、关于2025年财政拨款收支总表的说明</w:t>
      </w:r>
    </w:p>
    <w:p w14:paraId="55BF2C3D">
      <w:pPr>
        <w:keepNext w:val="0"/>
        <w:keepLines w:val="0"/>
        <w:pageBreakBefore w:val="0"/>
        <w:kinsoku/>
        <w:wordWrap/>
        <w:overflowPunct/>
        <w:topLinePunct w:val="0"/>
        <w:autoSpaceDE/>
        <w:autoSpaceDN/>
        <w:bidi w:val="0"/>
        <w:adjustRightInd/>
        <w:spacing w:beforeAutospacing="0" w:afterAutospacing="0"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bCs/>
          <w:sz w:val="32"/>
          <w:szCs w:val="32"/>
        </w:rPr>
        <w:t>淮北市生态环境保护综合行政执法支队</w:t>
      </w:r>
      <w:r>
        <w:rPr>
          <w:rFonts w:hint="eastAsia" w:ascii="仿宋" w:hAnsi="仿宋" w:eastAsia="仿宋" w:cs="仿宋"/>
          <w:kern w:val="0"/>
          <w:sz w:val="32"/>
          <w:szCs w:val="32"/>
        </w:rPr>
        <w:t>2025年财政拨款收支预算</w:t>
      </w:r>
      <w:r>
        <w:rPr>
          <w:rFonts w:hint="eastAsia" w:ascii="仿宋" w:hAnsi="仿宋" w:eastAsia="仿宋" w:cs="仿宋"/>
          <w:kern w:val="0"/>
          <w:sz w:val="32"/>
          <w:szCs w:val="32"/>
          <w:lang w:val="en-US" w:eastAsia="zh-CN"/>
        </w:rPr>
        <w:t>772.78</w:t>
      </w:r>
      <w:r>
        <w:rPr>
          <w:rFonts w:hint="eastAsia" w:ascii="仿宋" w:hAnsi="仿宋" w:eastAsia="仿宋" w:cs="仿宋"/>
          <w:kern w:val="0"/>
          <w:sz w:val="32"/>
          <w:szCs w:val="32"/>
        </w:rPr>
        <w:t>万元。收入按资金来源分为：一般公共预算拨款</w:t>
      </w:r>
      <w:r>
        <w:rPr>
          <w:rFonts w:hint="eastAsia" w:ascii="仿宋" w:hAnsi="仿宋" w:eastAsia="仿宋" w:cs="仿宋"/>
          <w:kern w:val="0"/>
          <w:sz w:val="32"/>
          <w:szCs w:val="32"/>
          <w:lang w:val="en-US" w:eastAsia="zh-CN"/>
        </w:rPr>
        <w:t>772.78</w:t>
      </w:r>
      <w:r>
        <w:rPr>
          <w:rFonts w:hint="eastAsia" w:ascii="仿宋" w:hAnsi="仿宋" w:eastAsia="仿宋" w:cs="仿宋"/>
          <w:kern w:val="0"/>
          <w:sz w:val="32"/>
          <w:szCs w:val="32"/>
        </w:rPr>
        <w:t>万元、政府性基金预算拨款</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万元；按资金年度分为：本年财政拨款收入</w:t>
      </w:r>
      <w:r>
        <w:rPr>
          <w:rFonts w:hint="eastAsia" w:ascii="仿宋" w:hAnsi="仿宋" w:eastAsia="仿宋" w:cs="仿宋"/>
          <w:kern w:val="0"/>
          <w:sz w:val="32"/>
          <w:szCs w:val="32"/>
          <w:lang w:val="en-US" w:eastAsia="zh-CN"/>
        </w:rPr>
        <w:t>772.78</w:t>
      </w:r>
      <w:r>
        <w:rPr>
          <w:rFonts w:hint="eastAsia" w:ascii="仿宋" w:hAnsi="仿宋" w:eastAsia="仿宋" w:cs="仿宋"/>
          <w:kern w:val="0"/>
          <w:sz w:val="32"/>
          <w:szCs w:val="32"/>
        </w:rPr>
        <w:t>万元。支出按功能分类分为：社会保障和就业支出</w:t>
      </w:r>
      <w:r>
        <w:rPr>
          <w:rFonts w:hint="eastAsia" w:ascii="仿宋" w:hAnsi="仿宋" w:eastAsia="仿宋" w:cs="仿宋"/>
          <w:kern w:val="0"/>
          <w:sz w:val="32"/>
          <w:szCs w:val="32"/>
          <w:lang w:val="en-US" w:eastAsia="zh-CN"/>
        </w:rPr>
        <w:t>101.72</w:t>
      </w:r>
      <w:r>
        <w:rPr>
          <w:rFonts w:hint="eastAsia" w:ascii="仿宋" w:hAnsi="仿宋" w:eastAsia="仿宋" w:cs="仿宋"/>
          <w:kern w:val="0"/>
          <w:sz w:val="32"/>
          <w:szCs w:val="32"/>
        </w:rPr>
        <w:t>万元，占</w:t>
      </w:r>
      <w:r>
        <w:rPr>
          <w:rFonts w:hint="eastAsia" w:ascii="仿宋" w:hAnsi="仿宋" w:eastAsia="仿宋" w:cs="仿宋"/>
          <w:kern w:val="0"/>
          <w:sz w:val="32"/>
          <w:szCs w:val="32"/>
          <w:lang w:val="en-US" w:eastAsia="zh-CN"/>
        </w:rPr>
        <w:t>13.16</w:t>
      </w:r>
      <w:r>
        <w:rPr>
          <w:rFonts w:hint="eastAsia" w:ascii="仿宋" w:hAnsi="仿宋" w:eastAsia="仿宋" w:cs="仿宋"/>
          <w:kern w:val="0"/>
          <w:sz w:val="32"/>
          <w:szCs w:val="32"/>
        </w:rPr>
        <w:t>%；卫生健康支出</w:t>
      </w:r>
      <w:r>
        <w:rPr>
          <w:rFonts w:hint="eastAsia" w:ascii="仿宋" w:hAnsi="仿宋" w:eastAsia="仿宋" w:cs="仿宋"/>
          <w:kern w:val="0"/>
          <w:sz w:val="32"/>
          <w:szCs w:val="32"/>
          <w:lang w:val="en-US" w:eastAsia="zh-CN"/>
        </w:rPr>
        <w:t>24.43</w:t>
      </w:r>
      <w:r>
        <w:rPr>
          <w:rFonts w:hint="eastAsia" w:ascii="仿宋" w:hAnsi="仿宋" w:eastAsia="仿宋" w:cs="仿宋"/>
          <w:kern w:val="0"/>
          <w:sz w:val="32"/>
          <w:szCs w:val="32"/>
        </w:rPr>
        <w:t>万元，占</w:t>
      </w:r>
      <w:r>
        <w:rPr>
          <w:rFonts w:hint="eastAsia" w:ascii="仿宋" w:hAnsi="仿宋" w:eastAsia="仿宋" w:cs="仿宋"/>
          <w:kern w:val="0"/>
          <w:sz w:val="32"/>
          <w:szCs w:val="32"/>
          <w:lang w:val="en-US" w:eastAsia="zh-CN"/>
        </w:rPr>
        <w:t>3.16</w:t>
      </w:r>
      <w:r>
        <w:rPr>
          <w:rFonts w:hint="eastAsia" w:ascii="仿宋" w:hAnsi="仿宋" w:eastAsia="仿宋" w:cs="仿宋"/>
          <w:kern w:val="0"/>
          <w:sz w:val="32"/>
          <w:szCs w:val="32"/>
        </w:rPr>
        <w:t>%；节能环保支出</w:t>
      </w:r>
      <w:r>
        <w:rPr>
          <w:rFonts w:hint="eastAsia" w:ascii="仿宋" w:hAnsi="仿宋" w:eastAsia="仿宋" w:cs="仿宋"/>
          <w:kern w:val="0"/>
          <w:sz w:val="32"/>
          <w:szCs w:val="32"/>
          <w:lang w:val="en-US" w:eastAsia="zh-CN"/>
        </w:rPr>
        <w:t>576.37</w:t>
      </w:r>
      <w:r>
        <w:rPr>
          <w:rFonts w:hint="eastAsia" w:ascii="仿宋" w:hAnsi="仿宋" w:eastAsia="仿宋" w:cs="仿宋"/>
          <w:kern w:val="0"/>
          <w:sz w:val="32"/>
          <w:szCs w:val="32"/>
        </w:rPr>
        <w:t>万元，占</w:t>
      </w:r>
      <w:r>
        <w:rPr>
          <w:rFonts w:hint="eastAsia" w:ascii="仿宋" w:hAnsi="仿宋" w:eastAsia="仿宋" w:cs="仿宋"/>
          <w:kern w:val="0"/>
          <w:sz w:val="32"/>
          <w:szCs w:val="32"/>
          <w:lang w:val="en-US" w:eastAsia="zh-CN"/>
        </w:rPr>
        <w:t>74.58</w:t>
      </w:r>
      <w:r>
        <w:rPr>
          <w:rFonts w:hint="eastAsia" w:ascii="仿宋" w:hAnsi="仿宋" w:eastAsia="仿宋" w:cs="仿宋"/>
          <w:kern w:val="0"/>
          <w:sz w:val="32"/>
          <w:szCs w:val="32"/>
        </w:rPr>
        <w:t>%</w:t>
      </w:r>
      <w:r>
        <w:rPr>
          <w:rFonts w:hint="eastAsia" w:ascii="仿宋" w:hAnsi="仿宋" w:eastAsia="仿宋" w:cs="仿宋"/>
          <w:kern w:val="0"/>
          <w:sz w:val="32"/>
          <w:szCs w:val="32"/>
          <w:lang w:eastAsia="zh-CN"/>
        </w:rPr>
        <w:t>；</w:t>
      </w:r>
      <w:r>
        <w:rPr>
          <w:rFonts w:hint="eastAsia" w:ascii="仿宋" w:hAnsi="仿宋" w:eastAsia="仿宋" w:cs="仿宋"/>
          <w:kern w:val="0"/>
          <w:sz w:val="32"/>
          <w:szCs w:val="32"/>
        </w:rPr>
        <w:t>住房保障支出</w:t>
      </w:r>
      <w:r>
        <w:rPr>
          <w:rFonts w:hint="eastAsia" w:ascii="仿宋" w:hAnsi="仿宋" w:eastAsia="仿宋" w:cs="仿宋"/>
          <w:kern w:val="0"/>
          <w:sz w:val="32"/>
          <w:szCs w:val="32"/>
          <w:lang w:val="en-US" w:eastAsia="zh-CN"/>
        </w:rPr>
        <w:t>70.28</w:t>
      </w:r>
      <w:r>
        <w:rPr>
          <w:rFonts w:hint="eastAsia" w:ascii="仿宋" w:hAnsi="仿宋" w:eastAsia="仿宋" w:cs="仿宋"/>
          <w:kern w:val="0"/>
          <w:sz w:val="32"/>
          <w:szCs w:val="32"/>
        </w:rPr>
        <w:t>万元，占</w:t>
      </w:r>
      <w:r>
        <w:rPr>
          <w:rFonts w:hint="eastAsia" w:ascii="仿宋" w:hAnsi="仿宋" w:eastAsia="仿宋" w:cs="仿宋"/>
          <w:kern w:val="0"/>
          <w:sz w:val="32"/>
          <w:szCs w:val="32"/>
          <w:lang w:val="en-US" w:eastAsia="zh-CN"/>
        </w:rPr>
        <w:t>9.1</w:t>
      </w:r>
      <w:r>
        <w:rPr>
          <w:rFonts w:hint="eastAsia" w:ascii="仿宋" w:hAnsi="仿宋" w:eastAsia="仿宋" w:cs="仿宋"/>
          <w:kern w:val="0"/>
          <w:sz w:val="32"/>
          <w:szCs w:val="32"/>
        </w:rPr>
        <w:t>%。</w:t>
      </w:r>
    </w:p>
    <w:p w14:paraId="4240515A">
      <w:pPr>
        <w:pStyle w:val="6"/>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bCs w:val="0"/>
          <w:sz w:val="32"/>
          <w:szCs w:val="32"/>
        </w:rPr>
      </w:pPr>
      <w:r>
        <w:rPr>
          <w:rFonts w:hint="eastAsia" w:ascii="仿宋" w:hAnsi="仿宋" w:eastAsia="仿宋" w:cs="仿宋"/>
          <w:b/>
          <w:bCs w:val="0"/>
          <w:sz w:val="32"/>
          <w:szCs w:val="32"/>
        </w:rPr>
        <w:t>五、关于2025年一般公共预算支出表的说明</w:t>
      </w:r>
    </w:p>
    <w:p w14:paraId="3F400964">
      <w:pPr>
        <w:pStyle w:val="6"/>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sz w:val="32"/>
          <w:szCs w:val="32"/>
        </w:rPr>
      </w:pPr>
      <w:r>
        <w:rPr>
          <w:rFonts w:hint="eastAsia" w:ascii="仿宋" w:hAnsi="仿宋" w:eastAsia="仿宋" w:cs="仿宋"/>
          <w:b/>
          <w:sz w:val="32"/>
          <w:szCs w:val="32"/>
        </w:rPr>
        <w:t>（一）一般公共预算支出规模变化情况。</w:t>
      </w:r>
    </w:p>
    <w:p w14:paraId="0E5652A2">
      <w:pPr>
        <w:keepNext w:val="0"/>
        <w:keepLines w:val="0"/>
        <w:pageBreakBefore w:val="0"/>
        <w:kinsoku/>
        <w:wordWrap/>
        <w:overflowPunct/>
        <w:topLinePunct w:val="0"/>
        <w:autoSpaceDE/>
        <w:autoSpaceDN/>
        <w:bidi w:val="0"/>
        <w:adjustRightInd/>
        <w:spacing w:beforeAutospacing="0" w:afterAutospacing="0"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bCs/>
          <w:sz w:val="32"/>
          <w:szCs w:val="32"/>
        </w:rPr>
        <w:t>淮北市生态环境保护综合行政执法支队</w:t>
      </w:r>
      <w:r>
        <w:rPr>
          <w:rFonts w:hint="eastAsia" w:ascii="仿宋" w:hAnsi="仿宋" w:eastAsia="仿宋" w:cs="仿宋"/>
          <w:kern w:val="0"/>
          <w:sz w:val="32"/>
          <w:szCs w:val="32"/>
        </w:rPr>
        <w:t>2025年一般公共预算支出</w:t>
      </w:r>
      <w:r>
        <w:rPr>
          <w:rFonts w:hint="eastAsia" w:ascii="仿宋" w:hAnsi="仿宋" w:eastAsia="仿宋" w:cs="仿宋"/>
          <w:kern w:val="0"/>
          <w:sz w:val="32"/>
          <w:szCs w:val="32"/>
          <w:lang w:val="en-US" w:eastAsia="zh-CN"/>
        </w:rPr>
        <w:t>772.78</w:t>
      </w:r>
      <w:r>
        <w:rPr>
          <w:rFonts w:hint="eastAsia" w:ascii="仿宋" w:hAnsi="仿宋" w:eastAsia="仿宋" w:cs="仿宋"/>
          <w:kern w:val="0"/>
          <w:sz w:val="32"/>
          <w:szCs w:val="32"/>
        </w:rPr>
        <w:t>万元，比2024年预算减少</w:t>
      </w:r>
      <w:r>
        <w:rPr>
          <w:rFonts w:hint="eastAsia" w:ascii="仿宋" w:hAnsi="仿宋" w:eastAsia="仿宋" w:cs="仿宋"/>
          <w:kern w:val="0"/>
          <w:sz w:val="32"/>
          <w:szCs w:val="32"/>
          <w:lang w:val="en-US" w:eastAsia="zh-CN"/>
        </w:rPr>
        <w:t>139.7</w:t>
      </w:r>
      <w:r>
        <w:rPr>
          <w:rFonts w:hint="eastAsia" w:ascii="仿宋" w:hAnsi="仿宋" w:eastAsia="仿宋" w:cs="仿宋"/>
          <w:kern w:val="0"/>
          <w:sz w:val="32"/>
          <w:szCs w:val="32"/>
        </w:rPr>
        <w:t>万元，下降</w:t>
      </w:r>
      <w:r>
        <w:rPr>
          <w:rFonts w:hint="eastAsia" w:ascii="仿宋" w:hAnsi="仿宋" w:eastAsia="仿宋" w:cs="仿宋"/>
          <w:kern w:val="0"/>
          <w:sz w:val="32"/>
          <w:szCs w:val="32"/>
          <w:lang w:val="en-US" w:eastAsia="zh-CN"/>
        </w:rPr>
        <w:t>15.31</w:t>
      </w:r>
      <w:r>
        <w:rPr>
          <w:rFonts w:hint="eastAsia" w:ascii="仿宋" w:hAnsi="仿宋" w:eastAsia="仿宋" w:cs="仿宋"/>
          <w:kern w:val="0"/>
          <w:sz w:val="32"/>
          <w:szCs w:val="32"/>
        </w:rPr>
        <w:t>%，主要原因：一是</w:t>
      </w:r>
      <w:r>
        <w:rPr>
          <w:rFonts w:hint="eastAsia" w:ascii="仿宋" w:hAnsi="仿宋" w:eastAsia="仿宋" w:cs="仿宋"/>
          <w:kern w:val="0"/>
          <w:sz w:val="32"/>
          <w:szCs w:val="32"/>
          <w:lang w:eastAsia="zh-CN"/>
        </w:rPr>
        <w:t>减少一次性</w:t>
      </w:r>
      <w:r>
        <w:rPr>
          <w:rFonts w:hint="eastAsia" w:ascii="仿宋" w:hAnsi="仿宋" w:eastAsia="仿宋" w:cs="仿宋"/>
          <w:kern w:val="0"/>
          <w:sz w:val="32"/>
          <w:szCs w:val="32"/>
          <w:lang w:val="en-US" w:eastAsia="zh-CN"/>
        </w:rPr>
        <w:t>2个项目35万元</w:t>
      </w:r>
      <w:r>
        <w:rPr>
          <w:rFonts w:hint="eastAsia" w:ascii="仿宋" w:hAnsi="仿宋" w:eastAsia="仿宋" w:cs="仿宋"/>
          <w:kern w:val="0"/>
          <w:sz w:val="32"/>
          <w:szCs w:val="32"/>
        </w:rPr>
        <w:t>；二是</w:t>
      </w:r>
      <w:r>
        <w:rPr>
          <w:rFonts w:hint="eastAsia" w:ascii="仿宋" w:hAnsi="仿宋" w:eastAsia="仿宋" w:cs="仿宋"/>
          <w:kern w:val="0"/>
          <w:sz w:val="32"/>
          <w:szCs w:val="32"/>
          <w:lang w:eastAsia="zh-CN"/>
        </w:rPr>
        <w:t>项目资金额安排减少</w:t>
      </w:r>
      <w:r>
        <w:rPr>
          <w:rFonts w:hint="eastAsia" w:ascii="仿宋" w:hAnsi="仿宋" w:eastAsia="仿宋" w:cs="仿宋"/>
          <w:kern w:val="0"/>
          <w:sz w:val="32"/>
          <w:szCs w:val="32"/>
        </w:rPr>
        <w:t>。</w:t>
      </w:r>
    </w:p>
    <w:p w14:paraId="30E53F94">
      <w:pPr>
        <w:pStyle w:val="6"/>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sz w:val="32"/>
          <w:szCs w:val="32"/>
        </w:rPr>
      </w:pPr>
      <w:r>
        <w:rPr>
          <w:rFonts w:hint="eastAsia" w:ascii="仿宋" w:hAnsi="仿宋" w:eastAsia="仿宋" w:cs="仿宋"/>
          <w:b/>
          <w:sz w:val="32"/>
          <w:szCs w:val="32"/>
        </w:rPr>
        <w:t>（二）一般公共预算支出结构情况。</w:t>
      </w:r>
    </w:p>
    <w:p w14:paraId="69B8B764">
      <w:pPr>
        <w:keepNext w:val="0"/>
        <w:keepLines w:val="0"/>
        <w:pageBreakBefore w:val="0"/>
        <w:kinsoku/>
        <w:wordWrap/>
        <w:overflowPunct/>
        <w:topLinePunct w:val="0"/>
        <w:autoSpaceDE/>
        <w:autoSpaceDN/>
        <w:bidi w:val="0"/>
        <w:adjustRightInd/>
        <w:spacing w:beforeAutospacing="0" w:afterAutospacing="0"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社会保障和就业支出</w:t>
      </w:r>
      <w:r>
        <w:rPr>
          <w:rFonts w:hint="eastAsia" w:ascii="仿宋" w:hAnsi="仿宋" w:eastAsia="仿宋" w:cs="仿宋"/>
          <w:kern w:val="0"/>
          <w:sz w:val="32"/>
          <w:szCs w:val="32"/>
          <w:lang w:val="en-US" w:eastAsia="zh-CN"/>
        </w:rPr>
        <w:t>101.72</w:t>
      </w:r>
      <w:r>
        <w:rPr>
          <w:rFonts w:hint="eastAsia" w:ascii="仿宋" w:hAnsi="仿宋" w:eastAsia="仿宋" w:cs="仿宋"/>
          <w:kern w:val="0"/>
          <w:sz w:val="32"/>
          <w:szCs w:val="32"/>
        </w:rPr>
        <w:t>万元，占</w:t>
      </w:r>
      <w:r>
        <w:rPr>
          <w:rFonts w:hint="eastAsia" w:ascii="仿宋" w:hAnsi="仿宋" w:eastAsia="仿宋" w:cs="仿宋"/>
          <w:kern w:val="0"/>
          <w:sz w:val="32"/>
          <w:szCs w:val="32"/>
          <w:lang w:val="en-US" w:eastAsia="zh-CN"/>
        </w:rPr>
        <w:t>13.16</w:t>
      </w:r>
      <w:r>
        <w:rPr>
          <w:rFonts w:hint="eastAsia" w:ascii="仿宋" w:hAnsi="仿宋" w:eastAsia="仿宋" w:cs="仿宋"/>
          <w:kern w:val="0"/>
          <w:sz w:val="32"/>
          <w:szCs w:val="32"/>
        </w:rPr>
        <w:t>%；卫生健康支出</w:t>
      </w:r>
      <w:r>
        <w:rPr>
          <w:rFonts w:hint="eastAsia" w:ascii="仿宋" w:hAnsi="仿宋" w:eastAsia="仿宋" w:cs="仿宋"/>
          <w:kern w:val="0"/>
          <w:sz w:val="32"/>
          <w:szCs w:val="32"/>
          <w:lang w:val="en-US" w:eastAsia="zh-CN"/>
        </w:rPr>
        <w:t>24.43</w:t>
      </w:r>
      <w:r>
        <w:rPr>
          <w:rFonts w:hint="eastAsia" w:ascii="仿宋" w:hAnsi="仿宋" w:eastAsia="仿宋" w:cs="仿宋"/>
          <w:kern w:val="0"/>
          <w:sz w:val="32"/>
          <w:szCs w:val="32"/>
        </w:rPr>
        <w:t>万元，占</w:t>
      </w:r>
      <w:r>
        <w:rPr>
          <w:rFonts w:hint="eastAsia" w:ascii="仿宋" w:hAnsi="仿宋" w:eastAsia="仿宋" w:cs="仿宋"/>
          <w:kern w:val="0"/>
          <w:sz w:val="32"/>
          <w:szCs w:val="32"/>
          <w:lang w:val="en-US" w:eastAsia="zh-CN"/>
        </w:rPr>
        <w:t>3.16</w:t>
      </w:r>
      <w:r>
        <w:rPr>
          <w:rFonts w:hint="eastAsia" w:ascii="仿宋" w:hAnsi="仿宋" w:eastAsia="仿宋" w:cs="仿宋"/>
          <w:kern w:val="0"/>
          <w:sz w:val="32"/>
          <w:szCs w:val="32"/>
        </w:rPr>
        <w:t>%；节能环保支出</w:t>
      </w:r>
      <w:r>
        <w:rPr>
          <w:rFonts w:hint="eastAsia" w:ascii="仿宋" w:hAnsi="仿宋" w:eastAsia="仿宋" w:cs="仿宋"/>
          <w:kern w:val="0"/>
          <w:sz w:val="32"/>
          <w:szCs w:val="32"/>
          <w:lang w:val="en-US" w:eastAsia="zh-CN"/>
        </w:rPr>
        <w:t>576.37</w:t>
      </w:r>
      <w:r>
        <w:rPr>
          <w:rFonts w:hint="eastAsia" w:ascii="仿宋" w:hAnsi="仿宋" w:eastAsia="仿宋" w:cs="仿宋"/>
          <w:kern w:val="0"/>
          <w:sz w:val="32"/>
          <w:szCs w:val="32"/>
        </w:rPr>
        <w:t>万元，占</w:t>
      </w:r>
      <w:r>
        <w:rPr>
          <w:rFonts w:hint="eastAsia" w:ascii="仿宋" w:hAnsi="仿宋" w:eastAsia="仿宋" w:cs="仿宋"/>
          <w:kern w:val="0"/>
          <w:sz w:val="32"/>
          <w:szCs w:val="32"/>
          <w:lang w:val="en-US" w:eastAsia="zh-CN"/>
        </w:rPr>
        <w:t>74.58</w:t>
      </w:r>
      <w:r>
        <w:rPr>
          <w:rFonts w:hint="eastAsia" w:ascii="仿宋" w:hAnsi="仿宋" w:eastAsia="仿宋" w:cs="仿宋"/>
          <w:kern w:val="0"/>
          <w:sz w:val="32"/>
          <w:szCs w:val="32"/>
        </w:rPr>
        <w:t>%</w:t>
      </w:r>
      <w:r>
        <w:rPr>
          <w:rFonts w:hint="eastAsia" w:ascii="仿宋" w:hAnsi="仿宋" w:eastAsia="仿宋" w:cs="仿宋"/>
          <w:kern w:val="0"/>
          <w:sz w:val="32"/>
          <w:szCs w:val="32"/>
          <w:lang w:eastAsia="zh-CN"/>
        </w:rPr>
        <w:t>；</w:t>
      </w:r>
      <w:r>
        <w:rPr>
          <w:rFonts w:hint="eastAsia" w:ascii="仿宋" w:hAnsi="仿宋" w:eastAsia="仿宋" w:cs="仿宋"/>
          <w:kern w:val="0"/>
          <w:sz w:val="32"/>
          <w:szCs w:val="32"/>
        </w:rPr>
        <w:t>住房保障支出</w:t>
      </w:r>
      <w:r>
        <w:rPr>
          <w:rFonts w:hint="eastAsia" w:ascii="仿宋" w:hAnsi="仿宋" w:eastAsia="仿宋" w:cs="仿宋"/>
          <w:kern w:val="0"/>
          <w:sz w:val="32"/>
          <w:szCs w:val="32"/>
          <w:lang w:val="en-US" w:eastAsia="zh-CN"/>
        </w:rPr>
        <w:t>70.28</w:t>
      </w:r>
      <w:r>
        <w:rPr>
          <w:rFonts w:hint="eastAsia" w:ascii="仿宋" w:hAnsi="仿宋" w:eastAsia="仿宋" w:cs="仿宋"/>
          <w:kern w:val="0"/>
          <w:sz w:val="32"/>
          <w:szCs w:val="32"/>
        </w:rPr>
        <w:t>万元，占</w:t>
      </w:r>
      <w:r>
        <w:rPr>
          <w:rFonts w:hint="eastAsia" w:ascii="仿宋" w:hAnsi="仿宋" w:eastAsia="仿宋" w:cs="仿宋"/>
          <w:kern w:val="0"/>
          <w:sz w:val="32"/>
          <w:szCs w:val="32"/>
          <w:lang w:val="en-US" w:eastAsia="zh-CN"/>
        </w:rPr>
        <w:t>9.1</w:t>
      </w:r>
      <w:r>
        <w:rPr>
          <w:rFonts w:hint="eastAsia" w:ascii="仿宋" w:hAnsi="仿宋" w:eastAsia="仿宋" w:cs="仿宋"/>
          <w:kern w:val="0"/>
          <w:sz w:val="32"/>
          <w:szCs w:val="32"/>
        </w:rPr>
        <w:t>%。</w:t>
      </w:r>
    </w:p>
    <w:p w14:paraId="32401324">
      <w:pPr>
        <w:pStyle w:val="6"/>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sz w:val="32"/>
          <w:szCs w:val="32"/>
        </w:rPr>
      </w:pPr>
      <w:r>
        <w:rPr>
          <w:rFonts w:hint="eastAsia" w:ascii="仿宋" w:hAnsi="仿宋" w:eastAsia="仿宋" w:cs="仿宋"/>
          <w:b/>
          <w:sz w:val="32"/>
          <w:szCs w:val="32"/>
        </w:rPr>
        <w:t>（三）一般公共预算支出具体使用情况。</w:t>
      </w:r>
    </w:p>
    <w:p w14:paraId="4E82D7F9">
      <w:pPr>
        <w:keepNext w:val="0"/>
        <w:keepLines w:val="0"/>
        <w:pageBreakBefore w:val="0"/>
        <w:kinsoku/>
        <w:wordWrap/>
        <w:overflowPunct/>
        <w:topLinePunct w:val="0"/>
        <w:autoSpaceDE/>
        <w:autoSpaceDN/>
        <w:bidi w:val="0"/>
        <w:adjustRightInd/>
        <w:spacing w:beforeAutospacing="0" w:afterAutospacing="0" w:line="560" w:lineRule="exact"/>
        <w:ind w:firstLine="643" w:firstLineChars="200"/>
        <w:textAlignment w:val="auto"/>
        <w:rPr>
          <w:rFonts w:hint="eastAsia" w:ascii="仿宋" w:hAnsi="仿宋" w:eastAsia="仿宋" w:cs="仿宋"/>
          <w:kern w:val="0"/>
          <w:sz w:val="32"/>
          <w:szCs w:val="32"/>
        </w:rPr>
      </w:pPr>
      <w:r>
        <w:rPr>
          <w:rFonts w:hint="eastAsia" w:ascii="仿宋" w:hAnsi="仿宋" w:eastAsia="仿宋" w:cs="仿宋"/>
          <w:b/>
          <w:bCs/>
          <w:kern w:val="0"/>
          <w:sz w:val="32"/>
          <w:szCs w:val="32"/>
        </w:rPr>
        <w:t>1.社会保障和就业支出（类）行政事业单位养老支出（款）事业单位离退休（项）</w:t>
      </w:r>
      <w:r>
        <w:rPr>
          <w:rFonts w:hint="eastAsia" w:ascii="仿宋" w:hAnsi="仿宋" w:eastAsia="仿宋" w:cs="仿宋"/>
          <w:kern w:val="0"/>
          <w:sz w:val="32"/>
          <w:szCs w:val="32"/>
          <w:lang w:eastAsia="zh-CN"/>
        </w:rPr>
        <w:t>202</w:t>
      </w:r>
      <w:r>
        <w:rPr>
          <w:rFonts w:hint="eastAsia" w:ascii="仿宋" w:hAnsi="仿宋" w:eastAsia="仿宋" w:cs="仿宋"/>
          <w:kern w:val="0"/>
          <w:sz w:val="32"/>
          <w:szCs w:val="32"/>
          <w:lang w:val="en-US" w:eastAsia="zh-CN"/>
        </w:rPr>
        <w:t>5</w:t>
      </w:r>
      <w:r>
        <w:rPr>
          <w:rFonts w:hint="eastAsia" w:ascii="仿宋" w:hAnsi="仿宋" w:eastAsia="仿宋" w:cs="仿宋"/>
          <w:kern w:val="0"/>
          <w:sz w:val="32"/>
          <w:szCs w:val="32"/>
        </w:rPr>
        <w:t>年预算</w:t>
      </w:r>
      <w:r>
        <w:rPr>
          <w:rFonts w:hint="eastAsia" w:ascii="仿宋" w:hAnsi="仿宋" w:eastAsia="仿宋" w:cs="仿宋"/>
          <w:kern w:val="0"/>
          <w:sz w:val="32"/>
          <w:szCs w:val="32"/>
          <w:lang w:val="en-US" w:eastAsia="zh-CN"/>
        </w:rPr>
        <w:t>21.12</w:t>
      </w:r>
      <w:r>
        <w:rPr>
          <w:rFonts w:hint="eastAsia" w:ascii="仿宋" w:hAnsi="仿宋" w:eastAsia="仿宋" w:cs="仿宋"/>
          <w:kern w:val="0"/>
          <w:sz w:val="32"/>
          <w:szCs w:val="32"/>
        </w:rPr>
        <w:t>万元，比</w:t>
      </w:r>
      <w:r>
        <w:rPr>
          <w:rFonts w:hint="eastAsia" w:ascii="仿宋" w:hAnsi="仿宋" w:eastAsia="仿宋" w:cs="仿宋"/>
          <w:kern w:val="0"/>
          <w:sz w:val="32"/>
          <w:szCs w:val="32"/>
          <w:lang w:eastAsia="zh-CN"/>
        </w:rPr>
        <w:t>202</w:t>
      </w:r>
      <w:r>
        <w:rPr>
          <w:rFonts w:hint="eastAsia" w:ascii="仿宋" w:hAnsi="仿宋" w:eastAsia="仿宋" w:cs="仿宋"/>
          <w:kern w:val="0"/>
          <w:sz w:val="32"/>
          <w:szCs w:val="32"/>
          <w:lang w:val="en-US" w:eastAsia="zh-CN"/>
        </w:rPr>
        <w:t>4</w:t>
      </w:r>
      <w:r>
        <w:rPr>
          <w:rFonts w:hint="eastAsia" w:ascii="仿宋" w:hAnsi="仿宋" w:eastAsia="仿宋" w:cs="仿宋"/>
          <w:kern w:val="0"/>
          <w:sz w:val="32"/>
          <w:szCs w:val="32"/>
          <w:lang w:eastAsia="zh-CN"/>
        </w:rPr>
        <w:t>年</w:t>
      </w:r>
      <w:r>
        <w:rPr>
          <w:rFonts w:hint="eastAsia" w:ascii="仿宋" w:hAnsi="仿宋" w:eastAsia="仿宋" w:cs="仿宋"/>
          <w:kern w:val="0"/>
          <w:sz w:val="32"/>
          <w:szCs w:val="32"/>
        </w:rPr>
        <w:t>预算增加</w:t>
      </w:r>
      <w:r>
        <w:rPr>
          <w:rFonts w:hint="eastAsia" w:ascii="仿宋" w:hAnsi="仿宋" w:eastAsia="仿宋" w:cs="仿宋"/>
          <w:kern w:val="0"/>
          <w:sz w:val="32"/>
          <w:szCs w:val="32"/>
          <w:lang w:val="en-US" w:eastAsia="zh-CN"/>
        </w:rPr>
        <w:t>5.48</w:t>
      </w:r>
      <w:r>
        <w:rPr>
          <w:rFonts w:hint="eastAsia" w:ascii="仿宋" w:hAnsi="仿宋" w:eastAsia="仿宋" w:cs="仿宋"/>
          <w:kern w:val="0"/>
          <w:sz w:val="32"/>
          <w:szCs w:val="32"/>
        </w:rPr>
        <w:t>万元，增长</w:t>
      </w:r>
      <w:r>
        <w:rPr>
          <w:rFonts w:hint="eastAsia" w:ascii="仿宋" w:hAnsi="仿宋" w:eastAsia="仿宋" w:cs="仿宋"/>
          <w:kern w:val="0"/>
          <w:sz w:val="32"/>
          <w:szCs w:val="32"/>
          <w:lang w:val="en-US" w:eastAsia="zh-CN"/>
        </w:rPr>
        <w:t>35.04</w:t>
      </w:r>
      <w:r>
        <w:rPr>
          <w:rFonts w:hint="eastAsia" w:ascii="仿宋" w:hAnsi="仿宋" w:eastAsia="仿宋" w:cs="仿宋"/>
          <w:kern w:val="0"/>
          <w:sz w:val="32"/>
          <w:szCs w:val="32"/>
        </w:rPr>
        <w:t>%，原因主要是</w:t>
      </w:r>
      <w:r>
        <w:rPr>
          <w:rFonts w:hint="eastAsia" w:ascii="仿宋" w:hAnsi="仿宋" w:eastAsia="仿宋" w:cs="仿宋"/>
          <w:sz w:val="32"/>
          <w:szCs w:val="32"/>
          <w:lang w:eastAsia="zh-CN"/>
        </w:rPr>
        <w:t>退休人员</w:t>
      </w:r>
      <w:r>
        <w:rPr>
          <w:rFonts w:hint="eastAsia" w:ascii="仿宋" w:hAnsi="仿宋" w:eastAsia="仿宋" w:cs="仿宋"/>
          <w:sz w:val="32"/>
          <w:szCs w:val="32"/>
        </w:rPr>
        <w:t>增加</w:t>
      </w:r>
      <w:r>
        <w:rPr>
          <w:rFonts w:hint="eastAsia" w:ascii="仿宋" w:hAnsi="仿宋" w:eastAsia="仿宋" w:cs="仿宋"/>
          <w:kern w:val="0"/>
          <w:sz w:val="32"/>
          <w:szCs w:val="32"/>
        </w:rPr>
        <w:t>。</w:t>
      </w:r>
    </w:p>
    <w:p w14:paraId="10799377">
      <w:pPr>
        <w:keepNext w:val="0"/>
        <w:keepLines w:val="0"/>
        <w:pageBreakBefore w:val="0"/>
        <w:kinsoku/>
        <w:wordWrap/>
        <w:overflowPunct/>
        <w:topLinePunct w:val="0"/>
        <w:autoSpaceDE/>
        <w:autoSpaceDN/>
        <w:bidi w:val="0"/>
        <w:adjustRightInd/>
        <w:spacing w:beforeAutospacing="0" w:afterAutospacing="0" w:line="560" w:lineRule="exact"/>
        <w:ind w:firstLine="643" w:firstLineChars="200"/>
        <w:textAlignment w:val="auto"/>
        <w:rPr>
          <w:rFonts w:hint="eastAsia" w:ascii="仿宋" w:hAnsi="仿宋" w:eastAsia="仿宋" w:cs="仿宋"/>
          <w:kern w:val="0"/>
          <w:sz w:val="32"/>
          <w:szCs w:val="32"/>
        </w:rPr>
      </w:pPr>
      <w:r>
        <w:rPr>
          <w:rFonts w:hint="eastAsia" w:ascii="仿宋" w:hAnsi="仿宋" w:eastAsia="仿宋" w:cs="仿宋"/>
          <w:b/>
          <w:bCs/>
          <w:kern w:val="0"/>
          <w:sz w:val="32"/>
          <w:szCs w:val="32"/>
        </w:rPr>
        <w:t>2.社会保障和就业支出（类）行政事业单位养老支出（款）机关事业单位基本养老保险缴费支出（项）</w:t>
      </w:r>
      <w:r>
        <w:rPr>
          <w:rFonts w:hint="eastAsia" w:ascii="仿宋" w:hAnsi="仿宋" w:eastAsia="仿宋" w:cs="仿宋"/>
          <w:kern w:val="0"/>
          <w:sz w:val="32"/>
          <w:szCs w:val="32"/>
          <w:lang w:eastAsia="zh-CN"/>
        </w:rPr>
        <w:t>202</w:t>
      </w:r>
      <w:r>
        <w:rPr>
          <w:rFonts w:hint="eastAsia" w:ascii="仿宋" w:hAnsi="仿宋" w:eastAsia="仿宋" w:cs="仿宋"/>
          <w:kern w:val="0"/>
          <w:sz w:val="32"/>
          <w:szCs w:val="32"/>
          <w:lang w:val="en-US" w:eastAsia="zh-CN"/>
        </w:rPr>
        <w:t>5</w:t>
      </w:r>
      <w:r>
        <w:rPr>
          <w:rFonts w:hint="eastAsia" w:ascii="仿宋" w:hAnsi="仿宋" w:eastAsia="仿宋" w:cs="仿宋"/>
          <w:kern w:val="0"/>
          <w:sz w:val="32"/>
          <w:szCs w:val="32"/>
        </w:rPr>
        <w:t>年预算</w:t>
      </w:r>
      <w:r>
        <w:rPr>
          <w:rFonts w:hint="eastAsia" w:ascii="仿宋" w:hAnsi="仿宋" w:eastAsia="仿宋" w:cs="仿宋"/>
          <w:kern w:val="0"/>
          <w:sz w:val="32"/>
          <w:szCs w:val="32"/>
          <w:lang w:val="en-US" w:eastAsia="zh-CN"/>
        </w:rPr>
        <w:t>52.61</w:t>
      </w:r>
      <w:r>
        <w:rPr>
          <w:rFonts w:hint="eastAsia" w:ascii="仿宋" w:hAnsi="仿宋" w:eastAsia="仿宋" w:cs="仿宋"/>
          <w:kern w:val="0"/>
          <w:sz w:val="32"/>
          <w:szCs w:val="32"/>
        </w:rPr>
        <w:t>万元，比</w:t>
      </w:r>
      <w:r>
        <w:rPr>
          <w:rFonts w:hint="eastAsia" w:ascii="仿宋" w:hAnsi="仿宋" w:eastAsia="仿宋" w:cs="仿宋"/>
          <w:kern w:val="0"/>
          <w:sz w:val="32"/>
          <w:szCs w:val="32"/>
          <w:lang w:eastAsia="zh-CN"/>
        </w:rPr>
        <w:t>202</w:t>
      </w:r>
      <w:r>
        <w:rPr>
          <w:rFonts w:hint="eastAsia" w:ascii="仿宋" w:hAnsi="仿宋" w:eastAsia="仿宋" w:cs="仿宋"/>
          <w:kern w:val="0"/>
          <w:sz w:val="32"/>
          <w:szCs w:val="32"/>
          <w:lang w:val="en-US" w:eastAsia="zh-CN"/>
        </w:rPr>
        <w:t>4</w:t>
      </w:r>
      <w:r>
        <w:rPr>
          <w:rFonts w:hint="eastAsia" w:ascii="仿宋" w:hAnsi="仿宋" w:eastAsia="仿宋" w:cs="仿宋"/>
          <w:kern w:val="0"/>
          <w:sz w:val="32"/>
          <w:szCs w:val="32"/>
          <w:lang w:eastAsia="zh-CN"/>
        </w:rPr>
        <w:t>年</w:t>
      </w:r>
      <w:r>
        <w:rPr>
          <w:rFonts w:hint="eastAsia" w:ascii="仿宋" w:hAnsi="仿宋" w:eastAsia="仿宋" w:cs="仿宋"/>
          <w:kern w:val="0"/>
          <w:sz w:val="32"/>
          <w:szCs w:val="32"/>
        </w:rPr>
        <w:t>预算</w:t>
      </w:r>
      <w:r>
        <w:rPr>
          <w:rFonts w:hint="eastAsia" w:ascii="仿宋" w:hAnsi="仿宋" w:eastAsia="仿宋" w:cs="仿宋"/>
          <w:kern w:val="0"/>
          <w:sz w:val="32"/>
          <w:szCs w:val="32"/>
          <w:lang w:eastAsia="zh-CN"/>
        </w:rPr>
        <w:t>减少</w:t>
      </w:r>
      <w:r>
        <w:rPr>
          <w:rFonts w:hint="eastAsia" w:ascii="仿宋" w:hAnsi="仿宋" w:eastAsia="仿宋" w:cs="仿宋"/>
          <w:kern w:val="0"/>
          <w:sz w:val="32"/>
          <w:szCs w:val="32"/>
          <w:lang w:val="en-US" w:eastAsia="zh-CN"/>
        </w:rPr>
        <w:t>3.24</w:t>
      </w:r>
      <w:r>
        <w:rPr>
          <w:rFonts w:hint="eastAsia" w:ascii="仿宋" w:hAnsi="仿宋" w:eastAsia="仿宋" w:cs="仿宋"/>
          <w:kern w:val="0"/>
          <w:sz w:val="32"/>
          <w:szCs w:val="32"/>
        </w:rPr>
        <w:t>万元，</w:t>
      </w:r>
      <w:r>
        <w:rPr>
          <w:rFonts w:hint="eastAsia" w:ascii="仿宋" w:hAnsi="仿宋" w:eastAsia="仿宋" w:cs="仿宋"/>
          <w:kern w:val="0"/>
          <w:sz w:val="32"/>
          <w:szCs w:val="32"/>
          <w:lang w:eastAsia="zh-CN"/>
        </w:rPr>
        <w:t>下降</w:t>
      </w:r>
      <w:r>
        <w:rPr>
          <w:rFonts w:hint="eastAsia" w:ascii="仿宋" w:hAnsi="仿宋" w:eastAsia="仿宋" w:cs="仿宋"/>
          <w:kern w:val="0"/>
          <w:sz w:val="32"/>
          <w:szCs w:val="32"/>
          <w:lang w:val="en-US" w:eastAsia="zh-CN"/>
        </w:rPr>
        <w:t>5.8</w:t>
      </w:r>
      <w:r>
        <w:rPr>
          <w:rFonts w:hint="eastAsia" w:ascii="仿宋" w:hAnsi="仿宋" w:eastAsia="仿宋" w:cs="仿宋"/>
          <w:kern w:val="0"/>
          <w:sz w:val="32"/>
          <w:szCs w:val="32"/>
        </w:rPr>
        <w:t>%，原因主要是</w:t>
      </w:r>
      <w:r>
        <w:rPr>
          <w:rFonts w:hint="eastAsia" w:ascii="仿宋" w:hAnsi="仿宋" w:eastAsia="仿宋" w:cs="仿宋"/>
          <w:sz w:val="32"/>
          <w:szCs w:val="32"/>
          <w:lang w:eastAsia="zh-CN"/>
        </w:rPr>
        <w:t>退休</w:t>
      </w:r>
      <w:r>
        <w:rPr>
          <w:rFonts w:hint="eastAsia" w:ascii="仿宋" w:hAnsi="仿宋" w:eastAsia="仿宋" w:cs="仿宋"/>
          <w:sz w:val="32"/>
          <w:szCs w:val="32"/>
          <w:lang w:val="en-US" w:eastAsia="zh-CN"/>
        </w:rPr>
        <w:t>1人</w:t>
      </w:r>
      <w:r>
        <w:rPr>
          <w:rFonts w:hint="eastAsia" w:ascii="仿宋" w:hAnsi="仿宋" w:eastAsia="仿宋" w:cs="仿宋"/>
          <w:sz w:val="32"/>
          <w:szCs w:val="32"/>
          <w:lang w:eastAsia="zh-CN"/>
        </w:rPr>
        <w:t>、辞职</w:t>
      </w:r>
      <w:r>
        <w:rPr>
          <w:rFonts w:hint="eastAsia" w:ascii="仿宋" w:hAnsi="仿宋" w:eastAsia="仿宋" w:cs="仿宋"/>
          <w:sz w:val="32"/>
          <w:szCs w:val="32"/>
          <w:lang w:val="en-US" w:eastAsia="zh-CN"/>
        </w:rPr>
        <w:t>1人</w:t>
      </w:r>
      <w:r>
        <w:rPr>
          <w:rFonts w:hint="eastAsia" w:ascii="仿宋" w:hAnsi="仿宋" w:eastAsia="仿宋" w:cs="仿宋"/>
          <w:kern w:val="0"/>
          <w:sz w:val="32"/>
          <w:szCs w:val="32"/>
        </w:rPr>
        <w:t>。</w:t>
      </w:r>
    </w:p>
    <w:p w14:paraId="19278577">
      <w:pPr>
        <w:keepNext w:val="0"/>
        <w:keepLines w:val="0"/>
        <w:pageBreakBefore w:val="0"/>
        <w:kinsoku/>
        <w:wordWrap/>
        <w:overflowPunct/>
        <w:topLinePunct w:val="0"/>
        <w:autoSpaceDE/>
        <w:autoSpaceDN/>
        <w:bidi w:val="0"/>
        <w:adjustRightInd/>
        <w:spacing w:beforeAutospacing="0" w:afterAutospacing="0" w:line="560" w:lineRule="exact"/>
        <w:ind w:firstLine="643" w:firstLineChars="200"/>
        <w:textAlignment w:val="auto"/>
        <w:rPr>
          <w:rFonts w:hint="eastAsia" w:ascii="仿宋" w:hAnsi="仿宋" w:eastAsia="仿宋" w:cs="仿宋"/>
          <w:kern w:val="0"/>
          <w:sz w:val="32"/>
          <w:szCs w:val="32"/>
        </w:rPr>
      </w:pPr>
      <w:r>
        <w:rPr>
          <w:rFonts w:hint="eastAsia" w:ascii="仿宋" w:hAnsi="仿宋" w:eastAsia="仿宋" w:cs="仿宋"/>
          <w:b/>
          <w:bCs/>
          <w:kern w:val="0"/>
          <w:sz w:val="32"/>
          <w:szCs w:val="32"/>
        </w:rPr>
        <w:t>3、社会保障和就业支出（类）行政事业单位养老支出（款）机关事业单位职业年金缴费支出（项）</w:t>
      </w:r>
      <w:r>
        <w:rPr>
          <w:rFonts w:hint="eastAsia" w:ascii="仿宋" w:hAnsi="仿宋" w:eastAsia="仿宋" w:cs="仿宋"/>
          <w:kern w:val="0"/>
          <w:sz w:val="32"/>
          <w:szCs w:val="32"/>
          <w:lang w:eastAsia="zh-CN"/>
        </w:rPr>
        <w:t>202</w:t>
      </w:r>
      <w:r>
        <w:rPr>
          <w:rFonts w:hint="eastAsia" w:ascii="仿宋" w:hAnsi="仿宋" w:eastAsia="仿宋" w:cs="仿宋"/>
          <w:kern w:val="0"/>
          <w:sz w:val="32"/>
          <w:szCs w:val="32"/>
          <w:lang w:val="en-US" w:eastAsia="zh-CN"/>
        </w:rPr>
        <w:t>5</w:t>
      </w:r>
      <w:r>
        <w:rPr>
          <w:rFonts w:hint="eastAsia" w:ascii="仿宋" w:hAnsi="仿宋" w:eastAsia="仿宋" w:cs="仿宋"/>
          <w:kern w:val="0"/>
          <w:sz w:val="32"/>
          <w:szCs w:val="32"/>
        </w:rPr>
        <w:t>年预算</w:t>
      </w:r>
      <w:r>
        <w:rPr>
          <w:rFonts w:hint="eastAsia" w:ascii="仿宋" w:hAnsi="仿宋" w:eastAsia="仿宋" w:cs="仿宋"/>
          <w:kern w:val="0"/>
          <w:sz w:val="32"/>
          <w:szCs w:val="32"/>
          <w:lang w:val="en-US" w:eastAsia="zh-CN"/>
        </w:rPr>
        <w:t>26.31</w:t>
      </w:r>
      <w:r>
        <w:rPr>
          <w:rFonts w:hint="eastAsia" w:ascii="仿宋" w:hAnsi="仿宋" w:eastAsia="仿宋" w:cs="仿宋"/>
          <w:kern w:val="0"/>
          <w:sz w:val="32"/>
          <w:szCs w:val="32"/>
        </w:rPr>
        <w:t>万元，比</w:t>
      </w:r>
      <w:r>
        <w:rPr>
          <w:rFonts w:hint="eastAsia" w:ascii="仿宋" w:hAnsi="仿宋" w:eastAsia="仿宋" w:cs="仿宋"/>
          <w:kern w:val="0"/>
          <w:sz w:val="32"/>
          <w:szCs w:val="32"/>
          <w:lang w:eastAsia="zh-CN"/>
        </w:rPr>
        <w:t>202</w:t>
      </w:r>
      <w:r>
        <w:rPr>
          <w:rFonts w:hint="eastAsia" w:ascii="仿宋" w:hAnsi="仿宋" w:eastAsia="仿宋" w:cs="仿宋"/>
          <w:kern w:val="0"/>
          <w:sz w:val="32"/>
          <w:szCs w:val="32"/>
          <w:lang w:val="en-US" w:eastAsia="zh-CN"/>
        </w:rPr>
        <w:t>4</w:t>
      </w:r>
      <w:r>
        <w:rPr>
          <w:rFonts w:hint="eastAsia" w:ascii="仿宋" w:hAnsi="仿宋" w:eastAsia="仿宋" w:cs="仿宋"/>
          <w:kern w:val="0"/>
          <w:sz w:val="32"/>
          <w:szCs w:val="32"/>
          <w:lang w:eastAsia="zh-CN"/>
        </w:rPr>
        <w:t>年</w:t>
      </w:r>
      <w:r>
        <w:rPr>
          <w:rFonts w:hint="eastAsia" w:ascii="仿宋" w:hAnsi="仿宋" w:eastAsia="仿宋" w:cs="仿宋"/>
          <w:kern w:val="0"/>
          <w:sz w:val="32"/>
          <w:szCs w:val="32"/>
        </w:rPr>
        <w:t>预算</w:t>
      </w:r>
      <w:r>
        <w:rPr>
          <w:rFonts w:hint="eastAsia" w:ascii="仿宋" w:hAnsi="仿宋" w:eastAsia="仿宋" w:cs="仿宋"/>
          <w:kern w:val="0"/>
          <w:sz w:val="32"/>
          <w:szCs w:val="32"/>
          <w:lang w:eastAsia="zh-CN"/>
        </w:rPr>
        <w:t>减少</w:t>
      </w:r>
      <w:r>
        <w:rPr>
          <w:rFonts w:hint="eastAsia" w:ascii="仿宋" w:hAnsi="仿宋" w:eastAsia="仿宋" w:cs="仿宋"/>
          <w:kern w:val="0"/>
          <w:sz w:val="32"/>
          <w:szCs w:val="32"/>
          <w:lang w:val="en-US" w:eastAsia="zh-CN"/>
        </w:rPr>
        <w:t>28.62</w:t>
      </w:r>
      <w:r>
        <w:rPr>
          <w:rFonts w:hint="eastAsia" w:ascii="仿宋" w:hAnsi="仿宋" w:eastAsia="仿宋" w:cs="仿宋"/>
          <w:kern w:val="0"/>
          <w:sz w:val="32"/>
          <w:szCs w:val="32"/>
        </w:rPr>
        <w:t>万元，</w:t>
      </w:r>
      <w:r>
        <w:rPr>
          <w:rFonts w:hint="eastAsia" w:ascii="仿宋" w:hAnsi="仿宋" w:eastAsia="仿宋" w:cs="仿宋"/>
          <w:kern w:val="0"/>
          <w:sz w:val="32"/>
          <w:szCs w:val="32"/>
          <w:lang w:eastAsia="zh-CN"/>
        </w:rPr>
        <w:t>下降</w:t>
      </w:r>
      <w:r>
        <w:rPr>
          <w:rFonts w:hint="eastAsia" w:ascii="仿宋" w:hAnsi="仿宋" w:eastAsia="仿宋" w:cs="仿宋"/>
          <w:kern w:val="0"/>
          <w:sz w:val="32"/>
          <w:szCs w:val="32"/>
          <w:lang w:val="en-US" w:eastAsia="zh-CN"/>
        </w:rPr>
        <w:t>52.16</w:t>
      </w:r>
      <w:r>
        <w:rPr>
          <w:rFonts w:hint="eastAsia" w:ascii="仿宋" w:hAnsi="仿宋" w:eastAsia="仿宋" w:cs="仿宋"/>
          <w:kern w:val="0"/>
          <w:sz w:val="32"/>
          <w:szCs w:val="32"/>
        </w:rPr>
        <w:t>%，原因主要是</w:t>
      </w:r>
      <w:r>
        <w:rPr>
          <w:rFonts w:hint="eastAsia" w:ascii="仿宋" w:hAnsi="仿宋" w:eastAsia="仿宋" w:cs="仿宋"/>
          <w:sz w:val="32"/>
          <w:szCs w:val="32"/>
        </w:rPr>
        <w:t>人员</w:t>
      </w:r>
      <w:r>
        <w:rPr>
          <w:rFonts w:hint="eastAsia" w:ascii="仿宋" w:hAnsi="仿宋" w:eastAsia="仿宋" w:cs="仿宋"/>
          <w:sz w:val="32"/>
          <w:szCs w:val="32"/>
          <w:lang w:eastAsia="zh-CN"/>
        </w:rPr>
        <w:t>退休、辞职</w:t>
      </w:r>
      <w:r>
        <w:rPr>
          <w:rFonts w:hint="eastAsia" w:ascii="仿宋" w:hAnsi="仿宋" w:eastAsia="仿宋" w:cs="仿宋"/>
          <w:kern w:val="0"/>
          <w:sz w:val="32"/>
          <w:szCs w:val="32"/>
        </w:rPr>
        <w:t>。</w:t>
      </w:r>
    </w:p>
    <w:p w14:paraId="604C18E8">
      <w:pPr>
        <w:keepNext w:val="0"/>
        <w:keepLines w:val="0"/>
        <w:pageBreakBefore w:val="0"/>
        <w:kinsoku/>
        <w:wordWrap/>
        <w:overflowPunct/>
        <w:topLinePunct w:val="0"/>
        <w:autoSpaceDE/>
        <w:autoSpaceDN/>
        <w:bidi w:val="0"/>
        <w:adjustRightInd/>
        <w:spacing w:beforeAutospacing="0" w:afterAutospacing="0" w:line="560" w:lineRule="exact"/>
        <w:ind w:firstLine="643" w:firstLineChars="200"/>
        <w:textAlignment w:val="auto"/>
        <w:rPr>
          <w:rFonts w:hint="eastAsia" w:ascii="仿宋" w:hAnsi="仿宋" w:eastAsia="仿宋" w:cs="仿宋"/>
          <w:kern w:val="0"/>
          <w:sz w:val="32"/>
          <w:szCs w:val="32"/>
        </w:rPr>
      </w:pPr>
      <w:r>
        <w:rPr>
          <w:rFonts w:hint="eastAsia" w:ascii="仿宋" w:hAnsi="仿宋" w:eastAsia="仿宋" w:cs="仿宋"/>
          <w:b/>
          <w:bCs/>
          <w:kern w:val="0"/>
          <w:sz w:val="32"/>
          <w:szCs w:val="32"/>
          <w:lang w:val="en-US" w:eastAsia="zh-CN"/>
        </w:rPr>
        <w:t>4</w:t>
      </w:r>
      <w:r>
        <w:rPr>
          <w:rFonts w:hint="eastAsia" w:ascii="仿宋" w:hAnsi="仿宋" w:eastAsia="仿宋" w:cs="仿宋"/>
          <w:b/>
          <w:bCs/>
          <w:kern w:val="0"/>
          <w:sz w:val="32"/>
          <w:szCs w:val="32"/>
        </w:rPr>
        <w:t>、社会保障和就业支出（类）其他社会保障和就业支出（款）其他社会保障和就业支出（项）</w:t>
      </w:r>
      <w:r>
        <w:rPr>
          <w:rFonts w:hint="eastAsia" w:ascii="仿宋" w:hAnsi="仿宋" w:eastAsia="仿宋" w:cs="仿宋"/>
          <w:kern w:val="0"/>
          <w:sz w:val="32"/>
          <w:szCs w:val="32"/>
          <w:lang w:eastAsia="zh-CN"/>
        </w:rPr>
        <w:t>202</w:t>
      </w:r>
      <w:r>
        <w:rPr>
          <w:rFonts w:hint="eastAsia" w:ascii="仿宋" w:hAnsi="仿宋" w:eastAsia="仿宋" w:cs="仿宋"/>
          <w:kern w:val="0"/>
          <w:sz w:val="32"/>
          <w:szCs w:val="32"/>
          <w:lang w:val="en-US" w:eastAsia="zh-CN"/>
        </w:rPr>
        <w:t>5</w:t>
      </w:r>
      <w:r>
        <w:rPr>
          <w:rFonts w:hint="eastAsia" w:ascii="仿宋" w:hAnsi="仿宋" w:eastAsia="仿宋" w:cs="仿宋"/>
          <w:kern w:val="0"/>
          <w:sz w:val="32"/>
          <w:szCs w:val="32"/>
        </w:rPr>
        <w:t>年预算</w:t>
      </w:r>
      <w:r>
        <w:rPr>
          <w:rFonts w:hint="eastAsia" w:ascii="仿宋" w:hAnsi="仿宋" w:eastAsia="仿宋" w:cs="仿宋"/>
          <w:kern w:val="0"/>
          <w:sz w:val="32"/>
          <w:szCs w:val="32"/>
          <w:lang w:val="en-US" w:eastAsia="zh-CN"/>
        </w:rPr>
        <w:t>1.68</w:t>
      </w:r>
      <w:r>
        <w:rPr>
          <w:rFonts w:hint="eastAsia" w:ascii="仿宋" w:hAnsi="仿宋" w:eastAsia="仿宋" w:cs="仿宋"/>
          <w:kern w:val="0"/>
          <w:sz w:val="32"/>
          <w:szCs w:val="32"/>
        </w:rPr>
        <w:t>万元，比</w:t>
      </w:r>
      <w:r>
        <w:rPr>
          <w:rFonts w:hint="eastAsia" w:ascii="仿宋" w:hAnsi="仿宋" w:eastAsia="仿宋" w:cs="仿宋"/>
          <w:kern w:val="0"/>
          <w:sz w:val="32"/>
          <w:szCs w:val="32"/>
          <w:lang w:eastAsia="zh-CN"/>
        </w:rPr>
        <w:t>202</w:t>
      </w:r>
      <w:r>
        <w:rPr>
          <w:rFonts w:hint="eastAsia" w:ascii="仿宋" w:hAnsi="仿宋" w:eastAsia="仿宋" w:cs="仿宋"/>
          <w:kern w:val="0"/>
          <w:sz w:val="32"/>
          <w:szCs w:val="32"/>
          <w:lang w:val="en-US" w:eastAsia="zh-CN"/>
        </w:rPr>
        <w:t>4</w:t>
      </w:r>
      <w:r>
        <w:rPr>
          <w:rFonts w:hint="eastAsia" w:ascii="仿宋" w:hAnsi="仿宋" w:eastAsia="仿宋" w:cs="仿宋"/>
          <w:kern w:val="0"/>
          <w:sz w:val="32"/>
          <w:szCs w:val="32"/>
          <w:lang w:eastAsia="zh-CN"/>
        </w:rPr>
        <w:t>年</w:t>
      </w:r>
      <w:r>
        <w:rPr>
          <w:rFonts w:hint="eastAsia" w:ascii="仿宋" w:hAnsi="仿宋" w:eastAsia="仿宋" w:cs="仿宋"/>
          <w:kern w:val="0"/>
          <w:sz w:val="32"/>
          <w:szCs w:val="32"/>
        </w:rPr>
        <w:t>预算</w:t>
      </w:r>
      <w:r>
        <w:rPr>
          <w:rFonts w:hint="eastAsia" w:ascii="仿宋" w:hAnsi="仿宋" w:eastAsia="仿宋" w:cs="仿宋"/>
          <w:kern w:val="0"/>
          <w:sz w:val="32"/>
          <w:szCs w:val="32"/>
          <w:lang w:eastAsia="zh-CN"/>
        </w:rPr>
        <w:t>减少</w:t>
      </w:r>
      <w:r>
        <w:rPr>
          <w:rFonts w:hint="eastAsia" w:ascii="仿宋" w:hAnsi="仿宋" w:eastAsia="仿宋" w:cs="仿宋"/>
          <w:kern w:val="0"/>
          <w:sz w:val="32"/>
          <w:szCs w:val="32"/>
          <w:lang w:val="en-US" w:eastAsia="zh-CN"/>
        </w:rPr>
        <w:t>0.09</w:t>
      </w:r>
      <w:r>
        <w:rPr>
          <w:rFonts w:hint="eastAsia" w:ascii="仿宋" w:hAnsi="仿宋" w:eastAsia="仿宋" w:cs="仿宋"/>
          <w:kern w:val="0"/>
          <w:sz w:val="32"/>
          <w:szCs w:val="32"/>
        </w:rPr>
        <w:t>万元，</w:t>
      </w:r>
      <w:r>
        <w:rPr>
          <w:rFonts w:hint="eastAsia" w:ascii="仿宋" w:hAnsi="仿宋" w:eastAsia="仿宋" w:cs="仿宋"/>
          <w:kern w:val="0"/>
          <w:sz w:val="32"/>
          <w:szCs w:val="32"/>
          <w:lang w:eastAsia="zh-CN"/>
        </w:rPr>
        <w:t>下降</w:t>
      </w:r>
      <w:r>
        <w:rPr>
          <w:rFonts w:hint="eastAsia" w:ascii="仿宋" w:hAnsi="仿宋" w:eastAsia="仿宋" w:cs="仿宋"/>
          <w:kern w:val="0"/>
          <w:sz w:val="32"/>
          <w:szCs w:val="32"/>
          <w:lang w:val="en-US" w:eastAsia="zh-CN"/>
        </w:rPr>
        <w:t>5.08</w:t>
      </w:r>
      <w:r>
        <w:rPr>
          <w:rFonts w:hint="eastAsia" w:ascii="仿宋" w:hAnsi="仿宋" w:eastAsia="仿宋" w:cs="仿宋"/>
          <w:kern w:val="0"/>
          <w:sz w:val="32"/>
          <w:szCs w:val="32"/>
        </w:rPr>
        <w:t>%，原因主要是</w:t>
      </w:r>
      <w:r>
        <w:rPr>
          <w:rFonts w:hint="eastAsia" w:ascii="仿宋" w:hAnsi="仿宋" w:eastAsia="仿宋" w:cs="仿宋"/>
          <w:sz w:val="32"/>
          <w:szCs w:val="32"/>
          <w:lang w:eastAsia="zh-CN"/>
        </w:rPr>
        <w:t>政策性调整</w:t>
      </w:r>
      <w:r>
        <w:rPr>
          <w:rFonts w:hint="eastAsia" w:ascii="仿宋" w:hAnsi="仿宋" w:eastAsia="仿宋" w:cs="仿宋"/>
          <w:kern w:val="0"/>
          <w:sz w:val="32"/>
          <w:szCs w:val="32"/>
        </w:rPr>
        <w:t>。</w:t>
      </w:r>
    </w:p>
    <w:p w14:paraId="1CF6A05C">
      <w:pPr>
        <w:keepNext w:val="0"/>
        <w:keepLines w:val="0"/>
        <w:pageBreakBefore w:val="0"/>
        <w:kinsoku/>
        <w:wordWrap/>
        <w:overflowPunct/>
        <w:topLinePunct w:val="0"/>
        <w:autoSpaceDE/>
        <w:autoSpaceDN/>
        <w:bidi w:val="0"/>
        <w:adjustRightInd/>
        <w:spacing w:beforeAutospacing="0" w:afterAutospacing="0" w:line="560" w:lineRule="exact"/>
        <w:ind w:firstLine="643" w:firstLineChars="200"/>
        <w:textAlignment w:val="auto"/>
        <w:rPr>
          <w:rFonts w:hint="eastAsia" w:ascii="仿宋" w:hAnsi="仿宋" w:eastAsia="仿宋" w:cs="仿宋"/>
          <w:kern w:val="0"/>
          <w:sz w:val="32"/>
          <w:szCs w:val="32"/>
        </w:rPr>
      </w:pPr>
      <w:r>
        <w:rPr>
          <w:rFonts w:hint="eastAsia" w:ascii="仿宋" w:hAnsi="仿宋" w:eastAsia="仿宋" w:cs="仿宋"/>
          <w:b/>
          <w:bCs/>
          <w:kern w:val="0"/>
          <w:sz w:val="32"/>
          <w:szCs w:val="32"/>
          <w:lang w:val="en-US" w:eastAsia="zh-CN"/>
        </w:rPr>
        <w:t>5</w:t>
      </w:r>
      <w:r>
        <w:rPr>
          <w:rFonts w:hint="eastAsia" w:ascii="仿宋" w:hAnsi="仿宋" w:eastAsia="仿宋" w:cs="仿宋"/>
          <w:b/>
          <w:bCs/>
          <w:kern w:val="0"/>
          <w:sz w:val="32"/>
          <w:szCs w:val="32"/>
        </w:rPr>
        <w:t>、卫生健康支出（类）行政事业单位医疗（款）事业单位医疗（项）</w:t>
      </w:r>
      <w:r>
        <w:rPr>
          <w:rFonts w:hint="eastAsia" w:ascii="仿宋" w:hAnsi="仿宋" w:eastAsia="仿宋" w:cs="仿宋"/>
          <w:kern w:val="0"/>
          <w:sz w:val="32"/>
          <w:szCs w:val="32"/>
          <w:lang w:eastAsia="zh-CN"/>
        </w:rPr>
        <w:t>202</w:t>
      </w:r>
      <w:r>
        <w:rPr>
          <w:rFonts w:hint="eastAsia" w:ascii="仿宋" w:hAnsi="仿宋" w:eastAsia="仿宋" w:cs="仿宋"/>
          <w:kern w:val="0"/>
          <w:sz w:val="32"/>
          <w:szCs w:val="32"/>
          <w:lang w:val="en-US" w:eastAsia="zh-CN"/>
        </w:rPr>
        <w:t>5</w:t>
      </w:r>
      <w:r>
        <w:rPr>
          <w:rFonts w:hint="eastAsia" w:ascii="仿宋" w:hAnsi="仿宋" w:eastAsia="仿宋" w:cs="仿宋"/>
          <w:kern w:val="0"/>
          <w:sz w:val="32"/>
          <w:szCs w:val="32"/>
        </w:rPr>
        <w:t>年预算</w:t>
      </w:r>
      <w:r>
        <w:rPr>
          <w:rFonts w:hint="eastAsia" w:ascii="仿宋" w:hAnsi="仿宋" w:eastAsia="仿宋" w:cs="仿宋"/>
          <w:kern w:val="0"/>
          <w:sz w:val="32"/>
          <w:szCs w:val="32"/>
          <w:lang w:val="en-US" w:eastAsia="zh-CN"/>
        </w:rPr>
        <w:t>17.25</w:t>
      </w:r>
      <w:r>
        <w:rPr>
          <w:rFonts w:hint="eastAsia" w:ascii="仿宋" w:hAnsi="仿宋" w:eastAsia="仿宋" w:cs="仿宋"/>
          <w:kern w:val="0"/>
          <w:sz w:val="32"/>
          <w:szCs w:val="32"/>
        </w:rPr>
        <w:t>万元，比</w:t>
      </w:r>
      <w:r>
        <w:rPr>
          <w:rFonts w:hint="eastAsia" w:ascii="仿宋" w:hAnsi="仿宋" w:eastAsia="仿宋" w:cs="仿宋"/>
          <w:kern w:val="0"/>
          <w:sz w:val="32"/>
          <w:szCs w:val="32"/>
          <w:lang w:eastAsia="zh-CN"/>
        </w:rPr>
        <w:t>202</w:t>
      </w:r>
      <w:r>
        <w:rPr>
          <w:rFonts w:hint="eastAsia" w:ascii="仿宋" w:hAnsi="仿宋" w:eastAsia="仿宋" w:cs="仿宋"/>
          <w:kern w:val="0"/>
          <w:sz w:val="32"/>
          <w:szCs w:val="32"/>
          <w:lang w:val="en-US" w:eastAsia="zh-CN"/>
        </w:rPr>
        <w:t>4</w:t>
      </w:r>
      <w:r>
        <w:rPr>
          <w:rFonts w:hint="eastAsia" w:ascii="仿宋" w:hAnsi="仿宋" w:eastAsia="仿宋" w:cs="仿宋"/>
          <w:kern w:val="0"/>
          <w:sz w:val="32"/>
          <w:szCs w:val="32"/>
          <w:lang w:eastAsia="zh-CN"/>
        </w:rPr>
        <w:t>年</w:t>
      </w:r>
      <w:r>
        <w:rPr>
          <w:rFonts w:hint="eastAsia" w:ascii="仿宋" w:hAnsi="仿宋" w:eastAsia="仿宋" w:cs="仿宋"/>
          <w:kern w:val="0"/>
          <w:sz w:val="32"/>
          <w:szCs w:val="32"/>
        </w:rPr>
        <w:t>预算</w:t>
      </w:r>
      <w:r>
        <w:rPr>
          <w:rFonts w:hint="eastAsia" w:ascii="仿宋" w:hAnsi="仿宋" w:eastAsia="仿宋" w:cs="仿宋"/>
          <w:kern w:val="0"/>
          <w:sz w:val="32"/>
          <w:szCs w:val="32"/>
          <w:lang w:eastAsia="zh-CN"/>
        </w:rPr>
        <w:t>减少</w:t>
      </w:r>
      <w:r>
        <w:rPr>
          <w:rFonts w:hint="eastAsia" w:ascii="仿宋" w:hAnsi="仿宋" w:eastAsia="仿宋" w:cs="仿宋"/>
          <w:kern w:val="0"/>
          <w:sz w:val="32"/>
          <w:szCs w:val="32"/>
          <w:lang w:val="en-US" w:eastAsia="zh-CN"/>
        </w:rPr>
        <w:t>4.05</w:t>
      </w:r>
      <w:r>
        <w:rPr>
          <w:rFonts w:hint="eastAsia" w:ascii="仿宋" w:hAnsi="仿宋" w:eastAsia="仿宋" w:cs="仿宋"/>
          <w:kern w:val="0"/>
          <w:sz w:val="32"/>
          <w:szCs w:val="32"/>
        </w:rPr>
        <w:t>万元，</w:t>
      </w:r>
      <w:r>
        <w:rPr>
          <w:rFonts w:hint="eastAsia" w:ascii="仿宋" w:hAnsi="仿宋" w:eastAsia="仿宋" w:cs="仿宋"/>
          <w:kern w:val="0"/>
          <w:sz w:val="32"/>
          <w:szCs w:val="32"/>
          <w:lang w:eastAsia="zh-CN"/>
        </w:rPr>
        <w:t>下降</w:t>
      </w:r>
      <w:r>
        <w:rPr>
          <w:rFonts w:hint="eastAsia" w:ascii="仿宋" w:hAnsi="仿宋" w:eastAsia="仿宋" w:cs="仿宋"/>
          <w:kern w:val="0"/>
          <w:sz w:val="32"/>
          <w:szCs w:val="32"/>
          <w:lang w:val="en-US" w:eastAsia="zh-CN"/>
        </w:rPr>
        <w:t>19.01</w:t>
      </w:r>
      <w:r>
        <w:rPr>
          <w:rFonts w:hint="eastAsia" w:ascii="仿宋" w:hAnsi="仿宋" w:eastAsia="仿宋" w:cs="仿宋"/>
          <w:kern w:val="0"/>
          <w:sz w:val="32"/>
          <w:szCs w:val="32"/>
        </w:rPr>
        <w:t>%，原因主要是</w:t>
      </w:r>
      <w:r>
        <w:rPr>
          <w:rFonts w:hint="eastAsia" w:ascii="仿宋" w:hAnsi="仿宋" w:eastAsia="仿宋" w:cs="仿宋"/>
          <w:sz w:val="32"/>
          <w:szCs w:val="32"/>
        </w:rPr>
        <w:t>人员</w:t>
      </w:r>
      <w:r>
        <w:rPr>
          <w:rFonts w:hint="eastAsia" w:ascii="仿宋" w:hAnsi="仿宋" w:eastAsia="仿宋" w:cs="仿宋"/>
          <w:sz w:val="32"/>
          <w:szCs w:val="32"/>
          <w:lang w:eastAsia="zh-CN"/>
        </w:rPr>
        <w:t>退休</w:t>
      </w:r>
      <w:r>
        <w:rPr>
          <w:rFonts w:hint="eastAsia" w:ascii="仿宋" w:hAnsi="仿宋" w:eastAsia="仿宋" w:cs="仿宋"/>
          <w:sz w:val="32"/>
          <w:szCs w:val="32"/>
        </w:rPr>
        <w:t>、</w:t>
      </w:r>
      <w:r>
        <w:rPr>
          <w:rFonts w:hint="eastAsia" w:ascii="仿宋" w:hAnsi="仿宋" w:eastAsia="仿宋" w:cs="仿宋"/>
          <w:sz w:val="32"/>
          <w:szCs w:val="32"/>
          <w:lang w:eastAsia="zh-CN"/>
        </w:rPr>
        <w:t>辞职</w:t>
      </w:r>
      <w:r>
        <w:rPr>
          <w:rFonts w:hint="eastAsia" w:ascii="仿宋" w:hAnsi="仿宋" w:eastAsia="仿宋" w:cs="仿宋"/>
          <w:kern w:val="0"/>
          <w:sz w:val="32"/>
          <w:szCs w:val="32"/>
        </w:rPr>
        <w:t>。</w:t>
      </w:r>
    </w:p>
    <w:p w14:paraId="31600161">
      <w:pPr>
        <w:keepNext w:val="0"/>
        <w:keepLines w:val="0"/>
        <w:pageBreakBefore w:val="0"/>
        <w:kinsoku/>
        <w:wordWrap/>
        <w:overflowPunct/>
        <w:topLinePunct w:val="0"/>
        <w:autoSpaceDE/>
        <w:autoSpaceDN/>
        <w:bidi w:val="0"/>
        <w:adjustRightInd/>
        <w:spacing w:beforeAutospacing="0" w:afterAutospacing="0" w:line="560" w:lineRule="exact"/>
        <w:ind w:firstLine="643" w:firstLineChars="200"/>
        <w:textAlignment w:val="auto"/>
        <w:rPr>
          <w:rFonts w:hint="eastAsia" w:ascii="仿宋" w:hAnsi="仿宋" w:eastAsia="仿宋" w:cs="仿宋"/>
          <w:kern w:val="0"/>
          <w:sz w:val="32"/>
          <w:szCs w:val="32"/>
        </w:rPr>
      </w:pPr>
      <w:r>
        <w:rPr>
          <w:rFonts w:hint="eastAsia" w:ascii="仿宋" w:hAnsi="仿宋" w:eastAsia="仿宋" w:cs="仿宋"/>
          <w:b/>
          <w:bCs/>
          <w:kern w:val="0"/>
          <w:sz w:val="32"/>
          <w:szCs w:val="32"/>
          <w:lang w:val="en-US" w:eastAsia="zh-CN"/>
        </w:rPr>
        <w:t>6</w:t>
      </w:r>
      <w:r>
        <w:rPr>
          <w:rFonts w:hint="eastAsia" w:ascii="仿宋" w:hAnsi="仿宋" w:eastAsia="仿宋" w:cs="仿宋"/>
          <w:b/>
          <w:bCs/>
          <w:kern w:val="0"/>
          <w:sz w:val="32"/>
          <w:szCs w:val="32"/>
        </w:rPr>
        <w:t>、卫生健康支出（类）行政事业单位医疗（款）公务员医疗补助（项）</w:t>
      </w:r>
      <w:r>
        <w:rPr>
          <w:rFonts w:hint="eastAsia" w:ascii="仿宋" w:hAnsi="仿宋" w:eastAsia="仿宋" w:cs="仿宋"/>
          <w:kern w:val="0"/>
          <w:sz w:val="32"/>
          <w:szCs w:val="32"/>
          <w:lang w:eastAsia="zh-CN"/>
        </w:rPr>
        <w:t>202</w:t>
      </w:r>
      <w:r>
        <w:rPr>
          <w:rFonts w:hint="eastAsia" w:ascii="仿宋" w:hAnsi="仿宋" w:eastAsia="仿宋" w:cs="仿宋"/>
          <w:kern w:val="0"/>
          <w:sz w:val="32"/>
          <w:szCs w:val="32"/>
          <w:lang w:val="en-US" w:eastAsia="zh-CN"/>
        </w:rPr>
        <w:t>5</w:t>
      </w:r>
      <w:r>
        <w:rPr>
          <w:rFonts w:hint="eastAsia" w:ascii="仿宋" w:hAnsi="仿宋" w:eastAsia="仿宋" w:cs="仿宋"/>
          <w:kern w:val="0"/>
          <w:sz w:val="32"/>
          <w:szCs w:val="32"/>
        </w:rPr>
        <w:t>年预算</w:t>
      </w:r>
      <w:r>
        <w:rPr>
          <w:rFonts w:hint="eastAsia" w:ascii="仿宋" w:hAnsi="仿宋" w:eastAsia="仿宋" w:cs="仿宋"/>
          <w:kern w:val="0"/>
          <w:sz w:val="32"/>
          <w:szCs w:val="32"/>
          <w:lang w:val="en-US" w:eastAsia="zh-CN"/>
        </w:rPr>
        <w:t>7.19</w:t>
      </w:r>
      <w:r>
        <w:rPr>
          <w:rFonts w:hint="eastAsia" w:ascii="仿宋" w:hAnsi="仿宋" w:eastAsia="仿宋" w:cs="仿宋"/>
          <w:kern w:val="0"/>
          <w:sz w:val="32"/>
          <w:szCs w:val="32"/>
        </w:rPr>
        <w:t>万元，比</w:t>
      </w:r>
      <w:r>
        <w:rPr>
          <w:rFonts w:hint="eastAsia" w:ascii="仿宋" w:hAnsi="仿宋" w:eastAsia="仿宋" w:cs="仿宋"/>
          <w:kern w:val="0"/>
          <w:sz w:val="32"/>
          <w:szCs w:val="32"/>
          <w:lang w:eastAsia="zh-CN"/>
        </w:rPr>
        <w:t>202</w:t>
      </w:r>
      <w:r>
        <w:rPr>
          <w:rFonts w:hint="eastAsia" w:ascii="仿宋" w:hAnsi="仿宋" w:eastAsia="仿宋" w:cs="仿宋"/>
          <w:kern w:val="0"/>
          <w:sz w:val="32"/>
          <w:szCs w:val="32"/>
          <w:lang w:val="en-US" w:eastAsia="zh-CN"/>
        </w:rPr>
        <w:t>4</w:t>
      </w:r>
      <w:r>
        <w:rPr>
          <w:rFonts w:hint="eastAsia" w:ascii="仿宋" w:hAnsi="仿宋" w:eastAsia="仿宋" w:cs="仿宋"/>
          <w:kern w:val="0"/>
          <w:sz w:val="32"/>
          <w:szCs w:val="32"/>
          <w:lang w:eastAsia="zh-CN"/>
        </w:rPr>
        <w:t>年</w:t>
      </w:r>
      <w:r>
        <w:rPr>
          <w:rFonts w:hint="eastAsia" w:ascii="仿宋" w:hAnsi="仿宋" w:eastAsia="仿宋" w:cs="仿宋"/>
          <w:kern w:val="0"/>
          <w:sz w:val="32"/>
          <w:szCs w:val="32"/>
        </w:rPr>
        <w:t>预算</w:t>
      </w:r>
      <w:r>
        <w:rPr>
          <w:rFonts w:hint="eastAsia" w:ascii="仿宋" w:hAnsi="仿宋" w:eastAsia="仿宋" w:cs="仿宋"/>
          <w:kern w:val="0"/>
          <w:sz w:val="32"/>
          <w:szCs w:val="32"/>
          <w:lang w:eastAsia="zh-CN"/>
        </w:rPr>
        <w:t>减少</w:t>
      </w:r>
      <w:r>
        <w:rPr>
          <w:rFonts w:hint="eastAsia" w:ascii="仿宋" w:hAnsi="仿宋" w:eastAsia="仿宋" w:cs="仿宋"/>
          <w:kern w:val="0"/>
          <w:sz w:val="32"/>
          <w:szCs w:val="32"/>
          <w:lang w:val="en-US" w:eastAsia="zh-CN"/>
        </w:rPr>
        <w:t>1.35</w:t>
      </w:r>
      <w:r>
        <w:rPr>
          <w:rFonts w:hint="eastAsia" w:ascii="仿宋" w:hAnsi="仿宋" w:eastAsia="仿宋" w:cs="仿宋"/>
          <w:kern w:val="0"/>
          <w:sz w:val="32"/>
          <w:szCs w:val="32"/>
        </w:rPr>
        <w:t>万元，</w:t>
      </w:r>
      <w:r>
        <w:rPr>
          <w:rFonts w:hint="eastAsia" w:ascii="仿宋" w:hAnsi="仿宋" w:eastAsia="仿宋" w:cs="仿宋"/>
          <w:kern w:val="0"/>
          <w:sz w:val="32"/>
          <w:szCs w:val="32"/>
          <w:lang w:eastAsia="zh-CN"/>
        </w:rPr>
        <w:t>下降</w:t>
      </w:r>
      <w:r>
        <w:rPr>
          <w:rFonts w:hint="eastAsia" w:ascii="仿宋" w:hAnsi="仿宋" w:eastAsia="仿宋" w:cs="仿宋"/>
          <w:kern w:val="0"/>
          <w:sz w:val="32"/>
          <w:szCs w:val="32"/>
          <w:lang w:val="en-US" w:eastAsia="zh-CN"/>
        </w:rPr>
        <w:t>15.81</w:t>
      </w:r>
      <w:r>
        <w:rPr>
          <w:rFonts w:hint="eastAsia" w:ascii="仿宋" w:hAnsi="仿宋" w:eastAsia="仿宋" w:cs="仿宋"/>
          <w:kern w:val="0"/>
          <w:sz w:val="32"/>
          <w:szCs w:val="32"/>
        </w:rPr>
        <w:t>%，原因主要是</w:t>
      </w:r>
      <w:r>
        <w:rPr>
          <w:rFonts w:hint="eastAsia" w:ascii="仿宋" w:hAnsi="仿宋" w:eastAsia="仿宋" w:cs="仿宋"/>
          <w:sz w:val="32"/>
          <w:szCs w:val="32"/>
        </w:rPr>
        <w:t>人员</w:t>
      </w:r>
      <w:r>
        <w:rPr>
          <w:rFonts w:hint="eastAsia" w:ascii="仿宋" w:hAnsi="仿宋" w:eastAsia="仿宋" w:cs="仿宋"/>
          <w:sz w:val="32"/>
          <w:szCs w:val="32"/>
          <w:lang w:eastAsia="zh-CN"/>
        </w:rPr>
        <w:t>退休辞职</w:t>
      </w:r>
      <w:r>
        <w:rPr>
          <w:rFonts w:hint="eastAsia" w:ascii="仿宋" w:hAnsi="仿宋" w:eastAsia="仿宋" w:cs="仿宋"/>
          <w:sz w:val="32"/>
          <w:szCs w:val="32"/>
        </w:rPr>
        <w:t>、</w:t>
      </w:r>
      <w:r>
        <w:rPr>
          <w:rFonts w:hint="eastAsia" w:ascii="仿宋" w:hAnsi="仿宋" w:eastAsia="仿宋" w:cs="仿宋"/>
          <w:sz w:val="32"/>
          <w:szCs w:val="32"/>
          <w:lang w:eastAsia="zh-CN"/>
        </w:rPr>
        <w:t>政策性调整</w:t>
      </w:r>
      <w:r>
        <w:rPr>
          <w:rFonts w:hint="eastAsia" w:ascii="仿宋" w:hAnsi="仿宋" w:eastAsia="仿宋" w:cs="仿宋"/>
          <w:kern w:val="0"/>
          <w:sz w:val="32"/>
          <w:szCs w:val="32"/>
        </w:rPr>
        <w:t>。</w:t>
      </w:r>
    </w:p>
    <w:p w14:paraId="5456048A">
      <w:pPr>
        <w:keepNext w:val="0"/>
        <w:keepLines w:val="0"/>
        <w:pageBreakBefore w:val="0"/>
        <w:kinsoku/>
        <w:wordWrap/>
        <w:overflowPunct/>
        <w:topLinePunct w:val="0"/>
        <w:autoSpaceDE/>
        <w:autoSpaceDN/>
        <w:bidi w:val="0"/>
        <w:adjustRightInd/>
        <w:spacing w:beforeAutospacing="0" w:afterAutospacing="0" w:line="560" w:lineRule="exact"/>
        <w:ind w:firstLine="643" w:firstLineChars="200"/>
        <w:textAlignment w:val="auto"/>
        <w:rPr>
          <w:rFonts w:hint="eastAsia" w:ascii="仿宋" w:hAnsi="仿宋" w:eastAsia="仿宋" w:cs="仿宋"/>
          <w:kern w:val="0"/>
          <w:sz w:val="32"/>
          <w:szCs w:val="32"/>
        </w:rPr>
      </w:pPr>
      <w:r>
        <w:rPr>
          <w:rFonts w:hint="eastAsia" w:ascii="仿宋" w:hAnsi="仿宋" w:eastAsia="仿宋" w:cs="仿宋"/>
          <w:b/>
          <w:bCs/>
          <w:kern w:val="0"/>
          <w:sz w:val="32"/>
          <w:szCs w:val="32"/>
          <w:lang w:val="en-US" w:eastAsia="zh-CN"/>
        </w:rPr>
        <w:t>7</w:t>
      </w:r>
      <w:r>
        <w:rPr>
          <w:rFonts w:hint="eastAsia" w:ascii="仿宋" w:hAnsi="仿宋" w:eastAsia="仿宋" w:cs="仿宋"/>
          <w:b/>
          <w:bCs/>
          <w:kern w:val="0"/>
          <w:sz w:val="32"/>
          <w:szCs w:val="32"/>
        </w:rPr>
        <w:t>、节能环保支出（类）环境监测与监察（款）其他环境监测与监察支出（项）</w:t>
      </w:r>
      <w:r>
        <w:rPr>
          <w:rFonts w:hint="eastAsia" w:ascii="仿宋" w:hAnsi="仿宋" w:eastAsia="仿宋" w:cs="仿宋"/>
          <w:kern w:val="0"/>
          <w:sz w:val="32"/>
          <w:szCs w:val="32"/>
          <w:lang w:eastAsia="zh-CN"/>
        </w:rPr>
        <w:t>202</w:t>
      </w:r>
      <w:r>
        <w:rPr>
          <w:rFonts w:hint="eastAsia" w:ascii="仿宋" w:hAnsi="仿宋" w:eastAsia="仿宋" w:cs="仿宋"/>
          <w:kern w:val="0"/>
          <w:sz w:val="32"/>
          <w:szCs w:val="32"/>
          <w:lang w:val="en-US" w:eastAsia="zh-CN"/>
        </w:rPr>
        <w:t>5</w:t>
      </w:r>
      <w:r>
        <w:rPr>
          <w:rFonts w:hint="eastAsia" w:ascii="仿宋" w:hAnsi="仿宋" w:eastAsia="仿宋" w:cs="仿宋"/>
          <w:kern w:val="0"/>
          <w:sz w:val="32"/>
          <w:szCs w:val="32"/>
        </w:rPr>
        <w:t>年预算</w:t>
      </w:r>
      <w:r>
        <w:rPr>
          <w:rFonts w:hint="eastAsia" w:ascii="仿宋" w:hAnsi="仿宋" w:eastAsia="仿宋" w:cs="仿宋"/>
          <w:kern w:val="0"/>
          <w:sz w:val="32"/>
          <w:szCs w:val="32"/>
          <w:lang w:val="en-US" w:eastAsia="zh-CN"/>
        </w:rPr>
        <w:t>576.37</w:t>
      </w:r>
      <w:r>
        <w:rPr>
          <w:rFonts w:hint="eastAsia" w:ascii="仿宋" w:hAnsi="仿宋" w:eastAsia="仿宋" w:cs="仿宋"/>
          <w:kern w:val="0"/>
          <w:sz w:val="32"/>
          <w:szCs w:val="32"/>
        </w:rPr>
        <w:t>万元，比</w:t>
      </w:r>
      <w:r>
        <w:rPr>
          <w:rFonts w:hint="eastAsia" w:ascii="仿宋" w:hAnsi="仿宋" w:eastAsia="仿宋" w:cs="仿宋"/>
          <w:kern w:val="0"/>
          <w:sz w:val="32"/>
          <w:szCs w:val="32"/>
          <w:lang w:eastAsia="zh-CN"/>
        </w:rPr>
        <w:t>202</w:t>
      </w:r>
      <w:r>
        <w:rPr>
          <w:rFonts w:hint="eastAsia" w:ascii="仿宋" w:hAnsi="仿宋" w:eastAsia="仿宋" w:cs="仿宋"/>
          <w:kern w:val="0"/>
          <w:sz w:val="32"/>
          <w:szCs w:val="32"/>
          <w:lang w:val="en-US" w:eastAsia="zh-CN"/>
        </w:rPr>
        <w:t>4</w:t>
      </w:r>
      <w:r>
        <w:rPr>
          <w:rFonts w:hint="eastAsia" w:ascii="仿宋" w:hAnsi="仿宋" w:eastAsia="仿宋" w:cs="仿宋"/>
          <w:kern w:val="0"/>
          <w:sz w:val="32"/>
          <w:szCs w:val="32"/>
          <w:lang w:eastAsia="zh-CN"/>
        </w:rPr>
        <w:t>年</w:t>
      </w:r>
      <w:r>
        <w:rPr>
          <w:rFonts w:hint="eastAsia" w:ascii="仿宋" w:hAnsi="仿宋" w:eastAsia="仿宋" w:cs="仿宋"/>
          <w:kern w:val="0"/>
          <w:sz w:val="32"/>
          <w:szCs w:val="32"/>
        </w:rPr>
        <w:t>预算</w:t>
      </w:r>
      <w:r>
        <w:rPr>
          <w:rFonts w:hint="eastAsia" w:ascii="仿宋" w:hAnsi="仿宋" w:eastAsia="仿宋" w:cs="仿宋"/>
          <w:kern w:val="0"/>
          <w:sz w:val="32"/>
          <w:szCs w:val="32"/>
          <w:lang w:val="en-US" w:eastAsia="zh-CN"/>
        </w:rPr>
        <w:t>减少101.45</w:t>
      </w:r>
      <w:r>
        <w:rPr>
          <w:rFonts w:hint="eastAsia" w:ascii="仿宋" w:hAnsi="仿宋" w:eastAsia="仿宋" w:cs="仿宋"/>
          <w:kern w:val="0"/>
          <w:sz w:val="32"/>
          <w:szCs w:val="32"/>
        </w:rPr>
        <w:t>万元，</w:t>
      </w:r>
      <w:r>
        <w:rPr>
          <w:rFonts w:hint="eastAsia" w:ascii="仿宋" w:hAnsi="仿宋" w:eastAsia="仿宋" w:cs="仿宋"/>
          <w:kern w:val="0"/>
          <w:sz w:val="32"/>
          <w:szCs w:val="32"/>
          <w:lang w:val="en-US" w:eastAsia="zh-CN"/>
        </w:rPr>
        <w:t>下降14.97</w:t>
      </w:r>
      <w:r>
        <w:rPr>
          <w:rFonts w:hint="eastAsia" w:ascii="仿宋" w:hAnsi="仿宋" w:eastAsia="仿宋" w:cs="仿宋"/>
          <w:kern w:val="0"/>
          <w:sz w:val="32"/>
          <w:szCs w:val="32"/>
        </w:rPr>
        <w:t>%，原因主要是</w:t>
      </w:r>
      <w:r>
        <w:rPr>
          <w:rFonts w:hint="eastAsia" w:ascii="仿宋" w:hAnsi="仿宋" w:eastAsia="仿宋" w:cs="仿宋"/>
          <w:sz w:val="32"/>
          <w:szCs w:val="32"/>
        </w:rPr>
        <w:t>人员</w:t>
      </w:r>
      <w:r>
        <w:rPr>
          <w:rFonts w:hint="eastAsia" w:ascii="仿宋" w:hAnsi="仿宋" w:eastAsia="仿宋" w:cs="仿宋"/>
          <w:sz w:val="32"/>
          <w:szCs w:val="32"/>
          <w:lang w:val="en-US" w:eastAsia="zh-CN"/>
        </w:rPr>
        <w:t>变动减少</w:t>
      </w:r>
      <w:r>
        <w:rPr>
          <w:rFonts w:hint="eastAsia" w:ascii="仿宋" w:hAnsi="仿宋" w:eastAsia="仿宋" w:cs="仿宋"/>
          <w:sz w:val="32"/>
          <w:szCs w:val="32"/>
        </w:rPr>
        <w:t>、项目</w:t>
      </w:r>
      <w:r>
        <w:rPr>
          <w:rFonts w:hint="eastAsia" w:ascii="仿宋" w:hAnsi="仿宋" w:eastAsia="仿宋" w:cs="仿宋"/>
          <w:sz w:val="32"/>
          <w:szCs w:val="32"/>
          <w:lang w:eastAsia="zh-CN"/>
        </w:rPr>
        <w:t>及资金额减少</w:t>
      </w:r>
      <w:r>
        <w:rPr>
          <w:rFonts w:hint="eastAsia" w:ascii="仿宋" w:hAnsi="仿宋" w:eastAsia="仿宋" w:cs="仿宋"/>
          <w:kern w:val="0"/>
          <w:sz w:val="32"/>
          <w:szCs w:val="32"/>
        </w:rPr>
        <w:t>。</w:t>
      </w:r>
    </w:p>
    <w:p w14:paraId="7F086EFB">
      <w:pPr>
        <w:keepNext w:val="0"/>
        <w:keepLines w:val="0"/>
        <w:pageBreakBefore w:val="0"/>
        <w:kinsoku/>
        <w:wordWrap/>
        <w:overflowPunct/>
        <w:topLinePunct w:val="0"/>
        <w:autoSpaceDE/>
        <w:autoSpaceDN/>
        <w:bidi w:val="0"/>
        <w:adjustRightInd/>
        <w:spacing w:beforeAutospacing="0" w:afterAutospacing="0" w:line="560" w:lineRule="exact"/>
        <w:ind w:firstLine="643" w:firstLineChars="200"/>
        <w:textAlignment w:val="auto"/>
        <w:rPr>
          <w:rFonts w:hint="eastAsia" w:ascii="仿宋" w:hAnsi="仿宋" w:eastAsia="仿宋" w:cs="仿宋"/>
          <w:kern w:val="0"/>
          <w:sz w:val="32"/>
          <w:szCs w:val="32"/>
        </w:rPr>
      </w:pPr>
      <w:r>
        <w:rPr>
          <w:rFonts w:hint="eastAsia" w:ascii="仿宋" w:hAnsi="仿宋" w:eastAsia="仿宋" w:cs="仿宋"/>
          <w:b/>
          <w:bCs/>
          <w:kern w:val="0"/>
          <w:sz w:val="32"/>
          <w:szCs w:val="32"/>
          <w:lang w:val="en-US" w:eastAsia="zh-CN"/>
        </w:rPr>
        <w:t>8</w:t>
      </w:r>
      <w:r>
        <w:rPr>
          <w:rFonts w:hint="eastAsia" w:ascii="仿宋" w:hAnsi="仿宋" w:eastAsia="仿宋" w:cs="仿宋"/>
          <w:b/>
          <w:bCs/>
          <w:kern w:val="0"/>
          <w:sz w:val="32"/>
          <w:szCs w:val="32"/>
        </w:rPr>
        <w:t>、住房保障支出（类）住房改革支出（款）住房公积金（项）</w:t>
      </w:r>
      <w:r>
        <w:rPr>
          <w:rFonts w:hint="eastAsia" w:ascii="仿宋" w:hAnsi="仿宋" w:eastAsia="仿宋" w:cs="仿宋"/>
          <w:kern w:val="0"/>
          <w:sz w:val="32"/>
          <w:szCs w:val="32"/>
          <w:lang w:eastAsia="zh-CN"/>
        </w:rPr>
        <w:t>202</w:t>
      </w:r>
      <w:r>
        <w:rPr>
          <w:rFonts w:hint="eastAsia" w:ascii="仿宋" w:hAnsi="仿宋" w:eastAsia="仿宋" w:cs="仿宋"/>
          <w:kern w:val="0"/>
          <w:sz w:val="32"/>
          <w:szCs w:val="32"/>
          <w:lang w:val="en-US" w:eastAsia="zh-CN"/>
        </w:rPr>
        <w:t>5</w:t>
      </w:r>
      <w:r>
        <w:rPr>
          <w:rFonts w:hint="eastAsia" w:ascii="仿宋" w:hAnsi="仿宋" w:eastAsia="仿宋" w:cs="仿宋"/>
          <w:kern w:val="0"/>
          <w:sz w:val="32"/>
          <w:szCs w:val="32"/>
        </w:rPr>
        <w:t>年预算</w:t>
      </w:r>
      <w:r>
        <w:rPr>
          <w:rFonts w:hint="eastAsia" w:ascii="仿宋" w:hAnsi="仿宋" w:eastAsia="仿宋" w:cs="仿宋"/>
          <w:kern w:val="0"/>
          <w:sz w:val="32"/>
          <w:szCs w:val="32"/>
          <w:lang w:val="en-US" w:eastAsia="zh-CN"/>
        </w:rPr>
        <w:t>49.6</w:t>
      </w:r>
      <w:r>
        <w:rPr>
          <w:rFonts w:hint="eastAsia" w:ascii="仿宋" w:hAnsi="仿宋" w:eastAsia="仿宋" w:cs="仿宋"/>
          <w:kern w:val="0"/>
          <w:sz w:val="32"/>
          <w:szCs w:val="32"/>
        </w:rPr>
        <w:t>万元，比</w:t>
      </w:r>
      <w:r>
        <w:rPr>
          <w:rFonts w:hint="eastAsia" w:ascii="仿宋" w:hAnsi="仿宋" w:eastAsia="仿宋" w:cs="仿宋"/>
          <w:kern w:val="0"/>
          <w:sz w:val="32"/>
          <w:szCs w:val="32"/>
          <w:lang w:eastAsia="zh-CN"/>
        </w:rPr>
        <w:t>202</w:t>
      </w:r>
      <w:r>
        <w:rPr>
          <w:rFonts w:hint="eastAsia" w:ascii="仿宋" w:hAnsi="仿宋" w:eastAsia="仿宋" w:cs="仿宋"/>
          <w:kern w:val="0"/>
          <w:sz w:val="32"/>
          <w:szCs w:val="32"/>
          <w:lang w:val="en-US" w:eastAsia="zh-CN"/>
        </w:rPr>
        <w:t>4</w:t>
      </w:r>
      <w:r>
        <w:rPr>
          <w:rFonts w:hint="eastAsia" w:ascii="仿宋" w:hAnsi="仿宋" w:eastAsia="仿宋" w:cs="仿宋"/>
          <w:kern w:val="0"/>
          <w:sz w:val="32"/>
          <w:szCs w:val="32"/>
          <w:lang w:eastAsia="zh-CN"/>
        </w:rPr>
        <w:t>年</w:t>
      </w:r>
      <w:r>
        <w:rPr>
          <w:rFonts w:hint="eastAsia" w:ascii="仿宋" w:hAnsi="仿宋" w:eastAsia="仿宋" w:cs="仿宋"/>
          <w:kern w:val="0"/>
          <w:sz w:val="32"/>
          <w:szCs w:val="32"/>
        </w:rPr>
        <w:t>预算</w:t>
      </w:r>
      <w:r>
        <w:rPr>
          <w:rFonts w:hint="eastAsia" w:ascii="仿宋" w:hAnsi="仿宋" w:eastAsia="仿宋" w:cs="仿宋"/>
          <w:kern w:val="0"/>
          <w:sz w:val="32"/>
          <w:szCs w:val="32"/>
          <w:lang w:eastAsia="zh-CN"/>
        </w:rPr>
        <w:t>减少</w:t>
      </w:r>
      <w:r>
        <w:rPr>
          <w:rFonts w:hint="eastAsia" w:ascii="仿宋" w:hAnsi="仿宋" w:eastAsia="仿宋" w:cs="仿宋"/>
          <w:kern w:val="0"/>
          <w:sz w:val="32"/>
          <w:szCs w:val="32"/>
          <w:lang w:val="en-US" w:eastAsia="zh-CN"/>
        </w:rPr>
        <w:t>4.5</w:t>
      </w:r>
      <w:r>
        <w:rPr>
          <w:rFonts w:hint="eastAsia" w:ascii="仿宋" w:hAnsi="仿宋" w:eastAsia="仿宋" w:cs="仿宋"/>
          <w:kern w:val="0"/>
          <w:sz w:val="32"/>
          <w:szCs w:val="32"/>
        </w:rPr>
        <w:t>万元，</w:t>
      </w:r>
      <w:r>
        <w:rPr>
          <w:rFonts w:hint="eastAsia" w:ascii="仿宋" w:hAnsi="仿宋" w:eastAsia="仿宋" w:cs="仿宋"/>
          <w:kern w:val="0"/>
          <w:sz w:val="32"/>
          <w:szCs w:val="32"/>
          <w:lang w:eastAsia="zh-CN"/>
        </w:rPr>
        <w:t>下降</w:t>
      </w:r>
      <w:r>
        <w:rPr>
          <w:rFonts w:hint="eastAsia" w:ascii="仿宋" w:hAnsi="仿宋" w:eastAsia="仿宋" w:cs="仿宋"/>
          <w:kern w:val="0"/>
          <w:sz w:val="32"/>
          <w:szCs w:val="32"/>
          <w:lang w:val="en-US" w:eastAsia="zh-CN"/>
        </w:rPr>
        <w:t>8.32</w:t>
      </w:r>
      <w:r>
        <w:rPr>
          <w:rFonts w:hint="eastAsia" w:ascii="仿宋" w:hAnsi="仿宋" w:eastAsia="仿宋" w:cs="仿宋"/>
          <w:kern w:val="0"/>
          <w:sz w:val="32"/>
          <w:szCs w:val="32"/>
        </w:rPr>
        <w:t>%，原因主要是</w:t>
      </w:r>
      <w:r>
        <w:rPr>
          <w:rFonts w:hint="eastAsia" w:ascii="仿宋" w:hAnsi="仿宋" w:eastAsia="仿宋" w:cs="仿宋"/>
          <w:sz w:val="32"/>
          <w:szCs w:val="32"/>
          <w:lang w:eastAsia="zh-CN"/>
        </w:rPr>
        <w:t>人员退休、辞职</w:t>
      </w:r>
      <w:r>
        <w:rPr>
          <w:rFonts w:hint="eastAsia" w:ascii="仿宋" w:hAnsi="仿宋" w:eastAsia="仿宋" w:cs="仿宋"/>
          <w:kern w:val="0"/>
          <w:sz w:val="32"/>
          <w:szCs w:val="32"/>
        </w:rPr>
        <w:t>。</w:t>
      </w:r>
    </w:p>
    <w:p w14:paraId="5D46A0A0">
      <w:pPr>
        <w:keepNext w:val="0"/>
        <w:keepLines w:val="0"/>
        <w:pageBreakBefore w:val="0"/>
        <w:kinsoku/>
        <w:wordWrap/>
        <w:overflowPunct/>
        <w:topLinePunct w:val="0"/>
        <w:autoSpaceDE/>
        <w:autoSpaceDN/>
        <w:bidi w:val="0"/>
        <w:adjustRightInd/>
        <w:spacing w:beforeAutospacing="0" w:afterAutospacing="0" w:line="560" w:lineRule="exact"/>
        <w:ind w:firstLine="643" w:firstLineChars="200"/>
        <w:textAlignment w:val="auto"/>
        <w:rPr>
          <w:rFonts w:hint="eastAsia" w:ascii="仿宋" w:hAnsi="仿宋" w:eastAsia="仿宋" w:cs="仿宋"/>
          <w:kern w:val="0"/>
          <w:sz w:val="32"/>
          <w:szCs w:val="32"/>
        </w:rPr>
      </w:pPr>
      <w:r>
        <w:rPr>
          <w:rFonts w:hint="eastAsia" w:ascii="仿宋" w:hAnsi="仿宋" w:eastAsia="仿宋" w:cs="仿宋"/>
          <w:b/>
          <w:bCs/>
          <w:kern w:val="0"/>
          <w:sz w:val="32"/>
          <w:szCs w:val="32"/>
          <w:lang w:val="en-US" w:eastAsia="zh-CN"/>
        </w:rPr>
        <w:t>9</w:t>
      </w:r>
      <w:r>
        <w:rPr>
          <w:rFonts w:hint="eastAsia" w:ascii="仿宋" w:hAnsi="仿宋" w:eastAsia="仿宋" w:cs="仿宋"/>
          <w:b/>
          <w:bCs/>
          <w:kern w:val="0"/>
          <w:sz w:val="32"/>
          <w:szCs w:val="32"/>
        </w:rPr>
        <w:t>、住房保障支出（类）住房改革支出（款）购房补贴（项）</w:t>
      </w:r>
      <w:r>
        <w:rPr>
          <w:rFonts w:hint="eastAsia" w:ascii="仿宋" w:hAnsi="仿宋" w:eastAsia="仿宋" w:cs="仿宋"/>
          <w:kern w:val="0"/>
          <w:sz w:val="32"/>
          <w:szCs w:val="32"/>
          <w:lang w:eastAsia="zh-CN"/>
        </w:rPr>
        <w:t>202</w:t>
      </w:r>
      <w:r>
        <w:rPr>
          <w:rFonts w:hint="eastAsia" w:ascii="仿宋" w:hAnsi="仿宋" w:eastAsia="仿宋" w:cs="仿宋"/>
          <w:kern w:val="0"/>
          <w:sz w:val="32"/>
          <w:szCs w:val="32"/>
          <w:lang w:val="en-US" w:eastAsia="zh-CN"/>
        </w:rPr>
        <w:t>5</w:t>
      </w:r>
      <w:r>
        <w:rPr>
          <w:rFonts w:hint="eastAsia" w:ascii="仿宋" w:hAnsi="仿宋" w:eastAsia="仿宋" w:cs="仿宋"/>
          <w:kern w:val="0"/>
          <w:sz w:val="32"/>
          <w:szCs w:val="32"/>
        </w:rPr>
        <w:t>年预算</w:t>
      </w:r>
      <w:r>
        <w:rPr>
          <w:rFonts w:hint="eastAsia" w:ascii="仿宋" w:hAnsi="仿宋" w:eastAsia="仿宋" w:cs="仿宋"/>
          <w:kern w:val="0"/>
          <w:sz w:val="32"/>
          <w:szCs w:val="32"/>
          <w:lang w:val="en-US" w:eastAsia="zh-CN"/>
        </w:rPr>
        <w:t>20.66</w:t>
      </w:r>
      <w:r>
        <w:rPr>
          <w:rFonts w:hint="eastAsia" w:ascii="仿宋" w:hAnsi="仿宋" w:eastAsia="仿宋" w:cs="仿宋"/>
          <w:kern w:val="0"/>
          <w:sz w:val="32"/>
          <w:szCs w:val="32"/>
        </w:rPr>
        <w:t>万元，比</w:t>
      </w:r>
      <w:r>
        <w:rPr>
          <w:rFonts w:hint="eastAsia" w:ascii="仿宋" w:hAnsi="仿宋" w:eastAsia="仿宋" w:cs="仿宋"/>
          <w:kern w:val="0"/>
          <w:sz w:val="32"/>
          <w:szCs w:val="32"/>
          <w:lang w:eastAsia="zh-CN"/>
        </w:rPr>
        <w:t>202</w:t>
      </w:r>
      <w:r>
        <w:rPr>
          <w:rFonts w:hint="eastAsia" w:ascii="仿宋" w:hAnsi="仿宋" w:eastAsia="仿宋" w:cs="仿宋"/>
          <w:kern w:val="0"/>
          <w:sz w:val="32"/>
          <w:szCs w:val="32"/>
          <w:lang w:val="en-US" w:eastAsia="zh-CN"/>
        </w:rPr>
        <w:t>4</w:t>
      </w:r>
      <w:r>
        <w:rPr>
          <w:rFonts w:hint="eastAsia" w:ascii="仿宋" w:hAnsi="仿宋" w:eastAsia="仿宋" w:cs="仿宋"/>
          <w:kern w:val="0"/>
          <w:sz w:val="32"/>
          <w:szCs w:val="32"/>
          <w:lang w:eastAsia="zh-CN"/>
        </w:rPr>
        <w:t>年</w:t>
      </w:r>
      <w:r>
        <w:rPr>
          <w:rFonts w:hint="eastAsia" w:ascii="仿宋" w:hAnsi="仿宋" w:eastAsia="仿宋" w:cs="仿宋"/>
          <w:kern w:val="0"/>
          <w:sz w:val="32"/>
          <w:szCs w:val="32"/>
        </w:rPr>
        <w:t>预算</w:t>
      </w:r>
      <w:r>
        <w:rPr>
          <w:rFonts w:hint="eastAsia" w:ascii="仿宋" w:hAnsi="仿宋" w:eastAsia="仿宋" w:cs="仿宋"/>
          <w:kern w:val="0"/>
          <w:sz w:val="32"/>
          <w:szCs w:val="32"/>
          <w:lang w:eastAsia="zh-CN"/>
        </w:rPr>
        <w:t>减少</w:t>
      </w:r>
      <w:r>
        <w:rPr>
          <w:rFonts w:hint="eastAsia" w:ascii="仿宋" w:hAnsi="仿宋" w:eastAsia="仿宋" w:cs="仿宋"/>
          <w:kern w:val="0"/>
          <w:sz w:val="32"/>
          <w:szCs w:val="32"/>
          <w:lang w:val="en-US" w:eastAsia="zh-CN"/>
        </w:rPr>
        <w:t>1.88</w:t>
      </w:r>
      <w:r>
        <w:rPr>
          <w:rFonts w:hint="eastAsia" w:ascii="仿宋" w:hAnsi="仿宋" w:eastAsia="仿宋" w:cs="仿宋"/>
          <w:kern w:val="0"/>
          <w:sz w:val="32"/>
          <w:szCs w:val="32"/>
        </w:rPr>
        <w:t>万元，</w:t>
      </w:r>
      <w:r>
        <w:rPr>
          <w:rFonts w:hint="eastAsia" w:ascii="仿宋" w:hAnsi="仿宋" w:eastAsia="仿宋" w:cs="仿宋"/>
          <w:kern w:val="0"/>
          <w:sz w:val="32"/>
          <w:szCs w:val="32"/>
          <w:lang w:eastAsia="zh-CN"/>
        </w:rPr>
        <w:t>下降</w:t>
      </w:r>
      <w:r>
        <w:rPr>
          <w:rFonts w:hint="eastAsia" w:ascii="仿宋" w:hAnsi="仿宋" w:eastAsia="仿宋" w:cs="仿宋"/>
          <w:kern w:val="0"/>
          <w:sz w:val="32"/>
          <w:szCs w:val="32"/>
          <w:lang w:val="en-US" w:eastAsia="zh-CN"/>
        </w:rPr>
        <w:t>8.34</w:t>
      </w:r>
      <w:r>
        <w:rPr>
          <w:rFonts w:hint="eastAsia" w:ascii="仿宋" w:hAnsi="仿宋" w:eastAsia="仿宋" w:cs="仿宋"/>
          <w:kern w:val="0"/>
          <w:sz w:val="32"/>
          <w:szCs w:val="32"/>
        </w:rPr>
        <w:t>%，原因主要是</w:t>
      </w:r>
      <w:r>
        <w:rPr>
          <w:rFonts w:hint="eastAsia" w:ascii="仿宋" w:hAnsi="仿宋" w:eastAsia="仿宋" w:cs="仿宋"/>
          <w:sz w:val="32"/>
          <w:szCs w:val="32"/>
          <w:lang w:eastAsia="zh-CN"/>
        </w:rPr>
        <w:t>人员退休、辞职</w:t>
      </w:r>
      <w:r>
        <w:rPr>
          <w:rFonts w:hint="eastAsia" w:ascii="仿宋" w:hAnsi="仿宋" w:eastAsia="仿宋" w:cs="仿宋"/>
          <w:kern w:val="0"/>
          <w:sz w:val="32"/>
          <w:szCs w:val="32"/>
        </w:rPr>
        <w:t>。</w:t>
      </w:r>
    </w:p>
    <w:p w14:paraId="43C552CD">
      <w:pPr>
        <w:pStyle w:val="6"/>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bCs w:val="0"/>
          <w:sz w:val="32"/>
          <w:szCs w:val="32"/>
        </w:rPr>
      </w:pPr>
      <w:r>
        <w:rPr>
          <w:rFonts w:hint="eastAsia" w:ascii="仿宋" w:hAnsi="仿宋" w:eastAsia="仿宋" w:cs="仿宋"/>
          <w:b/>
          <w:bCs w:val="0"/>
          <w:sz w:val="32"/>
          <w:szCs w:val="32"/>
        </w:rPr>
        <w:t>六、关于2025年一般公共预算基本支出表的说明</w:t>
      </w:r>
    </w:p>
    <w:p w14:paraId="085A3A78">
      <w:pPr>
        <w:keepNext w:val="0"/>
        <w:keepLines w:val="0"/>
        <w:pageBreakBefore w:val="0"/>
        <w:kinsoku/>
        <w:wordWrap/>
        <w:overflowPunct/>
        <w:topLinePunct w:val="0"/>
        <w:autoSpaceDE/>
        <w:autoSpaceDN/>
        <w:bidi w:val="0"/>
        <w:adjustRightInd/>
        <w:spacing w:beforeAutospacing="0" w:afterAutospacing="0"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bCs/>
          <w:sz w:val="32"/>
          <w:szCs w:val="32"/>
        </w:rPr>
        <w:t>淮北市生态环境保护综合行政执法支队</w:t>
      </w:r>
      <w:r>
        <w:rPr>
          <w:rFonts w:hint="eastAsia" w:ascii="仿宋" w:hAnsi="仿宋" w:eastAsia="仿宋" w:cs="仿宋"/>
          <w:kern w:val="0"/>
          <w:sz w:val="32"/>
          <w:szCs w:val="32"/>
        </w:rPr>
        <w:t>2025年一般公共预算基本支出</w:t>
      </w:r>
      <w:r>
        <w:rPr>
          <w:rFonts w:hint="eastAsia" w:ascii="仿宋" w:hAnsi="仿宋" w:eastAsia="仿宋" w:cs="仿宋"/>
          <w:kern w:val="0"/>
          <w:sz w:val="32"/>
          <w:szCs w:val="32"/>
          <w:lang w:val="en-US" w:eastAsia="zh-CN"/>
        </w:rPr>
        <w:t>593.95</w:t>
      </w:r>
      <w:r>
        <w:rPr>
          <w:rFonts w:hint="eastAsia" w:ascii="仿宋" w:hAnsi="仿宋" w:eastAsia="仿宋" w:cs="仿宋"/>
          <w:kern w:val="0"/>
          <w:sz w:val="32"/>
          <w:szCs w:val="32"/>
        </w:rPr>
        <w:t>万元，其中，人员经费</w:t>
      </w:r>
      <w:r>
        <w:rPr>
          <w:rFonts w:hint="eastAsia" w:ascii="仿宋" w:hAnsi="仿宋" w:eastAsia="仿宋" w:cs="仿宋"/>
          <w:kern w:val="0"/>
          <w:sz w:val="32"/>
          <w:szCs w:val="32"/>
          <w:lang w:val="en-US" w:eastAsia="zh-CN"/>
        </w:rPr>
        <w:t>557.95</w:t>
      </w:r>
      <w:r>
        <w:rPr>
          <w:rFonts w:hint="eastAsia" w:ascii="仿宋" w:hAnsi="仿宋" w:eastAsia="仿宋" w:cs="仿宋"/>
          <w:kern w:val="0"/>
          <w:sz w:val="32"/>
          <w:szCs w:val="32"/>
        </w:rPr>
        <w:t>万元，公用经费</w:t>
      </w:r>
      <w:r>
        <w:rPr>
          <w:rFonts w:hint="eastAsia" w:ascii="仿宋" w:hAnsi="仿宋" w:eastAsia="仿宋" w:cs="仿宋"/>
          <w:kern w:val="0"/>
          <w:sz w:val="32"/>
          <w:szCs w:val="32"/>
          <w:lang w:val="en-US" w:eastAsia="zh-CN"/>
        </w:rPr>
        <w:t>36</w:t>
      </w:r>
      <w:r>
        <w:rPr>
          <w:rFonts w:hint="eastAsia" w:ascii="仿宋" w:hAnsi="仿宋" w:eastAsia="仿宋" w:cs="仿宋"/>
          <w:kern w:val="0"/>
          <w:sz w:val="32"/>
          <w:szCs w:val="32"/>
        </w:rPr>
        <w:t>万元。</w:t>
      </w:r>
    </w:p>
    <w:p w14:paraId="45B970B0">
      <w:pPr>
        <w:keepNext w:val="0"/>
        <w:keepLines w:val="0"/>
        <w:pageBreakBefore w:val="0"/>
        <w:kinsoku/>
        <w:wordWrap/>
        <w:overflowPunct/>
        <w:topLinePunct w:val="0"/>
        <w:autoSpaceDE/>
        <w:autoSpaceDN/>
        <w:bidi w:val="0"/>
        <w:adjustRightInd/>
        <w:spacing w:beforeAutospacing="0" w:afterAutospacing="0" w:line="560" w:lineRule="exact"/>
        <w:ind w:firstLine="643" w:firstLineChars="200"/>
        <w:textAlignment w:val="auto"/>
        <w:rPr>
          <w:rFonts w:hint="eastAsia" w:ascii="仿宋" w:hAnsi="仿宋" w:eastAsia="仿宋" w:cs="仿宋"/>
          <w:kern w:val="0"/>
          <w:sz w:val="32"/>
          <w:szCs w:val="32"/>
        </w:rPr>
      </w:pPr>
      <w:r>
        <w:rPr>
          <w:rFonts w:hint="eastAsia" w:ascii="仿宋" w:hAnsi="仿宋" w:eastAsia="仿宋" w:cs="仿宋"/>
          <w:b/>
          <w:kern w:val="0"/>
          <w:sz w:val="32"/>
          <w:szCs w:val="32"/>
        </w:rPr>
        <w:t>（一）人员经费</w:t>
      </w:r>
      <w:r>
        <w:rPr>
          <w:rFonts w:hint="eastAsia" w:ascii="仿宋" w:hAnsi="仿宋" w:eastAsia="仿宋" w:cs="仿宋"/>
          <w:b/>
          <w:kern w:val="0"/>
          <w:sz w:val="32"/>
          <w:szCs w:val="32"/>
          <w:lang w:val="en-US" w:eastAsia="zh-CN"/>
        </w:rPr>
        <w:t>557.95</w:t>
      </w:r>
      <w:r>
        <w:rPr>
          <w:rFonts w:hint="eastAsia" w:ascii="仿宋" w:hAnsi="仿宋" w:eastAsia="仿宋" w:cs="仿宋"/>
          <w:b/>
          <w:kern w:val="0"/>
          <w:sz w:val="32"/>
          <w:szCs w:val="32"/>
        </w:rPr>
        <w:t>万元，</w:t>
      </w:r>
      <w:r>
        <w:rPr>
          <w:rFonts w:hint="eastAsia" w:ascii="仿宋" w:hAnsi="仿宋" w:eastAsia="仿宋" w:cs="仿宋"/>
          <w:kern w:val="0"/>
          <w:sz w:val="32"/>
          <w:szCs w:val="32"/>
        </w:rPr>
        <w:t>主要包括:基本工资、津贴补贴、奖金、绩效工资、机关事业单位基本养老保险费、职业年金缴费、职工基本医疗保险缴费、公务员医疗补助缴费、其他社会保障缴费、办公费</w:t>
      </w:r>
      <w:r>
        <w:rPr>
          <w:rFonts w:hint="eastAsia" w:ascii="仿宋" w:hAnsi="仿宋" w:eastAsia="仿宋" w:cs="仿宋"/>
          <w:kern w:val="0"/>
          <w:sz w:val="32"/>
          <w:szCs w:val="32"/>
          <w:lang w:eastAsia="zh-CN"/>
        </w:rPr>
        <w:t>、</w:t>
      </w:r>
      <w:r>
        <w:rPr>
          <w:rFonts w:hint="eastAsia" w:ascii="仿宋" w:hAnsi="仿宋" w:eastAsia="仿宋" w:cs="仿宋"/>
          <w:kern w:val="0"/>
          <w:sz w:val="32"/>
          <w:szCs w:val="32"/>
        </w:rPr>
        <w:t>工会经费、福利费、其他商品和服务支出</w:t>
      </w:r>
      <w:r>
        <w:rPr>
          <w:rFonts w:hint="eastAsia" w:ascii="仿宋" w:hAnsi="仿宋" w:eastAsia="仿宋" w:cs="仿宋"/>
          <w:kern w:val="0"/>
          <w:sz w:val="32"/>
          <w:szCs w:val="32"/>
          <w:lang w:eastAsia="zh-CN"/>
        </w:rPr>
        <w:t>、</w:t>
      </w:r>
      <w:r>
        <w:rPr>
          <w:rFonts w:hint="eastAsia" w:ascii="仿宋" w:hAnsi="仿宋" w:eastAsia="仿宋" w:cs="仿宋"/>
          <w:kern w:val="0"/>
          <w:sz w:val="32"/>
          <w:szCs w:val="32"/>
        </w:rPr>
        <w:t>住房公积金、其他工资福利支出、退休费、医疗费补助、奖励金、对其他个人和家庭的补助支出。</w:t>
      </w:r>
    </w:p>
    <w:p w14:paraId="1C227EC1">
      <w:pPr>
        <w:keepNext w:val="0"/>
        <w:keepLines w:val="0"/>
        <w:pageBreakBefore w:val="0"/>
        <w:kinsoku/>
        <w:wordWrap/>
        <w:overflowPunct/>
        <w:topLinePunct w:val="0"/>
        <w:autoSpaceDE/>
        <w:autoSpaceDN/>
        <w:bidi w:val="0"/>
        <w:adjustRightInd/>
        <w:spacing w:beforeAutospacing="0" w:afterAutospacing="0" w:line="560" w:lineRule="exact"/>
        <w:ind w:firstLine="643" w:firstLineChars="200"/>
        <w:textAlignment w:val="auto"/>
        <w:rPr>
          <w:rFonts w:hint="eastAsia" w:ascii="仿宋" w:hAnsi="仿宋" w:eastAsia="仿宋" w:cs="仿宋"/>
          <w:kern w:val="0"/>
          <w:sz w:val="32"/>
          <w:szCs w:val="32"/>
        </w:rPr>
      </w:pPr>
      <w:r>
        <w:rPr>
          <w:rFonts w:hint="eastAsia" w:ascii="仿宋" w:hAnsi="仿宋" w:eastAsia="仿宋" w:cs="仿宋"/>
          <w:b/>
          <w:kern w:val="0"/>
          <w:sz w:val="32"/>
          <w:szCs w:val="32"/>
        </w:rPr>
        <w:t>（二）公用经费</w:t>
      </w:r>
      <w:r>
        <w:rPr>
          <w:rFonts w:hint="eastAsia" w:ascii="仿宋" w:hAnsi="仿宋" w:eastAsia="仿宋" w:cs="仿宋"/>
          <w:b/>
          <w:kern w:val="0"/>
          <w:sz w:val="32"/>
          <w:szCs w:val="32"/>
          <w:lang w:val="en-US" w:eastAsia="zh-CN"/>
        </w:rPr>
        <w:t>36</w:t>
      </w:r>
      <w:r>
        <w:rPr>
          <w:rFonts w:hint="eastAsia" w:ascii="仿宋" w:hAnsi="仿宋" w:eastAsia="仿宋" w:cs="仿宋"/>
          <w:b/>
          <w:kern w:val="0"/>
          <w:sz w:val="32"/>
          <w:szCs w:val="32"/>
        </w:rPr>
        <w:t>万元，</w:t>
      </w:r>
      <w:r>
        <w:rPr>
          <w:rFonts w:hint="eastAsia" w:ascii="仿宋" w:hAnsi="仿宋" w:eastAsia="仿宋" w:cs="仿宋"/>
          <w:kern w:val="0"/>
          <w:sz w:val="32"/>
          <w:szCs w:val="32"/>
        </w:rPr>
        <w:t>主要包括：办公费、其他商品服务支出。</w:t>
      </w:r>
    </w:p>
    <w:p w14:paraId="3BEEF0D2">
      <w:pPr>
        <w:pStyle w:val="6"/>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bCs w:val="0"/>
          <w:sz w:val="32"/>
          <w:szCs w:val="32"/>
        </w:rPr>
      </w:pPr>
      <w:r>
        <w:rPr>
          <w:rFonts w:hint="eastAsia" w:ascii="仿宋" w:hAnsi="仿宋" w:eastAsia="仿宋" w:cs="仿宋"/>
          <w:b/>
          <w:bCs w:val="0"/>
          <w:sz w:val="32"/>
          <w:szCs w:val="32"/>
        </w:rPr>
        <w:t>七、关于2025年政府性基金预算支出表的说明</w:t>
      </w:r>
    </w:p>
    <w:p w14:paraId="54FC18BC">
      <w:pPr>
        <w:keepNext w:val="0"/>
        <w:keepLines w:val="0"/>
        <w:pageBreakBefore w:val="0"/>
        <w:kinsoku/>
        <w:wordWrap/>
        <w:overflowPunct/>
        <w:topLinePunct w:val="0"/>
        <w:autoSpaceDE/>
        <w:autoSpaceDN/>
        <w:bidi w:val="0"/>
        <w:adjustRightInd/>
        <w:spacing w:beforeAutospacing="0" w:afterAutospacing="0"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bCs/>
          <w:sz w:val="32"/>
          <w:szCs w:val="32"/>
        </w:rPr>
        <w:t>淮北市生态环境保护综合行政执法支队</w:t>
      </w:r>
      <w:r>
        <w:rPr>
          <w:rFonts w:hint="eastAsia" w:ascii="仿宋" w:hAnsi="仿宋" w:eastAsia="仿宋" w:cs="仿宋"/>
          <w:kern w:val="0"/>
          <w:sz w:val="32"/>
          <w:szCs w:val="32"/>
        </w:rPr>
        <w:t>2025年没有政府性基金预算拨款收入，也没有使用政府性基金预算拨款安排的支出。</w:t>
      </w:r>
    </w:p>
    <w:p w14:paraId="4513BE35">
      <w:pPr>
        <w:pStyle w:val="6"/>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bCs w:val="0"/>
          <w:sz w:val="32"/>
          <w:szCs w:val="32"/>
        </w:rPr>
      </w:pPr>
      <w:r>
        <w:rPr>
          <w:rFonts w:hint="eastAsia" w:ascii="仿宋" w:hAnsi="仿宋" w:eastAsia="仿宋" w:cs="仿宋"/>
          <w:b/>
          <w:bCs w:val="0"/>
          <w:sz w:val="32"/>
          <w:szCs w:val="32"/>
        </w:rPr>
        <w:t>八、关于2025年国有资本经营预算支出表的说明</w:t>
      </w:r>
    </w:p>
    <w:p w14:paraId="092C7FDF">
      <w:pPr>
        <w:keepNext w:val="0"/>
        <w:keepLines w:val="0"/>
        <w:pageBreakBefore w:val="0"/>
        <w:kinsoku/>
        <w:wordWrap/>
        <w:overflowPunct/>
        <w:topLinePunct w:val="0"/>
        <w:autoSpaceDE/>
        <w:autoSpaceDN/>
        <w:bidi w:val="0"/>
        <w:adjustRightInd/>
        <w:spacing w:beforeAutospacing="0" w:afterAutospacing="0"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bCs/>
          <w:sz w:val="32"/>
          <w:szCs w:val="32"/>
        </w:rPr>
        <w:t>淮北市生态环境保护综合行政执法支队</w:t>
      </w:r>
      <w:r>
        <w:rPr>
          <w:rFonts w:hint="eastAsia" w:ascii="仿宋" w:hAnsi="仿宋" w:eastAsia="仿宋" w:cs="仿宋"/>
          <w:kern w:val="0"/>
          <w:sz w:val="32"/>
          <w:szCs w:val="32"/>
        </w:rPr>
        <w:t>2025年没有国有资本经营预算拨款收入，也没有使用国有资本经营预算拨款安排的支出。</w:t>
      </w:r>
    </w:p>
    <w:p w14:paraId="1EB18EE5">
      <w:pPr>
        <w:pStyle w:val="6"/>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bCs w:val="0"/>
          <w:sz w:val="32"/>
          <w:szCs w:val="32"/>
        </w:rPr>
      </w:pPr>
      <w:r>
        <w:rPr>
          <w:rFonts w:hint="eastAsia" w:ascii="仿宋" w:hAnsi="仿宋" w:eastAsia="仿宋" w:cs="仿宋"/>
          <w:b/>
          <w:bCs w:val="0"/>
          <w:sz w:val="32"/>
          <w:szCs w:val="32"/>
        </w:rPr>
        <w:t>九、关于2025年项目支出表的说明</w:t>
      </w:r>
    </w:p>
    <w:p w14:paraId="64D495CF">
      <w:pPr>
        <w:keepNext w:val="0"/>
        <w:keepLines w:val="0"/>
        <w:pageBreakBefore w:val="0"/>
        <w:kinsoku/>
        <w:wordWrap/>
        <w:overflowPunct/>
        <w:topLinePunct w:val="0"/>
        <w:autoSpaceDE/>
        <w:autoSpaceDN/>
        <w:bidi w:val="0"/>
        <w:adjustRightInd/>
        <w:spacing w:beforeAutospacing="0" w:afterAutospacing="0"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bCs/>
          <w:sz w:val="32"/>
          <w:szCs w:val="32"/>
        </w:rPr>
        <w:t>淮北市生态环境保护综合行政执法支队</w:t>
      </w:r>
      <w:r>
        <w:rPr>
          <w:rFonts w:hint="eastAsia" w:ascii="仿宋" w:hAnsi="仿宋" w:eastAsia="仿宋" w:cs="仿宋"/>
          <w:kern w:val="0"/>
          <w:sz w:val="32"/>
          <w:szCs w:val="32"/>
        </w:rPr>
        <w:t>2025年没有使用一般公共预算拨款、政府性基金预算拨款、国有资本经营预算拨款、财政专户管理资金和单位资金安排的项目支出。</w:t>
      </w:r>
    </w:p>
    <w:p w14:paraId="03E91EA9">
      <w:pPr>
        <w:pStyle w:val="6"/>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bCs w:val="0"/>
          <w:sz w:val="32"/>
          <w:szCs w:val="32"/>
        </w:rPr>
      </w:pPr>
      <w:r>
        <w:rPr>
          <w:rFonts w:hint="eastAsia" w:ascii="仿宋" w:hAnsi="仿宋" w:eastAsia="仿宋" w:cs="仿宋"/>
          <w:b/>
          <w:bCs w:val="0"/>
          <w:sz w:val="32"/>
          <w:szCs w:val="32"/>
        </w:rPr>
        <w:t>十、关于2025年政府采购支出表的说明</w:t>
      </w:r>
    </w:p>
    <w:p w14:paraId="5AFB4DE8">
      <w:pPr>
        <w:keepNext w:val="0"/>
        <w:keepLines w:val="0"/>
        <w:pageBreakBefore w:val="0"/>
        <w:kinsoku/>
        <w:wordWrap/>
        <w:overflowPunct/>
        <w:topLinePunct w:val="0"/>
        <w:autoSpaceDE/>
        <w:autoSpaceDN/>
        <w:bidi w:val="0"/>
        <w:adjustRightInd/>
        <w:spacing w:beforeAutospacing="0" w:afterAutospacing="0"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bCs/>
          <w:sz w:val="32"/>
          <w:szCs w:val="32"/>
        </w:rPr>
        <w:t>淮北市生态环境保护综合行政执法支队</w:t>
      </w:r>
      <w:r>
        <w:rPr>
          <w:rFonts w:hint="eastAsia" w:ascii="仿宋" w:hAnsi="仿宋" w:eastAsia="仿宋" w:cs="仿宋"/>
          <w:kern w:val="0"/>
          <w:sz w:val="32"/>
          <w:szCs w:val="32"/>
        </w:rPr>
        <w:t>2025年没有使用一般公共预算拨款、政府性基金预算拨款、国有资本经营预算拨款、财政专户管理资金和单位资金安排的政府采购支出。</w:t>
      </w:r>
    </w:p>
    <w:p w14:paraId="7A6FB063">
      <w:pPr>
        <w:pStyle w:val="6"/>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bCs w:val="0"/>
          <w:color w:val="FF0000"/>
          <w:sz w:val="32"/>
          <w:szCs w:val="32"/>
        </w:rPr>
      </w:pPr>
      <w:r>
        <w:rPr>
          <w:rFonts w:hint="eastAsia" w:ascii="仿宋" w:hAnsi="仿宋" w:eastAsia="仿宋" w:cs="仿宋"/>
          <w:b/>
          <w:bCs w:val="0"/>
          <w:sz w:val="32"/>
          <w:szCs w:val="32"/>
        </w:rPr>
        <w:t>十一、关于2025年政府购买服务支出表的说明</w:t>
      </w:r>
    </w:p>
    <w:p w14:paraId="6A1DCB1A">
      <w:pPr>
        <w:keepNext w:val="0"/>
        <w:keepLines w:val="0"/>
        <w:pageBreakBefore w:val="0"/>
        <w:kinsoku/>
        <w:wordWrap/>
        <w:overflowPunct/>
        <w:topLinePunct w:val="0"/>
        <w:autoSpaceDE/>
        <w:autoSpaceDN/>
        <w:bidi w:val="0"/>
        <w:adjustRightInd/>
        <w:spacing w:beforeAutospacing="0" w:afterAutospacing="0"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bCs/>
          <w:sz w:val="32"/>
          <w:szCs w:val="32"/>
        </w:rPr>
        <w:t>淮北市生态环境保护综合行政执法支队</w:t>
      </w:r>
      <w:r>
        <w:rPr>
          <w:rFonts w:hint="eastAsia" w:ascii="仿宋" w:hAnsi="仿宋" w:eastAsia="仿宋" w:cs="仿宋"/>
          <w:kern w:val="0"/>
          <w:sz w:val="32"/>
          <w:szCs w:val="32"/>
        </w:rPr>
        <w:t>2025年没有安排政府购买服务支出。</w:t>
      </w:r>
    </w:p>
    <w:p w14:paraId="172C4FFE">
      <w:pPr>
        <w:pStyle w:val="6"/>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bCs/>
          <w:sz w:val="32"/>
          <w:szCs w:val="32"/>
        </w:rPr>
      </w:pPr>
      <w:r>
        <w:rPr>
          <w:rFonts w:hint="eastAsia" w:ascii="仿宋" w:hAnsi="仿宋" w:eastAsia="仿宋" w:cs="仿宋"/>
          <w:b/>
          <w:bCs/>
          <w:sz w:val="32"/>
          <w:szCs w:val="32"/>
        </w:rPr>
        <w:t>十二、关于2025年通用资产配置支出表的说明</w:t>
      </w:r>
    </w:p>
    <w:p w14:paraId="29D0452A">
      <w:pPr>
        <w:pStyle w:val="6"/>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0" w:firstLineChars="200"/>
        <w:textAlignment w:val="auto"/>
        <w:outlineLvl w:val="0"/>
        <w:rPr>
          <w:rFonts w:hint="eastAsia" w:ascii="仿宋" w:hAnsi="仿宋" w:eastAsia="仿宋" w:cs="仿宋"/>
          <w:sz w:val="32"/>
          <w:szCs w:val="32"/>
        </w:rPr>
      </w:pPr>
      <w:r>
        <w:rPr>
          <w:rFonts w:hint="eastAsia" w:ascii="仿宋" w:hAnsi="仿宋" w:eastAsia="仿宋" w:cs="仿宋"/>
          <w:bCs/>
          <w:sz w:val="32"/>
          <w:szCs w:val="32"/>
        </w:rPr>
        <w:t>淮北市生态环境保护综合行政执法支队</w:t>
      </w:r>
      <w:r>
        <w:rPr>
          <w:rFonts w:hint="eastAsia" w:ascii="仿宋" w:hAnsi="仿宋" w:eastAsia="仿宋" w:cs="仿宋"/>
          <w:sz w:val="32"/>
          <w:szCs w:val="32"/>
        </w:rPr>
        <w:t>2025年没有安排通用资产配置支出。</w:t>
      </w:r>
    </w:p>
    <w:p w14:paraId="42119FDE">
      <w:pPr>
        <w:pStyle w:val="6"/>
        <w:adjustRightInd w:val="0"/>
        <w:snapToGrid w:val="0"/>
        <w:spacing w:line="560" w:lineRule="exact"/>
        <w:ind w:firstLine="627" w:firstLineChars="196"/>
        <w:rPr>
          <w:rFonts w:ascii="TimesNewRoman" w:hAnsi="TimesNewRoman" w:eastAsia="黑体" w:cs="TimesNewRoman"/>
          <w:bCs/>
          <w:sz w:val="32"/>
          <w:szCs w:val="32"/>
        </w:rPr>
      </w:pPr>
      <w:r>
        <w:rPr>
          <w:rFonts w:hint="eastAsia" w:ascii="TimesNewRoman" w:hAnsi="TimesNewRoman" w:eastAsia="黑体" w:cs="TimesNewRoman"/>
          <w:bCs/>
          <w:sz w:val="32"/>
          <w:szCs w:val="32"/>
        </w:rPr>
        <w:t>十三、其他重要事项情况说明</w:t>
      </w:r>
    </w:p>
    <w:p w14:paraId="730D372B">
      <w:pPr>
        <w:adjustRightInd w:val="0"/>
        <w:snapToGrid w:val="0"/>
        <w:spacing w:line="580" w:lineRule="exact"/>
        <w:ind w:firstLine="643" w:firstLineChars="200"/>
        <w:rPr>
          <w:rFonts w:ascii="TimesNewRoman" w:hAnsi="TimesNewRoman" w:eastAsia="仿宋_GB2312" w:cs="TimesNewRoman"/>
          <w:b/>
          <w:sz w:val="32"/>
          <w:szCs w:val="32"/>
        </w:rPr>
      </w:pPr>
      <w:r>
        <w:rPr>
          <w:rFonts w:hint="eastAsia" w:ascii="TimesNewRoman" w:hAnsi="TimesNewRoman" w:eastAsia="仿宋_GB2312" w:cs="TimesNewRoman"/>
          <w:b/>
          <w:sz w:val="32"/>
          <w:szCs w:val="32"/>
        </w:rPr>
        <w:t>（一）项目及绩效目标情况。</w:t>
      </w:r>
    </w:p>
    <w:p w14:paraId="6EA2988C">
      <w:pPr>
        <w:ind w:firstLine="643" w:firstLineChars="200"/>
        <w:rPr>
          <w:rFonts w:hint="eastAsia" w:ascii="仿宋" w:hAnsi="仿宋" w:eastAsia="仿宋" w:cs="仿宋"/>
          <w:b/>
          <w:bCs/>
          <w:kern w:val="0"/>
          <w:sz w:val="32"/>
          <w:szCs w:val="32"/>
        </w:rPr>
      </w:pPr>
      <w:r>
        <w:rPr>
          <w:rFonts w:hint="eastAsia" w:ascii="仿宋" w:hAnsi="仿宋" w:eastAsia="仿宋" w:cs="仿宋"/>
          <w:b/>
          <w:bCs/>
          <w:kern w:val="0"/>
          <w:sz w:val="32"/>
          <w:szCs w:val="32"/>
          <w:lang w:val="en-US" w:eastAsia="zh-CN"/>
        </w:rPr>
        <w:t>1</w:t>
      </w:r>
      <w:r>
        <w:rPr>
          <w:rFonts w:hint="eastAsia" w:ascii="仿宋" w:hAnsi="仿宋" w:eastAsia="仿宋" w:cs="仿宋"/>
          <w:b/>
          <w:bCs/>
          <w:kern w:val="0"/>
          <w:sz w:val="32"/>
          <w:szCs w:val="32"/>
        </w:rPr>
        <w:t>、“</w:t>
      </w:r>
      <w:r>
        <w:rPr>
          <w:rFonts w:hint="eastAsia" w:ascii="仿宋" w:hAnsi="仿宋" w:eastAsia="仿宋" w:cs="仿宋"/>
          <w:b/>
          <w:bCs/>
          <w:sz w:val="32"/>
          <w:szCs w:val="32"/>
        </w:rPr>
        <w:t>办公楼运行费</w:t>
      </w:r>
      <w:r>
        <w:rPr>
          <w:rFonts w:hint="eastAsia" w:ascii="仿宋" w:hAnsi="仿宋" w:eastAsia="仿宋" w:cs="仿宋"/>
          <w:b/>
          <w:bCs/>
          <w:kern w:val="0"/>
          <w:sz w:val="32"/>
          <w:szCs w:val="32"/>
        </w:rPr>
        <w:t>”项目。</w:t>
      </w:r>
    </w:p>
    <w:p w14:paraId="60D20A40">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kern w:val="0"/>
          <w:sz w:val="32"/>
          <w:szCs w:val="32"/>
        </w:rPr>
        <w:t>（1）项目概述。</w:t>
      </w:r>
      <w:r>
        <w:rPr>
          <w:rFonts w:hint="eastAsia" w:ascii="仿宋" w:hAnsi="仿宋" w:eastAsia="仿宋" w:cs="仿宋"/>
          <w:sz w:val="32"/>
          <w:szCs w:val="32"/>
        </w:rPr>
        <w:t>办公楼水、电、维修</w:t>
      </w:r>
    </w:p>
    <w:p w14:paraId="65C1D8B6">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（2）立项依据。</w:t>
      </w:r>
      <w:r>
        <w:rPr>
          <w:rFonts w:hint="eastAsia" w:ascii="仿宋" w:hAnsi="仿宋" w:eastAsia="仿宋" w:cs="仿宋"/>
          <w:sz w:val="32"/>
          <w:szCs w:val="32"/>
        </w:rPr>
        <w:t>保障工作用房需要</w:t>
      </w:r>
    </w:p>
    <w:p w14:paraId="657E9FD3">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（3）实施主体。</w:t>
      </w:r>
      <w:r>
        <w:rPr>
          <w:rFonts w:hint="eastAsia" w:ascii="仿宋" w:hAnsi="仿宋" w:eastAsia="仿宋" w:cs="仿宋"/>
          <w:sz w:val="32"/>
          <w:szCs w:val="32"/>
          <w:lang w:eastAsia="zh-CN"/>
        </w:rPr>
        <w:t>淮北市生态环境保护综合行政执法支队</w:t>
      </w:r>
    </w:p>
    <w:p w14:paraId="17C4DC98">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lang w:val="en-US" w:eastAsia="zh-CN"/>
        </w:rPr>
      </w:pPr>
      <w:r>
        <w:rPr>
          <w:rFonts w:hint="eastAsia" w:ascii="仿宋" w:hAnsi="仿宋" w:eastAsia="仿宋" w:cs="仿宋"/>
          <w:kern w:val="0"/>
          <w:sz w:val="32"/>
          <w:szCs w:val="32"/>
        </w:rPr>
        <w:t>（4）起止时间。</w:t>
      </w:r>
      <w:r>
        <w:rPr>
          <w:rFonts w:hint="eastAsia" w:ascii="仿宋" w:hAnsi="仿宋" w:eastAsia="仿宋" w:cs="仿宋"/>
          <w:kern w:val="0"/>
          <w:sz w:val="32"/>
          <w:szCs w:val="32"/>
          <w:lang w:val="en-US" w:eastAsia="zh-CN"/>
        </w:rPr>
        <w:t>2025.1-12</w:t>
      </w:r>
    </w:p>
    <w:p w14:paraId="12D31048">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（5）项目内容。</w:t>
      </w:r>
      <w:r>
        <w:rPr>
          <w:rFonts w:hint="eastAsia" w:ascii="仿宋" w:hAnsi="仿宋" w:eastAsia="仿宋" w:cs="仿宋"/>
          <w:kern w:val="0"/>
          <w:sz w:val="32"/>
          <w:szCs w:val="32"/>
          <w:lang w:eastAsia="zh-CN"/>
        </w:rPr>
        <w:t>用于全年</w:t>
      </w:r>
      <w:r>
        <w:rPr>
          <w:rFonts w:hint="eastAsia" w:ascii="仿宋" w:hAnsi="仿宋" w:eastAsia="仿宋" w:cs="仿宋"/>
          <w:sz w:val="32"/>
          <w:szCs w:val="32"/>
        </w:rPr>
        <w:t>办公楼水、电、维修</w:t>
      </w:r>
      <w:r>
        <w:rPr>
          <w:rFonts w:hint="eastAsia" w:ascii="仿宋" w:hAnsi="仿宋" w:eastAsia="仿宋" w:cs="仿宋"/>
          <w:sz w:val="32"/>
          <w:szCs w:val="32"/>
          <w:lang w:eastAsia="zh-CN"/>
        </w:rPr>
        <w:t>费用支出。</w:t>
      </w:r>
    </w:p>
    <w:p w14:paraId="421E2A4E">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（6）年度预算安排。</w:t>
      </w:r>
      <w:r>
        <w:rPr>
          <w:rFonts w:hint="eastAsia" w:ascii="仿宋" w:hAnsi="仿宋" w:eastAsia="仿宋" w:cs="仿宋"/>
          <w:kern w:val="0"/>
          <w:sz w:val="32"/>
          <w:szCs w:val="32"/>
          <w:lang w:eastAsia="zh-CN"/>
        </w:rPr>
        <w:t>预算资金</w:t>
      </w:r>
      <w:r>
        <w:rPr>
          <w:rFonts w:hint="eastAsia" w:ascii="仿宋" w:hAnsi="仿宋" w:eastAsia="仿宋" w:cs="仿宋"/>
          <w:kern w:val="0"/>
          <w:sz w:val="32"/>
          <w:szCs w:val="32"/>
          <w:lang w:val="en-US" w:eastAsia="zh-CN"/>
        </w:rPr>
        <w:t>13万元</w:t>
      </w:r>
    </w:p>
    <w:p w14:paraId="39FCF97D">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（7）绩效目标。</w:t>
      </w:r>
    </w:p>
    <w:tbl>
      <w:tblPr>
        <w:tblStyle w:val="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8"/>
        <w:gridCol w:w="723"/>
        <w:gridCol w:w="282"/>
        <w:gridCol w:w="477"/>
        <w:gridCol w:w="2872"/>
        <w:gridCol w:w="1848"/>
        <w:gridCol w:w="2380"/>
      </w:tblGrid>
      <w:tr w14:paraId="36F2E6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trPr>
        <w:tc>
          <w:tcPr>
            <w:tcW w:w="9020" w:type="dxa"/>
            <w:gridSpan w:val="7"/>
            <w:tcBorders>
              <w:top w:val="nil"/>
              <w:left w:val="nil"/>
              <w:bottom w:val="nil"/>
              <w:right w:val="nil"/>
            </w:tcBorders>
            <w:vAlign w:val="center"/>
          </w:tcPr>
          <w:p w14:paraId="4D6E9020">
            <w:pPr>
              <w:widowControl/>
              <w:jc w:val="center"/>
              <w:textAlignment w:val="center"/>
              <w:rPr>
                <w:rFonts w:ascii="宋体" w:cs="宋体"/>
                <w:b/>
                <w:bCs/>
                <w:szCs w:val="32"/>
              </w:rPr>
            </w:pPr>
            <w:r>
              <w:rPr>
                <w:rFonts w:hint="eastAsia" w:ascii="宋体" w:hAnsi="宋体" w:eastAsia="宋体" w:cs="宋体"/>
                <w:b/>
                <w:color w:val="000000"/>
                <w:kern w:val="0"/>
                <w:sz w:val="28"/>
                <w:szCs w:val="28"/>
              </w:rPr>
              <w:t>项目支出绩效目标表</w:t>
            </w:r>
          </w:p>
        </w:tc>
      </w:tr>
      <w:tr w14:paraId="34FF67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9020" w:type="dxa"/>
            <w:gridSpan w:val="7"/>
            <w:tcBorders>
              <w:top w:val="nil"/>
              <w:left w:val="nil"/>
              <w:right w:val="nil"/>
            </w:tcBorders>
            <w:vAlign w:val="center"/>
          </w:tcPr>
          <w:p w14:paraId="6EF5CD46">
            <w:pPr>
              <w:widowControl/>
              <w:jc w:val="center"/>
              <w:textAlignment w:val="center"/>
              <w:rPr>
                <w:rFonts w:ascii="宋体" w:cs="宋体"/>
                <w:sz w:val="20"/>
              </w:rPr>
            </w:pPr>
            <w:r>
              <w:rPr>
                <w:rFonts w:hint="eastAsia" w:ascii="宋体" w:hAnsi="宋体" w:eastAsia="宋体" w:cs="宋体"/>
                <w:color w:val="000000"/>
                <w:kern w:val="0"/>
                <w:sz w:val="20"/>
                <w:szCs w:val="20"/>
              </w:rPr>
              <w:t xml:space="preserve"> （202</w:t>
            </w:r>
            <w:r>
              <w:rPr>
                <w:rFonts w:hint="eastAsia" w:ascii="宋体" w:hAnsi="宋体" w:eastAsia="宋体" w:cs="宋体"/>
                <w:color w:val="000000"/>
                <w:kern w:val="0"/>
                <w:sz w:val="20"/>
                <w:szCs w:val="20"/>
                <w:lang w:val="en-US" w:eastAsia="zh-CN"/>
              </w:rPr>
              <w:t>5</w:t>
            </w:r>
            <w:r>
              <w:rPr>
                <w:rFonts w:hint="eastAsia" w:ascii="宋体" w:hAnsi="宋体" w:eastAsia="宋体" w:cs="宋体"/>
                <w:color w:val="000000"/>
                <w:kern w:val="0"/>
                <w:sz w:val="20"/>
                <w:szCs w:val="20"/>
              </w:rPr>
              <w:t xml:space="preserve">年度）                                </w:t>
            </w:r>
          </w:p>
        </w:tc>
      </w:tr>
      <w:tr w14:paraId="5A2F0A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tcBorders>
              <w:tl2br w:val="nil"/>
              <w:tr2bl w:val="nil"/>
            </w:tcBorders>
            <w:vAlign w:val="center"/>
          </w:tcPr>
          <w:p w14:paraId="48904FBC">
            <w:pPr>
              <w:widowControl/>
              <w:jc w:val="center"/>
              <w:textAlignment w:val="center"/>
              <w:rPr>
                <w:rFonts w:ascii="宋体" w:cs="宋体"/>
                <w:sz w:val="20"/>
              </w:rPr>
            </w:pPr>
            <w:r>
              <w:rPr>
                <w:rFonts w:hint="eastAsia" w:ascii="宋体" w:hAnsi="宋体" w:eastAsia="宋体" w:cs="宋体"/>
                <w:color w:val="000000"/>
                <w:kern w:val="0"/>
                <w:sz w:val="20"/>
                <w:szCs w:val="20"/>
              </w:rPr>
              <w:t>项目名称</w:t>
            </w:r>
          </w:p>
        </w:tc>
        <w:tc>
          <w:tcPr>
            <w:tcW w:w="7577" w:type="dxa"/>
            <w:gridSpan w:val="4"/>
            <w:tcBorders>
              <w:tl2br w:val="nil"/>
              <w:tr2bl w:val="nil"/>
            </w:tcBorders>
            <w:vAlign w:val="center"/>
          </w:tcPr>
          <w:p w14:paraId="369B7E9F">
            <w:pPr>
              <w:jc w:val="center"/>
              <w:rPr>
                <w:rFonts w:ascii="宋体" w:cs="宋体"/>
                <w:sz w:val="20"/>
              </w:rPr>
            </w:pPr>
            <w:r>
              <w:rPr>
                <w:rFonts w:hint="eastAsia" w:ascii="宋体" w:hAnsi="宋体" w:eastAsia="宋体" w:cs="宋体"/>
                <w:sz w:val="20"/>
                <w:szCs w:val="20"/>
              </w:rPr>
              <w:t>办公楼运行费</w:t>
            </w:r>
          </w:p>
        </w:tc>
      </w:tr>
      <w:tr w14:paraId="5E92C5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1443" w:type="dxa"/>
            <w:gridSpan w:val="3"/>
            <w:tcBorders>
              <w:tl2br w:val="nil"/>
              <w:tr2bl w:val="nil"/>
            </w:tcBorders>
            <w:vAlign w:val="center"/>
          </w:tcPr>
          <w:p w14:paraId="4171EAB8">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主管部门   及代码</w:t>
            </w:r>
          </w:p>
        </w:tc>
        <w:tc>
          <w:tcPr>
            <w:tcW w:w="3349" w:type="dxa"/>
            <w:gridSpan w:val="2"/>
            <w:tcBorders>
              <w:tl2br w:val="nil"/>
              <w:tr2bl w:val="nil"/>
            </w:tcBorders>
            <w:vAlign w:val="center"/>
          </w:tcPr>
          <w:p w14:paraId="747254DA">
            <w:pPr>
              <w:jc w:val="center"/>
              <w:rPr>
                <w:rFonts w:ascii="宋体" w:cs="宋体"/>
                <w:sz w:val="20"/>
              </w:rPr>
            </w:pPr>
            <w:r>
              <w:rPr>
                <w:rFonts w:hint="eastAsia" w:ascii="宋体" w:cs="宋体"/>
                <w:sz w:val="20"/>
                <w:lang w:val="en-US" w:eastAsia="zh-CN"/>
              </w:rPr>
              <w:t>264-</w:t>
            </w:r>
            <w:r>
              <w:rPr>
                <w:rFonts w:hint="eastAsia" w:ascii="宋体" w:cs="宋体"/>
                <w:sz w:val="20"/>
              </w:rPr>
              <w:t>淮北市生态环境局</w:t>
            </w:r>
          </w:p>
        </w:tc>
        <w:tc>
          <w:tcPr>
            <w:tcW w:w="1848" w:type="dxa"/>
            <w:tcBorders>
              <w:tl2br w:val="nil"/>
              <w:tr2bl w:val="nil"/>
            </w:tcBorders>
            <w:vAlign w:val="center"/>
          </w:tcPr>
          <w:p w14:paraId="2E19796B">
            <w:pPr>
              <w:widowControl/>
              <w:jc w:val="center"/>
              <w:textAlignment w:val="center"/>
            </w:pPr>
            <w:r>
              <w:rPr>
                <w:rFonts w:hint="eastAsia" w:ascii="宋体" w:hAnsi="宋体" w:eastAsia="宋体" w:cs="宋体"/>
                <w:color w:val="000000"/>
                <w:kern w:val="0"/>
                <w:sz w:val="20"/>
                <w:szCs w:val="20"/>
              </w:rPr>
              <w:t>实施单位</w:t>
            </w:r>
          </w:p>
        </w:tc>
        <w:tc>
          <w:tcPr>
            <w:tcW w:w="2380" w:type="dxa"/>
            <w:tcBorders>
              <w:tl2br w:val="nil"/>
              <w:tr2bl w:val="nil"/>
            </w:tcBorders>
            <w:vAlign w:val="center"/>
          </w:tcPr>
          <w:p w14:paraId="7F70E315">
            <w:pPr>
              <w:jc w:val="center"/>
            </w:pPr>
            <w:r>
              <w:rPr>
                <w:rFonts w:hint="eastAsia"/>
                <w:sz w:val="20"/>
                <w:szCs w:val="20"/>
              </w:rPr>
              <w:t>淮北市生态环境保护综合行政执法支队</w:t>
            </w:r>
          </w:p>
        </w:tc>
      </w:tr>
      <w:tr w14:paraId="1AAE02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tcBorders>
              <w:tl2br w:val="nil"/>
              <w:tr2bl w:val="nil"/>
            </w:tcBorders>
            <w:vAlign w:val="center"/>
          </w:tcPr>
          <w:p w14:paraId="2861081D">
            <w:pPr>
              <w:widowControl/>
              <w:jc w:val="center"/>
              <w:textAlignment w:val="center"/>
              <w:rPr>
                <w:rFonts w:ascii="宋体" w:cs="宋体"/>
                <w:sz w:val="20"/>
              </w:rPr>
            </w:pPr>
            <w:r>
              <w:rPr>
                <w:rFonts w:hint="eastAsia" w:ascii="宋体" w:hAnsi="宋体" w:eastAsia="宋体" w:cs="宋体"/>
                <w:color w:val="000000"/>
                <w:kern w:val="0"/>
                <w:sz w:val="20"/>
                <w:szCs w:val="20"/>
              </w:rPr>
              <w:t>项目来源</w:t>
            </w:r>
          </w:p>
        </w:tc>
        <w:tc>
          <w:tcPr>
            <w:tcW w:w="3349" w:type="dxa"/>
            <w:gridSpan w:val="2"/>
            <w:tcBorders>
              <w:tl2br w:val="nil"/>
              <w:tr2bl w:val="nil"/>
            </w:tcBorders>
            <w:vAlign w:val="center"/>
          </w:tcPr>
          <w:p w14:paraId="74B07D72">
            <w:pPr>
              <w:jc w:val="center"/>
              <w:rPr>
                <w:rFonts w:hint="eastAsia" w:ascii="宋体" w:cs="宋体" w:eastAsiaTheme="minorEastAsia"/>
                <w:sz w:val="20"/>
                <w:lang w:eastAsia="zh-CN"/>
              </w:rPr>
            </w:pPr>
            <w:r>
              <w:rPr>
                <w:rFonts w:hint="eastAsia" w:ascii="宋体" w:cs="宋体"/>
                <w:sz w:val="20"/>
                <w:lang w:eastAsia="zh-CN"/>
              </w:rPr>
              <w:t>年初预算</w:t>
            </w:r>
          </w:p>
        </w:tc>
        <w:tc>
          <w:tcPr>
            <w:tcW w:w="1848" w:type="dxa"/>
            <w:tcBorders>
              <w:tl2br w:val="nil"/>
              <w:tr2bl w:val="nil"/>
            </w:tcBorders>
            <w:vAlign w:val="center"/>
          </w:tcPr>
          <w:p w14:paraId="5E52C41D">
            <w:pPr>
              <w:widowControl/>
              <w:jc w:val="center"/>
              <w:textAlignment w:val="center"/>
            </w:pPr>
            <w:r>
              <w:rPr>
                <w:rFonts w:hint="eastAsia" w:ascii="宋体" w:hAnsi="宋体" w:eastAsia="宋体" w:cs="宋体"/>
                <w:color w:val="000000"/>
                <w:kern w:val="0"/>
                <w:sz w:val="20"/>
                <w:szCs w:val="20"/>
              </w:rPr>
              <w:t>项目期</w:t>
            </w:r>
          </w:p>
        </w:tc>
        <w:tc>
          <w:tcPr>
            <w:tcW w:w="2380" w:type="dxa"/>
            <w:tcBorders>
              <w:tl2br w:val="nil"/>
              <w:tr2bl w:val="nil"/>
            </w:tcBorders>
            <w:vAlign w:val="center"/>
          </w:tcPr>
          <w:p w14:paraId="07204DD2">
            <w:pPr>
              <w:jc w:val="center"/>
              <w:rPr>
                <w:rFonts w:hint="default" w:eastAsiaTheme="minorEastAsia"/>
                <w:lang w:val="en-US" w:eastAsia="zh-CN"/>
              </w:rPr>
            </w:pPr>
            <w:r>
              <w:rPr>
                <w:rFonts w:hint="eastAsia"/>
                <w:lang w:val="en-US" w:eastAsia="zh-CN"/>
              </w:rPr>
              <w:t>2025.12</w:t>
            </w:r>
          </w:p>
        </w:tc>
      </w:tr>
      <w:tr w14:paraId="11FCF1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restart"/>
            <w:tcBorders>
              <w:tl2br w:val="nil"/>
              <w:tr2bl w:val="nil"/>
            </w:tcBorders>
            <w:vAlign w:val="center"/>
          </w:tcPr>
          <w:p w14:paraId="56422A7A">
            <w:pPr>
              <w:widowControl/>
              <w:jc w:val="center"/>
              <w:textAlignment w:val="center"/>
              <w:rPr>
                <w:rFonts w:ascii="宋体" w:cs="宋体"/>
                <w:sz w:val="20"/>
              </w:rPr>
            </w:pPr>
            <w:r>
              <w:rPr>
                <w:rFonts w:hint="eastAsia" w:ascii="宋体" w:hAnsi="宋体" w:eastAsia="宋体" w:cs="宋体"/>
                <w:color w:val="000000"/>
                <w:kern w:val="0"/>
                <w:sz w:val="20"/>
                <w:szCs w:val="20"/>
              </w:rPr>
              <w:t>项目资金</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（万元）</w:t>
            </w:r>
          </w:p>
        </w:tc>
        <w:tc>
          <w:tcPr>
            <w:tcW w:w="3349" w:type="dxa"/>
            <w:gridSpan w:val="2"/>
            <w:tcBorders>
              <w:tl2br w:val="nil"/>
              <w:tr2bl w:val="nil"/>
            </w:tcBorders>
            <w:vAlign w:val="center"/>
          </w:tcPr>
          <w:p w14:paraId="34DBC537">
            <w:pPr>
              <w:widowControl/>
              <w:jc w:val="left"/>
              <w:textAlignment w:val="center"/>
              <w:rPr>
                <w:rFonts w:ascii="宋体" w:cs="宋体"/>
                <w:sz w:val="20"/>
              </w:rPr>
            </w:pPr>
            <w:r>
              <w:rPr>
                <w:rFonts w:hint="eastAsia" w:ascii="宋体" w:hAnsi="宋体" w:eastAsia="宋体" w:cs="宋体"/>
                <w:color w:val="000000"/>
                <w:kern w:val="0"/>
                <w:sz w:val="20"/>
                <w:szCs w:val="20"/>
              </w:rPr>
              <w:t xml:space="preserve"> 年度资金总额：</w:t>
            </w:r>
          </w:p>
        </w:tc>
        <w:tc>
          <w:tcPr>
            <w:tcW w:w="4228" w:type="dxa"/>
            <w:gridSpan w:val="2"/>
            <w:tcBorders>
              <w:tl2br w:val="nil"/>
              <w:tr2bl w:val="nil"/>
            </w:tcBorders>
            <w:vAlign w:val="center"/>
          </w:tcPr>
          <w:p w14:paraId="78691F54">
            <w:pPr>
              <w:jc w:val="center"/>
              <w:rPr>
                <w:rFonts w:hint="default" w:ascii="宋体" w:cs="宋体" w:eastAsiaTheme="minorEastAsia"/>
                <w:sz w:val="20"/>
                <w:lang w:val="en-US" w:eastAsia="zh-CN"/>
              </w:rPr>
            </w:pPr>
            <w:r>
              <w:rPr>
                <w:rFonts w:hint="eastAsia" w:ascii="宋体" w:cs="宋体"/>
                <w:sz w:val="20"/>
                <w:lang w:val="en-US" w:eastAsia="zh-CN"/>
              </w:rPr>
              <w:t>13</w:t>
            </w:r>
          </w:p>
        </w:tc>
      </w:tr>
      <w:tr w14:paraId="270DE3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continue"/>
            <w:tcBorders>
              <w:tl2br w:val="nil"/>
              <w:tr2bl w:val="nil"/>
            </w:tcBorders>
            <w:vAlign w:val="center"/>
          </w:tcPr>
          <w:p w14:paraId="0CB1F9FB">
            <w:pPr>
              <w:jc w:val="center"/>
              <w:rPr>
                <w:rFonts w:ascii="宋体" w:cs="宋体"/>
                <w:sz w:val="20"/>
              </w:rPr>
            </w:pPr>
          </w:p>
        </w:tc>
        <w:tc>
          <w:tcPr>
            <w:tcW w:w="3349" w:type="dxa"/>
            <w:gridSpan w:val="2"/>
            <w:tcBorders>
              <w:tl2br w:val="nil"/>
              <w:tr2bl w:val="nil"/>
            </w:tcBorders>
            <w:vAlign w:val="center"/>
          </w:tcPr>
          <w:p w14:paraId="708923ED">
            <w:pPr>
              <w:widowControl/>
              <w:jc w:val="left"/>
              <w:textAlignment w:val="center"/>
              <w:rPr>
                <w:rFonts w:ascii="宋体" w:cs="宋体"/>
                <w:sz w:val="20"/>
              </w:rPr>
            </w:pPr>
            <w:r>
              <w:rPr>
                <w:rFonts w:hint="eastAsia" w:ascii="宋体" w:hAnsi="宋体" w:eastAsia="宋体" w:cs="宋体"/>
                <w:color w:val="000000"/>
                <w:kern w:val="0"/>
                <w:sz w:val="20"/>
                <w:szCs w:val="20"/>
              </w:rPr>
              <w:t xml:space="preserve">   其中：财政拨款</w:t>
            </w:r>
          </w:p>
        </w:tc>
        <w:tc>
          <w:tcPr>
            <w:tcW w:w="4228" w:type="dxa"/>
            <w:gridSpan w:val="2"/>
            <w:tcBorders>
              <w:tl2br w:val="nil"/>
              <w:tr2bl w:val="nil"/>
            </w:tcBorders>
            <w:vAlign w:val="center"/>
          </w:tcPr>
          <w:p w14:paraId="20C9FCC7">
            <w:pPr>
              <w:jc w:val="center"/>
              <w:rPr>
                <w:rFonts w:hint="default" w:ascii="宋体" w:cs="宋体" w:eastAsiaTheme="minorEastAsia"/>
                <w:sz w:val="20"/>
                <w:lang w:val="en-US" w:eastAsia="zh-CN"/>
              </w:rPr>
            </w:pPr>
            <w:r>
              <w:rPr>
                <w:rFonts w:hint="eastAsia" w:ascii="宋体" w:cs="宋体"/>
                <w:sz w:val="20"/>
                <w:lang w:val="en-US" w:eastAsia="zh-CN"/>
              </w:rPr>
              <w:t>13</w:t>
            </w:r>
          </w:p>
        </w:tc>
      </w:tr>
      <w:tr w14:paraId="56360E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continue"/>
            <w:tcBorders>
              <w:tl2br w:val="nil"/>
              <w:tr2bl w:val="nil"/>
            </w:tcBorders>
            <w:vAlign w:val="center"/>
          </w:tcPr>
          <w:p w14:paraId="14CD0D5A">
            <w:pPr>
              <w:jc w:val="center"/>
              <w:rPr>
                <w:rFonts w:ascii="宋体" w:cs="宋体"/>
                <w:sz w:val="20"/>
              </w:rPr>
            </w:pPr>
          </w:p>
        </w:tc>
        <w:tc>
          <w:tcPr>
            <w:tcW w:w="3349" w:type="dxa"/>
            <w:gridSpan w:val="2"/>
            <w:tcBorders>
              <w:tl2br w:val="nil"/>
              <w:tr2bl w:val="nil"/>
            </w:tcBorders>
            <w:vAlign w:val="center"/>
          </w:tcPr>
          <w:p w14:paraId="25CF6EA3">
            <w:pPr>
              <w:widowControl/>
              <w:jc w:val="left"/>
              <w:textAlignment w:val="center"/>
              <w:rPr>
                <w:rFonts w:ascii="宋体" w:cs="宋体"/>
                <w:sz w:val="20"/>
              </w:rPr>
            </w:pPr>
            <w:r>
              <w:rPr>
                <w:rFonts w:hint="eastAsia" w:ascii="宋体" w:hAnsi="宋体" w:eastAsia="宋体" w:cs="宋体"/>
                <w:color w:val="000000"/>
                <w:kern w:val="0"/>
                <w:sz w:val="20"/>
                <w:szCs w:val="20"/>
              </w:rPr>
              <w:t xml:space="preserve">         上年结转</w:t>
            </w:r>
          </w:p>
        </w:tc>
        <w:tc>
          <w:tcPr>
            <w:tcW w:w="4228" w:type="dxa"/>
            <w:gridSpan w:val="2"/>
            <w:tcBorders>
              <w:tl2br w:val="nil"/>
              <w:tr2bl w:val="nil"/>
            </w:tcBorders>
            <w:vAlign w:val="center"/>
          </w:tcPr>
          <w:p w14:paraId="6955C571">
            <w:pPr>
              <w:jc w:val="center"/>
              <w:rPr>
                <w:rFonts w:hint="eastAsia" w:ascii="宋体" w:cs="宋体" w:eastAsiaTheme="minorEastAsia"/>
                <w:sz w:val="20"/>
                <w:lang w:val="en-US" w:eastAsia="zh-CN"/>
              </w:rPr>
            </w:pPr>
            <w:r>
              <w:rPr>
                <w:rFonts w:hint="eastAsia" w:ascii="宋体" w:cs="宋体"/>
                <w:sz w:val="20"/>
                <w:lang w:val="en-US" w:eastAsia="zh-CN"/>
              </w:rPr>
              <w:t>0</w:t>
            </w:r>
          </w:p>
        </w:tc>
      </w:tr>
      <w:tr w14:paraId="175A7F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continue"/>
            <w:tcBorders>
              <w:tl2br w:val="nil"/>
              <w:tr2bl w:val="nil"/>
            </w:tcBorders>
            <w:vAlign w:val="center"/>
          </w:tcPr>
          <w:p w14:paraId="235A78DD">
            <w:pPr>
              <w:jc w:val="center"/>
              <w:rPr>
                <w:rFonts w:ascii="宋体" w:cs="宋体"/>
                <w:sz w:val="20"/>
              </w:rPr>
            </w:pPr>
          </w:p>
        </w:tc>
        <w:tc>
          <w:tcPr>
            <w:tcW w:w="3349" w:type="dxa"/>
            <w:gridSpan w:val="2"/>
            <w:tcBorders>
              <w:tl2br w:val="nil"/>
              <w:tr2bl w:val="nil"/>
            </w:tcBorders>
            <w:vAlign w:val="center"/>
          </w:tcPr>
          <w:p w14:paraId="5BE25EC6">
            <w:pPr>
              <w:widowControl/>
              <w:jc w:val="left"/>
              <w:textAlignment w:val="center"/>
              <w:rPr>
                <w:rFonts w:ascii="宋体" w:cs="宋体"/>
                <w:sz w:val="20"/>
              </w:rPr>
            </w:pPr>
            <w:r>
              <w:rPr>
                <w:rFonts w:hint="eastAsia" w:ascii="宋体" w:hAnsi="宋体" w:eastAsia="宋体" w:cs="宋体"/>
                <w:color w:val="000000"/>
                <w:kern w:val="0"/>
                <w:sz w:val="20"/>
                <w:szCs w:val="20"/>
              </w:rPr>
              <w:t xml:space="preserve">         其他资金</w:t>
            </w:r>
          </w:p>
        </w:tc>
        <w:tc>
          <w:tcPr>
            <w:tcW w:w="4228" w:type="dxa"/>
            <w:gridSpan w:val="2"/>
            <w:tcBorders>
              <w:tl2br w:val="nil"/>
              <w:tr2bl w:val="nil"/>
            </w:tcBorders>
            <w:vAlign w:val="center"/>
          </w:tcPr>
          <w:p w14:paraId="6B5D0D51">
            <w:pPr>
              <w:jc w:val="center"/>
              <w:rPr>
                <w:rFonts w:hint="eastAsia" w:ascii="宋体" w:cs="宋体" w:eastAsiaTheme="minorEastAsia"/>
                <w:sz w:val="20"/>
                <w:lang w:val="en-US" w:eastAsia="zh-CN"/>
              </w:rPr>
            </w:pPr>
            <w:r>
              <w:rPr>
                <w:rFonts w:hint="eastAsia" w:ascii="宋体" w:cs="宋体"/>
                <w:sz w:val="20"/>
                <w:lang w:val="en-US" w:eastAsia="zh-CN"/>
              </w:rPr>
              <w:t>0</w:t>
            </w:r>
          </w:p>
        </w:tc>
      </w:tr>
      <w:tr w14:paraId="4FD774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5" w:hRule="atLeast"/>
        </w:trPr>
        <w:tc>
          <w:tcPr>
            <w:tcW w:w="438" w:type="dxa"/>
            <w:tcBorders>
              <w:tl2br w:val="nil"/>
              <w:tr2bl w:val="nil"/>
            </w:tcBorders>
            <w:vAlign w:val="center"/>
          </w:tcPr>
          <w:p w14:paraId="29937423">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年度</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目标</w:t>
            </w:r>
          </w:p>
        </w:tc>
        <w:tc>
          <w:tcPr>
            <w:tcW w:w="8582" w:type="dxa"/>
            <w:gridSpan w:val="6"/>
            <w:tcBorders>
              <w:tl2br w:val="nil"/>
              <w:tr2bl w:val="nil"/>
            </w:tcBorders>
            <w:vAlign w:val="center"/>
          </w:tcPr>
          <w:p w14:paraId="34309ADC">
            <w:pPr>
              <w:jc w:val="left"/>
              <w:rPr>
                <w:rFonts w:ascii="宋体" w:cs="宋体"/>
                <w:sz w:val="20"/>
              </w:rPr>
            </w:pPr>
            <w:r>
              <w:rPr>
                <w:rFonts w:hint="eastAsia" w:ascii="宋体" w:cs="宋体"/>
                <w:sz w:val="20"/>
              </w:rPr>
              <w:t>保障办公大楼运行，保证办公大楼的基础设施设备安全和正常运行。</w:t>
            </w:r>
          </w:p>
        </w:tc>
      </w:tr>
      <w:tr w14:paraId="353C1C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438" w:type="dxa"/>
            <w:vMerge w:val="restart"/>
            <w:tcBorders>
              <w:tl2br w:val="nil"/>
              <w:tr2bl w:val="nil"/>
            </w:tcBorders>
            <w:vAlign w:val="center"/>
          </w:tcPr>
          <w:p w14:paraId="56CEC73D">
            <w:pPr>
              <w:widowControl/>
              <w:jc w:val="center"/>
              <w:textAlignment w:val="center"/>
              <w:rPr>
                <w:rFonts w:ascii="宋体" w:cs="宋体"/>
                <w:sz w:val="20"/>
              </w:rPr>
            </w:pPr>
            <w:r>
              <w:rPr>
                <w:rFonts w:hint="eastAsia" w:ascii="宋体" w:hAnsi="宋体" w:eastAsia="宋体" w:cs="宋体"/>
                <w:color w:val="000000"/>
                <w:kern w:val="0"/>
                <w:sz w:val="20"/>
                <w:szCs w:val="20"/>
              </w:rPr>
              <w:t>绩</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效</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指</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标</w:t>
            </w:r>
          </w:p>
        </w:tc>
        <w:tc>
          <w:tcPr>
            <w:tcW w:w="723" w:type="dxa"/>
            <w:tcBorders>
              <w:tl2br w:val="nil"/>
              <w:tr2bl w:val="nil"/>
            </w:tcBorders>
            <w:vAlign w:val="center"/>
          </w:tcPr>
          <w:p w14:paraId="76F72FB5">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一级</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指标</w:t>
            </w:r>
          </w:p>
        </w:tc>
        <w:tc>
          <w:tcPr>
            <w:tcW w:w="759" w:type="dxa"/>
            <w:gridSpan w:val="2"/>
            <w:tcBorders>
              <w:tl2br w:val="nil"/>
              <w:tr2bl w:val="nil"/>
            </w:tcBorders>
            <w:vAlign w:val="center"/>
          </w:tcPr>
          <w:p w14:paraId="4E088A5F">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二级指标</w:t>
            </w:r>
          </w:p>
        </w:tc>
        <w:tc>
          <w:tcPr>
            <w:tcW w:w="2872" w:type="dxa"/>
            <w:tcBorders>
              <w:tl2br w:val="nil"/>
              <w:tr2bl w:val="nil"/>
            </w:tcBorders>
            <w:vAlign w:val="center"/>
          </w:tcPr>
          <w:p w14:paraId="3456C5B1">
            <w:pPr>
              <w:widowControl/>
              <w:jc w:val="center"/>
              <w:textAlignment w:val="center"/>
              <w:rPr>
                <w:rFonts w:ascii="宋体" w:cs="宋体"/>
                <w:sz w:val="20"/>
              </w:rPr>
            </w:pPr>
            <w:r>
              <w:rPr>
                <w:rFonts w:hint="eastAsia" w:ascii="宋体" w:hAnsi="宋体" w:eastAsia="宋体" w:cs="宋体"/>
                <w:color w:val="000000"/>
                <w:kern w:val="0"/>
                <w:sz w:val="20"/>
                <w:szCs w:val="20"/>
              </w:rPr>
              <w:t>三级指标</w:t>
            </w:r>
          </w:p>
        </w:tc>
        <w:tc>
          <w:tcPr>
            <w:tcW w:w="4228" w:type="dxa"/>
            <w:gridSpan w:val="2"/>
            <w:tcBorders>
              <w:tl2br w:val="nil"/>
              <w:tr2bl w:val="nil"/>
            </w:tcBorders>
            <w:vAlign w:val="center"/>
          </w:tcPr>
          <w:p w14:paraId="10C99C81">
            <w:pPr>
              <w:widowControl/>
              <w:jc w:val="center"/>
              <w:textAlignment w:val="center"/>
              <w:rPr>
                <w:rFonts w:ascii="宋体" w:cs="宋体"/>
                <w:sz w:val="20"/>
              </w:rPr>
            </w:pPr>
            <w:r>
              <w:rPr>
                <w:rFonts w:hint="eastAsia" w:ascii="宋体" w:hAnsi="宋体" w:eastAsia="宋体" w:cs="宋体"/>
                <w:color w:val="000000"/>
                <w:kern w:val="0"/>
                <w:sz w:val="20"/>
                <w:szCs w:val="20"/>
              </w:rPr>
              <w:t>指标值</w:t>
            </w:r>
          </w:p>
        </w:tc>
      </w:tr>
      <w:tr w14:paraId="2826B9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0047C66C">
            <w:pPr>
              <w:jc w:val="center"/>
              <w:rPr>
                <w:rFonts w:ascii="宋体" w:cs="宋体"/>
                <w:sz w:val="20"/>
              </w:rPr>
            </w:pPr>
          </w:p>
        </w:tc>
        <w:tc>
          <w:tcPr>
            <w:tcW w:w="723" w:type="dxa"/>
            <w:vMerge w:val="restart"/>
            <w:tcBorders>
              <w:tl2br w:val="nil"/>
              <w:tr2bl w:val="nil"/>
            </w:tcBorders>
            <w:vAlign w:val="center"/>
          </w:tcPr>
          <w:p w14:paraId="47BD368F">
            <w:pPr>
              <w:widowControl/>
              <w:jc w:val="center"/>
              <w:textAlignment w:val="center"/>
              <w:rPr>
                <w:rFonts w:ascii="宋体" w:cs="宋体"/>
                <w:sz w:val="20"/>
              </w:rPr>
            </w:pPr>
            <w:r>
              <w:rPr>
                <w:rFonts w:hint="eastAsia" w:ascii="宋体" w:hAnsi="宋体" w:eastAsia="宋体" w:cs="宋体"/>
                <w:color w:val="000000"/>
                <w:kern w:val="0"/>
                <w:sz w:val="20"/>
                <w:szCs w:val="20"/>
              </w:rPr>
              <w:t>产出指标</w:t>
            </w:r>
          </w:p>
        </w:tc>
        <w:tc>
          <w:tcPr>
            <w:tcW w:w="759" w:type="dxa"/>
            <w:gridSpan w:val="2"/>
            <w:tcBorders>
              <w:tl2br w:val="nil"/>
              <w:tr2bl w:val="nil"/>
            </w:tcBorders>
            <w:vAlign w:val="center"/>
          </w:tcPr>
          <w:p w14:paraId="6EAFA176">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数量指标</w:t>
            </w:r>
          </w:p>
        </w:tc>
        <w:tc>
          <w:tcPr>
            <w:tcW w:w="2872" w:type="dxa"/>
            <w:tcBorders>
              <w:tl2br w:val="nil"/>
              <w:tr2bl w:val="nil"/>
            </w:tcBorders>
            <w:vAlign w:val="center"/>
          </w:tcPr>
          <w:p w14:paraId="6B522345">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全年水电消耗</w:t>
            </w:r>
          </w:p>
        </w:tc>
        <w:tc>
          <w:tcPr>
            <w:tcW w:w="4228" w:type="dxa"/>
            <w:gridSpan w:val="2"/>
            <w:tcBorders>
              <w:tl2br w:val="nil"/>
              <w:tr2bl w:val="nil"/>
            </w:tcBorders>
            <w:vAlign w:val="center"/>
          </w:tcPr>
          <w:p w14:paraId="3825CF0D">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12个月</w:t>
            </w:r>
          </w:p>
        </w:tc>
      </w:tr>
      <w:tr w14:paraId="268606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2C46A969">
            <w:pPr>
              <w:jc w:val="center"/>
              <w:rPr>
                <w:rFonts w:ascii="宋体" w:cs="宋体"/>
                <w:sz w:val="20"/>
              </w:rPr>
            </w:pPr>
          </w:p>
        </w:tc>
        <w:tc>
          <w:tcPr>
            <w:tcW w:w="723" w:type="dxa"/>
            <w:vMerge w:val="continue"/>
            <w:tcBorders>
              <w:tl2br w:val="nil"/>
              <w:tr2bl w:val="nil"/>
            </w:tcBorders>
            <w:vAlign w:val="center"/>
          </w:tcPr>
          <w:p w14:paraId="179EA2FD">
            <w:pPr>
              <w:jc w:val="center"/>
              <w:rPr>
                <w:rFonts w:ascii="宋体" w:cs="宋体"/>
                <w:sz w:val="20"/>
              </w:rPr>
            </w:pPr>
          </w:p>
        </w:tc>
        <w:tc>
          <w:tcPr>
            <w:tcW w:w="759" w:type="dxa"/>
            <w:gridSpan w:val="2"/>
            <w:tcBorders>
              <w:tl2br w:val="nil"/>
              <w:tr2bl w:val="nil"/>
            </w:tcBorders>
            <w:vAlign w:val="center"/>
          </w:tcPr>
          <w:p w14:paraId="3E1E88E3">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质量指标</w:t>
            </w:r>
          </w:p>
        </w:tc>
        <w:tc>
          <w:tcPr>
            <w:tcW w:w="2872" w:type="dxa"/>
            <w:tcBorders>
              <w:tl2br w:val="nil"/>
              <w:tr2bl w:val="nil"/>
            </w:tcBorders>
            <w:vAlign w:val="center"/>
          </w:tcPr>
          <w:p w14:paraId="53D6DCC3">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保障办公大楼安全、基础工作正常运行</w:t>
            </w:r>
          </w:p>
        </w:tc>
        <w:tc>
          <w:tcPr>
            <w:tcW w:w="4228" w:type="dxa"/>
            <w:gridSpan w:val="2"/>
            <w:tcBorders>
              <w:tl2br w:val="nil"/>
              <w:tr2bl w:val="nil"/>
            </w:tcBorders>
            <w:vAlign w:val="center"/>
          </w:tcPr>
          <w:p w14:paraId="11C5D8B3">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正常运转</w:t>
            </w:r>
          </w:p>
        </w:tc>
      </w:tr>
      <w:tr w14:paraId="057790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018C4DD6">
            <w:pPr>
              <w:jc w:val="center"/>
              <w:rPr>
                <w:rFonts w:ascii="宋体" w:cs="宋体"/>
                <w:sz w:val="20"/>
              </w:rPr>
            </w:pPr>
          </w:p>
        </w:tc>
        <w:tc>
          <w:tcPr>
            <w:tcW w:w="723" w:type="dxa"/>
            <w:vMerge w:val="continue"/>
            <w:tcBorders>
              <w:tl2br w:val="nil"/>
              <w:tr2bl w:val="nil"/>
            </w:tcBorders>
            <w:vAlign w:val="center"/>
          </w:tcPr>
          <w:p w14:paraId="686F78AB">
            <w:pPr>
              <w:jc w:val="center"/>
              <w:rPr>
                <w:rFonts w:ascii="宋体" w:cs="宋体"/>
                <w:sz w:val="20"/>
              </w:rPr>
            </w:pPr>
          </w:p>
        </w:tc>
        <w:tc>
          <w:tcPr>
            <w:tcW w:w="759" w:type="dxa"/>
            <w:gridSpan w:val="2"/>
            <w:tcBorders>
              <w:tl2br w:val="nil"/>
              <w:tr2bl w:val="nil"/>
            </w:tcBorders>
            <w:vAlign w:val="center"/>
          </w:tcPr>
          <w:p w14:paraId="235188A9">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时效指标</w:t>
            </w:r>
          </w:p>
        </w:tc>
        <w:tc>
          <w:tcPr>
            <w:tcW w:w="2872" w:type="dxa"/>
            <w:tcBorders>
              <w:tl2br w:val="nil"/>
              <w:tr2bl w:val="nil"/>
            </w:tcBorders>
            <w:vAlign w:val="center"/>
          </w:tcPr>
          <w:p w14:paraId="4DD67905">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水电费缴纳</w:t>
            </w:r>
          </w:p>
        </w:tc>
        <w:tc>
          <w:tcPr>
            <w:tcW w:w="4228" w:type="dxa"/>
            <w:gridSpan w:val="2"/>
            <w:tcBorders>
              <w:tl2br w:val="nil"/>
              <w:tr2bl w:val="nil"/>
            </w:tcBorders>
            <w:vAlign w:val="center"/>
          </w:tcPr>
          <w:p w14:paraId="12D9DD2A">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及时</w:t>
            </w:r>
          </w:p>
        </w:tc>
      </w:tr>
      <w:tr w14:paraId="40CC7D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6E8AFD45">
            <w:pPr>
              <w:jc w:val="center"/>
              <w:rPr>
                <w:rFonts w:ascii="宋体" w:cs="宋体"/>
                <w:sz w:val="20"/>
              </w:rPr>
            </w:pPr>
          </w:p>
        </w:tc>
        <w:tc>
          <w:tcPr>
            <w:tcW w:w="723" w:type="dxa"/>
            <w:vMerge w:val="continue"/>
            <w:tcBorders>
              <w:tl2br w:val="nil"/>
              <w:tr2bl w:val="nil"/>
            </w:tcBorders>
            <w:vAlign w:val="center"/>
          </w:tcPr>
          <w:p w14:paraId="74B0EFCD">
            <w:pPr>
              <w:jc w:val="center"/>
              <w:rPr>
                <w:rFonts w:ascii="宋体" w:cs="宋体"/>
                <w:sz w:val="20"/>
              </w:rPr>
            </w:pPr>
          </w:p>
        </w:tc>
        <w:tc>
          <w:tcPr>
            <w:tcW w:w="759" w:type="dxa"/>
            <w:gridSpan w:val="2"/>
            <w:tcBorders>
              <w:tl2br w:val="nil"/>
              <w:tr2bl w:val="nil"/>
            </w:tcBorders>
            <w:vAlign w:val="center"/>
          </w:tcPr>
          <w:p w14:paraId="13BB4BCD">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成本指标</w:t>
            </w:r>
          </w:p>
        </w:tc>
        <w:tc>
          <w:tcPr>
            <w:tcW w:w="2872" w:type="dxa"/>
            <w:tcBorders>
              <w:tl2br w:val="nil"/>
              <w:tr2bl w:val="nil"/>
            </w:tcBorders>
            <w:vAlign w:val="center"/>
          </w:tcPr>
          <w:p w14:paraId="3BD3A0B6">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办公楼运行费总额</w:t>
            </w:r>
          </w:p>
        </w:tc>
        <w:tc>
          <w:tcPr>
            <w:tcW w:w="4228" w:type="dxa"/>
            <w:gridSpan w:val="2"/>
            <w:tcBorders>
              <w:tl2br w:val="nil"/>
              <w:tr2bl w:val="nil"/>
            </w:tcBorders>
            <w:vAlign w:val="center"/>
          </w:tcPr>
          <w:p w14:paraId="5796ED51">
            <w:pPr>
              <w:keepNext w:val="0"/>
              <w:keepLines w:val="0"/>
              <w:widowControl/>
              <w:suppressLineNumbers w:val="0"/>
              <w:jc w:val="center"/>
              <w:textAlignment w:val="center"/>
              <w:rPr>
                <w:rFonts w:ascii="宋体" w:cs="宋体"/>
                <w:sz w:val="20"/>
              </w:rPr>
            </w:pPr>
            <w:r>
              <w:rPr>
                <w:rFonts w:ascii="宋体" w:hAnsi="宋体" w:eastAsia="宋体" w:cs="宋体"/>
                <w:i w:val="0"/>
                <w:iCs w:val="0"/>
                <w:color w:val="000000"/>
                <w:kern w:val="0"/>
                <w:sz w:val="20"/>
                <w:szCs w:val="20"/>
                <w:u w:val="none"/>
                <w:lang w:val="en-US" w:eastAsia="zh-CN" w:bidi="ar"/>
              </w:rPr>
              <w:t>≦13</w:t>
            </w:r>
          </w:p>
        </w:tc>
      </w:tr>
      <w:tr w14:paraId="0D860C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3C4569D7">
            <w:pPr>
              <w:jc w:val="center"/>
              <w:rPr>
                <w:rFonts w:ascii="宋体" w:cs="宋体"/>
                <w:sz w:val="20"/>
              </w:rPr>
            </w:pPr>
          </w:p>
        </w:tc>
        <w:tc>
          <w:tcPr>
            <w:tcW w:w="723" w:type="dxa"/>
            <w:vMerge w:val="restart"/>
            <w:tcBorders>
              <w:tl2br w:val="nil"/>
              <w:tr2bl w:val="nil"/>
            </w:tcBorders>
            <w:vAlign w:val="center"/>
          </w:tcPr>
          <w:p w14:paraId="20DE6D7A">
            <w:pPr>
              <w:widowControl/>
              <w:jc w:val="center"/>
              <w:textAlignment w:val="center"/>
              <w:rPr>
                <w:rFonts w:ascii="宋体" w:cs="宋体"/>
                <w:sz w:val="20"/>
              </w:rPr>
            </w:pPr>
            <w:r>
              <w:rPr>
                <w:rFonts w:hint="eastAsia" w:ascii="宋体" w:hAnsi="宋体" w:eastAsia="宋体" w:cs="宋体"/>
                <w:color w:val="000000"/>
                <w:kern w:val="0"/>
                <w:sz w:val="20"/>
                <w:szCs w:val="20"/>
              </w:rPr>
              <w:t>效益指标</w:t>
            </w:r>
          </w:p>
        </w:tc>
        <w:tc>
          <w:tcPr>
            <w:tcW w:w="759" w:type="dxa"/>
            <w:gridSpan w:val="2"/>
            <w:tcBorders>
              <w:tl2br w:val="nil"/>
              <w:tr2bl w:val="nil"/>
            </w:tcBorders>
            <w:vAlign w:val="center"/>
          </w:tcPr>
          <w:p w14:paraId="0DCD749B">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经济效益指标</w:t>
            </w:r>
          </w:p>
        </w:tc>
        <w:tc>
          <w:tcPr>
            <w:tcW w:w="2872" w:type="dxa"/>
            <w:tcBorders>
              <w:tl2br w:val="nil"/>
              <w:tr2bl w:val="nil"/>
            </w:tcBorders>
            <w:vAlign w:val="center"/>
          </w:tcPr>
          <w:p w14:paraId="699B0ED8">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无</w:t>
            </w:r>
          </w:p>
        </w:tc>
        <w:tc>
          <w:tcPr>
            <w:tcW w:w="4228" w:type="dxa"/>
            <w:gridSpan w:val="2"/>
            <w:tcBorders>
              <w:tl2br w:val="nil"/>
              <w:tr2bl w:val="nil"/>
            </w:tcBorders>
            <w:vAlign w:val="center"/>
          </w:tcPr>
          <w:p w14:paraId="0EB9DEF7">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无</w:t>
            </w:r>
          </w:p>
        </w:tc>
      </w:tr>
      <w:tr w14:paraId="2C0CBC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1405B981">
            <w:pPr>
              <w:jc w:val="center"/>
              <w:rPr>
                <w:rFonts w:ascii="宋体" w:cs="宋体"/>
                <w:sz w:val="20"/>
              </w:rPr>
            </w:pPr>
          </w:p>
        </w:tc>
        <w:tc>
          <w:tcPr>
            <w:tcW w:w="723" w:type="dxa"/>
            <w:vMerge w:val="continue"/>
            <w:tcBorders>
              <w:tl2br w:val="nil"/>
              <w:tr2bl w:val="nil"/>
            </w:tcBorders>
            <w:vAlign w:val="center"/>
          </w:tcPr>
          <w:p w14:paraId="3EBBE229">
            <w:pPr>
              <w:jc w:val="center"/>
              <w:rPr>
                <w:rFonts w:ascii="宋体" w:cs="宋体"/>
                <w:sz w:val="20"/>
              </w:rPr>
            </w:pPr>
          </w:p>
        </w:tc>
        <w:tc>
          <w:tcPr>
            <w:tcW w:w="759" w:type="dxa"/>
            <w:gridSpan w:val="2"/>
            <w:tcBorders>
              <w:tl2br w:val="nil"/>
              <w:tr2bl w:val="nil"/>
            </w:tcBorders>
            <w:vAlign w:val="center"/>
          </w:tcPr>
          <w:p w14:paraId="4E104CEC">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社会效益指标</w:t>
            </w:r>
          </w:p>
        </w:tc>
        <w:tc>
          <w:tcPr>
            <w:tcW w:w="2872" w:type="dxa"/>
            <w:tcBorders>
              <w:tl2br w:val="nil"/>
              <w:tr2bl w:val="nil"/>
            </w:tcBorders>
            <w:vAlign w:val="center"/>
          </w:tcPr>
          <w:p w14:paraId="0E01E002">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公众对生态环境保护意识的提升</w:t>
            </w:r>
          </w:p>
        </w:tc>
        <w:tc>
          <w:tcPr>
            <w:tcW w:w="4228" w:type="dxa"/>
            <w:gridSpan w:val="2"/>
            <w:tcBorders>
              <w:tl2br w:val="nil"/>
              <w:tr2bl w:val="nil"/>
            </w:tcBorders>
            <w:vAlign w:val="center"/>
          </w:tcPr>
          <w:p w14:paraId="7D04786C">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明显</w:t>
            </w:r>
          </w:p>
        </w:tc>
      </w:tr>
      <w:tr w14:paraId="5A8E32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39D0B411">
            <w:pPr>
              <w:jc w:val="center"/>
              <w:rPr>
                <w:rFonts w:ascii="宋体" w:cs="宋体"/>
                <w:sz w:val="20"/>
              </w:rPr>
            </w:pPr>
          </w:p>
        </w:tc>
        <w:tc>
          <w:tcPr>
            <w:tcW w:w="723" w:type="dxa"/>
            <w:vMerge w:val="continue"/>
            <w:tcBorders>
              <w:tl2br w:val="nil"/>
              <w:tr2bl w:val="nil"/>
            </w:tcBorders>
            <w:vAlign w:val="center"/>
          </w:tcPr>
          <w:p w14:paraId="596D752B">
            <w:pPr>
              <w:jc w:val="center"/>
              <w:rPr>
                <w:rFonts w:ascii="宋体" w:cs="宋体"/>
                <w:sz w:val="20"/>
              </w:rPr>
            </w:pPr>
          </w:p>
        </w:tc>
        <w:tc>
          <w:tcPr>
            <w:tcW w:w="759" w:type="dxa"/>
            <w:gridSpan w:val="2"/>
            <w:tcBorders>
              <w:tl2br w:val="nil"/>
              <w:tr2bl w:val="nil"/>
            </w:tcBorders>
            <w:vAlign w:val="center"/>
          </w:tcPr>
          <w:p w14:paraId="0EBADA68">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生态效益指标</w:t>
            </w:r>
          </w:p>
        </w:tc>
        <w:tc>
          <w:tcPr>
            <w:tcW w:w="2872" w:type="dxa"/>
            <w:tcBorders>
              <w:tl2br w:val="nil"/>
              <w:tr2bl w:val="nil"/>
            </w:tcBorders>
            <w:vAlign w:val="center"/>
          </w:tcPr>
          <w:p w14:paraId="2F076428">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对生态环境的改善</w:t>
            </w:r>
          </w:p>
        </w:tc>
        <w:tc>
          <w:tcPr>
            <w:tcW w:w="4228" w:type="dxa"/>
            <w:gridSpan w:val="2"/>
            <w:tcBorders>
              <w:tl2br w:val="nil"/>
              <w:tr2bl w:val="nil"/>
            </w:tcBorders>
            <w:vAlign w:val="center"/>
          </w:tcPr>
          <w:p w14:paraId="6F8B1749">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明显</w:t>
            </w:r>
          </w:p>
        </w:tc>
      </w:tr>
      <w:tr w14:paraId="58BFDC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438" w:type="dxa"/>
            <w:vMerge w:val="continue"/>
            <w:tcBorders>
              <w:tl2br w:val="nil"/>
              <w:tr2bl w:val="nil"/>
            </w:tcBorders>
            <w:vAlign w:val="center"/>
          </w:tcPr>
          <w:p w14:paraId="208197DA">
            <w:pPr>
              <w:jc w:val="center"/>
              <w:rPr>
                <w:rFonts w:ascii="宋体" w:cs="宋体"/>
                <w:sz w:val="20"/>
              </w:rPr>
            </w:pPr>
          </w:p>
        </w:tc>
        <w:tc>
          <w:tcPr>
            <w:tcW w:w="723" w:type="dxa"/>
            <w:vMerge w:val="continue"/>
            <w:tcBorders>
              <w:tl2br w:val="nil"/>
              <w:tr2bl w:val="nil"/>
            </w:tcBorders>
            <w:vAlign w:val="center"/>
          </w:tcPr>
          <w:p w14:paraId="2956DB51">
            <w:pPr>
              <w:jc w:val="center"/>
              <w:rPr>
                <w:rFonts w:ascii="宋体" w:cs="宋体"/>
                <w:sz w:val="20"/>
              </w:rPr>
            </w:pPr>
          </w:p>
        </w:tc>
        <w:tc>
          <w:tcPr>
            <w:tcW w:w="759" w:type="dxa"/>
            <w:gridSpan w:val="2"/>
            <w:tcBorders>
              <w:tl2br w:val="nil"/>
              <w:tr2bl w:val="nil"/>
            </w:tcBorders>
            <w:vAlign w:val="center"/>
          </w:tcPr>
          <w:p w14:paraId="35A8AF81">
            <w:pPr>
              <w:widowControl/>
              <w:spacing w:line="200" w:lineRule="exact"/>
              <w:jc w:val="center"/>
              <w:rPr>
                <w:rFonts w:ascii="宋体" w:hAnsi="宋体" w:eastAsia="宋体" w:cs="宋体"/>
                <w:sz w:val="20"/>
              </w:rPr>
            </w:pPr>
            <w:r>
              <w:rPr>
                <w:rFonts w:hint="eastAsia" w:ascii="宋体" w:hAnsi="宋体" w:eastAsia="宋体" w:cs="宋体"/>
                <w:sz w:val="20"/>
              </w:rPr>
              <w:t>可持续影响指标</w:t>
            </w:r>
          </w:p>
        </w:tc>
        <w:tc>
          <w:tcPr>
            <w:tcW w:w="2872" w:type="dxa"/>
            <w:tcBorders>
              <w:tl2br w:val="nil"/>
              <w:tr2bl w:val="nil"/>
            </w:tcBorders>
            <w:vAlign w:val="center"/>
          </w:tcPr>
          <w:p w14:paraId="390D33F1">
            <w:pPr>
              <w:keepNext w:val="0"/>
              <w:keepLines w:val="0"/>
              <w:widowControl/>
              <w:suppressLineNumbers w:val="0"/>
              <w:jc w:val="left"/>
              <w:textAlignment w:val="center"/>
              <w:rPr>
                <w:rFonts w:ascii="宋体" w:hAnsi="宋体" w:eastAsia="宋体" w:cs="宋体"/>
                <w:sz w:val="20"/>
              </w:rPr>
            </w:pPr>
            <w:r>
              <w:rPr>
                <w:rFonts w:hint="eastAsia" w:ascii="宋体" w:hAnsi="宋体" w:eastAsia="宋体" w:cs="宋体"/>
                <w:i w:val="0"/>
                <w:iCs w:val="0"/>
                <w:color w:val="000000"/>
                <w:kern w:val="0"/>
                <w:sz w:val="20"/>
                <w:szCs w:val="20"/>
                <w:u w:val="none"/>
                <w:lang w:val="en-US" w:eastAsia="zh-CN" w:bidi="ar"/>
              </w:rPr>
              <w:t>办公大楼安全、基础工作正常运行</w:t>
            </w:r>
          </w:p>
        </w:tc>
        <w:tc>
          <w:tcPr>
            <w:tcW w:w="4228" w:type="dxa"/>
            <w:gridSpan w:val="2"/>
            <w:tcBorders>
              <w:tl2br w:val="nil"/>
              <w:tr2bl w:val="nil"/>
            </w:tcBorders>
            <w:vAlign w:val="center"/>
          </w:tcPr>
          <w:p w14:paraId="59BF7611">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保持</w:t>
            </w:r>
          </w:p>
        </w:tc>
      </w:tr>
      <w:tr w14:paraId="4574DB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73D01BEF">
            <w:pPr>
              <w:jc w:val="center"/>
              <w:rPr>
                <w:rFonts w:ascii="宋体" w:cs="宋体"/>
                <w:sz w:val="20"/>
              </w:rPr>
            </w:pPr>
          </w:p>
        </w:tc>
        <w:tc>
          <w:tcPr>
            <w:tcW w:w="723" w:type="dxa"/>
            <w:tcBorders>
              <w:tl2br w:val="nil"/>
              <w:tr2bl w:val="nil"/>
            </w:tcBorders>
            <w:vAlign w:val="center"/>
          </w:tcPr>
          <w:p w14:paraId="72B86A12">
            <w:pPr>
              <w:widowControl/>
              <w:spacing w:line="200" w:lineRule="exact"/>
              <w:jc w:val="center"/>
              <w:rPr>
                <w:rFonts w:ascii="宋体" w:hAnsi="宋体" w:eastAsia="宋体" w:cs="宋体"/>
                <w:sz w:val="20"/>
              </w:rPr>
            </w:pPr>
            <w:r>
              <w:rPr>
                <w:rFonts w:hint="eastAsia" w:ascii="宋体" w:hAnsi="宋体" w:eastAsia="宋体" w:cs="宋体"/>
                <w:sz w:val="20"/>
              </w:rPr>
              <w:t>满意度指标</w:t>
            </w:r>
          </w:p>
        </w:tc>
        <w:tc>
          <w:tcPr>
            <w:tcW w:w="759" w:type="dxa"/>
            <w:gridSpan w:val="2"/>
            <w:tcBorders>
              <w:tl2br w:val="nil"/>
              <w:tr2bl w:val="nil"/>
            </w:tcBorders>
            <w:vAlign w:val="center"/>
          </w:tcPr>
          <w:p w14:paraId="69FD4C86">
            <w:pPr>
              <w:widowControl/>
              <w:spacing w:line="200" w:lineRule="exact"/>
              <w:jc w:val="center"/>
              <w:rPr>
                <w:rFonts w:ascii="宋体" w:hAnsi="宋体" w:eastAsia="宋体" w:cs="宋体"/>
                <w:sz w:val="20"/>
              </w:rPr>
            </w:pPr>
            <w:r>
              <w:rPr>
                <w:rFonts w:hint="eastAsia" w:ascii="宋体" w:hAnsi="宋体" w:eastAsia="宋体" w:cs="宋体"/>
                <w:sz w:val="20"/>
              </w:rPr>
              <w:t>满意度指标</w:t>
            </w:r>
          </w:p>
        </w:tc>
        <w:tc>
          <w:tcPr>
            <w:tcW w:w="2872" w:type="dxa"/>
            <w:tcBorders>
              <w:tl2br w:val="nil"/>
              <w:tr2bl w:val="nil"/>
            </w:tcBorders>
            <w:vAlign w:val="center"/>
          </w:tcPr>
          <w:p w14:paraId="24B799E4">
            <w:pPr>
              <w:keepNext w:val="0"/>
              <w:keepLines w:val="0"/>
              <w:widowControl/>
              <w:suppressLineNumbers w:val="0"/>
              <w:jc w:val="left"/>
              <w:textAlignment w:val="center"/>
              <w:rPr>
                <w:rFonts w:ascii="宋体" w:hAnsi="宋体" w:eastAsia="宋体" w:cs="宋体"/>
                <w:sz w:val="20"/>
              </w:rPr>
            </w:pPr>
            <w:r>
              <w:rPr>
                <w:rFonts w:hint="eastAsia" w:ascii="宋体" w:hAnsi="宋体" w:eastAsia="宋体" w:cs="宋体"/>
                <w:i w:val="0"/>
                <w:iCs w:val="0"/>
                <w:color w:val="000000"/>
                <w:kern w:val="0"/>
                <w:sz w:val="20"/>
                <w:szCs w:val="20"/>
                <w:u w:val="none"/>
                <w:lang w:val="en-US" w:eastAsia="zh-CN" w:bidi="ar"/>
              </w:rPr>
              <w:t>机关满意度</w:t>
            </w:r>
          </w:p>
        </w:tc>
        <w:tc>
          <w:tcPr>
            <w:tcW w:w="4228" w:type="dxa"/>
            <w:gridSpan w:val="2"/>
            <w:tcBorders>
              <w:tl2br w:val="nil"/>
              <w:tr2bl w:val="nil"/>
            </w:tcBorders>
            <w:vAlign w:val="center"/>
          </w:tcPr>
          <w:p w14:paraId="76889DC7">
            <w:pPr>
              <w:keepNext w:val="0"/>
              <w:keepLines w:val="0"/>
              <w:widowControl/>
              <w:suppressLineNumbers w:val="0"/>
              <w:jc w:val="center"/>
              <w:textAlignment w:val="center"/>
              <w:rPr>
                <w:rFonts w:ascii="宋体" w:cs="宋体"/>
                <w:sz w:val="20"/>
              </w:rPr>
            </w:pPr>
            <w:r>
              <w:rPr>
                <w:rFonts w:ascii="宋体" w:hAnsi="宋体" w:eastAsia="宋体" w:cs="宋体"/>
                <w:i w:val="0"/>
                <w:iCs w:val="0"/>
                <w:color w:val="000000"/>
                <w:kern w:val="0"/>
                <w:sz w:val="20"/>
                <w:szCs w:val="20"/>
                <w:u w:val="none"/>
                <w:lang w:val="en-US" w:eastAsia="zh-CN" w:bidi="ar"/>
              </w:rPr>
              <w:t>≧</w:t>
            </w:r>
            <w:r>
              <w:rPr>
                <w:rFonts w:hint="eastAsia" w:ascii="宋体" w:hAnsi="宋体" w:eastAsia="宋体" w:cs="宋体"/>
                <w:i w:val="0"/>
                <w:iCs w:val="0"/>
                <w:color w:val="000000"/>
                <w:kern w:val="0"/>
                <w:sz w:val="20"/>
                <w:szCs w:val="20"/>
                <w:u w:val="none"/>
                <w:lang w:val="en-US" w:eastAsia="zh-CN" w:bidi="ar"/>
              </w:rPr>
              <w:t>95</w:t>
            </w:r>
          </w:p>
        </w:tc>
      </w:tr>
    </w:tbl>
    <w:p w14:paraId="07B3D139">
      <w:pPr>
        <w:ind w:firstLine="420" w:firstLineChars="200"/>
      </w:pPr>
    </w:p>
    <w:p w14:paraId="477A5230">
      <w:pPr>
        <w:ind w:firstLine="643" w:firstLineChars="200"/>
        <w:rPr>
          <w:rFonts w:hint="eastAsia" w:ascii="仿宋" w:hAnsi="仿宋" w:eastAsia="仿宋" w:cs="仿宋"/>
          <w:b/>
          <w:bCs/>
          <w:kern w:val="0"/>
          <w:sz w:val="32"/>
          <w:szCs w:val="32"/>
        </w:rPr>
      </w:pPr>
      <w:r>
        <w:rPr>
          <w:rFonts w:hint="eastAsia" w:ascii="仿宋" w:hAnsi="仿宋" w:eastAsia="仿宋" w:cs="仿宋"/>
          <w:b/>
          <w:bCs/>
          <w:kern w:val="0"/>
          <w:sz w:val="32"/>
          <w:szCs w:val="32"/>
          <w:lang w:val="en-US" w:eastAsia="zh-CN"/>
        </w:rPr>
        <w:t>2</w:t>
      </w:r>
      <w:r>
        <w:rPr>
          <w:rFonts w:hint="eastAsia" w:ascii="仿宋" w:hAnsi="仿宋" w:eastAsia="仿宋" w:cs="仿宋"/>
          <w:b/>
          <w:bCs/>
          <w:kern w:val="0"/>
          <w:sz w:val="32"/>
          <w:szCs w:val="32"/>
        </w:rPr>
        <w:t>、“</w:t>
      </w:r>
      <w:r>
        <w:rPr>
          <w:rFonts w:hint="eastAsia" w:ascii="仿宋" w:hAnsi="仿宋" w:eastAsia="仿宋" w:cs="仿宋"/>
          <w:b/>
          <w:bCs/>
          <w:kern w:val="0"/>
          <w:sz w:val="32"/>
          <w:szCs w:val="32"/>
          <w:lang w:eastAsia="zh-CN"/>
        </w:rPr>
        <w:t>单位劳务保障支出</w:t>
      </w:r>
      <w:r>
        <w:rPr>
          <w:rFonts w:hint="eastAsia" w:ascii="仿宋" w:hAnsi="仿宋" w:eastAsia="仿宋" w:cs="仿宋"/>
          <w:b/>
          <w:bCs/>
          <w:kern w:val="0"/>
          <w:sz w:val="32"/>
          <w:szCs w:val="32"/>
        </w:rPr>
        <w:t>”项目。</w:t>
      </w:r>
    </w:p>
    <w:p w14:paraId="6A0CE09B">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lang w:eastAsia="zh-CN"/>
        </w:rPr>
      </w:pPr>
      <w:r>
        <w:rPr>
          <w:rFonts w:hint="eastAsia" w:ascii="仿宋" w:hAnsi="仿宋" w:eastAsia="仿宋" w:cs="仿宋"/>
          <w:kern w:val="0"/>
          <w:sz w:val="32"/>
          <w:szCs w:val="32"/>
        </w:rPr>
        <w:t>（1）项目概述。</w:t>
      </w:r>
      <w:r>
        <w:rPr>
          <w:rFonts w:hint="eastAsia" w:ascii="仿宋" w:hAnsi="仿宋" w:eastAsia="仿宋" w:cs="仿宋"/>
          <w:sz w:val="32"/>
          <w:szCs w:val="32"/>
        </w:rPr>
        <w:t>人事代理人员</w:t>
      </w:r>
      <w:r>
        <w:rPr>
          <w:rFonts w:hint="eastAsia" w:ascii="仿宋" w:hAnsi="仿宋" w:eastAsia="仿宋" w:cs="仿宋"/>
          <w:sz w:val="32"/>
          <w:szCs w:val="32"/>
          <w:lang w:val="en-US" w:eastAsia="zh-CN"/>
        </w:rPr>
        <w:t>3</w:t>
      </w:r>
      <w:r>
        <w:rPr>
          <w:rFonts w:hint="eastAsia" w:ascii="仿宋" w:hAnsi="仿宋" w:eastAsia="仿宋" w:cs="仿宋"/>
          <w:sz w:val="32"/>
          <w:szCs w:val="32"/>
        </w:rPr>
        <w:t>人</w:t>
      </w:r>
      <w:r>
        <w:rPr>
          <w:rFonts w:hint="eastAsia" w:ascii="仿宋" w:hAnsi="仿宋" w:eastAsia="仿宋" w:cs="仿宋"/>
          <w:sz w:val="32"/>
          <w:szCs w:val="32"/>
          <w:lang w:eastAsia="zh-CN"/>
        </w:rPr>
        <w:t>，劳务支出。</w:t>
      </w:r>
    </w:p>
    <w:p w14:paraId="7C44CC61">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（2）立项依据。</w:t>
      </w:r>
      <w:r>
        <w:rPr>
          <w:rFonts w:hint="eastAsia" w:ascii="仿宋" w:hAnsi="仿宋" w:eastAsia="仿宋" w:cs="仿宋"/>
          <w:sz w:val="32"/>
          <w:szCs w:val="32"/>
        </w:rPr>
        <w:t>财政局财预【2011】289号</w:t>
      </w:r>
    </w:p>
    <w:p w14:paraId="0EF7CB12">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（3）实施主体。</w:t>
      </w:r>
      <w:r>
        <w:rPr>
          <w:rFonts w:hint="eastAsia" w:ascii="仿宋" w:hAnsi="仿宋" w:eastAsia="仿宋" w:cs="仿宋"/>
          <w:sz w:val="32"/>
          <w:szCs w:val="32"/>
          <w:lang w:eastAsia="zh-CN"/>
        </w:rPr>
        <w:t>淮北市生态环境保护综合行政执法支队</w:t>
      </w:r>
      <w:r>
        <w:rPr>
          <w:rFonts w:hint="eastAsia" w:ascii="仿宋" w:hAnsi="仿宋" w:eastAsia="仿宋" w:cs="仿宋"/>
          <w:kern w:val="0"/>
          <w:sz w:val="32"/>
          <w:szCs w:val="32"/>
        </w:rPr>
        <w:t>…</w:t>
      </w:r>
    </w:p>
    <w:p w14:paraId="3C30E248">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lang w:val="en-US" w:eastAsia="zh-CN"/>
        </w:rPr>
      </w:pPr>
      <w:r>
        <w:rPr>
          <w:rFonts w:hint="eastAsia" w:ascii="仿宋" w:hAnsi="仿宋" w:eastAsia="仿宋" w:cs="仿宋"/>
          <w:kern w:val="0"/>
          <w:sz w:val="32"/>
          <w:szCs w:val="32"/>
        </w:rPr>
        <w:t>（4）起止时间。</w:t>
      </w:r>
      <w:r>
        <w:rPr>
          <w:rFonts w:hint="eastAsia" w:ascii="仿宋" w:hAnsi="仿宋" w:eastAsia="仿宋" w:cs="仿宋"/>
          <w:kern w:val="0"/>
          <w:sz w:val="32"/>
          <w:szCs w:val="32"/>
          <w:lang w:val="en-US" w:eastAsia="zh-CN"/>
        </w:rPr>
        <w:t>2025.1-12</w:t>
      </w:r>
    </w:p>
    <w:p w14:paraId="40CAC42B">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（5）项目内容。</w:t>
      </w:r>
      <w:r>
        <w:rPr>
          <w:rFonts w:hint="eastAsia" w:ascii="仿宋" w:hAnsi="仿宋" w:eastAsia="仿宋" w:cs="仿宋"/>
          <w:kern w:val="0"/>
          <w:sz w:val="32"/>
          <w:szCs w:val="32"/>
          <w:lang w:eastAsia="zh-CN"/>
        </w:rPr>
        <w:t>协助</w:t>
      </w:r>
      <w:r>
        <w:rPr>
          <w:rFonts w:hint="eastAsia" w:ascii="仿宋" w:hAnsi="仿宋" w:eastAsia="仿宋" w:cs="仿宋"/>
          <w:sz w:val="32"/>
          <w:szCs w:val="32"/>
        </w:rPr>
        <w:t>负责全市环境监察、应急、信访及等工作</w:t>
      </w:r>
      <w:r>
        <w:rPr>
          <w:rFonts w:hint="eastAsia" w:ascii="仿宋" w:hAnsi="仿宋" w:eastAsia="仿宋" w:cs="仿宋"/>
          <w:sz w:val="32"/>
          <w:szCs w:val="32"/>
          <w:lang w:eastAsia="zh-CN"/>
        </w:rPr>
        <w:t>的</w:t>
      </w:r>
      <w:r>
        <w:rPr>
          <w:rFonts w:hint="eastAsia" w:ascii="仿宋" w:hAnsi="仿宋" w:eastAsia="仿宋" w:cs="仿宋"/>
          <w:sz w:val="32"/>
          <w:szCs w:val="32"/>
        </w:rPr>
        <w:t>人才代理人员</w:t>
      </w:r>
      <w:r>
        <w:rPr>
          <w:rFonts w:hint="eastAsia" w:ascii="仿宋" w:hAnsi="仿宋" w:eastAsia="仿宋" w:cs="仿宋"/>
          <w:sz w:val="32"/>
          <w:szCs w:val="32"/>
          <w:lang w:eastAsia="zh-CN"/>
        </w:rPr>
        <w:t>，产生的劳务费用各项支出。</w:t>
      </w:r>
    </w:p>
    <w:p w14:paraId="7BF81688">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lang w:val="en-US" w:eastAsia="zh-CN"/>
        </w:rPr>
      </w:pPr>
      <w:r>
        <w:rPr>
          <w:rFonts w:hint="eastAsia" w:ascii="仿宋" w:hAnsi="仿宋" w:eastAsia="仿宋" w:cs="仿宋"/>
          <w:kern w:val="0"/>
          <w:sz w:val="32"/>
          <w:szCs w:val="32"/>
        </w:rPr>
        <w:t>（6）年度预算安排。</w:t>
      </w:r>
      <w:r>
        <w:rPr>
          <w:rFonts w:hint="eastAsia" w:ascii="仿宋" w:hAnsi="仿宋" w:eastAsia="仿宋" w:cs="仿宋"/>
          <w:kern w:val="0"/>
          <w:sz w:val="32"/>
          <w:szCs w:val="32"/>
          <w:lang w:eastAsia="zh-CN"/>
        </w:rPr>
        <w:t>预算资金</w:t>
      </w:r>
      <w:r>
        <w:rPr>
          <w:rFonts w:hint="eastAsia" w:ascii="仿宋" w:hAnsi="仿宋" w:eastAsia="仿宋" w:cs="仿宋"/>
          <w:kern w:val="0"/>
          <w:sz w:val="32"/>
          <w:szCs w:val="32"/>
          <w:lang w:val="en-US" w:eastAsia="zh-CN"/>
        </w:rPr>
        <w:t>20万元。</w:t>
      </w:r>
    </w:p>
    <w:p w14:paraId="2EB7FDC8">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（7）绩效目标。</w:t>
      </w:r>
    </w:p>
    <w:tbl>
      <w:tblPr>
        <w:tblStyle w:val="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8"/>
        <w:gridCol w:w="723"/>
        <w:gridCol w:w="282"/>
        <w:gridCol w:w="477"/>
        <w:gridCol w:w="2872"/>
        <w:gridCol w:w="1848"/>
        <w:gridCol w:w="2380"/>
      </w:tblGrid>
      <w:tr w14:paraId="14D0F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trPr>
        <w:tc>
          <w:tcPr>
            <w:tcW w:w="9020" w:type="dxa"/>
            <w:gridSpan w:val="7"/>
            <w:tcBorders>
              <w:top w:val="nil"/>
              <w:left w:val="nil"/>
              <w:bottom w:val="nil"/>
              <w:right w:val="nil"/>
            </w:tcBorders>
            <w:vAlign w:val="center"/>
          </w:tcPr>
          <w:p w14:paraId="47AA8AEE">
            <w:pPr>
              <w:widowControl/>
              <w:jc w:val="center"/>
              <w:textAlignment w:val="center"/>
              <w:rPr>
                <w:rFonts w:ascii="宋体" w:cs="宋体"/>
                <w:b/>
                <w:bCs/>
                <w:szCs w:val="32"/>
              </w:rPr>
            </w:pPr>
            <w:r>
              <w:rPr>
                <w:rFonts w:hint="eastAsia" w:ascii="宋体" w:hAnsi="宋体" w:eastAsia="宋体" w:cs="宋体"/>
                <w:b/>
                <w:color w:val="000000"/>
                <w:kern w:val="0"/>
                <w:sz w:val="28"/>
                <w:szCs w:val="28"/>
              </w:rPr>
              <w:t>项目支出绩效目标表</w:t>
            </w:r>
          </w:p>
        </w:tc>
      </w:tr>
      <w:tr w14:paraId="70AEC1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9020" w:type="dxa"/>
            <w:gridSpan w:val="7"/>
            <w:tcBorders>
              <w:top w:val="nil"/>
              <w:left w:val="nil"/>
              <w:right w:val="nil"/>
            </w:tcBorders>
            <w:vAlign w:val="center"/>
          </w:tcPr>
          <w:p w14:paraId="5C7E5251">
            <w:pPr>
              <w:widowControl/>
              <w:jc w:val="center"/>
              <w:textAlignment w:val="center"/>
              <w:rPr>
                <w:rFonts w:ascii="宋体" w:cs="宋体"/>
                <w:sz w:val="20"/>
              </w:rPr>
            </w:pPr>
            <w:r>
              <w:rPr>
                <w:rFonts w:hint="eastAsia" w:ascii="宋体" w:hAnsi="宋体" w:eastAsia="宋体" w:cs="宋体"/>
                <w:color w:val="000000"/>
                <w:kern w:val="0"/>
                <w:sz w:val="20"/>
                <w:szCs w:val="20"/>
              </w:rPr>
              <w:t xml:space="preserve"> （202</w:t>
            </w:r>
            <w:r>
              <w:rPr>
                <w:rFonts w:hint="eastAsia" w:ascii="宋体" w:hAnsi="宋体" w:eastAsia="宋体" w:cs="宋体"/>
                <w:color w:val="000000"/>
                <w:kern w:val="0"/>
                <w:sz w:val="20"/>
                <w:szCs w:val="20"/>
                <w:lang w:val="en-US" w:eastAsia="zh-CN"/>
              </w:rPr>
              <w:t>5</w:t>
            </w:r>
            <w:r>
              <w:rPr>
                <w:rFonts w:hint="eastAsia" w:ascii="宋体" w:hAnsi="宋体" w:eastAsia="宋体" w:cs="宋体"/>
                <w:color w:val="000000"/>
                <w:kern w:val="0"/>
                <w:sz w:val="20"/>
                <w:szCs w:val="20"/>
              </w:rPr>
              <w:t xml:space="preserve">年度）                                </w:t>
            </w:r>
          </w:p>
        </w:tc>
      </w:tr>
      <w:tr w14:paraId="2B2DE9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tcBorders>
              <w:tl2br w:val="nil"/>
              <w:tr2bl w:val="nil"/>
            </w:tcBorders>
            <w:vAlign w:val="center"/>
          </w:tcPr>
          <w:p w14:paraId="064BD94A">
            <w:pPr>
              <w:widowControl/>
              <w:jc w:val="center"/>
              <w:textAlignment w:val="center"/>
              <w:rPr>
                <w:rFonts w:ascii="宋体" w:cs="宋体"/>
                <w:sz w:val="20"/>
              </w:rPr>
            </w:pPr>
            <w:r>
              <w:rPr>
                <w:rFonts w:hint="eastAsia" w:ascii="宋体" w:hAnsi="宋体" w:eastAsia="宋体" w:cs="宋体"/>
                <w:color w:val="000000"/>
                <w:kern w:val="0"/>
                <w:sz w:val="20"/>
                <w:szCs w:val="20"/>
              </w:rPr>
              <w:t>项目名称</w:t>
            </w:r>
          </w:p>
        </w:tc>
        <w:tc>
          <w:tcPr>
            <w:tcW w:w="7577" w:type="dxa"/>
            <w:gridSpan w:val="4"/>
            <w:tcBorders>
              <w:tl2br w:val="nil"/>
              <w:tr2bl w:val="nil"/>
            </w:tcBorders>
            <w:vAlign w:val="center"/>
          </w:tcPr>
          <w:p w14:paraId="1E4D81E4">
            <w:pPr>
              <w:jc w:val="center"/>
              <w:rPr>
                <w:rFonts w:hint="eastAsia" w:ascii="宋体" w:cs="宋体" w:eastAsiaTheme="minorEastAsia"/>
                <w:sz w:val="20"/>
                <w:lang w:eastAsia="zh-CN"/>
              </w:rPr>
            </w:pPr>
            <w:r>
              <w:rPr>
                <w:rFonts w:hint="eastAsia" w:ascii="宋体" w:cs="宋体"/>
                <w:sz w:val="20"/>
                <w:lang w:eastAsia="zh-CN"/>
              </w:rPr>
              <w:t>单位劳务保障支出</w:t>
            </w:r>
          </w:p>
        </w:tc>
      </w:tr>
      <w:tr w14:paraId="4D1DD1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1443" w:type="dxa"/>
            <w:gridSpan w:val="3"/>
            <w:tcBorders>
              <w:tl2br w:val="nil"/>
              <w:tr2bl w:val="nil"/>
            </w:tcBorders>
            <w:vAlign w:val="center"/>
          </w:tcPr>
          <w:p w14:paraId="3F3D80D1">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主管部门   及代码</w:t>
            </w:r>
          </w:p>
        </w:tc>
        <w:tc>
          <w:tcPr>
            <w:tcW w:w="3349" w:type="dxa"/>
            <w:gridSpan w:val="2"/>
            <w:tcBorders>
              <w:tl2br w:val="nil"/>
              <w:tr2bl w:val="nil"/>
            </w:tcBorders>
            <w:vAlign w:val="center"/>
          </w:tcPr>
          <w:p w14:paraId="40DC7591">
            <w:pPr>
              <w:jc w:val="center"/>
              <w:rPr>
                <w:rFonts w:ascii="宋体" w:cs="宋体"/>
                <w:sz w:val="20"/>
              </w:rPr>
            </w:pPr>
            <w:r>
              <w:rPr>
                <w:rFonts w:hint="eastAsia" w:ascii="宋体" w:cs="宋体"/>
                <w:sz w:val="20"/>
                <w:lang w:val="en-US" w:eastAsia="zh-CN"/>
              </w:rPr>
              <w:t>264-</w:t>
            </w:r>
            <w:r>
              <w:rPr>
                <w:rFonts w:hint="eastAsia" w:ascii="宋体" w:cs="宋体"/>
                <w:sz w:val="20"/>
              </w:rPr>
              <w:t>淮北市生态环境局</w:t>
            </w:r>
          </w:p>
        </w:tc>
        <w:tc>
          <w:tcPr>
            <w:tcW w:w="1848" w:type="dxa"/>
            <w:tcBorders>
              <w:tl2br w:val="nil"/>
              <w:tr2bl w:val="nil"/>
            </w:tcBorders>
            <w:vAlign w:val="center"/>
          </w:tcPr>
          <w:p w14:paraId="7B2814DD">
            <w:pPr>
              <w:widowControl/>
              <w:jc w:val="center"/>
              <w:textAlignment w:val="center"/>
            </w:pPr>
            <w:r>
              <w:rPr>
                <w:rFonts w:hint="eastAsia" w:ascii="宋体" w:hAnsi="宋体" w:eastAsia="宋体" w:cs="宋体"/>
                <w:color w:val="000000"/>
                <w:kern w:val="0"/>
                <w:sz w:val="20"/>
                <w:szCs w:val="20"/>
              </w:rPr>
              <w:t>实施单位</w:t>
            </w:r>
          </w:p>
        </w:tc>
        <w:tc>
          <w:tcPr>
            <w:tcW w:w="2380" w:type="dxa"/>
            <w:tcBorders>
              <w:tl2br w:val="nil"/>
              <w:tr2bl w:val="nil"/>
            </w:tcBorders>
            <w:vAlign w:val="center"/>
          </w:tcPr>
          <w:p w14:paraId="73CD4470">
            <w:pPr>
              <w:jc w:val="center"/>
            </w:pPr>
            <w:r>
              <w:rPr>
                <w:rFonts w:hint="eastAsia"/>
                <w:sz w:val="20"/>
                <w:szCs w:val="20"/>
              </w:rPr>
              <w:t>淮北市生态环境保护综合行政执法支队</w:t>
            </w:r>
          </w:p>
        </w:tc>
      </w:tr>
      <w:tr w14:paraId="58A55E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tcBorders>
              <w:tl2br w:val="nil"/>
              <w:tr2bl w:val="nil"/>
            </w:tcBorders>
            <w:vAlign w:val="center"/>
          </w:tcPr>
          <w:p w14:paraId="779CCEBF">
            <w:pPr>
              <w:widowControl/>
              <w:jc w:val="center"/>
              <w:textAlignment w:val="center"/>
              <w:rPr>
                <w:rFonts w:ascii="宋体" w:cs="宋体"/>
                <w:sz w:val="20"/>
              </w:rPr>
            </w:pPr>
            <w:r>
              <w:rPr>
                <w:rFonts w:hint="eastAsia" w:ascii="宋体" w:hAnsi="宋体" w:eastAsia="宋体" w:cs="宋体"/>
                <w:color w:val="000000"/>
                <w:kern w:val="0"/>
                <w:sz w:val="20"/>
                <w:szCs w:val="20"/>
              </w:rPr>
              <w:t>项目来源</w:t>
            </w:r>
          </w:p>
        </w:tc>
        <w:tc>
          <w:tcPr>
            <w:tcW w:w="3349" w:type="dxa"/>
            <w:gridSpan w:val="2"/>
            <w:tcBorders>
              <w:tl2br w:val="nil"/>
              <w:tr2bl w:val="nil"/>
            </w:tcBorders>
            <w:vAlign w:val="center"/>
          </w:tcPr>
          <w:p w14:paraId="1BD3D6C5">
            <w:pPr>
              <w:jc w:val="center"/>
              <w:rPr>
                <w:rFonts w:hint="eastAsia" w:ascii="宋体" w:cs="宋体" w:eastAsiaTheme="minorEastAsia"/>
                <w:sz w:val="20"/>
                <w:lang w:eastAsia="zh-CN"/>
              </w:rPr>
            </w:pPr>
            <w:r>
              <w:rPr>
                <w:rFonts w:hint="eastAsia" w:ascii="宋体" w:cs="宋体"/>
                <w:sz w:val="20"/>
                <w:lang w:eastAsia="zh-CN"/>
              </w:rPr>
              <w:t>年初预算</w:t>
            </w:r>
          </w:p>
        </w:tc>
        <w:tc>
          <w:tcPr>
            <w:tcW w:w="1848" w:type="dxa"/>
            <w:tcBorders>
              <w:tl2br w:val="nil"/>
              <w:tr2bl w:val="nil"/>
            </w:tcBorders>
            <w:vAlign w:val="center"/>
          </w:tcPr>
          <w:p w14:paraId="5B78B12B">
            <w:pPr>
              <w:widowControl/>
              <w:jc w:val="center"/>
              <w:textAlignment w:val="center"/>
            </w:pPr>
            <w:r>
              <w:rPr>
                <w:rFonts w:hint="eastAsia" w:ascii="宋体" w:hAnsi="宋体" w:eastAsia="宋体" w:cs="宋体"/>
                <w:color w:val="000000"/>
                <w:kern w:val="0"/>
                <w:sz w:val="20"/>
                <w:szCs w:val="20"/>
              </w:rPr>
              <w:t>项目期</w:t>
            </w:r>
          </w:p>
        </w:tc>
        <w:tc>
          <w:tcPr>
            <w:tcW w:w="2380" w:type="dxa"/>
            <w:tcBorders>
              <w:tl2br w:val="nil"/>
              <w:tr2bl w:val="nil"/>
            </w:tcBorders>
            <w:vAlign w:val="center"/>
          </w:tcPr>
          <w:p w14:paraId="1068B3F0">
            <w:pPr>
              <w:jc w:val="center"/>
              <w:rPr>
                <w:rFonts w:hint="default" w:eastAsiaTheme="minorEastAsia"/>
                <w:lang w:val="en-US" w:eastAsia="zh-CN"/>
              </w:rPr>
            </w:pPr>
            <w:r>
              <w:rPr>
                <w:rFonts w:hint="eastAsia"/>
                <w:lang w:val="en-US" w:eastAsia="zh-CN"/>
              </w:rPr>
              <w:t>2025.12</w:t>
            </w:r>
          </w:p>
        </w:tc>
      </w:tr>
      <w:tr w14:paraId="4F0161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restart"/>
            <w:tcBorders>
              <w:tl2br w:val="nil"/>
              <w:tr2bl w:val="nil"/>
            </w:tcBorders>
            <w:vAlign w:val="center"/>
          </w:tcPr>
          <w:p w14:paraId="44E65D27">
            <w:pPr>
              <w:widowControl/>
              <w:jc w:val="center"/>
              <w:textAlignment w:val="center"/>
              <w:rPr>
                <w:rFonts w:ascii="宋体" w:cs="宋体"/>
                <w:sz w:val="20"/>
              </w:rPr>
            </w:pPr>
            <w:r>
              <w:rPr>
                <w:rFonts w:hint="eastAsia" w:ascii="宋体" w:hAnsi="宋体" w:eastAsia="宋体" w:cs="宋体"/>
                <w:color w:val="000000"/>
                <w:kern w:val="0"/>
                <w:sz w:val="20"/>
                <w:szCs w:val="20"/>
              </w:rPr>
              <w:t>项目资金</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（万元）</w:t>
            </w:r>
          </w:p>
        </w:tc>
        <w:tc>
          <w:tcPr>
            <w:tcW w:w="3349" w:type="dxa"/>
            <w:gridSpan w:val="2"/>
            <w:tcBorders>
              <w:tl2br w:val="nil"/>
              <w:tr2bl w:val="nil"/>
            </w:tcBorders>
            <w:vAlign w:val="center"/>
          </w:tcPr>
          <w:p w14:paraId="13E09474">
            <w:pPr>
              <w:widowControl/>
              <w:jc w:val="left"/>
              <w:textAlignment w:val="center"/>
              <w:rPr>
                <w:rFonts w:ascii="宋体" w:cs="宋体"/>
                <w:sz w:val="20"/>
              </w:rPr>
            </w:pPr>
            <w:r>
              <w:rPr>
                <w:rFonts w:hint="eastAsia" w:ascii="宋体" w:hAnsi="宋体" w:eastAsia="宋体" w:cs="宋体"/>
                <w:color w:val="000000"/>
                <w:kern w:val="0"/>
                <w:sz w:val="20"/>
                <w:szCs w:val="20"/>
              </w:rPr>
              <w:t xml:space="preserve"> 年度资金总额：</w:t>
            </w:r>
          </w:p>
        </w:tc>
        <w:tc>
          <w:tcPr>
            <w:tcW w:w="4228" w:type="dxa"/>
            <w:gridSpan w:val="2"/>
            <w:tcBorders>
              <w:tl2br w:val="nil"/>
              <w:tr2bl w:val="nil"/>
            </w:tcBorders>
            <w:vAlign w:val="center"/>
          </w:tcPr>
          <w:p w14:paraId="726BB822">
            <w:pPr>
              <w:jc w:val="center"/>
              <w:rPr>
                <w:rFonts w:hint="default" w:ascii="宋体" w:cs="宋体" w:eastAsiaTheme="minorEastAsia"/>
                <w:sz w:val="20"/>
                <w:lang w:val="en-US" w:eastAsia="zh-CN"/>
              </w:rPr>
            </w:pPr>
            <w:r>
              <w:rPr>
                <w:rFonts w:hint="eastAsia" w:ascii="宋体" w:cs="宋体"/>
                <w:sz w:val="20"/>
                <w:lang w:val="en-US" w:eastAsia="zh-CN"/>
              </w:rPr>
              <w:t>20</w:t>
            </w:r>
          </w:p>
        </w:tc>
      </w:tr>
      <w:tr w14:paraId="77DB00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continue"/>
            <w:tcBorders>
              <w:tl2br w:val="nil"/>
              <w:tr2bl w:val="nil"/>
            </w:tcBorders>
            <w:vAlign w:val="center"/>
          </w:tcPr>
          <w:p w14:paraId="42A94B26">
            <w:pPr>
              <w:jc w:val="center"/>
              <w:rPr>
                <w:rFonts w:ascii="宋体" w:cs="宋体"/>
                <w:sz w:val="20"/>
              </w:rPr>
            </w:pPr>
          </w:p>
        </w:tc>
        <w:tc>
          <w:tcPr>
            <w:tcW w:w="3349" w:type="dxa"/>
            <w:gridSpan w:val="2"/>
            <w:tcBorders>
              <w:tl2br w:val="nil"/>
              <w:tr2bl w:val="nil"/>
            </w:tcBorders>
            <w:vAlign w:val="center"/>
          </w:tcPr>
          <w:p w14:paraId="5C31F8F7">
            <w:pPr>
              <w:widowControl/>
              <w:jc w:val="left"/>
              <w:textAlignment w:val="center"/>
              <w:rPr>
                <w:rFonts w:ascii="宋体" w:cs="宋体"/>
                <w:sz w:val="20"/>
              </w:rPr>
            </w:pPr>
            <w:r>
              <w:rPr>
                <w:rFonts w:hint="eastAsia" w:ascii="宋体" w:hAnsi="宋体" w:eastAsia="宋体" w:cs="宋体"/>
                <w:color w:val="000000"/>
                <w:kern w:val="0"/>
                <w:sz w:val="20"/>
                <w:szCs w:val="20"/>
              </w:rPr>
              <w:t xml:space="preserve">   其中：财政拨款</w:t>
            </w:r>
          </w:p>
        </w:tc>
        <w:tc>
          <w:tcPr>
            <w:tcW w:w="4228" w:type="dxa"/>
            <w:gridSpan w:val="2"/>
            <w:tcBorders>
              <w:tl2br w:val="nil"/>
              <w:tr2bl w:val="nil"/>
            </w:tcBorders>
            <w:vAlign w:val="center"/>
          </w:tcPr>
          <w:p w14:paraId="78A16216">
            <w:pPr>
              <w:jc w:val="center"/>
              <w:rPr>
                <w:rFonts w:hint="default" w:ascii="宋体" w:cs="宋体" w:eastAsiaTheme="minorEastAsia"/>
                <w:sz w:val="20"/>
                <w:lang w:val="en-US" w:eastAsia="zh-CN"/>
              </w:rPr>
            </w:pPr>
            <w:r>
              <w:rPr>
                <w:rFonts w:hint="eastAsia" w:ascii="宋体" w:cs="宋体"/>
                <w:sz w:val="20"/>
                <w:lang w:val="en-US" w:eastAsia="zh-CN"/>
              </w:rPr>
              <w:t>20</w:t>
            </w:r>
          </w:p>
        </w:tc>
      </w:tr>
      <w:tr w14:paraId="5E1D8D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continue"/>
            <w:tcBorders>
              <w:tl2br w:val="nil"/>
              <w:tr2bl w:val="nil"/>
            </w:tcBorders>
            <w:vAlign w:val="center"/>
          </w:tcPr>
          <w:p w14:paraId="1A9A898B">
            <w:pPr>
              <w:jc w:val="center"/>
              <w:rPr>
                <w:rFonts w:ascii="宋体" w:cs="宋体"/>
                <w:sz w:val="20"/>
              </w:rPr>
            </w:pPr>
          </w:p>
        </w:tc>
        <w:tc>
          <w:tcPr>
            <w:tcW w:w="3349" w:type="dxa"/>
            <w:gridSpan w:val="2"/>
            <w:tcBorders>
              <w:tl2br w:val="nil"/>
              <w:tr2bl w:val="nil"/>
            </w:tcBorders>
            <w:vAlign w:val="center"/>
          </w:tcPr>
          <w:p w14:paraId="42AB0BC0">
            <w:pPr>
              <w:widowControl/>
              <w:jc w:val="left"/>
              <w:textAlignment w:val="center"/>
              <w:rPr>
                <w:rFonts w:ascii="宋体" w:cs="宋体"/>
                <w:sz w:val="20"/>
              </w:rPr>
            </w:pPr>
            <w:r>
              <w:rPr>
                <w:rFonts w:hint="eastAsia" w:ascii="宋体" w:hAnsi="宋体" w:eastAsia="宋体" w:cs="宋体"/>
                <w:color w:val="000000"/>
                <w:kern w:val="0"/>
                <w:sz w:val="20"/>
                <w:szCs w:val="20"/>
              </w:rPr>
              <w:t xml:space="preserve">         上年结转</w:t>
            </w:r>
          </w:p>
        </w:tc>
        <w:tc>
          <w:tcPr>
            <w:tcW w:w="4228" w:type="dxa"/>
            <w:gridSpan w:val="2"/>
            <w:tcBorders>
              <w:tl2br w:val="nil"/>
              <w:tr2bl w:val="nil"/>
            </w:tcBorders>
            <w:vAlign w:val="center"/>
          </w:tcPr>
          <w:p w14:paraId="41C8C428">
            <w:pPr>
              <w:jc w:val="center"/>
              <w:rPr>
                <w:rFonts w:hint="eastAsia" w:ascii="宋体" w:cs="宋体" w:eastAsiaTheme="minorEastAsia"/>
                <w:sz w:val="20"/>
                <w:lang w:val="en-US" w:eastAsia="zh-CN"/>
              </w:rPr>
            </w:pPr>
            <w:r>
              <w:rPr>
                <w:rFonts w:hint="eastAsia" w:ascii="宋体" w:cs="宋体"/>
                <w:sz w:val="20"/>
                <w:lang w:val="en-US" w:eastAsia="zh-CN"/>
              </w:rPr>
              <w:t>0</w:t>
            </w:r>
          </w:p>
        </w:tc>
      </w:tr>
      <w:tr w14:paraId="639247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continue"/>
            <w:tcBorders>
              <w:tl2br w:val="nil"/>
              <w:tr2bl w:val="nil"/>
            </w:tcBorders>
            <w:vAlign w:val="center"/>
          </w:tcPr>
          <w:p w14:paraId="44740F1B">
            <w:pPr>
              <w:jc w:val="center"/>
              <w:rPr>
                <w:rFonts w:ascii="宋体" w:cs="宋体"/>
                <w:sz w:val="20"/>
              </w:rPr>
            </w:pPr>
          </w:p>
        </w:tc>
        <w:tc>
          <w:tcPr>
            <w:tcW w:w="3349" w:type="dxa"/>
            <w:gridSpan w:val="2"/>
            <w:tcBorders>
              <w:tl2br w:val="nil"/>
              <w:tr2bl w:val="nil"/>
            </w:tcBorders>
            <w:vAlign w:val="center"/>
          </w:tcPr>
          <w:p w14:paraId="2474EE4A">
            <w:pPr>
              <w:widowControl/>
              <w:jc w:val="left"/>
              <w:textAlignment w:val="center"/>
              <w:rPr>
                <w:rFonts w:ascii="宋体" w:cs="宋体"/>
                <w:sz w:val="20"/>
              </w:rPr>
            </w:pPr>
            <w:r>
              <w:rPr>
                <w:rFonts w:hint="eastAsia" w:ascii="宋体" w:hAnsi="宋体" w:eastAsia="宋体" w:cs="宋体"/>
                <w:color w:val="000000"/>
                <w:kern w:val="0"/>
                <w:sz w:val="20"/>
                <w:szCs w:val="20"/>
              </w:rPr>
              <w:t xml:space="preserve">         其他资金</w:t>
            </w:r>
          </w:p>
        </w:tc>
        <w:tc>
          <w:tcPr>
            <w:tcW w:w="4228" w:type="dxa"/>
            <w:gridSpan w:val="2"/>
            <w:tcBorders>
              <w:tl2br w:val="nil"/>
              <w:tr2bl w:val="nil"/>
            </w:tcBorders>
            <w:vAlign w:val="center"/>
          </w:tcPr>
          <w:p w14:paraId="381ECB4F">
            <w:pPr>
              <w:jc w:val="center"/>
              <w:rPr>
                <w:rFonts w:hint="eastAsia" w:ascii="宋体" w:cs="宋体" w:eastAsiaTheme="minorEastAsia"/>
                <w:sz w:val="20"/>
                <w:lang w:val="en-US" w:eastAsia="zh-CN"/>
              </w:rPr>
            </w:pPr>
            <w:r>
              <w:rPr>
                <w:rFonts w:hint="eastAsia" w:ascii="宋体" w:cs="宋体"/>
                <w:sz w:val="20"/>
                <w:lang w:val="en-US" w:eastAsia="zh-CN"/>
              </w:rPr>
              <w:t>0</w:t>
            </w:r>
          </w:p>
        </w:tc>
      </w:tr>
      <w:tr w14:paraId="421C6B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5" w:hRule="atLeast"/>
        </w:trPr>
        <w:tc>
          <w:tcPr>
            <w:tcW w:w="438" w:type="dxa"/>
            <w:tcBorders>
              <w:tl2br w:val="nil"/>
              <w:tr2bl w:val="nil"/>
            </w:tcBorders>
            <w:vAlign w:val="center"/>
          </w:tcPr>
          <w:p w14:paraId="2E737666">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年度</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目标</w:t>
            </w:r>
          </w:p>
        </w:tc>
        <w:tc>
          <w:tcPr>
            <w:tcW w:w="8582" w:type="dxa"/>
            <w:gridSpan w:val="6"/>
            <w:tcBorders>
              <w:tl2br w:val="nil"/>
              <w:tr2bl w:val="nil"/>
            </w:tcBorders>
            <w:vAlign w:val="center"/>
          </w:tcPr>
          <w:p w14:paraId="31B3B5C4">
            <w:pPr>
              <w:jc w:val="left"/>
              <w:rPr>
                <w:rFonts w:ascii="宋体" w:cs="宋体"/>
                <w:sz w:val="20"/>
              </w:rPr>
            </w:pPr>
            <w:r>
              <w:rPr>
                <w:rFonts w:hint="eastAsia" w:ascii="宋体" w:cs="宋体"/>
                <w:sz w:val="20"/>
              </w:rPr>
              <w:t>协助完成各项行政执法工作，提升环境保护执法水平；人员费用及时支付。</w:t>
            </w:r>
          </w:p>
        </w:tc>
      </w:tr>
      <w:tr w14:paraId="537F41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438" w:type="dxa"/>
            <w:vMerge w:val="restart"/>
            <w:tcBorders>
              <w:tl2br w:val="nil"/>
              <w:tr2bl w:val="nil"/>
            </w:tcBorders>
            <w:vAlign w:val="center"/>
          </w:tcPr>
          <w:p w14:paraId="0692E1E7">
            <w:pPr>
              <w:widowControl/>
              <w:jc w:val="center"/>
              <w:textAlignment w:val="center"/>
              <w:rPr>
                <w:rFonts w:ascii="宋体" w:cs="宋体"/>
                <w:sz w:val="20"/>
              </w:rPr>
            </w:pPr>
            <w:r>
              <w:rPr>
                <w:rFonts w:hint="eastAsia" w:ascii="宋体" w:hAnsi="宋体" w:eastAsia="宋体" w:cs="宋体"/>
                <w:color w:val="000000"/>
                <w:kern w:val="0"/>
                <w:sz w:val="20"/>
                <w:szCs w:val="20"/>
              </w:rPr>
              <w:t>绩</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效</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指</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标</w:t>
            </w:r>
          </w:p>
        </w:tc>
        <w:tc>
          <w:tcPr>
            <w:tcW w:w="723" w:type="dxa"/>
            <w:tcBorders>
              <w:tl2br w:val="nil"/>
              <w:tr2bl w:val="nil"/>
            </w:tcBorders>
            <w:vAlign w:val="center"/>
          </w:tcPr>
          <w:p w14:paraId="6218105E">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一级</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指标</w:t>
            </w:r>
          </w:p>
        </w:tc>
        <w:tc>
          <w:tcPr>
            <w:tcW w:w="759" w:type="dxa"/>
            <w:gridSpan w:val="2"/>
            <w:tcBorders>
              <w:tl2br w:val="nil"/>
              <w:tr2bl w:val="nil"/>
            </w:tcBorders>
            <w:vAlign w:val="center"/>
          </w:tcPr>
          <w:p w14:paraId="3CAF0CBB">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二级指标</w:t>
            </w:r>
          </w:p>
        </w:tc>
        <w:tc>
          <w:tcPr>
            <w:tcW w:w="2872" w:type="dxa"/>
            <w:tcBorders>
              <w:tl2br w:val="nil"/>
              <w:tr2bl w:val="nil"/>
            </w:tcBorders>
            <w:vAlign w:val="center"/>
          </w:tcPr>
          <w:p w14:paraId="1FD111FA">
            <w:pPr>
              <w:widowControl/>
              <w:jc w:val="center"/>
              <w:textAlignment w:val="center"/>
              <w:rPr>
                <w:rFonts w:ascii="宋体" w:cs="宋体"/>
                <w:sz w:val="20"/>
              </w:rPr>
            </w:pPr>
            <w:r>
              <w:rPr>
                <w:rFonts w:hint="eastAsia" w:ascii="宋体" w:hAnsi="宋体" w:eastAsia="宋体" w:cs="宋体"/>
                <w:color w:val="000000"/>
                <w:kern w:val="0"/>
                <w:sz w:val="20"/>
                <w:szCs w:val="20"/>
              </w:rPr>
              <w:t>三级指标</w:t>
            </w:r>
          </w:p>
        </w:tc>
        <w:tc>
          <w:tcPr>
            <w:tcW w:w="4228" w:type="dxa"/>
            <w:gridSpan w:val="2"/>
            <w:tcBorders>
              <w:tl2br w:val="nil"/>
              <w:tr2bl w:val="nil"/>
            </w:tcBorders>
            <w:vAlign w:val="center"/>
          </w:tcPr>
          <w:p w14:paraId="49064F3E">
            <w:pPr>
              <w:widowControl/>
              <w:jc w:val="center"/>
              <w:textAlignment w:val="center"/>
              <w:rPr>
                <w:rFonts w:ascii="宋体" w:cs="宋体"/>
                <w:sz w:val="20"/>
              </w:rPr>
            </w:pPr>
            <w:r>
              <w:rPr>
                <w:rFonts w:hint="eastAsia" w:ascii="宋体" w:hAnsi="宋体" w:eastAsia="宋体" w:cs="宋体"/>
                <w:color w:val="000000"/>
                <w:kern w:val="0"/>
                <w:sz w:val="20"/>
                <w:szCs w:val="20"/>
              </w:rPr>
              <w:t>指标值</w:t>
            </w:r>
          </w:p>
        </w:tc>
      </w:tr>
      <w:tr w14:paraId="170167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7125C630">
            <w:pPr>
              <w:jc w:val="center"/>
              <w:rPr>
                <w:rFonts w:ascii="宋体" w:cs="宋体"/>
                <w:sz w:val="20"/>
              </w:rPr>
            </w:pPr>
          </w:p>
        </w:tc>
        <w:tc>
          <w:tcPr>
            <w:tcW w:w="723" w:type="dxa"/>
            <w:vMerge w:val="restart"/>
            <w:tcBorders>
              <w:tl2br w:val="nil"/>
              <w:tr2bl w:val="nil"/>
            </w:tcBorders>
            <w:vAlign w:val="center"/>
          </w:tcPr>
          <w:p w14:paraId="7336EAD5">
            <w:pPr>
              <w:widowControl/>
              <w:jc w:val="center"/>
              <w:textAlignment w:val="center"/>
              <w:rPr>
                <w:rFonts w:ascii="宋体" w:cs="宋体"/>
                <w:sz w:val="20"/>
              </w:rPr>
            </w:pPr>
            <w:r>
              <w:rPr>
                <w:rFonts w:hint="eastAsia" w:ascii="宋体" w:hAnsi="宋体" w:eastAsia="宋体" w:cs="宋体"/>
                <w:color w:val="000000"/>
                <w:kern w:val="0"/>
                <w:sz w:val="20"/>
                <w:szCs w:val="20"/>
              </w:rPr>
              <w:t>产出指标</w:t>
            </w:r>
          </w:p>
        </w:tc>
        <w:tc>
          <w:tcPr>
            <w:tcW w:w="759" w:type="dxa"/>
            <w:gridSpan w:val="2"/>
            <w:tcBorders>
              <w:tl2br w:val="nil"/>
              <w:tr2bl w:val="nil"/>
            </w:tcBorders>
            <w:vAlign w:val="center"/>
          </w:tcPr>
          <w:p w14:paraId="4B26955A">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数量指标</w:t>
            </w:r>
          </w:p>
        </w:tc>
        <w:tc>
          <w:tcPr>
            <w:tcW w:w="2872" w:type="dxa"/>
            <w:tcBorders>
              <w:tl2br w:val="nil"/>
              <w:tr2bl w:val="nil"/>
            </w:tcBorders>
            <w:vAlign w:val="center"/>
          </w:tcPr>
          <w:p w14:paraId="27385C3C">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劳务人员数</w:t>
            </w:r>
          </w:p>
        </w:tc>
        <w:tc>
          <w:tcPr>
            <w:tcW w:w="4228" w:type="dxa"/>
            <w:gridSpan w:val="2"/>
            <w:tcBorders>
              <w:tl2br w:val="nil"/>
              <w:tr2bl w:val="nil"/>
            </w:tcBorders>
            <w:vAlign w:val="center"/>
          </w:tcPr>
          <w:p w14:paraId="565265F0">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3</w:t>
            </w:r>
          </w:p>
        </w:tc>
      </w:tr>
      <w:tr w14:paraId="560E3B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408FE11C">
            <w:pPr>
              <w:jc w:val="center"/>
              <w:rPr>
                <w:rFonts w:ascii="宋体" w:cs="宋体"/>
                <w:sz w:val="20"/>
              </w:rPr>
            </w:pPr>
          </w:p>
        </w:tc>
        <w:tc>
          <w:tcPr>
            <w:tcW w:w="723" w:type="dxa"/>
            <w:vMerge w:val="continue"/>
            <w:tcBorders>
              <w:tl2br w:val="nil"/>
              <w:tr2bl w:val="nil"/>
            </w:tcBorders>
            <w:vAlign w:val="center"/>
          </w:tcPr>
          <w:p w14:paraId="6F89D444">
            <w:pPr>
              <w:jc w:val="center"/>
              <w:rPr>
                <w:rFonts w:ascii="宋体" w:cs="宋体"/>
                <w:sz w:val="20"/>
              </w:rPr>
            </w:pPr>
          </w:p>
        </w:tc>
        <w:tc>
          <w:tcPr>
            <w:tcW w:w="759" w:type="dxa"/>
            <w:gridSpan w:val="2"/>
            <w:tcBorders>
              <w:tl2br w:val="nil"/>
              <w:tr2bl w:val="nil"/>
            </w:tcBorders>
            <w:vAlign w:val="center"/>
          </w:tcPr>
          <w:p w14:paraId="12F1D5B7">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质量指标</w:t>
            </w:r>
          </w:p>
        </w:tc>
        <w:tc>
          <w:tcPr>
            <w:tcW w:w="2872" w:type="dxa"/>
            <w:tcBorders>
              <w:tl2br w:val="nil"/>
              <w:tr2bl w:val="nil"/>
            </w:tcBorders>
            <w:vAlign w:val="center"/>
          </w:tcPr>
          <w:p w14:paraId="0A786C37">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经费支出合规性</w:t>
            </w:r>
          </w:p>
        </w:tc>
        <w:tc>
          <w:tcPr>
            <w:tcW w:w="4228" w:type="dxa"/>
            <w:gridSpan w:val="2"/>
            <w:tcBorders>
              <w:tl2br w:val="nil"/>
              <w:tr2bl w:val="nil"/>
            </w:tcBorders>
            <w:vAlign w:val="center"/>
          </w:tcPr>
          <w:p w14:paraId="2C9262C4">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严格执行相关财经法规、制度等规定</w:t>
            </w:r>
          </w:p>
        </w:tc>
      </w:tr>
      <w:tr w14:paraId="77898C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12C1E7C5">
            <w:pPr>
              <w:jc w:val="center"/>
              <w:rPr>
                <w:rFonts w:ascii="宋体" w:cs="宋体"/>
                <w:sz w:val="20"/>
              </w:rPr>
            </w:pPr>
          </w:p>
        </w:tc>
        <w:tc>
          <w:tcPr>
            <w:tcW w:w="723" w:type="dxa"/>
            <w:vMerge w:val="continue"/>
            <w:tcBorders>
              <w:tl2br w:val="nil"/>
              <w:tr2bl w:val="nil"/>
            </w:tcBorders>
            <w:vAlign w:val="center"/>
          </w:tcPr>
          <w:p w14:paraId="7A7A54D1">
            <w:pPr>
              <w:jc w:val="center"/>
              <w:rPr>
                <w:rFonts w:ascii="宋体" w:cs="宋体"/>
                <w:sz w:val="20"/>
              </w:rPr>
            </w:pPr>
          </w:p>
        </w:tc>
        <w:tc>
          <w:tcPr>
            <w:tcW w:w="759" w:type="dxa"/>
            <w:gridSpan w:val="2"/>
            <w:tcBorders>
              <w:tl2br w:val="nil"/>
              <w:tr2bl w:val="nil"/>
            </w:tcBorders>
            <w:vAlign w:val="center"/>
          </w:tcPr>
          <w:p w14:paraId="70B4F0E9">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时效指标</w:t>
            </w:r>
          </w:p>
        </w:tc>
        <w:tc>
          <w:tcPr>
            <w:tcW w:w="2872" w:type="dxa"/>
            <w:tcBorders>
              <w:tl2br w:val="nil"/>
              <w:tr2bl w:val="nil"/>
            </w:tcBorders>
            <w:vAlign w:val="center"/>
          </w:tcPr>
          <w:p w14:paraId="27F595B8">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经费支出时效性</w:t>
            </w:r>
          </w:p>
        </w:tc>
        <w:tc>
          <w:tcPr>
            <w:tcW w:w="4228" w:type="dxa"/>
            <w:gridSpan w:val="2"/>
            <w:tcBorders>
              <w:tl2br w:val="nil"/>
              <w:tr2bl w:val="nil"/>
            </w:tcBorders>
            <w:vAlign w:val="center"/>
          </w:tcPr>
          <w:p w14:paraId="0FC9D189">
            <w:pPr>
              <w:keepNext w:val="0"/>
              <w:keepLines w:val="0"/>
              <w:widowControl/>
              <w:suppressLineNumbers w:val="0"/>
              <w:jc w:val="center"/>
              <w:textAlignment w:val="center"/>
              <w:rPr>
                <w:rFonts w:ascii="宋体" w:cs="宋体"/>
                <w:sz w:val="20"/>
              </w:rPr>
            </w:pPr>
            <w:r>
              <w:rPr>
                <w:rFonts w:ascii="宋体" w:hAnsi="宋体" w:eastAsia="宋体" w:cs="宋体"/>
                <w:i w:val="0"/>
                <w:iCs w:val="0"/>
                <w:color w:val="000000"/>
                <w:kern w:val="0"/>
                <w:sz w:val="20"/>
                <w:szCs w:val="20"/>
                <w:u w:val="none"/>
                <w:lang w:val="en-US" w:eastAsia="zh-CN" w:bidi="ar"/>
              </w:rPr>
              <w:t>2025.12</w:t>
            </w:r>
          </w:p>
        </w:tc>
      </w:tr>
      <w:tr w14:paraId="414B6E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6610B06D">
            <w:pPr>
              <w:jc w:val="center"/>
              <w:rPr>
                <w:rFonts w:ascii="宋体" w:cs="宋体"/>
                <w:sz w:val="20"/>
              </w:rPr>
            </w:pPr>
          </w:p>
        </w:tc>
        <w:tc>
          <w:tcPr>
            <w:tcW w:w="723" w:type="dxa"/>
            <w:vMerge w:val="continue"/>
            <w:tcBorders>
              <w:tl2br w:val="nil"/>
              <w:tr2bl w:val="nil"/>
            </w:tcBorders>
            <w:vAlign w:val="center"/>
          </w:tcPr>
          <w:p w14:paraId="5E050D5D">
            <w:pPr>
              <w:jc w:val="center"/>
              <w:rPr>
                <w:rFonts w:ascii="宋体" w:cs="宋体"/>
                <w:sz w:val="20"/>
              </w:rPr>
            </w:pPr>
          </w:p>
        </w:tc>
        <w:tc>
          <w:tcPr>
            <w:tcW w:w="759" w:type="dxa"/>
            <w:gridSpan w:val="2"/>
            <w:tcBorders>
              <w:tl2br w:val="nil"/>
              <w:tr2bl w:val="nil"/>
            </w:tcBorders>
            <w:vAlign w:val="center"/>
          </w:tcPr>
          <w:p w14:paraId="20491F1B">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成本指标</w:t>
            </w:r>
          </w:p>
        </w:tc>
        <w:tc>
          <w:tcPr>
            <w:tcW w:w="2872" w:type="dxa"/>
            <w:tcBorders>
              <w:tl2br w:val="nil"/>
              <w:tr2bl w:val="nil"/>
            </w:tcBorders>
            <w:vAlign w:val="center"/>
          </w:tcPr>
          <w:p w14:paraId="390F6ACD">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单位运行劳务费</w:t>
            </w:r>
          </w:p>
        </w:tc>
        <w:tc>
          <w:tcPr>
            <w:tcW w:w="4228" w:type="dxa"/>
            <w:gridSpan w:val="2"/>
            <w:tcBorders>
              <w:tl2br w:val="nil"/>
              <w:tr2bl w:val="nil"/>
            </w:tcBorders>
            <w:vAlign w:val="center"/>
          </w:tcPr>
          <w:p w14:paraId="76064691">
            <w:pPr>
              <w:keepNext w:val="0"/>
              <w:keepLines w:val="0"/>
              <w:widowControl/>
              <w:suppressLineNumbers w:val="0"/>
              <w:jc w:val="center"/>
              <w:textAlignment w:val="center"/>
              <w:rPr>
                <w:rFonts w:ascii="宋体" w:cs="宋体"/>
                <w:sz w:val="20"/>
              </w:rPr>
            </w:pPr>
            <w:r>
              <w:rPr>
                <w:rFonts w:ascii="宋体" w:hAnsi="宋体" w:eastAsia="宋体" w:cs="宋体"/>
                <w:i w:val="0"/>
                <w:iCs w:val="0"/>
                <w:color w:val="000000"/>
                <w:kern w:val="0"/>
                <w:sz w:val="20"/>
                <w:szCs w:val="20"/>
                <w:u w:val="none"/>
                <w:lang w:val="en-US" w:eastAsia="zh-CN" w:bidi="ar"/>
              </w:rPr>
              <w:t>≦</w:t>
            </w:r>
            <w:r>
              <w:rPr>
                <w:rFonts w:hint="eastAsia" w:ascii="宋体" w:hAnsi="宋体" w:eastAsia="宋体" w:cs="宋体"/>
                <w:i w:val="0"/>
                <w:iCs w:val="0"/>
                <w:color w:val="000000"/>
                <w:kern w:val="0"/>
                <w:sz w:val="20"/>
                <w:szCs w:val="20"/>
                <w:u w:val="none"/>
                <w:lang w:val="en-US" w:eastAsia="zh-CN" w:bidi="ar"/>
              </w:rPr>
              <w:t>13</w:t>
            </w:r>
          </w:p>
        </w:tc>
      </w:tr>
      <w:tr w14:paraId="337823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3D0CFF4E">
            <w:pPr>
              <w:jc w:val="center"/>
              <w:rPr>
                <w:rFonts w:ascii="宋体" w:cs="宋体"/>
                <w:sz w:val="20"/>
              </w:rPr>
            </w:pPr>
          </w:p>
        </w:tc>
        <w:tc>
          <w:tcPr>
            <w:tcW w:w="723" w:type="dxa"/>
            <w:vMerge w:val="restart"/>
            <w:tcBorders>
              <w:tl2br w:val="nil"/>
              <w:tr2bl w:val="nil"/>
            </w:tcBorders>
            <w:vAlign w:val="center"/>
          </w:tcPr>
          <w:p w14:paraId="2A881CCF">
            <w:pPr>
              <w:widowControl/>
              <w:jc w:val="center"/>
              <w:textAlignment w:val="center"/>
              <w:rPr>
                <w:rFonts w:ascii="宋体" w:cs="宋体"/>
                <w:sz w:val="20"/>
              </w:rPr>
            </w:pPr>
            <w:r>
              <w:rPr>
                <w:rFonts w:hint="eastAsia" w:ascii="宋体" w:hAnsi="宋体" w:eastAsia="宋体" w:cs="宋体"/>
                <w:color w:val="000000"/>
                <w:kern w:val="0"/>
                <w:sz w:val="20"/>
                <w:szCs w:val="20"/>
              </w:rPr>
              <w:t>效益指标</w:t>
            </w:r>
          </w:p>
        </w:tc>
        <w:tc>
          <w:tcPr>
            <w:tcW w:w="759" w:type="dxa"/>
            <w:gridSpan w:val="2"/>
            <w:tcBorders>
              <w:tl2br w:val="nil"/>
              <w:tr2bl w:val="nil"/>
            </w:tcBorders>
            <w:vAlign w:val="center"/>
          </w:tcPr>
          <w:p w14:paraId="492A4E01">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经济效益指标</w:t>
            </w:r>
          </w:p>
        </w:tc>
        <w:tc>
          <w:tcPr>
            <w:tcW w:w="2872" w:type="dxa"/>
            <w:tcBorders>
              <w:tl2br w:val="nil"/>
              <w:tr2bl w:val="nil"/>
            </w:tcBorders>
            <w:vAlign w:val="center"/>
          </w:tcPr>
          <w:p w14:paraId="311933BA">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无</w:t>
            </w:r>
          </w:p>
        </w:tc>
        <w:tc>
          <w:tcPr>
            <w:tcW w:w="4228" w:type="dxa"/>
            <w:gridSpan w:val="2"/>
            <w:tcBorders>
              <w:tl2br w:val="nil"/>
              <w:tr2bl w:val="nil"/>
            </w:tcBorders>
            <w:vAlign w:val="center"/>
          </w:tcPr>
          <w:p w14:paraId="25228FB3">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无</w:t>
            </w:r>
          </w:p>
        </w:tc>
      </w:tr>
      <w:tr w14:paraId="29D66C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0838278A">
            <w:pPr>
              <w:jc w:val="center"/>
              <w:rPr>
                <w:rFonts w:ascii="宋体" w:cs="宋体"/>
                <w:sz w:val="20"/>
              </w:rPr>
            </w:pPr>
          </w:p>
        </w:tc>
        <w:tc>
          <w:tcPr>
            <w:tcW w:w="723" w:type="dxa"/>
            <w:vMerge w:val="continue"/>
            <w:tcBorders>
              <w:tl2br w:val="nil"/>
              <w:tr2bl w:val="nil"/>
            </w:tcBorders>
            <w:vAlign w:val="center"/>
          </w:tcPr>
          <w:p w14:paraId="0761C13E">
            <w:pPr>
              <w:jc w:val="center"/>
              <w:rPr>
                <w:rFonts w:ascii="宋体" w:cs="宋体"/>
                <w:sz w:val="20"/>
              </w:rPr>
            </w:pPr>
          </w:p>
        </w:tc>
        <w:tc>
          <w:tcPr>
            <w:tcW w:w="759" w:type="dxa"/>
            <w:gridSpan w:val="2"/>
            <w:tcBorders>
              <w:tl2br w:val="nil"/>
              <w:tr2bl w:val="nil"/>
            </w:tcBorders>
            <w:vAlign w:val="center"/>
          </w:tcPr>
          <w:p w14:paraId="2069982A">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社会效益指标</w:t>
            </w:r>
          </w:p>
        </w:tc>
        <w:tc>
          <w:tcPr>
            <w:tcW w:w="2872" w:type="dxa"/>
            <w:tcBorders>
              <w:tl2br w:val="nil"/>
              <w:tr2bl w:val="nil"/>
            </w:tcBorders>
            <w:vAlign w:val="center"/>
          </w:tcPr>
          <w:p w14:paraId="5BABAE9E">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对单位日常工作协助保障作用</w:t>
            </w:r>
          </w:p>
        </w:tc>
        <w:tc>
          <w:tcPr>
            <w:tcW w:w="4228" w:type="dxa"/>
            <w:gridSpan w:val="2"/>
            <w:tcBorders>
              <w:tl2br w:val="nil"/>
              <w:tr2bl w:val="nil"/>
            </w:tcBorders>
            <w:vAlign w:val="center"/>
          </w:tcPr>
          <w:p w14:paraId="5A012A8F">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较高</w:t>
            </w:r>
          </w:p>
        </w:tc>
      </w:tr>
      <w:tr w14:paraId="6853E2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600CED7D">
            <w:pPr>
              <w:jc w:val="center"/>
              <w:rPr>
                <w:rFonts w:ascii="宋体" w:cs="宋体"/>
                <w:sz w:val="20"/>
              </w:rPr>
            </w:pPr>
          </w:p>
        </w:tc>
        <w:tc>
          <w:tcPr>
            <w:tcW w:w="723" w:type="dxa"/>
            <w:vMerge w:val="continue"/>
            <w:tcBorders>
              <w:tl2br w:val="nil"/>
              <w:tr2bl w:val="nil"/>
            </w:tcBorders>
            <w:vAlign w:val="center"/>
          </w:tcPr>
          <w:p w14:paraId="287C931F">
            <w:pPr>
              <w:jc w:val="center"/>
              <w:rPr>
                <w:rFonts w:ascii="宋体" w:cs="宋体"/>
                <w:sz w:val="20"/>
              </w:rPr>
            </w:pPr>
          </w:p>
        </w:tc>
        <w:tc>
          <w:tcPr>
            <w:tcW w:w="759" w:type="dxa"/>
            <w:gridSpan w:val="2"/>
            <w:tcBorders>
              <w:tl2br w:val="nil"/>
              <w:tr2bl w:val="nil"/>
            </w:tcBorders>
            <w:vAlign w:val="center"/>
          </w:tcPr>
          <w:p w14:paraId="58F1C8E1">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生态效益指标</w:t>
            </w:r>
          </w:p>
        </w:tc>
        <w:tc>
          <w:tcPr>
            <w:tcW w:w="2872" w:type="dxa"/>
            <w:tcBorders>
              <w:tl2br w:val="nil"/>
              <w:tr2bl w:val="nil"/>
            </w:tcBorders>
            <w:vAlign w:val="center"/>
          </w:tcPr>
          <w:p w14:paraId="5A0BD535">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公众对生态环境保护意识的提升</w:t>
            </w:r>
          </w:p>
        </w:tc>
        <w:tc>
          <w:tcPr>
            <w:tcW w:w="4228" w:type="dxa"/>
            <w:gridSpan w:val="2"/>
            <w:tcBorders>
              <w:tl2br w:val="nil"/>
              <w:tr2bl w:val="nil"/>
            </w:tcBorders>
            <w:vAlign w:val="center"/>
          </w:tcPr>
          <w:p w14:paraId="4ACB8A4A">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明显</w:t>
            </w:r>
          </w:p>
        </w:tc>
      </w:tr>
      <w:tr w14:paraId="6D53B9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438" w:type="dxa"/>
            <w:vMerge w:val="continue"/>
            <w:tcBorders>
              <w:tl2br w:val="nil"/>
              <w:tr2bl w:val="nil"/>
            </w:tcBorders>
            <w:vAlign w:val="center"/>
          </w:tcPr>
          <w:p w14:paraId="4BA411A2">
            <w:pPr>
              <w:jc w:val="center"/>
              <w:rPr>
                <w:rFonts w:ascii="宋体" w:cs="宋体"/>
                <w:sz w:val="20"/>
              </w:rPr>
            </w:pPr>
          </w:p>
        </w:tc>
        <w:tc>
          <w:tcPr>
            <w:tcW w:w="723" w:type="dxa"/>
            <w:vMerge w:val="continue"/>
            <w:tcBorders>
              <w:tl2br w:val="nil"/>
              <w:tr2bl w:val="nil"/>
            </w:tcBorders>
            <w:vAlign w:val="center"/>
          </w:tcPr>
          <w:p w14:paraId="4872FEEE">
            <w:pPr>
              <w:jc w:val="center"/>
              <w:rPr>
                <w:rFonts w:ascii="宋体" w:cs="宋体"/>
                <w:sz w:val="20"/>
              </w:rPr>
            </w:pPr>
          </w:p>
        </w:tc>
        <w:tc>
          <w:tcPr>
            <w:tcW w:w="759" w:type="dxa"/>
            <w:gridSpan w:val="2"/>
            <w:tcBorders>
              <w:tl2br w:val="nil"/>
              <w:tr2bl w:val="nil"/>
            </w:tcBorders>
            <w:vAlign w:val="center"/>
          </w:tcPr>
          <w:p w14:paraId="652C8984">
            <w:pPr>
              <w:widowControl/>
              <w:spacing w:line="200" w:lineRule="exact"/>
              <w:jc w:val="center"/>
              <w:rPr>
                <w:rFonts w:ascii="宋体" w:hAnsi="宋体" w:eastAsia="宋体" w:cs="宋体"/>
                <w:sz w:val="20"/>
              </w:rPr>
            </w:pPr>
            <w:r>
              <w:rPr>
                <w:rFonts w:hint="eastAsia" w:ascii="宋体" w:hAnsi="宋体" w:eastAsia="宋体" w:cs="宋体"/>
                <w:sz w:val="20"/>
              </w:rPr>
              <w:t>可持续影响指标</w:t>
            </w:r>
          </w:p>
        </w:tc>
        <w:tc>
          <w:tcPr>
            <w:tcW w:w="2872" w:type="dxa"/>
            <w:tcBorders>
              <w:tl2br w:val="nil"/>
              <w:tr2bl w:val="nil"/>
            </w:tcBorders>
            <w:vAlign w:val="center"/>
          </w:tcPr>
          <w:p w14:paraId="33AD1FF1">
            <w:pPr>
              <w:keepNext w:val="0"/>
              <w:keepLines w:val="0"/>
              <w:widowControl/>
              <w:suppressLineNumbers w:val="0"/>
              <w:jc w:val="left"/>
              <w:textAlignment w:val="center"/>
              <w:rPr>
                <w:rFonts w:ascii="宋体" w:hAnsi="宋体" w:eastAsia="宋体" w:cs="宋体"/>
                <w:sz w:val="20"/>
              </w:rPr>
            </w:pPr>
            <w:r>
              <w:rPr>
                <w:rFonts w:hint="eastAsia" w:ascii="宋体" w:hAnsi="宋体" w:eastAsia="宋体" w:cs="宋体"/>
                <w:i w:val="0"/>
                <w:iCs w:val="0"/>
                <w:color w:val="000000"/>
                <w:kern w:val="0"/>
                <w:sz w:val="20"/>
                <w:szCs w:val="20"/>
                <w:u w:val="none"/>
                <w:lang w:val="en-US" w:eastAsia="zh-CN" w:bidi="ar"/>
              </w:rPr>
              <w:t>协助完成各项工作影响</w:t>
            </w:r>
          </w:p>
        </w:tc>
        <w:tc>
          <w:tcPr>
            <w:tcW w:w="4228" w:type="dxa"/>
            <w:gridSpan w:val="2"/>
            <w:tcBorders>
              <w:tl2br w:val="nil"/>
              <w:tr2bl w:val="nil"/>
            </w:tcBorders>
            <w:vAlign w:val="center"/>
          </w:tcPr>
          <w:p w14:paraId="0EB6C4D1">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持续</w:t>
            </w:r>
          </w:p>
        </w:tc>
      </w:tr>
      <w:tr w14:paraId="1075A9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686E6959">
            <w:pPr>
              <w:jc w:val="center"/>
              <w:rPr>
                <w:rFonts w:ascii="宋体" w:cs="宋体"/>
                <w:sz w:val="20"/>
              </w:rPr>
            </w:pPr>
          </w:p>
        </w:tc>
        <w:tc>
          <w:tcPr>
            <w:tcW w:w="723" w:type="dxa"/>
            <w:tcBorders>
              <w:tl2br w:val="nil"/>
              <w:tr2bl w:val="nil"/>
            </w:tcBorders>
            <w:vAlign w:val="center"/>
          </w:tcPr>
          <w:p w14:paraId="6C4AD322">
            <w:pPr>
              <w:widowControl/>
              <w:spacing w:line="200" w:lineRule="exact"/>
              <w:jc w:val="center"/>
              <w:rPr>
                <w:rFonts w:ascii="宋体" w:hAnsi="宋体" w:eastAsia="宋体" w:cs="宋体"/>
                <w:sz w:val="20"/>
              </w:rPr>
            </w:pPr>
            <w:r>
              <w:rPr>
                <w:rFonts w:hint="eastAsia" w:ascii="宋体" w:hAnsi="宋体" w:eastAsia="宋体" w:cs="宋体"/>
                <w:sz w:val="20"/>
              </w:rPr>
              <w:t>满意度指标</w:t>
            </w:r>
          </w:p>
        </w:tc>
        <w:tc>
          <w:tcPr>
            <w:tcW w:w="759" w:type="dxa"/>
            <w:gridSpan w:val="2"/>
            <w:tcBorders>
              <w:tl2br w:val="nil"/>
              <w:tr2bl w:val="nil"/>
            </w:tcBorders>
            <w:vAlign w:val="center"/>
          </w:tcPr>
          <w:p w14:paraId="3E3C5B93">
            <w:pPr>
              <w:widowControl/>
              <w:spacing w:line="200" w:lineRule="exact"/>
              <w:jc w:val="center"/>
              <w:rPr>
                <w:rFonts w:ascii="宋体" w:hAnsi="宋体" w:eastAsia="宋体" w:cs="宋体"/>
                <w:sz w:val="20"/>
              </w:rPr>
            </w:pPr>
            <w:r>
              <w:rPr>
                <w:rFonts w:hint="eastAsia" w:ascii="宋体" w:hAnsi="宋体" w:eastAsia="宋体" w:cs="宋体"/>
                <w:sz w:val="20"/>
              </w:rPr>
              <w:t>满意度指标</w:t>
            </w:r>
          </w:p>
        </w:tc>
        <w:tc>
          <w:tcPr>
            <w:tcW w:w="2872" w:type="dxa"/>
            <w:tcBorders>
              <w:tl2br w:val="nil"/>
              <w:tr2bl w:val="nil"/>
            </w:tcBorders>
            <w:vAlign w:val="center"/>
          </w:tcPr>
          <w:p w14:paraId="6495CB84">
            <w:pPr>
              <w:keepNext w:val="0"/>
              <w:keepLines w:val="0"/>
              <w:widowControl/>
              <w:suppressLineNumbers w:val="0"/>
              <w:jc w:val="left"/>
              <w:textAlignment w:val="center"/>
              <w:rPr>
                <w:rFonts w:ascii="宋体" w:hAnsi="宋体" w:eastAsia="宋体" w:cs="宋体"/>
                <w:sz w:val="20"/>
              </w:rPr>
            </w:pPr>
            <w:r>
              <w:rPr>
                <w:rFonts w:hint="eastAsia" w:ascii="宋体" w:hAnsi="宋体" w:eastAsia="宋体" w:cs="宋体"/>
                <w:i w:val="0"/>
                <w:iCs w:val="0"/>
                <w:color w:val="000000"/>
                <w:kern w:val="0"/>
                <w:sz w:val="20"/>
                <w:szCs w:val="20"/>
                <w:u w:val="none"/>
                <w:lang w:val="en-US" w:eastAsia="zh-CN" w:bidi="ar"/>
              </w:rPr>
              <w:t>劳务人员满意度</w:t>
            </w:r>
          </w:p>
        </w:tc>
        <w:tc>
          <w:tcPr>
            <w:tcW w:w="4228" w:type="dxa"/>
            <w:gridSpan w:val="2"/>
            <w:tcBorders>
              <w:tl2br w:val="nil"/>
              <w:tr2bl w:val="nil"/>
            </w:tcBorders>
            <w:vAlign w:val="center"/>
          </w:tcPr>
          <w:p w14:paraId="46C27536">
            <w:pPr>
              <w:keepNext w:val="0"/>
              <w:keepLines w:val="0"/>
              <w:widowControl/>
              <w:suppressLineNumbers w:val="0"/>
              <w:jc w:val="center"/>
              <w:textAlignment w:val="center"/>
              <w:rPr>
                <w:rFonts w:ascii="宋体" w:cs="宋体"/>
                <w:sz w:val="20"/>
              </w:rPr>
            </w:pPr>
            <w:r>
              <w:rPr>
                <w:rFonts w:ascii="宋体" w:hAnsi="宋体" w:eastAsia="宋体" w:cs="宋体"/>
                <w:i w:val="0"/>
                <w:iCs w:val="0"/>
                <w:color w:val="000000"/>
                <w:kern w:val="0"/>
                <w:sz w:val="20"/>
                <w:szCs w:val="20"/>
                <w:u w:val="none"/>
                <w:lang w:val="en-US" w:eastAsia="zh-CN" w:bidi="ar"/>
              </w:rPr>
              <w:t>≧</w:t>
            </w:r>
            <w:r>
              <w:rPr>
                <w:rFonts w:hint="eastAsia" w:ascii="宋体" w:hAnsi="宋体" w:eastAsia="宋体" w:cs="宋体"/>
                <w:i w:val="0"/>
                <w:iCs w:val="0"/>
                <w:color w:val="000000"/>
                <w:kern w:val="0"/>
                <w:sz w:val="20"/>
                <w:szCs w:val="20"/>
                <w:u w:val="none"/>
                <w:lang w:val="en-US" w:eastAsia="zh-CN" w:bidi="ar"/>
              </w:rPr>
              <w:t>95</w:t>
            </w:r>
          </w:p>
        </w:tc>
      </w:tr>
    </w:tbl>
    <w:p w14:paraId="38B2D134">
      <w:pPr>
        <w:ind w:firstLine="420" w:firstLineChars="200"/>
      </w:pPr>
    </w:p>
    <w:p w14:paraId="6CF4B5F7">
      <w:pPr>
        <w:ind w:firstLine="643" w:firstLineChars="200"/>
        <w:rPr>
          <w:rFonts w:hint="eastAsia" w:ascii="仿宋" w:hAnsi="仿宋" w:eastAsia="仿宋" w:cs="仿宋"/>
          <w:b/>
          <w:bCs/>
          <w:kern w:val="0"/>
          <w:sz w:val="32"/>
          <w:szCs w:val="32"/>
        </w:rPr>
      </w:pPr>
      <w:r>
        <w:rPr>
          <w:rFonts w:hint="eastAsia" w:ascii="仿宋" w:hAnsi="仿宋" w:eastAsia="仿宋" w:cs="仿宋"/>
          <w:b/>
          <w:bCs/>
          <w:kern w:val="0"/>
          <w:sz w:val="32"/>
          <w:szCs w:val="32"/>
          <w:lang w:val="en-US" w:eastAsia="zh-CN"/>
        </w:rPr>
        <w:t>3</w:t>
      </w:r>
      <w:r>
        <w:rPr>
          <w:rFonts w:hint="eastAsia" w:ascii="仿宋" w:hAnsi="仿宋" w:eastAsia="仿宋" w:cs="仿宋"/>
          <w:b/>
          <w:bCs/>
          <w:kern w:val="0"/>
          <w:sz w:val="32"/>
          <w:szCs w:val="32"/>
        </w:rPr>
        <w:t>、“</w:t>
      </w:r>
      <w:r>
        <w:rPr>
          <w:rFonts w:hint="eastAsia" w:ascii="仿宋" w:hAnsi="仿宋" w:eastAsia="仿宋" w:cs="仿宋"/>
          <w:b/>
          <w:bCs/>
          <w:sz w:val="32"/>
          <w:szCs w:val="32"/>
        </w:rPr>
        <w:t>环境违法行为有奖举报经费</w:t>
      </w:r>
      <w:r>
        <w:rPr>
          <w:rFonts w:hint="eastAsia" w:ascii="仿宋" w:hAnsi="仿宋" w:eastAsia="仿宋" w:cs="仿宋"/>
          <w:b/>
          <w:bCs/>
          <w:kern w:val="0"/>
          <w:sz w:val="32"/>
          <w:szCs w:val="32"/>
        </w:rPr>
        <w:t>”项目。</w:t>
      </w:r>
    </w:p>
    <w:p w14:paraId="2916631D">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（1）项目概述。</w:t>
      </w:r>
      <w:r>
        <w:rPr>
          <w:rFonts w:hint="eastAsia" w:ascii="仿宋" w:hAnsi="仿宋" w:eastAsia="仿宋" w:cs="仿宋"/>
          <w:sz w:val="32"/>
          <w:szCs w:val="32"/>
        </w:rPr>
        <w:t>对环境违法行为的举报，经生态环境主管部门调查属实，对被举报对象作出处理后，根据处理结果，按规定给予一次性奖励。</w:t>
      </w:r>
    </w:p>
    <w:p w14:paraId="0CD86AED">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（2）立项依据。</w:t>
      </w:r>
      <w:r>
        <w:rPr>
          <w:rFonts w:hint="eastAsia" w:ascii="仿宋" w:hAnsi="仿宋" w:eastAsia="仿宋" w:cs="仿宋"/>
          <w:sz w:val="32"/>
          <w:szCs w:val="32"/>
        </w:rPr>
        <w:t>安徽省生态环境厅 安徽省财政厅关于印发〈安徽省生态环境违法行为有奖举报办法〉的通知》（皖环发〔2020〕53号）</w:t>
      </w:r>
    </w:p>
    <w:p w14:paraId="20C33D68">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（3）实施主体。</w:t>
      </w:r>
      <w:r>
        <w:rPr>
          <w:rFonts w:hint="eastAsia" w:ascii="仿宋" w:hAnsi="仿宋" w:eastAsia="仿宋" w:cs="仿宋"/>
          <w:sz w:val="32"/>
          <w:szCs w:val="32"/>
          <w:lang w:eastAsia="zh-CN"/>
        </w:rPr>
        <w:t>淮北市生态环境保护综合行政执法支队</w:t>
      </w:r>
      <w:r>
        <w:rPr>
          <w:rFonts w:hint="eastAsia" w:ascii="仿宋" w:hAnsi="仿宋" w:eastAsia="仿宋" w:cs="仿宋"/>
          <w:kern w:val="0"/>
          <w:sz w:val="32"/>
          <w:szCs w:val="32"/>
        </w:rPr>
        <w:t>…</w:t>
      </w:r>
    </w:p>
    <w:p w14:paraId="59640A43">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lang w:val="en-US" w:eastAsia="zh-CN"/>
        </w:rPr>
      </w:pPr>
      <w:r>
        <w:rPr>
          <w:rFonts w:hint="eastAsia" w:ascii="仿宋" w:hAnsi="仿宋" w:eastAsia="仿宋" w:cs="仿宋"/>
          <w:kern w:val="0"/>
          <w:sz w:val="32"/>
          <w:szCs w:val="32"/>
        </w:rPr>
        <w:t>（4）起止时间。</w:t>
      </w:r>
      <w:r>
        <w:rPr>
          <w:rFonts w:hint="eastAsia" w:ascii="仿宋" w:hAnsi="仿宋" w:eastAsia="仿宋" w:cs="仿宋"/>
          <w:kern w:val="0"/>
          <w:sz w:val="32"/>
          <w:szCs w:val="32"/>
          <w:lang w:val="en-US" w:eastAsia="zh-CN"/>
        </w:rPr>
        <w:t>2025.1-12</w:t>
      </w:r>
    </w:p>
    <w:p w14:paraId="296D4A42">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（5）项目内容。</w:t>
      </w:r>
      <w:r>
        <w:rPr>
          <w:rFonts w:hint="eastAsia" w:ascii="仿宋" w:hAnsi="仿宋" w:eastAsia="仿宋" w:cs="仿宋"/>
          <w:sz w:val="32"/>
          <w:szCs w:val="32"/>
        </w:rPr>
        <w:t>对环境违法行为的举报，经生态环境主管部门调查属实，对被举报对象作出处理后，根据处理结果，按规定给予一次性奖励。</w:t>
      </w:r>
    </w:p>
    <w:p w14:paraId="4649BF2B">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lang w:val="en-US" w:eastAsia="zh-CN"/>
        </w:rPr>
      </w:pPr>
      <w:r>
        <w:rPr>
          <w:rFonts w:hint="eastAsia" w:ascii="仿宋" w:hAnsi="仿宋" w:eastAsia="仿宋" w:cs="仿宋"/>
          <w:kern w:val="0"/>
          <w:sz w:val="32"/>
          <w:szCs w:val="32"/>
        </w:rPr>
        <w:t>（6）年度预算安排。</w:t>
      </w:r>
      <w:r>
        <w:rPr>
          <w:rFonts w:hint="eastAsia" w:ascii="仿宋" w:hAnsi="仿宋" w:eastAsia="仿宋" w:cs="仿宋"/>
          <w:kern w:val="0"/>
          <w:sz w:val="32"/>
          <w:szCs w:val="32"/>
          <w:lang w:eastAsia="zh-CN"/>
        </w:rPr>
        <w:t>预算资金</w:t>
      </w:r>
      <w:r>
        <w:rPr>
          <w:rFonts w:hint="eastAsia" w:ascii="仿宋" w:hAnsi="仿宋" w:eastAsia="仿宋" w:cs="仿宋"/>
          <w:kern w:val="0"/>
          <w:sz w:val="32"/>
          <w:szCs w:val="32"/>
          <w:lang w:val="en-US" w:eastAsia="zh-CN"/>
        </w:rPr>
        <w:t>2万元</w:t>
      </w:r>
    </w:p>
    <w:p w14:paraId="4659E635">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（7）绩效目标。</w:t>
      </w:r>
    </w:p>
    <w:tbl>
      <w:tblPr>
        <w:tblStyle w:val="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8"/>
        <w:gridCol w:w="723"/>
        <w:gridCol w:w="282"/>
        <w:gridCol w:w="477"/>
        <w:gridCol w:w="2872"/>
        <w:gridCol w:w="1848"/>
        <w:gridCol w:w="2380"/>
      </w:tblGrid>
      <w:tr w14:paraId="19ED94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trPr>
        <w:tc>
          <w:tcPr>
            <w:tcW w:w="9020" w:type="dxa"/>
            <w:gridSpan w:val="7"/>
            <w:tcBorders>
              <w:top w:val="nil"/>
              <w:left w:val="nil"/>
              <w:bottom w:val="nil"/>
              <w:right w:val="nil"/>
            </w:tcBorders>
            <w:vAlign w:val="center"/>
          </w:tcPr>
          <w:p w14:paraId="218B20D4">
            <w:pPr>
              <w:widowControl/>
              <w:jc w:val="center"/>
              <w:textAlignment w:val="center"/>
              <w:rPr>
                <w:rFonts w:ascii="宋体" w:cs="宋体"/>
                <w:b/>
                <w:bCs/>
                <w:szCs w:val="32"/>
              </w:rPr>
            </w:pPr>
            <w:r>
              <w:rPr>
                <w:rFonts w:hint="eastAsia" w:ascii="宋体" w:hAnsi="宋体" w:eastAsia="宋体" w:cs="宋体"/>
                <w:b/>
                <w:color w:val="000000"/>
                <w:kern w:val="0"/>
                <w:sz w:val="28"/>
                <w:szCs w:val="28"/>
              </w:rPr>
              <w:t>项目支出绩效目标表</w:t>
            </w:r>
          </w:p>
        </w:tc>
      </w:tr>
      <w:tr w14:paraId="6EF261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9020" w:type="dxa"/>
            <w:gridSpan w:val="7"/>
            <w:tcBorders>
              <w:top w:val="nil"/>
              <w:left w:val="nil"/>
              <w:right w:val="nil"/>
            </w:tcBorders>
            <w:vAlign w:val="center"/>
          </w:tcPr>
          <w:p w14:paraId="29870E0C">
            <w:pPr>
              <w:widowControl/>
              <w:jc w:val="center"/>
              <w:textAlignment w:val="center"/>
              <w:rPr>
                <w:rFonts w:ascii="宋体" w:cs="宋体"/>
                <w:sz w:val="20"/>
              </w:rPr>
            </w:pPr>
            <w:r>
              <w:rPr>
                <w:rFonts w:hint="eastAsia" w:ascii="宋体" w:hAnsi="宋体" w:eastAsia="宋体" w:cs="宋体"/>
                <w:color w:val="000000"/>
                <w:kern w:val="0"/>
                <w:sz w:val="20"/>
                <w:szCs w:val="20"/>
              </w:rPr>
              <w:t xml:space="preserve"> （202</w:t>
            </w:r>
            <w:r>
              <w:rPr>
                <w:rFonts w:hint="eastAsia" w:ascii="宋体" w:hAnsi="宋体" w:eastAsia="宋体" w:cs="宋体"/>
                <w:color w:val="000000"/>
                <w:kern w:val="0"/>
                <w:sz w:val="20"/>
                <w:szCs w:val="20"/>
                <w:lang w:val="en-US" w:eastAsia="zh-CN"/>
              </w:rPr>
              <w:t>5</w:t>
            </w:r>
            <w:r>
              <w:rPr>
                <w:rFonts w:hint="eastAsia" w:ascii="宋体" w:hAnsi="宋体" w:eastAsia="宋体" w:cs="宋体"/>
                <w:color w:val="000000"/>
                <w:kern w:val="0"/>
                <w:sz w:val="20"/>
                <w:szCs w:val="20"/>
              </w:rPr>
              <w:t xml:space="preserve">年度）                                </w:t>
            </w:r>
          </w:p>
        </w:tc>
      </w:tr>
      <w:tr w14:paraId="602812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tcBorders>
              <w:tl2br w:val="nil"/>
              <w:tr2bl w:val="nil"/>
            </w:tcBorders>
            <w:vAlign w:val="center"/>
          </w:tcPr>
          <w:p w14:paraId="79D0E686">
            <w:pPr>
              <w:widowControl/>
              <w:jc w:val="center"/>
              <w:textAlignment w:val="center"/>
              <w:rPr>
                <w:rFonts w:ascii="宋体" w:cs="宋体"/>
                <w:sz w:val="20"/>
              </w:rPr>
            </w:pPr>
            <w:r>
              <w:rPr>
                <w:rFonts w:hint="eastAsia" w:ascii="宋体" w:hAnsi="宋体" w:eastAsia="宋体" w:cs="宋体"/>
                <w:color w:val="000000"/>
                <w:kern w:val="0"/>
                <w:sz w:val="20"/>
                <w:szCs w:val="20"/>
              </w:rPr>
              <w:t>项目名称</w:t>
            </w:r>
          </w:p>
        </w:tc>
        <w:tc>
          <w:tcPr>
            <w:tcW w:w="7577" w:type="dxa"/>
            <w:gridSpan w:val="4"/>
            <w:tcBorders>
              <w:tl2br w:val="nil"/>
              <w:tr2bl w:val="nil"/>
            </w:tcBorders>
            <w:vAlign w:val="center"/>
          </w:tcPr>
          <w:p w14:paraId="2AEDAD33">
            <w:pPr>
              <w:jc w:val="center"/>
              <w:rPr>
                <w:rFonts w:ascii="宋体" w:cs="宋体"/>
                <w:sz w:val="20"/>
              </w:rPr>
            </w:pPr>
            <w:r>
              <w:rPr>
                <w:rFonts w:hint="eastAsia" w:ascii="宋体" w:hAnsi="宋体" w:eastAsia="宋体" w:cs="宋体"/>
                <w:sz w:val="20"/>
                <w:szCs w:val="20"/>
              </w:rPr>
              <w:t>环境违法行为有奖举报经费</w:t>
            </w:r>
          </w:p>
        </w:tc>
      </w:tr>
      <w:tr w14:paraId="035EB5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1443" w:type="dxa"/>
            <w:gridSpan w:val="3"/>
            <w:tcBorders>
              <w:tl2br w:val="nil"/>
              <w:tr2bl w:val="nil"/>
            </w:tcBorders>
            <w:vAlign w:val="center"/>
          </w:tcPr>
          <w:p w14:paraId="1A926DC7">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主管部门   及代码</w:t>
            </w:r>
          </w:p>
        </w:tc>
        <w:tc>
          <w:tcPr>
            <w:tcW w:w="3349" w:type="dxa"/>
            <w:gridSpan w:val="2"/>
            <w:tcBorders>
              <w:tl2br w:val="nil"/>
              <w:tr2bl w:val="nil"/>
            </w:tcBorders>
            <w:vAlign w:val="center"/>
          </w:tcPr>
          <w:p w14:paraId="6D478C80">
            <w:pPr>
              <w:jc w:val="center"/>
              <w:rPr>
                <w:rFonts w:ascii="宋体" w:cs="宋体"/>
                <w:sz w:val="20"/>
              </w:rPr>
            </w:pPr>
            <w:r>
              <w:rPr>
                <w:rFonts w:hint="eastAsia" w:ascii="宋体" w:cs="宋体"/>
                <w:sz w:val="20"/>
                <w:lang w:val="en-US" w:eastAsia="zh-CN"/>
              </w:rPr>
              <w:t>264-</w:t>
            </w:r>
            <w:r>
              <w:rPr>
                <w:rFonts w:hint="eastAsia" w:ascii="宋体" w:cs="宋体"/>
                <w:sz w:val="20"/>
              </w:rPr>
              <w:t>淮北市生态环境局</w:t>
            </w:r>
          </w:p>
        </w:tc>
        <w:tc>
          <w:tcPr>
            <w:tcW w:w="1848" w:type="dxa"/>
            <w:tcBorders>
              <w:tl2br w:val="nil"/>
              <w:tr2bl w:val="nil"/>
            </w:tcBorders>
            <w:vAlign w:val="center"/>
          </w:tcPr>
          <w:p w14:paraId="121F183E">
            <w:pPr>
              <w:widowControl/>
              <w:jc w:val="center"/>
              <w:textAlignment w:val="center"/>
            </w:pPr>
            <w:r>
              <w:rPr>
                <w:rFonts w:hint="eastAsia" w:ascii="宋体" w:hAnsi="宋体" w:eastAsia="宋体" w:cs="宋体"/>
                <w:color w:val="000000"/>
                <w:kern w:val="0"/>
                <w:sz w:val="20"/>
                <w:szCs w:val="20"/>
              </w:rPr>
              <w:t>实施单位</w:t>
            </w:r>
          </w:p>
        </w:tc>
        <w:tc>
          <w:tcPr>
            <w:tcW w:w="2380" w:type="dxa"/>
            <w:tcBorders>
              <w:tl2br w:val="nil"/>
              <w:tr2bl w:val="nil"/>
            </w:tcBorders>
            <w:vAlign w:val="center"/>
          </w:tcPr>
          <w:p w14:paraId="14F863FF">
            <w:pPr>
              <w:jc w:val="center"/>
            </w:pPr>
            <w:r>
              <w:rPr>
                <w:rFonts w:hint="eastAsia"/>
                <w:sz w:val="20"/>
                <w:szCs w:val="20"/>
              </w:rPr>
              <w:t>淮北市生态环境保护综合行政执法支队</w:t>
            </w:r>
          </w:p>
        </w:tc>
      </w:tr>
      <w:tr w14:paraId="76BB12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tcBorders>
              <w:tl2br w:val="nil"/>
              <w:tr2bl w:val="nil"/>
            </w:tcBorders>
            <w:vAlign w:val="center"/>
          </w:tcPr>
          <w:p w14:paraId="16FDCBF1">
            <w:pPr>
              <w:widowControl/>
              <w:jc w:val="center"/>
              <w:textAlignment w:val="center"/>
              <w:rPr>
                <w:rFonts w:ascii="宋体" w:cs="宋体"/>
                <w:sz w:val="20"/>
              </w:rPr>
            </w:pPr>
            <w:r>
              <w:rPr>
                <w:rFonts w:hint="eastAsia" w:ascii="宋体" w:hAnsi="宋体" w:eastAsia="宋体" w:cs="宋体"/>
                <w:color w:val="000000"/>
                <w:kern w:val="0"/>
                <w:sz w:val="20"/>
                <w:szCs w:val="20"/>
              </w:rPr>
              <w:t>项目来源</w:t>
            </w:r>
          </w:p>
        </w:tc>
        <w:tc>
          <w:tcPr>
            <w:tcW w:w="3349" w:type="dxa"/>
            <w:gridSpan w:val="2"/>
            <w:tcBorders>
              <w:tl2br w:val="nil"/>
              <w:tr2bl w:val="nil"/>
            </w:tcBorders>
            <w:vAlign w:val="center"/>
          </w:tcPr>
          <w:p w14:paraId="46756F7A">
            <w:pPr>
              <w:jc w:val="center"/>
              <w:rPr>
                <w:rFonts w:hint="eastAsia" w:ascii="宋体" w:cs="宋体" w:eastAsiaTheme="minorEastAsia"/>
                <w:sz w:val="20"/>
                <w:lang w:eastAsia="zh-CN"/>
              </w:rPr>
            </w:pPr>
            <w:r>
              <w:rPr>
                <w:rFonts w:hint="eastAsia" w:ascii="宋体" w:cs="宋体"/>
                <w:sz w:val="20"/>
                <w:lang w:eastAsia="zh-CN"/>
              </w:rPr>
              <w:t>年初预算</w:t>
            </w:r>
          </w:p>
        </w:tc>
        <w:tc>
          <w:tcPr>
            <w:tcW w:w="1848" w:type="dxa"/>
            <w:tcBorders>
              <w:tl2br w:val="nil"/>
              <w:tr2bl w:val="nil"/>
            </w:tcBorders>
            <w:vAlign w:val="center"/>
          </w:tcPr>
          <w:p w14:paraId="6EE11A55">
            <w:pPr>
              <w:widowControl/>
              <w:jc w:val="center"/>
              <w:textAlignment w:val="center"/>
            </w:pPr>
            <w:r>
              <w:rPr>
                <w:rFonts w:hint="eastAsia" w:ascii="宋体" w:hAnsi="宋体" w:eastAsia="宋体" w:cs="宋体"/>
                <w:color w:val="000000"/>
                <w:kern w:val="0"/>
                <w:sz w:val="20"/>
                <w:szCs w:val="20"/>
              </w:rPr>
              <w:t>项目期</w:t>
            </w:r>
          </w:p>
        </w:tc>
        <w:tc>
          <w:tcPr>
            <w:tcW w:w="2380" w:type="dxa"/>
            <w:tcBorders>
              <w:tl2br w:val="nil"/>
              <w:tr2bl w:val="nil"/>
            </w:tcBorders>
            <w:vAlign w:val="center"/>
          </w:tcPr>
          <w:p w14:paraId="3189CFD7">
            <w:pPr>
              <w:jc w:val="center"/>
              <w:rPr>
                <w:rFonts w:hint="default" w:eastAsiaTheme="minorEastAsia"/>
                <w:lang w:val="en-US" w:eastAsia="zh-CN"/>
              </w:rPr>
            </w:pPr>
            <w:r>
              <w:rPr>
                <w:rFonts w:hint="eastAsia"/>
                <w:lang w:val="en-US" w:eastAsia="zh-CN"/>
              </w:rPr>
              <w:t>2025.12</w:t>
            </w:r>
          </w:p>
        </w:tc>
      </w:tr>
      <w:tr w14:paraId="2D1D38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restart"/>
            <w:tcBorders>
              <w:tl2br w:val="nil"/>
              <w:tr2bl w:val="nil"/>
            </w:tcBorders>
            <w:vAlign w:val="center"/>
          </w:tcPr>
          <w:p w14:paraId="4F852290">
            <w:pPr>
              <w:widowControl/>
              <w:jc w:val="center"/>
              <w:textAlignment w:val="center"/>
              <w:rPr>
                <w:rFonts w:ascii="宋体" w:cs="宋体"/>
                <w:sz w:val="20"/>
              </w:rPr>
            </w:pPr>
            <w:r>
              <w:rPr>
                <w:rFonts w:hint="eastAsia" w:ascii="宋体" w:hAnsi="宋体" w:eastAsia="宋体" w:cs="宋体"/>
                <w:color w:val="000000"/>
                <w:kern w:val="0"/>
                <w:sz w:val="20"/>
                <w:szCs w:val="20"/>
              </w:rPr>
              <w:t>项目资金</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（万元）</w:t>
            </w:r>
          </w:p>
        </w:tc>
        <w:tc>
          <w:tcPr>
            <w:tcW w:w="3349" w:type="dxa"/>
            <w:gridSpan w:val="2"/>
            <w:tcBorders>
              <w:tl2br w:val="nil"/>
              <w:tr2bl w:val="nil"/>
            </w:tcBorders>
            <w:vAlign w:val="center"/>
          </w:tcPr>
          <w:p w14:paraId="7DEA6E3A">
            <w:pPr>
              <w:widowControl/>
              <w:jc w:val="left"/>
              <w:textAlignment w:val="center"/>
              <w:rPr>
                <w:rFonts w:ascii="宋体" w:cs="宋体"/>
                <w:sz w:val="20"/>
              </w:rPr>
            </w:pPr>
            <w:r>
              <w:rPr>
                <w:rFonts w:hint="eastAsia" w:ascii="宋体" w:hAnsi="宋体" w:eastAsia="宋体" w:cs="宋体"/>
                <w:color w:val="000000"/>
                <w:kern w:val="0"/>
                <w:sz w:val="20"/>
                <w:szCs w:val="20"/>
              </w:rPr>
              <w:t xml:space="preserve"> 年度资金总额：</w:t>
            </w:r>
          </w:p>
        </w:tc>
        <w:tc>
          <w:tcPr>
            <w:tcW w:w="4228" w:type="dxa"/>
            <w:gridSpan w:val="2"/>
            <w:tcBorders>
              <w:tl2br w:val="nil"/>
              <w:tr2bl w:val="nil"/>
            </w:tcBorders>
            <w:vAlign w:val="center"/>
          </w:tcPr>
          <w:p w14:paraId="46299B05">
            <w:pPr>
              <w:jc w:val="center"/>
              <w:rPr>
                <w:rFonts w:hint="eastAsia" w:ascii="宋体" w:cs="宋体" w:eastAsiaTheme="minorEastAsia"/>
                <w:sz w:val="20"/>
                <w:lang w:val="en-US" w:eastAsia="zh-CN"/>
              </w:rPr>
            </w:pPr>
            <w:r>
              <w:rPr>
                <w:rFonts w:hint="eastAsia" w:ascii="宋体" w:cs="宋体"/>
                <w:sz w:val="20"/>
                <w:lang w:val="en-US" w:eastAsia="zh-CN"/>
              </w:rPr>
              <w:t>5</w:t>
            </w:r>
          </w:p>
        </w:tc>
      </w:tr>
      <w:tr w14:paraId="5447DF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continue"/>
            <w:tcBorders>
              <w:tl2br w:val="nil"/>
              <w:tr2bl w:val="nil"/>
            </w:tcBorders>
            <w:vAlign w:val="center"/>
          </w:tcPr>
          <w:p w14:paraId="723FF1A4">
            <w:pPr>
              <w:jc w:val="center"/>
              <w:rPr>
                <w:rFonts w:ascii="宋体" w:cs="宋体"/>
                <w:sz w:val="20"/>
              </w:rPr>
            </w:pPr>
          </w:p>
        </w:tc>
        <w:tc>
          <w:tcPr>
            <w:tcW w:w="3349" w:type="dxa"/>
            <w:gridSpan w:val="2"/>
            <w:tcBorders>
              <w:tl2br w:val="nil"/>
              <w:tr2bl w:val="nil"/>
            </w:tcBorders>
            <w:vAlign w:val="center"/>
          </w:tcPr>
          <w:p w14:paraId="77AA8152">
            <w:pPr>
              <w:widowControl/>
              <w:jc w:val="left"/>
              <w:textAlignment w:val="center"/>
              <w:rPr>
                <w:rFonts w:ascii="宋体" w:cs="宋体"/>
                <w:sz w:val="20"/>
              </w:rPr>
            </w:pPr>
            <w:r>
              <w:rPr>
                <w:rFonts w:hint="eastAsia" w:ascii="宋体" w:hAnsi="宋体" w:eastAsia="宋体" w:cs="宋体"/>
                <w:color w:val="000000"/>
                <w:kern w:val="0"/>
                <w:sz w:val="20"/>
                <w:szCs w:val="20"/>
              </w:rPr>
              <w:t xml:space="preserve">   其中：财政拨款</w:t>
            </w:r>
          </w:p>
        </w:tc>
        <w:tc>
          <w:tcPr>
            <w:tcW w:w="4228" w:type="dxa"/>
            <w:gridSpan w:val="2"/>
            <w:tcBorders>
              <w:tl2br w:val="nil"/>
              <w:tr2bl w:val="nil"/>
            </w:tcBorders>
            <w:vAlign w:val="center"/>
          </w:tcPr>
          <w:p w14:paraId="0BDDA794">
            <w:pPr>
              <w:jc w:val="center"/>
              <w:rPr>
                <w:rFonts w:hint="eastAsia" w:ascii="宋体" w:cs="宋体" w:eastAsiaTheme="minorEastAsia"/>
                <w:sz w:val="20"/>
                <w:lang w:val="en-US" w:eastAsia="zh-CN"/>
              </w:rPr>
            </w:pPr>
            <w:r>
              <w:rPr>
                <w:rFonts w:hint="eastAsia" w:ascii="宋体" w:cs="宋体"/>
                <w:sz w:val="20"/>
                <w:lang w:val="en-US" w:eastAsia="zh-CN"/>
              </w:rPr>
              <w:t>5</w:t>
            </w:r>
          </w:p>
        </w:tc>
      </w:tr>
      <w:tr w14:paraId="263FDD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continue"/>
            <w:tcBorders>
              <w:tl2br w:val="nil"/>
              <w:tr2bl w:val="nil"/>
            </w:tcBorders>
            <w:vAlign w:val="center"/>
          </w:tcPr>
          <w:p w14:paraId="0C7BAA97">
            <w:pPr>
              <w:jc w:val="center"/>
              <w:rPr>
                <w:rFonts w:ascii="宋体" w:cs="宋体"/>
                <w:sz w:val="20"/>
              </w:rPr>
            </w:pPr>
          </w:p>
        </w:tc>
        <w:tc>
          <w:tcPr>
            <w:tcW w:w="3349" w:type="dxa"/>
            <w:gridSpan w:val="2"/>
            <w:tcBorders>
              <w:tl2br w:val="nil"/>
              <w:tr2bl w:val="nil"/>
            </w:tcBorders>
            <w:vAlign w:val="center"/>
          </w:tcPr>
          <w:p w14:paraId="25C29BF7">
            <w:pPr>
              <w:widowControl/>
              <w:jc w:val="left"/>
              <w:textAlignment w:val="center"/>
              <w:rPr>
                <w:rFonts w:ascii="宋体" w:cs="宋体"/>
                <w:sz w:val="20"/>
              </w:rPr>
            </w:pPr>
            <w:r>
              <w:rPr>
                <w:rFonts w:hint="eastAsia" w:ascii="宋体" w:hAnsi="宋体" w:eastAsia="宋体" w:cs="宋体"/>
                <w:color w:val="000000"/>
                <w:kern w:val="0"/>
                <w:sz w:val="20"/>
                <w:szCs w:val="20"/>
              </w:rPr>
              <w:t xml:space="preserve">         上年结转</w:t>
            </w:r>
          </w:p>
        </w:tc>
        <w:tc>
          <w:tcPr>
            <w:tcW w:w="4228" w:type="dxa"/>
            <w:gridSpan w:val="2"/>
            <w:tcBorders>
              <w:tl2br w:val="nil"/>
              <w:tr2bl w:val="nil"/>
            </w:tcBorders>
            <w:vAlign w:val="center"/>
          </w:tcPr>
          <w:p w14:paraId="721CE117">
            <w:pPr>
              <w:jc w:val="center"/>
              <w:rPr>
                <w:rFonts w:hint="eastAsia" w:ascii="宋体" w:cs="宋体" w:eastAsiaTheme="minorEastAsia"/>
                <w:sz w:val="20"/>
                <w:lang w:val="en-US" w:eastAsia="zh-CN"/>
              </w:rPr>
            </w:pPr>
            <w:r>
              <w:rPr>
                <w:rFonts w:hint="eastAsia" w:ascii="宋体" w:cs="宋体"/>
                <w:sz w:val="20"/>
                <w:lang w:val="en-US" w:eastAsia="zh-CN"/>
              </w:rPr>
              <w:t>0</w:t>
            </w:r>
          </w:p>
        </w:tc>
      </w:tr>
      <w:tr w14:paraId="5FFADE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continue"/>
            <w:tcBorders>
              <w:tl2br w:val="nil"/>
              <w:tr2bl w:val="nil"/>
            </w:tcBorders>
            <w:vAlign w:val="center"/>
          </w:tcPr>
          <w:p w14:paraId="7FD0131B">
            <w:pPr>
              <w:jc w:val="center"/>
              <w:rPr>
                <w:rFonts w:ascii="宋体" w:cs="宋体"/>
                <w:sz w:val="20"/>
              </w:rPr>
            </w:pPr>
          </w:p>
        </w:tc>
        <w:tc>
          <w:tcPr>
            <w:tcW w:w="3349" w:type="dxa"/>
            <w:gridSpan w:val="2"/>
            <w:tcBorders>
              <w:tl2br w:val="nil"/>
              <w:tr2bl w:val="nil"/>
            </w:tcBorders>
            <w:vAlign w:val="center"/>
          </w:tcPr>
          <w:p w14:paraId="3A1DBB91">
            <w:pPr>
              <w:widowControl/>
              <w:jc w:val="left"/>
              <w:textAlignment w:val="center"/>
              <w:rPr>
                <w:rFonts w:ascii="宋体" w:cs="宋体"/>
                <w:sz w:val="20"/>
              </w:rPr>
            </w:pPr>
            <w:r>
              <w:rPr>
                <w:rFonts w:hint="eastAsia" w:ascii="宋体" w:hAnsi="宋体" w:eastAsia="宋体" w:cs="宋体"/>
                <w:color w:val="000000"/>
                <w:kern w:val="0"/>
                <w:sz w:val="20"/>
                <w:szCs w:val="20"/>
              </w:rPr>
              <w:t xml:space="preserve">         其他资金</w:t>
            </w:r>
          </w:p>
        </w:tc>
        <w:tc>
          <w:tcPr>
            <w:tcW w:w="4228" w:type="dxa"/>
            <w:gridSpan w:val="2"/>
            <w:tcBorders>
              <w:tl2br w:val="nil"/>
              <w:tr2bl w:val="nil"/>
            </w:tcBorders>
            <w:vAlign w:val="center"/>
          </w:tcPr>
          <w:p w14:paraId="2FA807F7">
            <w:pPr>
              <w:jc w:val="center"/>
              <w:rPr>
                <w:rFonts w:hint="eastAsia" w:ascii="宋体" w:cs="宋体" w:eastAsiaTheme="minorEastAsia"/>
                <w:sz w:val="20"/>
                <w:lang w:val="en-US" w:eastAsia="zh-CN"/>
              </w:rPr>
            </w:pPr>
            <w:r>
              <w:rPr>
                <w:rFonts w:hint="eastAsia" w:ascii="宋体" w:cs="宋体"/>
                <w:sz w:val="20"/>
                <w:lang w:val="en-US" w:eastAsia="zh-CN"/>
              </w:rPr>
              <w:t>0</w:t>
            </w:r>
          </w:p>
        </w:tc>
      </w:tr>
      <w:tr w14:paraId="4EFCE2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5" w:hRule="atLeast"/>
        </w:trPr>
        <w:tc>
          <w:tcPr>
            <w:tcW w:w="438" w:type="dxa"/>
            <w:tcBorders>
              <w:tl2br w:val="nil"/>
              <w:tr2bl w:val="nil"/>
            </w:tcBorders>
            <w:vAlign w:val="center"/>
          </w:tcPr>
          <w:p w14:paraId="782EC187">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年度</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目标</w:t>
            </w:r>
          </w:p>
        </w:tc>
        <w:tc>
          <w:tcPr>
            <w:tcW w:w="8582" w:type="dxa"/>
            <w:gridSpan w:val="6"/>
            <w:tcBorders>
              <w:tl2br w:val="nil"/>
              <w:tr2bl w:val="nil"/>
            </w:tcBorders>
            <w:vAlign w:val="center"/>
          </w:tcPr>
          <w:p w14:paraId="751CBE50">
            <w:pPr>
              <w:jc w:val="left"/>
              <w:rPr>
                <w:rFonts w:ascii="宋体" w:cs="宋体"/>
                <w:sz w:val="20"/>
              </w:rPr>
            </w:pPr>
            <w:r>
              <w:rPr>
                <w:rFonts w:hint="eastAsia" w:ascii="宋体" w:cs="宋体"/>
                <w:sz w:val="20"/>
              </w:rPr>
              <w:t>对环境违法行为的举报，经生态环境主管部门调查属实，对被举报对象作出处理后，根据处理结果，按规定给予一次性奖励；鼓励公众积极参与生态环境保护，进一步加大对环境违法行为的监督和打击力度。</w:t>
            </w:r>
          </w:p>
        </w:tc>
      </w:tr>
      <w:tr w14:paraId="55B1B1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438" w:type="dxa"/>
            <w:vMerge w:val="restart"/>
            <w:tcBorders>
              <w:tl2br w:val="nil"/>
              <w:tr2bl w:val="nil"/>
            </w:tcBorders>
            <w:vAlign w:val="center"/>
          </w:tcPr>
          <w:p w14:paraId="1B2D2DC8">
            <w:pPr>
              <w:widowControl/>
              <w:jc w:val="center"/>
              <w:textAlignment w:val="center"/>
              <w:rPr>
                <w:rFonts w:ascii="宋体" w:cs="宋体"/>
                <w:sz w:val="20"/>
              </w:rPr>
            </w:pPr>
            <w:r>
              <w:rPr>
                <w:rFonts w:hint="eastAsia" w:ascii="宋体" w:hAnsi="宋体" w:eastAsia="宋体" w:cs="宋体"/>
                <w:color w:val="000000"/>
                <w:kern w:val="0"/>
                <w:sz w:val="20"/>
                <w:szCs w:val="20"/>
              </w:rPr>
              <w:t>绩</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效</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指</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标</w:t>
            </w:r>
          </w:p>
        </w:tc>
        <w:tc>
          <w:tcPr>
            <w:tcW w:w="723" w:type="dxa"/>
            <w:tcBorders>
              <w:tl2br w:val="nil"/>
              <w:tr2bl w:val="nil"/>
            </w:tcBorders>
            <w:vAlign w:val="center"/>
          </w:tcPr>
          <w:p w14:paraId="5B5D93AE">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一级</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指标</w:t>
            </w:r>
          </w:p>
        </w:tc>
        <w:tc>
          <w:tcPr>
            <w:tcW w:w="759" w:type="dxa"/>
            <w:gridSpan w:val="2"/>
            <w:tcBorders>
              <w:tl2br w:val="nil"/>
              <w:tr2bl w:val="nil"/>
            </w:tcBorders>
            <w:vAlign w:val="center"/>
          </w:tcPr>
          <w:p w14:paraId="42916A4F">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二级指标</w:t>
            </w:r>
          </w:p>
        </w:tc>
        <w:tc>
          <w:tcPr>
            <w:tcW w:w="2872" w:type="dxa"/>
            <w:tcBorders>
              <w:tl2br w:val="nil"/>
              <w:tr2bl w:val="nil"/>
            </w:tcBorders>
            <w:vAlign w:val="center"/>
          </w:tcPr>
          <w:p w14:paraId="3A5B8013">
            <w:pPr>
              <w:widowControl/>
              <w:jc w:val="center"/>
              <w:textAlignment w:val="center"/>
              <w:rPr>
                <w:rFonts w:ascii="宋体" w:cs="宋体"/>
                <w:sz w:val="20"/>
              </w:rPr>
            </w:pPr>
            <w:r>
              <w:rPr>
                <w:rFonts w:hint="eastAsia" w:ascii="宋体" w:hAnsi="宋体" w:eastAsia="宋体" w:cs="宋体"/>
                <w:color w:val="000000"/>
                <w:kern w:val="0"/>
                <w:sz w:val="20"/>
                <w:szCs w:val="20"/>
              </w:rPr>
              <w:t>三级指标</w:t>
            </w:r>
          </w:p>
        </w:tc>
        <w:tc>
          <w:tcPr>
            <w:tcW w:w="4228" w:type="dxa"/>
            <w:gridSpan w:val="2"/>
            <w:tcBorders>
              <w:tl2br w:val="nil"/>
              <w:tr2bl w:val="nil"/>
            </w:tcBorders>
            <w:vAlign w:val="center"/>
          </w:tcPr>
          <w:p w14:paraId="117E5F16">
            <w:pPr>
              <w:widowControl/>
              <w:jc w:val="center"/>
              <w:textAlignment w:val="center"/>
              <w:rPr>
                <w:rFonts w:ascii="宋体" w:cs="宋体"/>
                <w:sz w:val="20"/>
              </w:rPr>
            </w:pPr>
            <w:r>
              <w:rPr>
                <w:rFonts w:hint="eastAsia" w:ascii="宋体" w:hAnsi="宋体" w:eastAsia="宋体" w:cs="宋体"/>
                <w:color w:val="000000"/>
                <w:kern w:val="0"/>
                <w:sz w:val="20"/>
                <w:szCs w:val="20"/>
              </w:rPr>
              <w:t>指标值</w:t>
            </w:r>
          </w:p>
        </w:tc>
      </w:tr>
      <w:tr w14:paraId="70BDD7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4AA7F48D">
            <w:pPr>
              <w:jc w:val="center"/>
              <w:rPr>
                <w:rFonts w:ascii="宋体" w:cs="宋体"/>
                <w:sz w:val="20"/>
              </w:rPr>
            </w:pPr>
          </w:p>
        </w:tc>
        <w:tc>
          <w:tcPr>
            <w:tcW w:w="723" w:type="dxa"/>
            <w:vMerge w:val="restart"/>
            <w:tcBorders>
              <w:tl2br w:val="nil"/>
              <w:tr2bl w:val="nil"/>
            </w:tcBorders>
            <w:vAlign w:val="center"/>
          </w:tcPr>
          <w:p w14:paraId="3DB1046F">
            <w:pPr>
              <w:widowControl/>
              <w:jc w:val="center"/>
              <w:textAlignment w:val="center"/>
              <w:rPr>
                <w:rFonts w:ascii="宋体" w:cs="宋体"/>
                <w:sz w:val="20"/>
              </w:rPr>
            </w:pPr>
            <w:r>
              <w:rPr>
                <w:rFonts w:hint="eastAsia" w:ascii="宋体" w:hAnsi="宋体" w:eastAsia="宋体" w:cs="宋体"/>
                <w:color w:val="000000"/>
                <w:kern w:val="0"/>
                <w:sz w:val="20"/>
                <w:szCs w:val="20"/>
              </w:rPr>
              <w:t>产出指标</w:t>
            </w:r>
          </w:p>
        </w:tc>
        <w:tc>
          <w:tcPr>
            <w:tcW w:w="759" w:type="dxa"/>
            <w:gridSpan w:val="2"/>
            <w:tcBorders>
              <w:tl2br w:val="nil"/>
              <w:tr2bl w:val="nil"/>
            </w:tcBorders>
            <w:vAlign w:val="center"/>
          </w:tcPr>
          <w:p w14:paraId="690D0D73">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数量指标</w:t>
            </w:r>
          </w:p>
        </w:tc>
        <w:tc>
          <w:tcPr>
            <w:tcW w:w="2872" w:type="dxa"/>
            <w:tcBorders>
              <w:tl2br w:val="nil"/>
              <w:tr2bl w:val="nil"/>
            </w:tcBorders>
            <w:vAlign w:val="center"/>
          </w:tcPr>
          <w:p w14:paraId="4DD772E1">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环境违法行为有奖举报时限</w:t>
            </w:r>
          </w:p>
        </w:tc>
        <w:tc>
          <w:tcPr>
            <w:tcW w:w="4228" w:type="dxa"/>
            <w:gridSpan w:val="2"/>
            <w:tcBorders>
              <w:tl2br w:val="nil"/>
              <w:tr2bl w:val="nil"/>
            </w:tcBorders>
            <w:vAlign w:val="center"/>
          </w:tcPr>
          <w:p w14:paraId="546D9D8C">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全年</w:t>
            </w:r>
          </w:p>
        </w:tc>
      </w:tr>
      <w:tr w14:paraId="59A66D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3DEF39EA">
            <w:pPr>
              <w:jc w:val="center"/>
              <w:rPr>
                <w:rFonts w:ascii="宋体" w:cs="宋体"/>
                <w:sz w:val="20"/>
              </w:rPr>
            </w:pPr>
          </w:p>
        </w:tc>
        <w:tc>
          <w:tcPr>
            <w:tcW w:w="723" w:type="dxa"/>
            <w:vMerge w:val="continue"/>
            <w:tcBorders>
              <w:tl2br w:val="nil"/>
              <w:tr2bl w:val="nil"/>
            </w:tcBorders>
            <w:vAlign w:val="center"/>
          </w:tcPr>
          <w:p w14:paraId="0AAF6471">
            <w:pPr>
              <w:jc w:val="center"/>
              <w:rPr>
                <w:rFonts w:ascii="宋体" w:cs="宋体"/>
                <w:sz w:val="20"/>
              </w:rPr>
            </w:pPr>
          </w:p>
        </w:tc>
        <w:tc>
          <w:tcPr>
            <w:tcW w:w="759" w:type="dxa"/>
            <w:gridSpan w:val="2"/>
            <w:tcBorders>
              <w:tl2br w:val="nil"/>
              <w:tr2bl w:val="nil"/>
            </w:tcBorders>
            <w:vAlign w:val="center"/>
          </w:tcPr>
          <w:p w14:paraId="2611CCB2">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质量指标</w:t>
            </w:r>
          </w:p>
        </w:tc>
        <w:tc>
          <w:tcPr>
            <w:tcW w:w="2872" w:type="dxa"/>
            <w:tcBorders>
              <w:tl2br w:val="nil"/>
              <w:tr2bl w:val="nil"/>
            </w:tcBorders>
            <w:vAlign w:val="center"/>
          </w:tcPr>
          <w:p w14:paraId="36D78DE8">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环境违法行为的举报问题质量</w:t>
            </w:r>
          </w:p>
        </w:tc>
        <w:tc>
          <w:tcPr>
            <w:tcW w:w="4228" w:type="dxa"/>
            <w:gridSpan w:val="2"/>
            <w:tcBorders>
              <w:tl2br w:val="nil"/>
              <w:tr2bl w:val="nil"/>
            </w:tcBorders>
            <w:vAlign w:val="center"/>
          </w:tcPr>
          <w:p w14:paraId="50030213">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属实</w:t>
            </w:r>
          </w:p>
        </w:tc>
      </w:tr>
      <w:tr w14:paraId="53CD9B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1A0C8B43">
            <w:pPr>
              <w:jc w:val="center"/>
              <w:rPr>
                <w:rFonts w:ascii="宋体" w:cs="宋体"/>
                <w:sz w:val="20"/>
              </w:rPr>
            </w:pPr>
          </w:p>
        </w:tc>
        <w:tc>
          <w:tcPr>
            <w:tcW w:w="723" w:type="dxa"/>
            <w:vMerge w:val="continue"/>
            <w:tcBorders>
              <w:tl2br w:val="nil"/>
              <w:tr2bl w:val="nil"/>
            </w:tcBorders>
            <w:vAlign w:val="center"/>
          </w:tcPr>
          <w:p w14:paraId="76CEE1C5">
            <w:pPr>
              <w:jc w:val="center"/>
              <w:rPr>
                <w:rFonts w:ascii="宋体" w:cs="宋体"/>
                <w:sz w:val="20"/>
              </w:rPr>
            </w:pPr>
          </w:p>
        </w:tc>
        <w:tc>
          <w:tcPr>
            <w:tcW w:w="759" w:type="dxa"/>
            <w:gridSpan w:val="2"/>
            <w:tcBorders>
              <w:tl2br w:val="nil"/>
              <w:tr2bl w:val="nil"/>
            </w:tcBorders>
            <w:vAlign w:val="center"/>
          </w:tcPr>
          <w:p w14:paraId="397140F2">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时效指标</w:t>
            </w:r>
          </w:p>
        </w:tc>
        <w:tc>
          <w:tcPr>
            <w:tcW w:w="2872" w:type="dxa"/>
            <w:tcBorders>
              <w:tl2br w:val="nil"/>
              <w:tr2bl w:val="nil"/>
            </w:tcBorders>
            <w:vAlign w:val="center"/>
          </w:tcPr>
          <w:p w14:paraId="38AEDC00">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奖励举报及时性</w:t>
            </w:r>
          </w:p>
        </w:tc>
        <w:tc>
          <w:tcPr>
            <w:tcW w:w="4228" w:type="dxa"/>
            <w:gridSpan w:val="2"/>
            <w:tcBorders>
              <w:tl2br w:val="nil"/>
              <w:tr2bl w:val="nil"/>
            </w:tcBorders>
            <w:vAlign w:val="center"/>
          </w:tcPr>
          <w:p w14:paraId="2284A3C5">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及时</w:t>
            </w:r>
          </w:p>
        </w:tc>
      </w:tr>
      <w:tr w14:paraId="0EF8D9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6316802D">
            <w:pPr>
              <w:jc w:val="center"/>
              <w:rPr>
                <w:rFonts w:ascii="宋体" w:cs="宋体"/>
                <w:sz w:val="20"/>
              </w:rPr>
            </w:pPr>
          </w:p>
        </w:tc>
        <w:tc>
          <w:tcPr>
            <w:tcW w:w="723" w:type="dxa"/>
            <w:vMerge w:val="continue"/>
            <w:tcBorders>
              <w:tl2br w:val="nil"/>
              <w:tr2bl w:val="nil"/>
            </w:tcBorders>
            <w:vAlign w:val="center"/>
          </w:tcPr>
          <w:p w14:paraId="0DD8569D">
            <w:pPr>
              <w:jc w:val="center"/>
              <w:rPr>
                <w:rFonts w:ascii="宋体" w:cs="宋体"/>
                <w:sz w:val="20"/>
              </w:rPr>
            </w:pPr>
          </w:p>
        </w:tc>
        <w:tc>
          <w:tcPr>
            <w:tcW w:w="759" w:type="dxa"/>
            <w:gridSpan w:val="2"/>
            <w:tcBorders>
              <w:tl2br w:val="nil"/>
              <w:tr2bl w:val="nil"/>
            </w:tcBorders>
            <w:vAlign w:val="center"/>
          </w:tcPr>
          <w:p w14:paraId="17836C0E">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成本指标</w:t>
            </w:r>
          </w:p>
        </w:tc>
        <w:tc>
          <w:tcPr>
            <w:tcW w:w="2872" w:type="dxa"/>
            <w:tcBorders>
              <w:tl2br w:val="nil"/>
              <w:tr2bl w:val="nil"/>
            </w:tcBorders>
            <w:vAlign w:val="center"/>
          </w:tcPr>
          <w:p w14:paraId="29070286">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环境违法行为有奖举报总额</w:t>
            </w:r>
          </w:p>
        </w:tc>
        <w:tc>
          <w:tcPr>
            <w:tcW w:w="4228" w:type="dxa"/>
            <w:gridSpan w:val="2"/>
            <w:tcBorders>
              <w:tl2br w:val="nil"/>
              <w:tr2bl w:val="nil"/>
            </w:tcBorders>
            <w:vAlign w:val="center"/>
          </w:tcPr>
          <w:p w14:paraId="6FCEAE97">
            <w:pPr>
              <w:keepNext w:val="0"/>
              <w:keepLines w:val="0"/>
              <w:widowControl/>
              <w:suppressLineNumbers w:val="0"/>
              <w:jc w:val="center"/>
              <w:textAlignment w:val="center"/>
              <w:rPr>
                <w:rFonts w:hint="default" w:ascii="宋体" w:cs="宋体"/>
                <w:sz w:val="20"/>
                <w:lang w:val="en-US"/>
              </w:rPr>
            </w:pPr>
            <w:r>
              <w:rPr>
                <w:rFonts w:ascii="宋体" w:hAnsi="宋体" w:eastAsia="宋体" w:cs="宋体"/>
                <w:i w:val="0"/>
                <w:iCs w:val="0"/>
                <w:color w:val="000000"/>
                <w:kern w:val="0"/>
                <w:sz w:val="20"/>
                <w:szCs w:val="20"/>
                <w:u w:val="none"/>
                <w:lang w:val="en-US" w:eastAsia="zh-CN" w:bidi="ar"/>
              </w:rPr>
              <w:t>≦</w:t>
            </w:r>
            <w:r>
              <w:rPr>
                <w:rFonts w:hint="eastAsia" w:ascii="宋体" w:hAnsi="宋体" w:eastAsia="宋体" w:cs="宋体"/>
                <w:i w:val="0"/>
                <w:iCs w:val="0"/>
                <w:color w:val="000000"/>
                <w:kern w:val="0"/>
                <w:sz w:val="20"/>
                <w:szCs w:val="20"/>
                <w:u w:val="none"/>
                <w:lang w:val="en-US" w:eastAsia="zh-CN" w:bidi="ar"/>
              </w:rPr>
              <w:t>2</w:t>
            </w:r>
          </w:p>
        </w:tc>
      </w:tr>
      <w:tr w14:paraId="531ABF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60B3578F">
            <w:pPr>
              <w:jc w:val="center"/>
              <w:rPr>
                <w:rFonts w:ascii="宋体" w:cs="宋体"/>
                <w:sz w:val="20"/>
              </w:rPr>
            </w:pPr>
          </w:p>
        </w:tc>
        <w:tc>
          <w:tcPr>
            <w:tcW w:w="723" w:type="dxa"/>
            <w:vMerge w:val="restart"/>
            <w:tcBorders>
              <w:tl2br w:val="nil"/>
              <w:tr2bl w:val="nil"/>
            </w:tcBorders>
            <w:vAlign w:val="center"/>
          </w:tcPr>
          <w:p w14:paraId="71541345">
            <w:pPr>
              <w:widowControl/>
              <w:jc w:val="center"/>
              <w:textAlignment w:val="center"/>
              <w:rPr>
                <w:rFonts w:ascii="宋体" w:cs="宋体"/>
                <w:sz w:val="20"/>
              </w:rPr>
            </w:pPr>
            <w:r>
              <w:rPr>
                <w:rFonts w:hint="eastAsia" w:ascii="宋体" w:hAnsi="宋体" w:eastAsia="宋体" w:cs="宋体"/>
                <w:color w:val="000000"/>
                <w:kern w:val="0"/>
                <w:sz w:val="20"/>
                <w:szCs w:val="20"/>
              </w:rPr>
              <w:t>效益指标</w:t>
            </w:r>
          </w:p>
        </w:tc>
        <w:tc>
          <w:tcPr>
            <w:tcW w:w="759" w:type="dxa"/>
            <w:gridSpan w:val="2"/>
            <w:tcBorders>
              <w:tl2br w:val="nil"/>
              <w:tr2bl w:val="nil"/>
            </w:tcBorders>
            <w:vAlign w:val="center"/>
          </w:tcPr>
          <w:p w14:paraId="13904C80">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经济效益指标</w:t>
            </w:r>
          </w:p>
        </w:tc>
        <w:tc>
          <w:tcPr>
            <w:tcW w:w="2872" w:type="dxa"/>
            <w:tcBorders>
              <w:tl2br w:val="nil"/>
              <w:tr2bl w:val="nil"/>
            </w:tcBorders>
            <w:vAlign w:val="center"/>
          </w:tcPr>
          <w:p w14:paraId="4CF94528">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对环境违法行为有奖举报人</w:t>
            </w:r>
          </w:p>
        </w:tc>
        <w:tc>
          <w:tcPr>
            <w:tcW w:w="4228" w:type="dxa"/>
            <w:gridSpan w:val="2"/>
            <w:tcBorders>
              <w:tl2br w:val="nil"/>
              <w:tr2bl w:val="nil"/>
            </w:tcBorders>
            <w:vAlign w:val="center"/>
          </w:tcPr>
          <w:p w14:paraId="23506F9D">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促进</w:t>
            </w:r>
          </w:p>
        </w:tc>
      </w:tr>
      <w:tr w14:paraId="4F506B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03C483CF">
            <w:pPr>
              <w:jc w:val="center"/>
              <w:rPr>
                <w:rFonts w:ascii="宋体" w:cs="宋体"/>
                <w:sz w:val="20"/>
              </w:rPr>
            </w:pPr>
          </w:p>
        </w:tc>
        <w:tc>
          <w:tcPr>
            <w:tcW w:w="723" w:type="dxa"/>
            <w:vMerge w:val="continue"/>
            <w:tcBorders>
              <w:tl2br w:val="nil"/>
              <w:tr2bl w:val="nil"/>
            </w:tcBorders>
            <w:vAlign w:val="center"/>
          </w:tcPr>
          <w:p w14:paraId="4518CE2C">
            <w:pPr>
              <w:jc w:val="center"/>
              <w:rPr>
                <w:rFonts w:ascii="宋体" w:cs="宋体"/>
                <w:sz w:val="20"/>
              </w:rPr>
            </w:pPr>
          </w:p>
        </w:tc>
        <w:tc>
          <w:tcPr>
            <w:tcW w:w="759" w:type="dxa"/>
            <w:gridSpan w:val="2"/>
            <w:tcBorders>
              <w:tl2br w:val="nil"/>
              <w:tr2bl w:val="nil"/>
            </w:tcBorders>
            <w:vAlign w:val="center"/>
          </w:tcPr>
          <w:p w14:paraId="1CB71CFD">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社会效益指标</w:t>
            </w:r>
          </w:p>
        </w:tc>
        <w:tc>
          <w:tcPr>
            <w:tcW w:w="2872" w:type="dxa"/>
            <w:tcBorders>
              <w:tl2br w:val="nil"/>
              <w:tr2bl w:val="nil"/>
            </w:tcBorders>
            <w:vAlign w:val="center"/>
          </w:tcPr>
          <w:p w14:paraId="49ADF68A">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公众对生态环境保护意识的提升</w:t>
            </w:r>
          </w:p>
        </w:tc>
        <w:tc>
          <w:tcPr>
            <w:tcW w:w="4228" w:type="dxa"/>
            <w:gridSpan w:val="2"/>
            <w:tcBorders>
              <w:tl2br w:val="nil"/>
              <w:tr2bl w:val="nil"/>
            </w:tcBorders>
            <w:vAlign w:val="center"/>
          </w:tcPr>
          <w:p w14:paraId="60B41B1E">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较高</w:t>
            </w:r>
          </w:p>
        </w:tc>
      </w:tr>
      <w:tr w14:paraId="60C97A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1DD0EBE3">
            <w:pPr>
              <w:jc w:val="center"/>
              <w:rPr>
                <w:rFonts w:ascii="宋体" w:cs="宋体"/>
                <w:sz w:val="20"/>
              </w:rPr>
            </w:pPr>
          </w:p>
        </w:tc>
        <w:tc>
          <w:tcPr>
            <w:tcW w:w="723" w:type="dxa"/>
            <w:vMerge w:val="continue"/>
            <w:tcBorders>
              <w:tl2br w:val="nil"/>
              <w:tr2bl w:val="nil"/>
            </w:tcBorders>
            <w:vAlign w:val="center"/>
          </w:tcPr>
          <w:p w14:paraId="6D57C968">
            <w:pPr>
              <w:jc w:val="center"/>
              <w:rPr>
                <w:rFonts w:ascii="宋体" w:cs="宋体"/>
                <w:sz w:val="20"/>
              </w:rPr>
            </w:pPr>
          </w:p>
        </w:tc>
        <w:tc>
          <w:tcPr>
            <w:tcW w:w="759" w:type="dxa"/>
            <w:gridSpan w:val="2"/>
            <w:tcBorders>
              <w:tl2br w:val="nil"/>
              <w:tr2bl w:val="nil"/>
            </w:tcBorders>
            <w:vAlign w:val="center"/>
          </w:tcPr>
          <w:p w14:paraId="4649D219">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生态效益指标</w:t>
            </w:r>
          </w:p>
        </w:tc>
        <w:tc>
          <w:tcPr>
            <w:tcW w:w="2872" w:type="dxa"/>
            <w:tcBorders>
              <w:tl2br w:val="nil"/>
              <w:tr2bl w:val="nil"/>
            </w:tcBorders>
            <w:vAlign w:val="center"/>
          </w:tcPr>
          <w:p w14:paraId="49552F1C">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对生态环境的改善</w:t>
            </w:r>
          </w:p>
        </w:tc>
        <w:tc>
          <w:tcPr>
            <w:tcW w:w="4228" w:type="dxa"/>
            <w:gridSpan w:val="2"/>
            <w:tcBorders>
              <w:tl2br w:val="nil"/>
              <w:tr2bl w:val="nil"/>
            </w:tcBorders>
            <w:vAlign w:val="center"/>
          </w:tcPr>
          <w:p w14:paraId="7B685A3D">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明显</w:t>
            </w:r>
          </w:p>
        </w:tc>
      </w:tr>
      <w:tr w14:paraId="576B08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438" w:type="dxa"/>
            <w:vMerge w:val="continue"/>
            <w:tcBorders>
              <w:tl2br w:val="nil"/>
              <w:tr2bl w:val="nil"/>
            </w:tcBorders>
            <w:vAlign w:val="center"/>
          </w:tcPr>
          <w:p w14:paraId="7F6B006F">
            <w:pPr>
              <w:jc w:val="center"/>
              <w:rPr>
                <w:rFonts w:ascii="宋体" w:cs="宋体"/>
                <w:sz w:val="20"/>
              </w:rPr>
            </w:pPr>
          </w:p>
        </w:tc>
        <w:tc>
          <w:tcPr>
            <w:tcW w:w="723" w:type="dxa"/>
            <w:vMerge w:val="continue"/>
            <w:tcBorders>
              <w:tl2br w:val="nil"/>
              <w:tr2bl w:val="nil"/>
            </w:tcBorders>
            <w:vAlign w:val="center"/>
          </w:tcPr>
          <w:p w14:paraId="444A6B44">
            <w:pPr>
              <w:jc w:val="center"/>
              <w:rPr>
                <w:rFonts w:ascii="宋体" w:cs="宋体"/>
                <w:sz w:val="20"/>
              </w:rPr>
            </w:pPr>
          </w:p>
        </w:tc>
        <w:tc>
          <w:tcPr>
            <w:tcW w:w="759" w:type="dxa"/>
            <w:gridSpan w:val="2"/>
            <w:tcBorders>
              <w:tl2br w:val="nil"/>
              <w:tr2bl w:val="nil"/>
            </w:tcBorders>
            <w:vAlign w:val="center"/>
          </w:tcPr>
          <w:p w14:paraId="072838B8">
            <w:pPr>
              <w:widowControl/>
              <w:spacing w:line="200" w:lineRule="exact"/>
              <w:jc w:val="center"/>
              <w:rPr>
                <w:rFonts w:ascii="宋体" w:hAnsi="宋体" w:eastAsia="宋体" w:cs="宋体"/>
                <w:sz w:val="20"/>
              </w:rPr>
            </w:pPr>
            <w:r>
              <w:rPr>
                <w:rFonts w:hint="eastAsia" w:ascii="宋体" w:hAnsi="宋体" w:eastAsia="宋体" w:cs="宋体"/>
                <w:sz w:val="20"/>
              </w:rPr>
              <w:t>可持续影响指标</w:t>
            </w:r>
          </w:p>
        </w:tc>
        <w:tc>
          <w:tcPr>
            <w:tcW w:w="2872" w:type="dxa"/>
            <w:tcBorders>
              <w:tl2br w:val="nil"/>
              <w:tr2bl w:val="nil"/>
            </w:tcBorders>
            <w:vAlign w:val="center"/>
          </w:tcPr>
          <w:p w14:paraId="297F3059">
            <w:pPr>
              <w:keepNext w:val="0"/>
              <w:keepLines w:val="0"/>
              <w:widowControl/>
              <w:suppressLineNumbers w:val="0"/>
              <w:jc w:val="left"/>
              <w:textAlignment w:val="center"/>
              <w:rPr>
                <w:rFonts w:ascii="宋体" w:hAnsi="宋体" w:eastAsia="宋体" w:cs="宋体"/>
                <w:sz w:val="20"/>
              </w:rPr>
            </w:pPr>
            <w:r>
              <w:rPr>
                <w:rFonts w:hint="eastAsia" w:ascii="宋体" w:hAnsi="宋体" w:eastAsia="宋体" w:cs="宋体"/>
                <w:i w:val="0"/>
                <w:iCs w:val="0"/>
                <w:color w:val="000000"/>
                <w:kern w:val="0"/>
                <w:sz w:val="20"/>
                <w:szCs w:val="20"/>
                <w:u w:val="none"/>
                <w:lang w:val="en-US" w:eastAsia="zh-CN" w:bidi="ar"/>
              </w:rPr>
              <w:t>对促进生态文明建设的持续影响</w:t>
            </w:r>
          </w:p>
        </w:tc>
        <w:tc>
          <w:tcPr>
            <w:tcW w:w="4228" w:type="dxa"/>
            <w:gridSpan w:val="2"/>
            <w:tcBorders>
              <w:tl2br w:val="nil"/>
              <w:tr2bl w:val="nil"/>
            </w:tcBorders>
            <w:vAlign w:val="center"/>
          </w:tcPr>
          <w:p w14:paraId="25BFE4CB">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明显</w:t>
            </w:r>
          </w:p>
        </w:tc>
      </w:tr>
      <w:tr w14:paraId="72C29B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3917C91C">
            <w:pPr>
              <w:jc w:val="center"/>
              <w:rPr>
                <w:rFonts w:ascii="宋体" w:cs="宋体"/>
                <w:sz w:val="20"/>
              </w:rPr>
            </w:pPr>
          </w:p>
        </w:tc>
        <w:tc>
          <w:tcPr>
            <w:tcW w:w="723" w:type="dxa"/>
            <w:tcBorders>
              <w:tl2br w:val="nil"/>
              <w:tr2bl w:val="nil"/>
            </w:tcBorders>
            <w:vAlign w:val="center"/>
          </w:tcPr>
          <w:p w14:paraId="6E7711E1">
            <w:pPr>
              <w:widowControl/>
              <w:spacing w:line="200" w:lineRule="exact"/>
              <w:jc w:val="center"/>
              <w:rPr>
                <w:rFonts w:ascii="宋体" w:hAnsi="宋体" w:eastAsia="宋体" w:cs="宋体"/>
                <w:sz w:val="20"/>
              </w:rPr>
            </w:pPr>
            <w:r>
              <w:rPr>
                <w:rFonts w:hint="eastAsia" w:ascii="宋体" w:hAnsi="宋体" w:eastAsia="宋体" w:cs="宋体"/>
                <w:sz w:val="20"/>
              </w:rPr>
              <w:t>满意度指标</w:t>
            </w:r>
          </w:p>
        </w:tc>
        <w:tc>
          <w:tcPr>
            <w:tcW w:w="759" w:type="dxa"/>
            <w:gridSpan w:val="2"/>
            <w:tcBorders>
              <w:tl2br w:val="nil"/>
              <w:tr2bl w:val="nil"/>
            </w:tcBorders>
            <w:vAlign w:val="center"/>
          </w:tcPr>
          <w:p w14:paraId="1CB1B122">
            <w:pPr>
              <w:widowControl/>
              <w:spacing w:line="200" w:lineRule="exact"/>
              <w:jc w:val="center"/>
              <w:rPr>
                <w:rFonts w:ascii="宋体" w:hAnsi="宋体" w:eastAsia="宋体" w:cs="宋体"/>
                <w:sz w:val="20"/>
              </w:rPr>
            </w:pPr>
            <w:r>
              <w:rPr>
                <w:rFonts w:hint="eastAsia" w:ascii="宋体" w:hAnsi="宋体" w:eastAsia="宋体" w:cs="宋体"/>
                <w:sz w:val="20"/>
              </w:rPr>
              <w:t>满意度指标</w:t>
            </w:r>
          </w:p>
        </w:tc>
        <w:tc>
          <w:tcPr>
            <w:tcW w:w="2872" w:type="dxa"/>
            <w:tcBorders>
              <w:tl2br w:val="nil"/>
              <w:tr2bl w:val="nil"/>
            </w:tcBorders>
            <w:vAlign w:val="center"/>
          </w:tcPr>
          <w:p w14:paraId="78B540B8">
            <w:pPr>
              <w:keepNext w:val="0"/>
              <w:keepLines w:val="0"/>
              <w:widowControl/>
              <w:suppressLineNumbers w:val="0"/>
              <w:jc w:val="left"/>
              <w:textAlignment w:val="center"/>
              <w:rPr>
                <w:rFonts w:ascii="宋体" w:hAnsi="宋体" w:eastAsia="宋体" w:cs="宋体"/>
                <w:sz w:val="20"/>
              </w:rPr>
            </w:pPr>
            <w:r>
              <w:rPr>
                <w:rFonts w:hint="eastAsia" w:ascii="宋体" w:hAnsi="宋体" w:eastAsia="宋体" w:cs="宋体"/>
                <w:i w:val="0"/>
                <w:iCs w:val="0"/>
                <w:color w:val="000000"/>
                <w:kern w:val="0"/>
                <w:sz w:val="20"/>
                <w:szCs w:val="20"/>
                <w:u w:val="none"/>
                <w:lang w:val="en-US" w:eastAsia="zh-CN" w:bidi="ar"/>
              </w:rPr>
              <w:t>公众满意度</w:t>
            </w:r>
          </w:p>
        </w:tc>
        <w:tc>
          <w:tcPr>
            <w:tcW w:w="4228" w:type="dxa"/>
            <w:gridSpan w:val="2"/>
            <w:tcBorders>
              <w:tl2br w:val="nil"/>
              <w:tr2bl w:val="nil"/>
            </w:tcBorders>
            <w:vAlign w:val="center"/>
          </w:tcPr>
          <w:p w14:paraId="1FC332FB">
            <w:pPr>
              <w:keepNext w:val="0"/>
              <w:keepLines w:val="0"/>
              <w:widowControl/>
              <w:suppressLineNumbers w:val="0"/>
              <w:jc w:val="center"/>
              <w:textAlignment w:val="center"/>
              <w:rPr>
                <w:rFonts w:ascii="宋体" w:cs="宋体"/>
                <w:sz w:val="20"/>
              </w:rPr>
            </w:pPr>
            <w:r>
              <w:rPr>
                <w:rFonts w:ascii="宋体" w:hAnsi="宋体" w:eastAsia="宋体" w:cs="宋体"/>
                <w:i w:val="0"/>
                <w:iCs w:val="0"/>
                <w:color w:val="000000"/>
                <w:kern w:val="0"/>
                <w:sz w:val="20"/>
                <w:szCs w:val="20"/>
                <w:u w:val="none"/>
                <w:lang w:val="en-US" w:eastAsia="zh-CN" w:bidi="ar"/>
              </w:rPr>
              <w:t>≧</w:t>
            </w:r>
            <w:r>
              <w:rPr>
                <w:rFonts w:hint="eastAsia" w:ascii="宋体" w:hAnsi="宋体" w:eastAsia="宋体" w:cs="宋体"/>
                <w:i w:val="0"/>
                <w:iCs w:val="0"/>
                <w:color w:val="000000"/>
                <w:kern w:val="0"/>
                <w:sz w:val="20"/>
                <w:szCs w:val="20"/>
                <w:u w:val="none"/>
                <w:lang w:val="en-US" w:eastAsia="zh-CN" w:bidi="ar"/>
              </w:rPr>
              <w:t>95</w:t>
            </w:r>
          </w:p>
        </w:tc>
      </w:tr>
    </w:tbl>
    <w:p w14:paraId="156FB423"/>
    <w:p w14:paraId="6031971A">
      <w:pPr>
        <w:ind w:firstLine="643" w:firstLineChars="200"/>
        <w:rPr>
          <w:rFonts w:hint="eastAsia" w:ascii="仿宋" w:hAnsi="仿宋" w:eastAsia="仿宋" w:cs="仿宋"/>
          <w:b/>
          <w:bCs/>
          <w:kern w:val="0"/>
          <w:sz w:val="32"/>
          <w:szCs w:val="32"/>
        </w:rPr>
      </w:pPr>
      <w:r>
        <w:rPr>
          <w:rFonts w:hint="eastAsia" w:ascii="仿宋" w:hAnsi="仿宋" w:eastAsia="仿宋" w:cs="仿宋"/>
          <w:b/>
          <w:bCs/>
          <w:kern w:val="0"/>
          <w:sz w:val="32"/>
          <w:szCs w:val="32"/>
          <w:lang w:val="en-US" w:eastAsia="zh-CN"/>
        </w:rPr>
        <w:t>4</w:t>
      </w:r>
      <w:r>
        <w:rPr>
          <w:rFonts w:hint="eastAsia" w:ascii="仿宋" w:hAnsi="仿宋" w:eastAsia="仿宋" w:cs="仿宋"/>
          <w:b/>
          <w:bCs/>
          <w:kern w:val="0"/>
          <w:sz w:val="32"/>
          <w:szCs w:val="32"/>
        </w:rPr>
        <w:t>、“环境监察执法经费”项目。</w:t>
      </w:r>
    </w:p>
    <w:p w14:paraId="68039AF8">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lang w:eastAsia="zh-CN"/>
        </w:rPr>
      </w:pPr>
      <w:r>
        <w:rPr>
          <w:rFonts w:hint="eastAsia" w:ascii="仿宋" w:hAnsi="仿宋" w:eastAsia="仿宋" w:cs="仿宋"/>
          <w:kern w:val="0"/>
          <w:sz w:val="32"/>
          <w:szCs w:val="32"/>
        </w:rPr>
        <w:t>（1）项目概述。</w:t>
      </w:r>
      <w:r>
        <w:rPr>
          <w:rFonts w:hint="eastAsia" w:ascii="仿宋" w:hAnsi="仿宋" w:eastAsia="仿宋" w:cs="仿宋"/>
          <w:kern w:val="0"/>
          <w:sz w:val="32"/>
          <w:szCs w:val="32"/>
          <w:lang w:eastAsia="zh-CN"/>
        </w:rPr>
        <w:t>主要保障</w:t>
      </w:r>
      <w:r>
        <w:rPr>
          <w:rFonts w:hint="eastAsia" w:ascii="仿宋" w:hAnsi="仿宋" w:eastAsia="仿宋" w:cs="仿宋"/>
          <w:sz w:val="32"/>
          <w:szCs w:val="32"/>
          <w:lang w:eastAsia="zh-CN"/>
        </w:rPr>
        <w:t>环境监察执法</w:t>
      </w:r>
      <w:r>
        <w:rPr>
          <w:rFonts w:hint="eastAsia" w:ascii="仿宋" w:hAnsi="仿宋" w:eastAsia="仿宋" w:cs="仿宋"/>
          <w:sz w:val="32"/>
          <w:szCs w:val="32"/>
          <w:highlight w:val="none"/>
          <w:lang w:val="en-US" w:eastAsia="zh-CN"/>
        </w:rPr>
        <w:t>运行经费。</w:t>
      </w:r>
    </w:p>
    <w:p w14:paraId="6DEE6AAE">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kern w:val="0"/>
          <w:sz w:val="32"/>
          <w:szCs w:val="32"/>
        </w:rPr>
        <w:t>（2）立项依据。</w:t>
      </w:r>
      <w:r>
        <w:rPr>
          <w:rFonts w:hint="eastAsia" w:ascii="仿宋" w:hAnsi="仿宋" w:eastAsia="仿宋" w:cs="仿宋"/>
          <w:sz w:val="32"/>
          <w:szCs w:val="32"/>
          <w:lang w:eastAsia="zh-CN"/>
        </w:rPr>
        <w:t>市生态环境保护综合行政执法支队部门职责</w:t>
      </w:r>
      <w:r>
        <w:rPr>
          <w:rFonts w:hint="eastAsia" w:ascii="仿宋" w:hAnsi="仿宋" w:eastAsia="仿宋" w:cs="仿宋"/>
          <w:sz w:val="32"/>
          <w:szCs w:val="32"/>
          <w:lang w:val="en-US" w:eastAsia="zh-CN"/>
        </w:rPr>
        <w:t>。</w:t>
      </w:r>
    </w:p>
    <w:p w14:paraId="12896600">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（3）实施主体。</w:t>
      </w:r>
      <w:r>
        <w:rPr>
          <w:rFonts w:hint="eastAsia" w:ascii="仿宋" w:hAnsi="仿宋" w:eastAsia="仿宋" w:cs="仿宋"/>
          <w:sz w:val="32"/>
          <w:szCs w:val="32"/>
          <w:lang w:eastAsia="zh-CN"/>
        </w:rPr>
        <w:t>淮北市生态环境保护综合行政执法支队</w:t>
      </w:r>
    </w:p>
    <w:p w14:paraId="3EFB6561">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lang w:val="en-US" w:eastAsia="zh-CN"/>
        </w:rPr>
      </w:pPr>
      <w:r>
        <w:rPr>
          <w:rFonts w:hint="eastAsia" w:ascii="仿宋" w:hAnsi="仿宋" w:eastAsia="仿宋" w:cs="仿宋"/>
          <w:kern w:val="0"/>
          <w:sz w:val="32"/>
          <w:szCs w:val="32"/>
        </w:rPr>
        <w:t>（4）起止时间。</w:t>
      </w:r>
      <w:r>
        <w:rPr>
          <w:rFonts w:hint="eastAsia" w:ascii="仿宋" w:hAnsi="仿宋" w:eastAsia="仿宋" w:cs="仿宋"/>
          <w:kern w:val="0"/>
          <w:sz w:val="32"/>
          <w:szCs w:val="32"/>
          <w:lang w:val="en-US" w:eastAsia="zh-CN"/>
        </w:rPr>
        <w:t>2025.1-.12</w:t>
      </w:r>
    </w:p>
    <w:p w14:paraId="1BD31196">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（5）项目内容。</w:t>
      </w:r>
      <w:r>
        <w:rPr>
          <w:rFonts w:hint="eastAsia" w:ascii="仿宋" w:hAnsi="仿宋" w:eastAsia="仿宋" w:cs="仿宋"/>
          <w:sz w:val="32"/>
          <w:szCs w:val="32"/>
          <w:highlight w:val="none"/>
          <w:lang w:val="en-US" w:eastAsia="zh-CN"/>
        </w:rPr>
        <w:t>办公设备购置、印刷费、办公费、邮电费、差旅费、公务接待费、劳务费、公务用车运行维护费、其他商品和服务支出。</w:t>
      </w:r>
    </w:p>
    <w:p w14:paraId="040EBCE6">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lang w:val="en-US" w:eastAsia="zh-CN"/>
        </w:rPr>
      </w:pPr>
      <w:r>
        <w:rPr>
          <w:rFonts w:hint="eastAsia" w:ascii="仿宋" w:hAnsi="仿宋" w:eastAsia="仿宋" w:cs="仿宋"/>
          <w:kern w:val="0"/>
          <w:sz w:val="32"/>
          <w:szCs w:val="32"/>
        </w:rPr>
        <w:t>（6）年度预算安排。</w:t>
      </w:r>
      <w:r>
        <w:rPr>
          <w:rFonts w:hint="eastAsia" w:ascii="仿宋" w:hAnsi="仿宋" w:eastAsia="仿宋" w:cs="仿宋"/>
          <w:kern w:val="0"/>
          <w:sz w:val="32"/>
          <w:szCs w:val="32"/>
          <w:lang w:eastAsia="zh-CN"/>
        </w:rPr>
        <w:t>预算资金</w:t>
      </w:r>
      <w:r>
        <w:rPr>
          <w:rFonts w:hint="eastAsia" w:ascii="仿宋" w:hAnsi="仿宋" w:eastAsia="仿宋" w:cs="仿宋"/>
          <w:kern w:val="0"/>
          <w:sz w:val="32"/>
          <w:szCs w:val="32"/>
          <w:lang w:val="en-US" w:eastAsia="zh-CN"/>
        </w:rPr>
        <w:t>69.83万元。</w:t>
      </w:r>
    </w:p>
    <w:p w14:paraId="1CA41F5B">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（7）绩效目标。</w:t>
      </w:r>
    </w:p>
    <w:tbl>
      <w:tblPr>
        <w:tblStyle w:val="7"/>
        <w:tblW w:w="90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8"/>
        <w:gridCol w:w="723"/>
        <w:gridCol w:w="282"/>
        <w:gridCol w:w="477"/>
        <w:gridCol w:w="2872"/>
        <w:gridCol w:w="1848"/>
        <w:gridCol w:w="2380"/>
      </w:tblGrid>
      <w:tr w14:paraId="75E577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trPr>
        <w:tc>
          <w:tcPr>
            <w:tcW w:w="9020" w:type="dxa"/>
            <w:gridSpan w:val="7"/>
            <w:tcBorders>
              <w:top w:val="nil"/>
              <w:left w:val="nil"/>
              <w:bottom w:val="nil"/>
              <w:right w:val="nil"/>
            </w:tcBorders>
            <w:vAlign w:val="center"/>
          </w:tcPr>
          <w:p w14:paraId="24F80354">
            <w:pPr>
              <w:widowControl/>
              <w:jc w:val="center"/>
              <w:textAlignment w:val="center"/>
              <w:rPr>
                <w:rFonts w:ascii="宋体" w:cs="宋体"/>
                <w:b/>
                <w:bCs/>
                <w:szCs w:val="32"/>
              </w:rPr>
            </w:pPr>
            <w:r>
              <w:rPr>
                <w:rFonts w:hint="eastAsia" w:ascii="宋体" w:hAnsi="宋体" w:eastAsia="宋体" w:cs="宋体"/>
                <w:b/>
                <w:color w:val="000000"/>
                <w:kern w:val="0"/>
                <w:sz w:val="28"/>
                <w:szCs w:val="28"/>
              </w:rPr>
              <w:t>项目支出绩效目标表</w:t>
            </w:r>
          </w:p>
        </w:tc>
      </w:tr>
      <w:tr w14:paraId="42577C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9020" w:type="dxa"/>
            <w:gridSpan w:val="7"/>
            <w:tcBorders>
              <w:top w:val="nil"/>
              <w:left w:val="nil"/>
              <w:right w:val="nil"/>
            </w:tcBorders>
            <w:vAlign w:val="center"/>
          </w:tcPr>
          <w:p w14:paraId="65D9D696">
            <w:pPr>
              <w:widowControl/>
              <w:jc w:val="center"/>
              <w:textAlignment w:val="center"/>
              <w:rPr>
                <w:rFonts w:ascii="宋体" w:cs="宋体"/>
                <w:sz w:val="20"/>
              </w:rPr>
            </w:pPr>
            <w:r>
              <w:rPr>
                <w:rFonts w:hint="eastAsia" w:ascii="宋体" w:hAnsi="宋体" w:eastAsia="宋体" w:cs="宋体"/>
                <w:color w:val="000000"/>
                <w:kern w:val="0"/>
                <w:sz w:val="20"/>
                <w:szCs w:val="20"/>
              </w:rPr>
              <w:t xml:space="preserve"> （202</w:t>
            </w:r>
            <w:r>
              <w:rPr>
                <w:rFonts w:hint="eastAsia" w:ascii="宋体" w:hAnsi="宋体" w:eastAsia="宋体" w:cs="宋体"/>
                <w:color w:val="000000"/>
                <w:kern w:val="0"/>
                <w:sz w:val="20"/>
                <w:szCs w:val="20"/>
                <w:lang w:val="en-US" w:eastAsia="zh-CN"/>
              </w:rPr>
              <w:t>5</w:t>
            </w:r>
            <w:r>
              <w:rPr>
                <w:rFonts w:hint="eastAsia" w:ascii="宋体" w:hAnsi="宋体" w:eastAsia="宋体" w:cs="宋体"/>
                <w:color w:val="000000"/>
                <w:kern w:val="0"/>
                <w:sz w:val="20"/>
                <w:szCs w:val="20"/>
              </w:rPr>
              <w:t xml:space="preserve">年度）                                </w:t>
            </w:r>
          </w:p>
        </w:tc>
      </w:tr>
      <w:tr w14:paraId="1192C9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tcBorders>
              <w:tl2br w:val="nil"/>
              <w:tr2bl w:val="nil"/>
            </w:tcBorders>
            <w:vAlign w:val="center"/>
          </w:tcPr>
          <w:p w14:paraId="1C6115EE">
            <w:pPr>
              <w:widowControl/>
              <w:jc w:val="center"/>
              <w:textAlignment w:val="center"/>
              <w:rPr>
                <w:rFonts w:ascii="宋体" w:cs="宋体"/>
                <w:sz w:val="20"/>
              </w:rPr>
            </w:pPr>
            <w:r>
              <w:rPr>
                <w:rFonts w:hint="eastAsia" w:ascii="宋体" w:hAnsi="宋体" w:eastAsia="宋体" w:cs="宋体"/>
                <w:color w:val="000000"/>
                <w:kern w:val="0"/>
                <w:sz w:val="20"/>
                <w:szCs w:val="20"/>
              </w:rPr>
              <w:t>项目名称</w:t>
            </w:r>
          </w:p>
        </w:tc>
        <w:tc>
          <w:tcPr>
            <w:tcW w:w="7577" w:type="dxa"/>
            <w:gridSpan w:val="4"/>
            <w:tcBorders>
              <w:tl2br w:val="nil"/>
              <w:tr2bl w:val="nil"/>
            </w:tcBorders>
            <w:vAlign w:val="center"/>
          </w:tcPr>
          <w:p w14:paraId="0C641827">
            <w:pPr>
              <w:jc w:val="center"/>
              <w:rPr>
                <w:rFonts w:ascii="宋体" w:cs="宋体"/>
                <w:sz w:val="20"/>
              </w:rPr>
            </w:pPr>
            <w:r>
              <w:rPr>
                <w:rFonts w:hint="eastAsia" w:ascii="宋体" w:cs="宋体"/>
                <w:sz w:val="20"/>
              </w:rPr>
              <w:t>环境监察执法经费</w:t>
            </w:r>
          </w:p>
        </w:tc>
      </w:tr>
      <w:tr w14:paraId="27479A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1443" w:type="dxa"/>
            <w:gridSpan w:val="3"/>
            <w:tcBorders>
              <w:tl2br w:val="nil"/>
              <w:tr2bl w:val="nil"/>
            </w:tcBorders>
            <w:vAlign w:val="center"/>
          </w:tcPr>
          <w:p w14:paraId="4F9BC3C6">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主管部门   及代码</w:t>
            </w:r>
          </w:p>
        </w:tc>
        <w:tc>
          <w:tcPr>
            <w:tcW w:w="3349" w:type="dxa"/>
            <w:gridSpan w:val="2"/>
            <w:tcBorders>
              <w:tl2br w:val="nil"/>
              <w:tr2bl w:val="nil"/>
            </w:tcBorders>
            <w:vAlign w:val="center"/>
          </w:tcPr>
          <w:p w14:paraId="688A976D">
            <w:pPr>
              <w:jc w:val="center"/>
              <w:rPr>
                <w:rFonts w:ascii="宋体" w:cs="宋体"/>
                <w:sz w:val="20"/>
              </w:rPr>
            </w:pPr>
            <w:r>
              <w:rPr>
                <w:rFonts w:hint="eastAsia" w:ascii="宋体" w:cs="宋体"/>
                <w:sz w:val="20"/>
                <w:lang w:val="en-US" w:eastAsia="zh-CN"/>
              </w:rPr>
              <w:t>264-</w:t>
            </w:r>
            <w:r>
              <w:rPr>
                <w:rFonts w:hint="eastAsia" w:ascii="宋体" w:cs="宋体"/>
                <w:sz w:val="20"/>
              </w:rPr>
              <w:t>淮北市生态环境局</w:t>
            </w:r>
          </w:p>
        </w:tc>
        <w:tc>
          <w:tcPr>
            <w:tcW w:w="1848" w:type="dxa"/>
            <w:tcBorders>
              <w:tl2br w:val="nil"/>
              <w:tr2bl w:val="nil"/>
            </w:tcBorders>
            <w:vAlign w:val="center"/>
          </w:tcPr>
          <w:p w14:paraId="7CF25F32">
            <w:pPr>
              <w:widowControl/>
              <w:jc w:val="center"/>
              <w:textAlignment w:val="center"/>
            </w:pPr>
            <w:r>
              <w:rPr>
                <w:rFonts w:hint="eastAsia" w:ascii="宋体" w:hAnsi="宋体" w:eastAsia="宋体" w:cs="宋体"/>
                <w:color w:val="000000"/>
                <w:kern w:val="0"/>
                <w:sz w:val="20"/>
                <w:szCs w:val="20"/>
              </w:rPr>
              <w:t>实施单位</w:t>
            </w:r>
          </w:p>
        </w:tc>
        <w:tc>
          <w:tcPr>
            <w:tcW w:w="2380" w:type="dxa"/>
            <w:tcBorders>
              <w:tl2br w:val="nil"/>
              <w:tr2bl w:val="nil"/>
            </w:tcBorders>
            <w:vAlign w:val="center"/>
          </w:tcPr>
          <w:p w14:paraId="190D90F3">
            <w:pPr>
              <w:jc w:val="center"/>
            </w:pPr>
            <w:r>
              <w:rPr>
                <w:rFonts w:hint="eastAsia"/>
                <w:sz w:val="20"/>
                <w:szCs w:val="20"/>
              </w:rPr>
              <w:t>淮北市生态环境保护综合行政执法支队</w:t>
            </w:r>
          </w:p>
        </w:tc>
      </w:tr>
      <w:tr w14:paraId="155262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tcBorders>
              <w:tl2br w:val="nil"/>
              <w:tr2bl w:val="nil"/>
            </w:tcBorders>
            <w:vAlign w:val="center"/>
          </w:tcPr>
          <w:p w14:paraId="7B79D36E">
            <w:pPr>
              <w:widowControl/>
              <w:jc w:val="center"/>
              <w:textAlignment w:val="center"/>
              <w:rPr>
                <w:rFonts w:ascii="宋体" w:cs="宋体"/>
                <w:sz w:val="20"/>
              </w:rPr>
            </w:pPr>
            <w:r>
              <w:rPr>
                <w:rFonts w:hint="eastAsia" w:ascii="宋体" w:hAnsi="宋体" w:eastAsia="宋体" w:cs="宋体"/>
                <w:color w:val="000000"/>
                <w:kern w:val="0"/>
                <w:sz w:val="20"/>
                <w:szCs w:val="20"/>
              </w:rPr>
              <w:t>项目来源</w:t>
            </w:r>
          </w:p>
        </w:tc>
        <w:tc>
          <w:tcPr>
            <w:tcW w:w="3349" w:type="dxa"/>
            <w:gridSpan w:val="2"/>
            <w:tcBorders>
              <w:tl2br w:val="nil"/>
              <w:tr2bl w:val="nil"/>
            </w:tcBorders>
            <w:vAlign w:val="center"/>
          </w:tcPr>
          <w:p w14:paraId="55829C68">
            <w:pPr>
              <w:jc w:val="center"/>
              <w:rPr>
                <w:rFonts w:hint="eastAsia" w:ascii="宋体" w:cs="宋体" w:eastAsiaTheme="minorEastAsia"/>
                <w:sz w:val="20"/>
                <w:lang w:eastAsia="zh-CN"/>
              </w:rPr>
            </w:pPr>
            <w:r>
              <w:rPr>
                <w:rFonts w:hint="eastAsia" w:ascii="宋体" w:cs="宋体"/>
                <w:sz w:val="20"/>
                <w:lang w:eastAsia="zh-CN"/>
              </w:rPr>
              <w:t>年初预算</w:t>
            </w:r>
          </w:p>
        </w:tc>
        <w:tc>
          <w:tcPr>
            <w:tcW w:w="1848" w:type="dxa"/>
            <w:tcBorders>
              <w:tl2br w:val="nil"/>
              <w:tr2bl w:val="nil"/>
            </w:tcBorders>
            <w:vAlign w:val="center"/>
          </w:tcPr>
          <w:p w14:paraId="6C810EA4">
            <w:pPr>
              <w:widowControl/>
              <w:jc w:val="center"/>
              <w:textAlignment w:val="center"/>
            </w:pPr>
            <w:r>
              <w:rPr>
                <w:rFonts w:hint="eastAsia" w:ascii="宋体" w:hAnsi="宋体" w:eastAsia="宋体" w:cs="宋体"/>
                <w:color w:val="000000"/>
                <w:kern w:val="0"/>
                <w:sz w:val="20"/>
                <w:szCs w:val="20"/>
              </w:rPr>
              <w:t>项目期</w:t>
            </w:r>
          </w:p>
        </w:tc>
        <w:tc>
          <w:tcPr>
            <w:tcW w:w="2380" w:type="dxa"/>
            <w:tcBorders>
              <w:tl2br w:val="nil"/>
              <w:tr2bl w:val="nil"/>
            </w:tcBorders>
            <w:vAlign w:val="center"/>
          </w:tcPr>
          <w:p w14:paraId="36A08D7A">
            <w:pPr>
              <w:jc w:val="center"/>
              <w:rPr>
                <w:rFonts w:hint="default" w:eastAsiaTheme="minorEastAsia"/>
                <w:lang w:val="en-US" w:eastAsia="zh-CN"/>
              </w:rPr>
            </w:pPr>
            <w:r>
              <w:rPr>
                <w:rFonts w:hint="eastAsia"/>
                <w:lang w:val="en-US" w:eastAsia="zh-CN"/>
              </w:rPr>
              <w:t>2025.1-12</w:t>
            </w:r>
          </w:p>
        </w:tc>
      </w:tr>
      <w:tr w14:paraId="0EA5AA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restart"/>
            <w:tcBorders>
              <w:tl2br w:val="nil"/>
              <w:tr2bl w:val="nil"/>
            </w:tcBorders>
            <w:vAlign w:val="center"/>
          </w:tcPr>
          <w:p w14:paraId="72DC2B0D">
            <w:pPr>
              <w:widowControl/>
              <w:jc w:val="center"/>
              <w:textAlignment w:val="center"/>
              <w:rPr>
                <w:rFonts w:hint="eastAsia" w:ascii="宋体" w:hAnsi="宋体" w:eastAsia="宋体" w:cs="宋体"/>
                <w:color w:val="000000"/>
                <w:kern w:val="0"/>
                <w:sz w:val="20"/>
                <w:szCs w:val="20"/>
                <w:lang w:eastAsia="zh-CN"/>
              </w:rPr>
            </w:pPr>
            <w:r>
              <w:rPr>
                <w:rFonts w:hint="eastAsia" w:ascii="宋体" w:hAnsi="宋体" w:eastAsia="宋体" w:cs="宋体"/>
                <w:color w:val="000000"/>
                <w:kern w:val="0"/>
                <w:sz w:val="20"/>
                <w:szCs w:val="20"/>
              </w:rPr>
              <w:t>项目资金</w:t>
            </w:r>
          </w:p>
          <w:p w14:paraId="61EF187A">
            <w:pPr>
              <w:widowControl/>
              <w:jc w:val="center"/>
              <w:textAlignment w:val="center"/>
              <w:rPr>
                <w:rFonts w:ascii="宋体" w:cs="宋体"/>
                <w:sz w:val="20"/>
              </w:rPr>
            </w:pPr>
            <w:r>
              <w:rPr>
                <w:rFonts w:hint="eastAsia" w:ascii="宋体" w:hAnsi="宋体" w:eastAsia="宋体" w:cs="宋体"/>
                <w:color w:val="000000"/>
                <w:kern w:val="0"/>
                <w:sz w:val="20"/>
                <w:szCs w:val="20"/>
              </w:rPr>
              <w:t>（万元）</w:t>
            </w:r>
          </w:p>
        </w:tc>
        <w:tc>
          <w:tcPr>
            <w:tcW w:w="3349" w:type="dxa"/>
            <w:gridSpan w:val="2"/>
            <w:tcBorders>
              <w:tl2br w:val="nil"/>
              <w:tr2bl w:val="nil"/>
            </w:tcBorders>
            <w:vAlign w:val="center"/>
          </w:tcPr>
          <w:p w14:paraId="79E0FB2E">
            <w:pPr>
              <w:widowControl/>
              <w:jc w:val="left"/>
              <w:textAlignment w:val="center"/>
              <w:rPr>
                <w:rFonts w:ascii="宋体" w:cs="宋体"/>
                <w:sz w:val="20"/>
              </w:rPr>
            </w:pPr>
            <w:r>
              <w:rPr>
                <w:rFonts w:hint="eastAsia" w:ascii="宋体" w:hAnsi="宋体" w:eastAsia="宋体" w:cs="宋体"/>
                <w:color w:val="000000"/>
                <w:kern w:val="0"/>
                <w:sz w:val="20"/>
                <w:szCs w:val="20"/>
              </w:rPr>
              <w:t xml:space="preserve"> 年度资金总额：</w:t>
            </w:r>
          </w:p>
        </w:tc>
        <w:tc>
          <w:tcPr>
            <w:tcW w:w="4228" w:type="dxa"/>
            <w:gridSpan w:val="2"/>
            <w:tcBorders>
              <w:tl2br w:val="nil"/>
              <w:tr2bl w:val="nil"/>
            </w:tcBorders>
            <w:vAlign w:val="center"/>
          </w:tcPr>
          <w:p w14:paraId="47AF3044">
            <w:pPr>
              <w:jc w:val="center"/>
              <w:rPr>
                <w:rFonts w:hint="default" w:ascii="宋体" w:cs="宋体" w:eastAsiaTheme="minorEastAsia"/>
                <w:sz w:val="20"/>
                <w:lang w:val="en-US" w:eastAsia="zh-CN"/>
              </w:rPr>
            </w:pPr>
            <w:r>
              <w:rPr>
                <w:rFonts w:hint="eastAsia" w:ascii="宋体" w:cs="宋体"/>
                <w:sz w:val="20"/>
                <w:lang w:val="en-US" w:eastAsia="zh-CN"/>
              </w:rPr>
              <w:t>69.83</w:t>
            </w:r>
          </w:p>
        </w:tc>
      </w:tr>
      <w:tr w14:paraId="36E427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continue"/>
            <w:tcBorders>
              <w:tl2br w:val="nil"/>
              <w:tr2bl w:val="nil"/>
            </w:tcBorders>
            <w:vAlign w:val="center"/>
          </w:tcPr>
          <w:p w14:paraId="60CE08EA">
            <w:pPr>
              <w:jc w:val="center"/>
              <w:rPr>
                <w:rFonts w:ascii="宋体" w:cs="宋体"/>
                <w:sz w:val="20"/>
              </w:rPr>
            </w:pPr>
          </w:p>
        </w:tc>
        <w:tc>
          <w:tcPr>
            <w:tcW w:w="3349" w:type="dxa"/>
            <w:gridSpan w:val="2"/>
            <w:tcBorders>
              <w:tl2br w:val="nil"/>
              <w:tr2bl w:val="nil"/>
            </w:tcBorders>
            <w:vAlign w:val="center"/>
          </w:tcPr>
          <w:p w14:paraId="67BAE64F">
            <w:pPr>
              <w:widowControl/>
              <w:jc w:val="left"/>
              <w:textAlignment w:val="center"/>
              <w:rPr>
                <w:rFonts w:ascii="宋体" w:cs="宋体"/>
                <w:sz w:val="20"/>
              </w:rPr>
            </w:pPr>
            <w:r>
              <w:rPr>
                <w:rFonts w:hint="eastAsia" w:ascii="宋体" w:hAnsi="宋体" w:eastAsia="宋体" w:cs="宋体"/>
                <w:color w:val="000000"/>
                <w:kern w:val="0"/>
                <w:sz w:val="20"/>
                <w:szCs w:val="20"/>
              </w:rPr>
              <w:t xml:space="preserve">   其中：财政拨款</w:t>
            </w:r>
          </w:p>
        </w:tc>
        <w:tc>
          <w:tcPr>
            <w:tcW w:w="4228" w:type="dxa"/>
            <w:gridSpan w:val="2"/>
            <w:tcBorders>
              <w:tl2br w:val="nil"/>
              <w:tr2bl w:val="nil"/>
            </w:tcBorders>
            <w:vAlign w:val="center"/>
          </w:tcPr>
          <w:p w14:paraId="562F5354">
            <w:pPr>
              <w:jc w:val="center"/>
              <w:rPr>
                <w:rFonts w:hint="default" w:ascii="宋体" w:cs="宋体" w:eastAsiaTheme="minorEastAsia"/>
                <w:sz w:val="20"/>
                <w:lang w:val="en-US" w:eastAsia="zh-CN"/>
              </w:rPr>
            </w:pPr>
            <w:r>
              <w:rPr>
                <w:rFonts w:hint="eastAsia" w:ascii="宋体" w:cs="宋体"/>
                <w:sz w:val="20"/>
                <w:lang w:val="en-US" w:eastAsia="zh-CN"/>
              </w:rPr>
              <w:t>69.83</w:t>
            </w:r>
          </w:p>
        </w:tc>
      </w:tr>
      <w:tr w14:paraId="10C0F2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continue"/>
            <w:tcBorders>
              <w:tl2br w:val="nil"/>
              <w:tr2bl w:val="nil"/>
            </w:tcBorders>
            <w:vAlign w:val="center"/>
          </w:tcPr>
          <w:p w14:paraId="2EFB189E">
            <w:pPr>
              <w:jc w:val="center"/>
              <w:rPr>
                <w:rFonts w:ascii="宋体" w:cs="宋体"/>
                <w:sz w:val="20"/>
              </w:rPr>
            </w:pPr>
          </w:p>
        </w:tc>
        <w:tc>
          <w:tcPr>
            <w:tcW w:w="3349" w:type="dxa"/>
            <w:gridSpan w:val="2"/>
            <w:tcBorders>
              <w:tl2br w:val="nil"/>
              <w:tr2bl w:val="nil"/>
            </w:tcBorders>
            <w:vAlign w:val="center"/>
          </w:tcPr>
          <w:p w14:paraId="5B24F60E">
            <w:pPr>
              <w:widowControl/>
              <w:jc w:val="left"/>
              <w:textAlignment w:val="center"/>
              <w:rPr>
                <w:rFonts w:ascii="宋体" w:cs="宋体"/>
                <w:sz w:val="20"/>
              </w:rPr>
            </w:pPr>
            <w:r>
              <w:rPr>
                <w:rFonts w:hint="eastAsia" w:ascii="宋体" w:hAnsi="宋体" w:eastAsia="宋体" w:cs="宋体"/>
                <w:color w:val="000000"/>
                <w:kern w:val="0"/>
                <w:sz w:val="20"/>
                <w:szCs w:val="20"/>
              </w:rPr>
              <w:t xml:space="preserve">         上年结转</w:t>
            </w:r>
          </w:p>
        </w:tc>
        <w:tc>
          <w:tcPr>
            <w:tcW w:w="4228" w:type="dxa"/>
            <w:gridSpan w:val="2"/>
            <w:tcBorders>
              <w:tl2br w:val="nil"/>
              <w:tr2bl w:val="nil"/>
            </w:tcBorders>
            <w:vAlign w:val="center"/>
          </w:tcPr>
          <w:p w14:paraId="3453D825">
            <w:pPr>
              <w:jc w:val="center"/>
              <w:rPr>
                <w:rFonts w:hint="eastAsia" w:ascii="宋体" w:cs="宋体" w:eastAsiaTheme="minorEastAsia"/>
                <w:sz w:val="20"/>
                <w:lang w:val="en-US" w:eastAsia="zh-CN"/>
              </w:rPr>
            </w:pPr>
            <w:r>
              <w:rPr>
                <w:rFonts w:hint="eastAsia" w:ascii="宋体" w:cs="宋体"/>
                <w:sz w:val="20"/>
                <w:lang w:val="en-US" w:eastAsia="zh-CN"/>
              </w:rPr>
              <w:t>0</w:t>
            </w:r>
          </w:p>
        </w:tc>
      </w:tr>
      <w:tr w14:paraId="32FC20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continue"/>
            <w:tcBorders>
              <w:tl2br w:val="nil"/>
              <w:tr2bl w:val="nil"/>
            </w:tcBorders>
            <w:vAlign w:val="center"/>
          </w:tcPr>
          <w:p w14:paraId="589BAE70">
            <w:pPr>
              <w:jc w:val="center"/>
              <w:rPr>
                <w:rFonts w:ascii="宋体" w:cs="宋体"/>
                <w:sz w:val="20"/>
              </w:rPr>
            </w:pPr>
          </w:p>
        </w:tc>
        <w:tc>
          <w:tcPr>
            <w:tcW w:w="3349" w:type="dxa"/>
            <w:gridSpan w:val="2"/>
            <w:tcBorders>
              <w:tl2br w:val="nil"/>
              <w:tr2bl w:val="nil"/>
            </w:tcBorders>
            <w:vAlign w:val="center"/>
          </w:tcPr>
          <w:p w14:paraId="53210620">
            <w:pPr>
              <w:widowControl/>
              <w:jc w:val="left"/>
              <w:textAlignment w:val="center"/>
              <w:rPr>
                <w:rFonts w:ascii="宋体" w:cs="宋体"/>
                <w:sz w:val="20"/>
              </w:rPr>
            </w:pPr>
            <w:r>
              <w:rPr>
                <w:rFonts w:hint="eastAsia" w:ascii="宋体" w:hAnsi="宋体" w:eastAsia="宋体" w:cs="宋体"/>
                <w:color w:val="000000"/>
                <w:kern w:val="0"/>
                <w:sz w:val="20"/>
                <w:szCs w:val="20"/>
              </w:rPr>
              <w:t xml:space="preserve">         其他资金</w:t>
            </w:r>
          </w:p>
        </w:tc>
        <w:tc>
          <w:tcPr>
            <w:tcW w:w="4228" w:type="dxa"/>
            <w:gridSpan w:val="2"/>
            <w:tcBorders>
              <w:tl2br w:val="nil"/>
              <w:tr2bl w:val="nil"/>
            </w:tcBorders>
            <w:vAlign w:val="center"/>
          </w:tcPr>
          <w:p w14:paraId="1D7C1F91">
            <w:pPr>
              <w:jc w:val="center"/>
              <w:rPr>
                <w:rFonts w:hint="eastAsia" w:ascii="宋体" w:cs="宋体" w:eastAsiaTheme="minorEastAsia"/>
                <w:sz w:val="20"/>
                <w:lang w:val="en-US" w:eastAsia="zh-CN"/>
              </w:rPr>
            </w:pPr>
            <w:r>
              <w:rPr>
                <w:rFonts w:hint="eastAsia" w:ascii="宋体" w:cs="宋体"/>
                <w:sz w:val="20"/>
                <w:lang w:val="en-US" w:eastAsia="zh-CN"/>
              </w:rPr>
              <w:t>0</w:t>
            </w:r>
          </w:p>
        </w:tc>
      </w:tr>
      <w:tr w14:paraId="26179B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5" w:hRule="atLeast"/>
        </w:trPr>
        <w:tc>
          <w:tcPr>
            <w:tcW w:w="438" w:type="dxa"/>
            <w:tcBorders>
              <w:tl2br w:val="nil"/>
              <w:tr2bl w:val="nil"/>
            </w:tcBorders>
            <w:vAlign w:val="center"/>
          </w:tcPr>
          <w:p w14:paraId="2EB29F4C">
            <w:pPr>
              <w:widowControl/>
              <w:spacing w:line="200" w:lineRule="exact"/>
              <w:jc w:val="center"/>
              <w:textAlignment w:val="center"/>
              <w:rPr>
                <w:rFonts w:hint="eastAsia" w:ascii="宋体" w:hAnsi="宋体" w:eastAsia="宋体" w:cs="宋体"/>
                <w:color w:val="000000"/>
                <w:kern w:val="0"/>
                <w:sz w:val="20"/>
                <w:szCs w:val="20"/>
                <w:lang w:eastAsia="zh-CN"/>
              </w:rPr>
            </w:pPr>
            <w:r>
              <w:rPr>
                <w:rFonts w:hint="eastAsia" w:ascii="宋体" w:hAnsi="宋体" w:eastAsia="宋体" w:cs="宋体"/>
                <w:color w:val="000000"/>
                <w:kern w:val="0"/>
                <w:sz w:val="20"/>
                <w:szCs w:val="20"/>
              </w:rPr>
              <w:t>年度</w:t>
            </w:r>
          </w:p>
          <w:p w14:paraId="71617A7F">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目标</w:t>
            </w:r>
          </w:p>
        </w:tc>
        <w:tc>
          <w:tcPr>
            <w:tcW w:w="8582" w:type="dxa"/>
            <w:gridSpan w:val="6"/>
            <w:tcBorders>
              <w:tl2br w:val="nil"/>
              <w:tr2bl w:val="nil"/>
            </w:tcBorders>
            <w:vAlign w:val="center"/>
          </w:tcPr>
          <w:p w14:paraId="4FFCB2C6">
            <w:pPr>
              <w:jc w:val="left"/>
              <w:rPr>
                <w:rFonts w:hint="eastAsia" w:ascii="宋体" w:eastAsia="仿宋_GB2312" w:cs="宋体"/>
                <w:sz w:val="20"/>
                <w:lang w:eastAsia="zh-CN"/>
              </w:rPr>
            </w:pPr>
            <w:r>
              <w:rPr>
                <w:rFonts w:hint="eastAsia" w:ascii="宋体" w:hAnsi="宋体" w:eastAsia="宋体" w:cs="宋体"/>
                <w:b w:val="0"/>
                <w:bCs/>
                <w:kern w:val="2"/>
                <w:sz w:val="20"/>
                <w:szCs w:val="20"/>
              </w:rPr>
              <w:t>1. 严格规范执法行为</w:t>
            </w:r>
            <w:r>
              <w:rPr>
                <w:rFonts w:hint="eastAsia" w:ascii="宋体" w:hAnsi="宋体" w:eastAsia="宋体" w:cs="宋体"/>
                <w:b w:val="0"/>
                <w:bCs/>
                <w:kern w:val="2"/>
                <w:sz w:val="20"/>
                <w:szCs w:val="20"/>
                <w:lang w:eastAsia="zh-CN"/>
              </w:rPr>
              <w:t>；</w:t>
            </w:r>
            <w:r>
              <w:rPr>
                <w:rFonts w:hint="eastAsia" w:ascii="宋体" w:hAnsi="宋体" w:eastAsia="宋体" w:cs="宋体"/>
                <w:b w:val="0"/>
                <w:bCs/>
                <w:kern w:val="2"/>
                <w:sz w:val="20"/>
                <w:szCs w:val="20"/>
              </w:rPr>
              <w:t>2. 优化完善“双随机”抽查制度3. 提升全市执法合力</w:t>
            </w:r>
            <w:r>
              <w:rPr>
                <w:rFonts w:hint="eastAsia" w:ascii="宋体" w:hAnsi="宋体" w:eastAsia="宋体" w:cs="宋体"/>
                <w:b w:val="0"/>
                <w:bCs/>
                <w:kern w:val="2"/>
                <w:sz w:val="20"/>
                <w:szCs w:val="20"/>
                <w:lang w:eastAsia="zh-CN"/>
              </w:rPr>
              <w:t>；</w:t>
            </w:r>
            <w:r>
              <w:rPr>
                <w:rFonts w:hint="eastAsia" w:ascii="宋体" w:hAnsi="宋体" w:eastAsia="宋体" w:cs="宋体"/>
                <w:b w:val="0"/>
                <w:bCs/>
                <w:kern w:val="2"/>
                <w:sz w:val="20"/>
                <w:szCs w:val="20"/>
              </w:rPr>
              <w:t>4. 强化非现场监管执法</w:t>
            </w:r>
            <w:r>
              <w:rPr>
                <w:rFonts w:hint="eastAsia" w:ascii="宋体" w:hAnsi="宋体" w:eastAsia="宋体" w:cs="宋体"/>
                <w:b w:val="0"/>
                <w:bCs/>
                <w:kern w:val="2"/>
                <w:sz w:val="20"/>
                <w:szCs w:val="20"/>
                <w:lang w:eastAsia="zh-CN"/>
              </w:rPr>
              <w:t>。</w:t>
            </w:r>
          </w:p>
        </w:tc>
      </w:tr>
      <w:tr w14:paraId="59CC27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438" w:type="dxa"/>
            <w:vMerge w:val="restart"/>
            <w:tcBorders>
              <w:tl2br w:val="nil"/>
              <w:tr2bl w:val="nil"/>
            </w:tcBorders>
            <w:vAlign w:val="center"/>
          </w:tcPr>
          <w:p w14:paraId="0CD42950">
            <w:pPr>
              <w:widowControl/>
              <w:jc w:val="center"/>
              <w:textAlignment w:val="center"/>
              <w:rPr>
                <w:rFonts w:hint="eastAsia" w:ascii="宋体" w:hAnsi="宋体" w:eastAsia="宋体" w:cs="宋体"/>
                <w:color w:val="000000"/>
                <w:kern w:val="0"/>
                <w:sz w:val="20"/>
                <w:szCs w:val="20"/>
                <w:lang w:eastAsia="zh-CN"/>
              </w:rPr>
            </w:pPr>
            <w:r>
              <w:rPr>
                <w:rFonts w:hint="eastAsia" w:ascii="宋体" w:hAnsi="宋体" w:eastAsia="宋体" w:cs="宋体"/>
                <w:color w:val="000000"/>
                <w:kern w:val="0"/>
                <w:sz w:val="20"/>
                <w:szCs w:val="20"/>
              </w:rPr>
              <w:t>绩</w:t>
            </w:r>
          </w:p>
          <w:p w14:paraId="32F68C26">
            <w:pPr>
              <w:widowControl/>
              <w:jc w:val="center"/>
              <w:textAlignment w:val="center"/>
              <w:rPr>
                <w:rFonts w:hint="eastAsia" w:ascii="宋体" w:hAnsi="宋体" w:eastAsia="宋体" w:cs="宋体"/>
                <w:color w:val="000000"/>
                <w:kern w:val="0"/>
                <w:sz w:val="20"/>
                <w:szCs w:val="20"/>
                <w:lang w:eastAsia="zh-CN"/>
              </w:rPr>
            </w:pPr>
            <w:r>
              <w:rPr>
                <w:rFonts w:hint="eastAsia" w:ascii="宋体" w:hAnsi="宋体" w:eastAsia="宋体" w:cs="宋体"/>
                <w:color w:val="000000"/>
                <w:kern w:val="0"/>
                <w:sz w:val="20"/>
                <w:szCs w:val="20"/>
              </w:rPr>
              <w:t>效</w:t>
            </w:r>
          </w:p>
          <w:p w14:paraId="02EAE776">
            <w:pPr>
              <w:widowControl/>
              <w:jc w:val="center"/>
              <w:textAlignment w:val="center"/>
              <w:rPr>
                <w:rFonts w:hint="eastAsia" w:ascii="宋体" w:hAnsi="宋体" w:eastAsia="宋体" w:cs="宋体"/>
                <w:color w:val="000000"/>
                <w:kern w:val="0"/>
                <w:sz w:val="20"/>
                <w:szCs w:val="20"/>
                <w:lang w:eastAsia="zh-CN"/>
              </w:rPr>
            </w:pPr>
            <w:r>
              <w:rPr>
                <w:rFonts w:hint="eastAsia" w:ascii="宋体" w:hAnsi="宋体" w:eastAsia="宋体" w:cs="宋体"/>
                <w:color w:val="000000"/>
                <w:kern w:val="0"/>
                <w:sz w:val="20"/>
                <w:szCs w:val="20"/>
              </w:rPr>
              <w:t>指</w:t>
            </w:r>
          </w:p>
          <w:p w14:paraId="689D8818">
            <w:pPr>
              <w:widowControl/>
              <w:jc w:val="center"/>
              <w:textAlignment w:val="center"/>
              <w:rPr>
                <w:rFonts w:ascii="宋体" w:cs="宋体"/>
                <w:sz w:val="20"/>
              </w:rPr>
            </w:pPr>
            <w:r>
              <w:rPr>
                <w:rFonts w:hint="eastAsia" w:ascii="宋体" w:hAnsi="宋体" w:eastAsia="宋体" w:cs="宋体"/>
                <w:color w:val="000000"/>
                <w:kern w:val="0"/>
                <w:sz w:val="20"/>
                <w:szCs w:val="20"/>
              </w:rPr>
              <w:t>标</w:t>
            </w:r>
          </w:p>
        </w:tc>
        <w:tc>
          <w:tcPr>
            <w:tcW w:w="723" w:type="dxa"/>
            <w:tcBorders>
              <w:tl2br w:val="nil"/>
              <w:tr2bl w:val="nil"/>
            </w:tcBorders>
            <w:vAlign w:val="center"/>
          </w:tcPr>
          <w:p w14:paraId="762BE6AD">
            <w:pPr>
              <w:widowControl/>
              <w:spacing w:line="200" w:lineRule="exact"/>
              <w:jc w:val="center"/>
              <w:textAlignment w:val="center"/>
              <w:rPr>
                <w:rFonts w:hint="eastAsia" w:ascii="宋体" w:hAnsi="宋体" w:eastAsia="宋体" w:cs="宋体"/>
                <w:color w:val="000000"/>
                <w:kern w:val="0"/>
                <w:sz w:val="20"/>
                <w:szCs w:val="20"/>
                <w:lang w:eastAsia="zh-CN"/>
              </w:rPr>
            </w:pPr>
            <w:r>
              <w:rPr>
                <w:rFonts w:hint="eastAsia" w:ascii="宋体" w:hAnsi="宋体" w:eastAsia="宋体" w:cs="宋体"/>
                <w:color w:val="000000"/>
                <w:kern w:val="0"/>
                <w:sz w:val="20"/>
                <w:szCs w:val="20"/>
              </w:rPr>
              <w:t>一级</w:t>
            </w:r>
          </w:p>
          <w:p w14:paraId="45F1ECA1">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指标</w:t>
            </w:r>
          </w:p>
        </w:tc>
        <w:tc>
          <w:tcPr>
            <w:tcW w:w="759" w:type="dxa"/>
            <w:gridSpan w:val="2"/>
            <w:tcBorders>
              <w:tl2br w:val="nil"/>
              <w:tr2bl w:val="nil"/>
            </w:tcBorders>
            <w:vAlign w:val="center"/>
          </w:tcPr>
          <w:p w14:paraId="16E0F111">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二级指标</w:t>
            </w:r>
          </w:p>
        </w:tc>
        <w:tc>
          <w:tcPr>
            <w:tcW w:w="2872" w:type="dxa"/>
            <w:tcBorders>
              <w:tl2br w:val="nil"/>
              <w:tr2bl w:val="nil"/>
            </w:tcBorders>
            <w:vAlign w:val="center"/>
          </w:tcPr>
          <w:p w14:paraId="2E8CC6D1">
            <w:pPr>
              <w:widowControl/>
              <w:jc w:val="center"/>
              <w:textAlignment w:val="center"/>
              <w:rPr>
                <w:rFonts w:ascii="宋体" w:cs="宋体"/>
                <w:sz w:val="20"/>
              </w:rPr>
            </w:pPr>
            <w:r>
              <w:rPr>
                <w:rFonts w:hint="eastAsia" w:ascii="宋体" w:hAnsi="宋体" w:eastAsia="宋体" w:cs="宋体"/>
                <w:color w:val="000000"/>
                <w:kern w:val="0"/>
                <w:sz w:val="20"/>
                <w:szCs w:val="20"/>
              </w:rPr>
              <w:t>三级指标</w:t>
            </w:r>
          </w:p>
        </w:tc>
        <w:tc>
          <w:tcPr>
            <w:tcW w:w="4228" w:type="dxa"/>
            <w:gridSpan w:val="2"/>
            <w:tcBorders>
              <w:tl2br w:val="nil"/>
              <w:tr2bl w:val="nil"/>
            </w:tcBorders>
            <w:vAlign w:val="center"/>
          </w:tcPr>
          <w:p w14:paraId="220F0A45">
            <w:pPr>
              <w:widowControl/>
              <w:jc w:val="center"/>
              <w:textAlignment w:val="center"/>
              <w:rPr>
                <w:rFonts w:ascii="宋体" w:cs="宋体"/>
                <w:sz w:val="20"/>
              </w:rPr>
            </w:pPr>
            <w:r>
              <w:rPr>
                <w:rFonts w:hint="eastAsia" w:ascii="宋体" w:hAnsi="宋体" w:eastAsia="宋体" w:cs="宋体"/>
                <w:color w:val="000000"/>
                <w:kern w:val="0"/>
                <w:sz w:val="20"/>
                <w:szCs w:val="20"/>
              </w:rPr>
              <w:t>指标值</w:t>
            </w:r>
          </w:p>
        </w:tc>
      </w:tr>
      <w:tr w14:paraId="51D896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0DA0613E">
            <w:pPr>
              <w:jc w:val="center"/>
              <w:rPr>
                <w:rFonts w:ascii="宋体" w:cs="宋体"/>
                <w:sz w:val="20"/>
              </w:rPr>
            </w:pPr>
          </w:p>
        </w:tc>
        <w:tc>
          <w:tcPr>
            <w:tcW w:w="723" w:type="dxa"/>
            <w:vMerge w:val="restart"/>
            <w:tcBorders>
              <w:tl2br w:val="nil"/>
              <w:tr2bl w:val="nil"/>
            </w:tcBorders>
            <w:vAlign w:val="center"/>
          </w:tcPr>
          <w:p w14:paraId="5104BF3B">
            <w:pPr>
              <w:widowControl/>
              <w:jc w:val="center"/>
              <w:textAlignment w:val="center"/>
              <w:rPr>
                <w:rFonts w:ascii="宋体" w:cs="宋体"/>
                <w:sz w:val="20"/>
              </w:rPr>
            </w:pPr>
            <w:r>
              <w:rPr>
                <w:rFonts w:hint="eastAsia" w:ascii="宋体" w:hAnsi="宋体" w:eastAsia="宋体" w:cs="宋体"/>
                <w:color w:val="000000"/>
                <w:kern w:val="0"/>
                <w:sz w:val="20"/>
                <w:szCs w:val="20"/>
              </w:rPr>
              <w:t>产出指标</w:t>
            </w:r>
          </w:p>
        </w:tc>
        <w:tc>
          <w:tcPr>
            <w:tcW w:w="759" w:type="dxa"/>
            <w:gridSpan w:val="2"/>
            <w:tcBorders>
              <w:tl2br w:val="nil"/>
              <w:tr2bl w:val="nil"/>
            </w:tcBorders>
            <w:vAlign w:val="center"/>
          </w:tcPr>
          <w:p w14:paraId="7EFAB41C">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数量指标</w:t>
            </w:r>
          </w:p>
        </w:tc>
        <w:tc>
          <w:tcPr>
            <w:tcW w:w="2872" w:type="dxa"/>
            <w:tcBorders>
              <w:tl2br w:val="nil"/>
              <w:tr2bl w:val="nil"/>
            </w:tcBorders>
            <w:vAlign w:val="center"/>
          </w:tcPr>
          <w:p w14:paraId="62E7536C">
            <w:pPr>
              <w:widowControl/>
              <w:jc w:val="left"/>
              <w:textAlignment w:val="center"/>
              <w:rPr>
                <w:rFonts w:hint="eastAsia" w:ascii="宋体" w:cs="宋体"/>
                <w:sz w:val="20"/>
              </w:rPr>
            </w:pPr>
            <w:r>
              <w:rPr>
                <w:rFonts w:hint="eastAsia" w:ascii="宋体" w:cs="宋体"/>
                <w:sz w:val="20"/>
              </w:rPr>
              <w:t>环境监察执法经费</w:t>
            </w:r>
            <w:r>
              <w:rPr>
                <w:rFonts w:hint="eastAsia" w:ascii="宋体" w:cs="宋体"/>
                <w:sz w:val="20"/>
                <w:lang w:eastAsia="zh-CN"/>
              </w:rPr>
              <w:t>月数</w:t>
            </w:r>
          </w:p>
          <w:p w14:paraId="655CA97B">
            <w:pPr>
              <w:widowControl/>
              <w:jc w:val="left"/>
              <w:textAlignment w:val="center"/>
              <w:rPr>
                <w:rFonts w:ascii="宋体" w:cs="宋体"/>
                <w:sz w:val="20"/>
              </w:rPr>
            </w:pPr>
          </w:p>
        </w:tc>
        <w:tc>
          <w:tcPr>
            <w:tcW w:w="4228" w:type="dxa"/>
            <w:gridSpan w:val="2"/>
            <w:tcBorders>
              <w:tl2br w:val="nil"/>
              <w:tr2bl w:val="nil"/>
            </w:tcBorders>
            <w:vAlign w:val="center"/>
          </w:tcPr>
          <w:p w14:paraId="1F957406">
            <w:pPr>
              <w:jc w:val="center"/>
              <w:rPr>
                <w:rFonts w:hint="default" w:ascii="宋体" w:cs="宋体" w:eastAsiaTheme="minorEastAsia"/>
                <w:sz w:val="20"/>
                <w:lang w:val="en-US" w:eastAsia="zh-CN"/>
              </w:rPr>
            </w:pPr>
            <w:r>
              <w:rPr>
                <w:rFonts w:hint="eastAsia" w:ascii="宋体" w:cs="宋体"/>
                <w:sz w:val="20"/>
                <w:lang w:val="en-US" w:eastAsia="zh-CN"/>
              </w:rPr>
              <w:t>12</w:t>
            </w:r>
          </w:p>
        </w:tc>
      </w:tr>
      <w:tr w14:paraId="2F5611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trPr>
        <w:tc>
          <w:tcPr>
            <w:tcW w:w="438" w:type="dxa"/>
            <w:vMerge w:val="continue"/>
            <w:tcBorders>
              <w:tl2br w:val="nil"/>
              <w:tr2bl w:val="nil"/>
            </w:tcBorders>
            <w:vAlign w:val="center"/>
          </w:tcPr>
          <w:p w14:paraId="4D8FAC20">
            <w:pPr>
              <w:jc w:val="center"/>
              <w:rPr>
                <w:rFonts w:ascii="宋体" w:cs="宋体"/>
                <w:sz w:val="20"/>
              </w:rPr>
            </w:pPr>
          </w:p>
        </w:tc>
        <w:tc>
          <w:tcPr>
            <w:tcW w:w="723" w:type="dxa"/>
            <w:vMerge w:val="continue"/>
            <w:tcBorders>
              <w:tl2br w:val="nil"/>
              <w:tr2bl w:val="nil"/>
            </w:tcBorders>
            <w:vAlign w:val="center"/>
          </w:tcPr>
          <w:p w14:paraId="2BD574AC">
            <w:pPr>
              <w:jc w:val="center"/>
              <w:rPr>
                <w:rFonts w:ascii="宋体" w:cs="宋体"/>
                <w:sz w:val="20"/>
              </w:rPr>
            </w:pPr>
          </w:p>
        </w:tc>
        <w:tc>
          <w:tcPr>
            <w:tcW w:w="759" w:type="dxa"/>
            <w:gridSpan w:val="2"/>
            <w:tcBorders>
              <w:tl2br w:val="nil"/>
              <w:tr2bl w:val="nil"/>
            </w:tcBorders>
            <w:vAlign w:val="center"/>
          </w:tcPr>
          <w:p w14:paraId="2EAF6419">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质量指标</w:t>
            </w:r>
          </w:p>
        </w:tc>
        <w:tc>
          <w:tcPr>
            <w:tcW w:w="2872" w:type="dxa"/>
            <w:tcBorders>
              <w:tl2br w:val="nil"/>
              <w:tr2bl w:val="nil"/>
            </w:tcBorders>
            <w:vAlign w:val="center"/>
          </w:tcPr>
          <w:p w14:paraId="641D8355">
            <w:pPr>
              <w:widowControl/>
              <w:jc w:val="left"/>
              <w:textAlignment w:val="center"/>
              <w:rPr>
                <w:rFonts w:ascii="宋体" w:cs="宋体"/>
                <w:sz w:val="20"/>
              </w:rPr>
            </w:pPr>
            <w:r>
              <w:rPr>
                <w:rFonts w:hint="eastAsia" w:ascii="宋体" w:hAnsi="宋体" w:eastAsia="宋体" w:cs="宋体"/>
                <w:color w:val="000000"/>
                <w:kern w:val="0"/>
                <w:sz w:val="20"/>
                <w:szCs w:val="20"/>
              </w:rPr>
              <w:t>经费支出合规性</w:t>
            </w:r>
          </w:p>
        </w:tc>
        <w:tc>
          <w:tcPr>
            <w:tcW w:w="4228" w:type="dxa"/>
            <w:gridSpan w:val="2"/>
            <w:tcBorders>
              <w:tl2br w:val="nil"/>
              <w:tr2bl w:val="nil"/>
            </w:tcBorders>
            <w:vAlign w:val="center"/>
          </w:tcPr>
          <w:p w14:paraId="1B78D11D">
            <w:pPr>
              <w:jc w:val="center"/>
              <w:rPr>
                <w:rFonts w:ascii="宋体" w:cs="宋体"/>
                <w:sz w:val="20"/>
              </w:rPr>
            </w:pPr>
            <w:r>
              <w:rPr>
                <w:rFonts w:hint="eastAsia" w:ascii="宋体" w:cs="宋体"/>
                <w:sz w:val="20"/>
              </w:rPr>
              <w:t>严格执行相关财经法规、制度等规定</w:t>
            </w:r>
          </w:p>
        </w:tc>
      </w:tr>
      <w:tr w14:paraId="1259D0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trPr>
        <w:tc>
          <w:tcPr>
            <w:tcW w:w="438" w:type="dxa"/>
            <w:vMerge w:val="continue"/>
            <w:tcBorders>
              <w:tl2br w:val="nil"/>
              <w:tr2bl w:val="nil"/>
            </w:tcBorders>
            <w:vAlign w:val="center"/>
          </w:tcPr>
          <w:p w14:paraId="0602BDCB">
            <w:pPr>
              <w:jc w:val="center"/>
              <w:rPr>
                <w:rFonts w:ascii="宋体" w:cs="宋体"/>
                <w:sz w:val="20"/>
              </w:rPr>
            </w:pPr>
          </w:p>
        </w:tc>
        <w:tc>
          <w:tcPr>
            <w:tcW w:w="723" w:type="dxa"/>
            <w:vMerge w:val="continue"/>
            <w:tcBorders>
              <w:tl2br w:val="nil"/>
              <w:tr2bl w:val="nil"/>
            </w:tcBorders>
            <w:vAlign w:val="center"/>
          </w:tcPr>
          <w:p w14:paraId="6C7F3B0D">
            <w:pPr>
              <w:jc w:val="center"/>
              <w:rPr>
                <w:rFonts w:ascii="宋体" w:cs="宋体"/>
                <w:sz w:val="20"/>
              </w:rPr>
            </w:pPr>
          </w:p>
        </w:tc>
        <w:tc>
          <w:tcPr>
            <w:tcW w:w="759" w:type="dxa"/>
            <w:gridSpan w:val="2"/>
            <w:vMerge w:val="restart"/>
            <w:tcBorders>
              <w:tl2br w:val="nil"/>
              <w:tr2bl w:val="nil"/>
            </w:tcBorders>
            <w:vAlign w:val="center"/>
          </w:tcPr>
          <w:p w14:paraId="20D6330B">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时效指标</w:t>
            </w:r>
          </w:p>
        </w:tc>
        <w:tc>
          <w:tcPr>
            <w:tcW w:w="2872" w:type="dxa"/>
            <w:tcBorders>
              <w:tl2br w:val="nil"/>
              <w:tr2bl w:val="nil"/>
            </w:tcBorders>
            <w:vAlign w:val="center"/>
          </w:tcPr>
          <w:p w14:paraId="00D2908B">
            <w:pPr>
              <w:widowControl/>
              <w:jc w:val="left"/>
              <w:textAlignment w:val="center"/>
              <w:rPr>
                <w:rFonts w:ascii="宋体" w:cs="宋体"/>
                <w:sz w:val="20"/>
              </w:rPr>
            </w:pPr>
            <w:r>
              <w:rPr>
                <w:rFonts w:hint="eastAsia" w:ascii="宋体" w:hAnsi="宋体" w:eastAsia="宋体" w:cs="宋体"/>
                <w:color w:val="000000"/>
                <w:kern w:val="0"/>
                <w:sz w:val="20"/>
                <w:szCs w:val="20"/>
              </w:rPr>
              <w:t>经费支出时效性：</w:t>
            </w:r>
          </w:p>
        </w:tc>
        <w:tc>
          <w:tcPr>
            <w:tcW w:w="4228" w:type="dxa"/>
            <w:gridSpan w:val="2"/>
            <w:tcBorders>
              <w:tl2br w:val="nil"/>
              <w:tr2bl w:val="nil"/>
            </w:tcBorders>
            <w:vAlign w:val="center"/>
          </w:tcPr>
          <w:p w14:paraId="16196729">
            <w:pPr>
              <w:jc w:val="center"/>
              <w:rPr>
                <w:rFonts w:hint="default" w:ascii="宋体" w:cs="宋体" w:eastAsiaTheme="minorEastAsia"/>
                <w:sz w:val="20"/>
                <w:lang w:val="en-US" w:eastAsia="zh-CN"/>
              </w:rPr>
            </w:pPr>
            <w:r>
              <w:rPr>
                <w:rFonts w:hint="eastAsia" w:ascii="宋体" w:cs="宋体"/>
                <w:sz w:val="20"/>
                <w:lang w:val="en-US" w:eastAsia="zh-CN"/>
              </w:rPr>
              <w:t>2025.12</w:t>
            </w:r>
          </w:p>
        </w:tc>
      </w:tr>
      <w:tr w14:paraId="102134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trPr>
        <w:tc>
          <w:tcPr>
            <w:tcW w:w="438" w:type="dxa"/>
            <w:vMerge w:val="continue"/>
            <w:tcBorders>
              <w:tl2br w:val="nil"/>
              <w:tr2bl w:val="nil"/>
            </w:tcBorders>
            <w:vAlign w:val="center"/>
          </w:tcPr>
          <w:p w14:paraId="7D8AEDF1">
            <w:pPr>
              <w:jc w:val="center"/>
              <w:rPr>
                <w:rFonts w:ascii="宋体" w:cs="宋体"/>
                <w:sz w:val="20"/>
              </w:rPr>
            </w:pPr>
          </w:p>
        </w:tc>
        <w:tc>
          <w:tcPr>
            <w:tcW w:w="723" w:type="dxa"/>
            <w:vMerge w:val="continue"/>
            <w:tcBorders>
              <w:tl2br w:val="nil"/>
              <w:tr2bl w:val="nil"/>
            </w:tcBorders>
            <w:vAlign w:val="center"/>
          </w:tcPr>
          <w:p w14:paraId="22AED108">
            <w:pPr>
              <w:jc w:val="center"/>
              <w:rPr>
                <w:rFonts w:ascii="宋体" w:cs="宋体"/>
                <w:sz w:val="20"/>
              </w:rPr>
            </w:pPr>
          </w:p>
        </w:tc>
        <w:tc>
          <w:tcPr>
            <w:tcW w:w="759" w:type="dxa"/>
            <w:gridSpan w:val="2"/>
            <w:vMerge w:val="restart"/>
            <w:tcBorders>
              <w:tl2br w:val="nil"/>
              <w:tr2bl w:val="nil"/>
            </w:tcBorders>
            <w:vAlign w:val="center"/>
          </w:tcPr>
          <w:p w14:paraId="7C58E5D0">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成本指标</w:t>
            </w:r>
          </w:p>
        </w:tc>
        <w:tc>
          <w:tcPr>
            <w:tcW w:w="2872" w:type="dxa"/>
            <w:tcBorders>
              <w:tl2br w:val="nil"/>
              <w:tr2bl w:val="nil"/>
            </w:tcBorders>
            <w:vAlign w:val="center"/>
          </w:tcPr>
          <w:p w14:paraId="6BCBB20F">
            <w:pPr>
              <w:widowControl/>
              <w:jc w:val="left"/>
              <w:textAlignment w:val="center"/>
              <w:rPr>
                <w:rFonts w:ascii="宋体" w:cs="宋体"/>
                <w:sz w:val="20"/>
              </w:rPr>
            </w:pPr>
            <w:r>
              <w:rPr>
                <w:rFonts w:hint="eastAsia" w:ascii="宋体" w:hAnsi="宋体" w:eastAsia="宋体" w:cs="宋体"/>
                <w:color w:val="000000"/>
                <w:kern w:val="0"/>
                <w:sz w:val="20"/>
                <w:szCs w:val="20"/>
              </w:rPr>
              <w:t>项目总成本</w:t>
            </w:r>
          </w:p>
        </w:tc>
        <w:tc>
          <w:tcPr>
            <w:tcW w:w="4228" w:type="dxa"/>
            <w:gridSpan w:val="2"/>
            <w:tcBorders>
              <w:tl2br w:val="nil"/>
              <w:tr2bl w:val="nil"/>
            </w:tcBorders>
            <w:vAlign w:val="center"/>
          </w:tcPr>
          <w:p w14:paraId="0215FD4D">
            <w:pPr>
              <w:jc w:val="center"/>
              <w:rPr>
                <w:rFonts w:hint="default" w:ascii="宋体" w:eastAsia="宋体" w:cs="宋体"/>
                <w:sz w:val="20"/>
                <w:lang w:val="en-US" w:eastAsia="zh-CN"/>
              </w:rPr>
            </w:pPr>
            <w:r>
              <w:rPr>
                <w:rFonts w:hint="eastAsia" w:ascii="宋体" w:hAnsi="宋体" w:eastAsia="宋体" w:cs="宋体"/>
                <w:sz w:val="20"/>
                <w:szCs w:val="20"/>
              </w:rPr>
              <w:t>≦</w:t>
            </w:r>
            <w:r>
              <w:rPr>
                <w:rFonts w:hint="eastAsia" w:ascii="宋体" w:hAnsi="宋体" w:eastAsia="宋体" w:cs="宋体"/>
                <w:sz w:val="20"/>
                <w:szCs w:val="20"/>
                <w:lang w:val="en-US" w:eastAsia="zh-CN"/>
              </w:rPr>
              <w:t>69.83万元</w:t>
            </w:r>
          </w:p>
        </w:tc>
      </w:tr>
      <w:tr w14:paraId="7921B6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trPr>
        <w:tc>
          <w:tcPr>
            <w:tcW w:w="438" w:type="dxa"/>
            <w:vMerge w:val="continue"/>
            <w:tcBorders>
              <w:tl2br w:val="nil"/>
              <w:tr2bl w:val="nil"/>
            </w:tcBorders>
            <w:vAlign w:val="center"/>
          </w:tcPr>
          <w:p w14:paraId="195009B1">
            <w:pPr>
              <w:jc w:val="center"/>
              <w:rPr>
                <w:rFonts w:ascii="宋体" w:cs="宋体"/>
                <w:sz w:val="20"/>
              </w:rPr>
            </w:pPr>
          </w:p>
        </w:tc>
        <w:tc>
          <w:tcPr>
            <w:tcW w:w="723" w:type="dxa"/>
            <w:vMerge w:val="restart"/>
            <w:tcBorders>
              <w:tl2br w:val="nil"/>
              <w:tr2bl w:val="nil"/>
            </w:tcBorders>
            <w:vAlign w:val="center"/>
          </w:tcPr>
          <w:p w14:paraId="123F88F0">
            <w:pPr>
              <w:widowControl/>
              <w:jc w:val="center"/>
              <w:textAlignment w:val="center"/>
              <w:rPr>
                <w:rFonts w:ascii="宋体" w:cs="宋体"/>
                <w:sz w:val="20"/>
              </w:rPr>
            </w:pPr>
            <w:r>
              <w:rPr>
                <w:rFonts w:hint="eastAsia" w:ascii="宋体" w:hAnsi="宋体" w:eastAsia="宋体" w:cs="宋体"/>
                <w:color w:val="000000"/>
                <w:kern w:val="0"/>
                <w:sz w:val="20"/>
                <w:szCs w:val="20"/>
              </w:rPr>
              <w:t>效益指标</w:t>
            </w:r>
          </w:p>
        </w:tc>
        <w:tc>
          <w:tcPr>
            <w:tcW w:w="759" w:type="dxa"/>
            <w:gridSpan w:val="2"/>
            <w:vMerge w:val="restart"/>
            <w:tcBorders>
              <w:tl2br w:val="nil"/>
              <w:tr2bl w:val="nil"/>
            </w:tcBorders>
            <w:vAlign w:val="center"/>
          </w:tcPr>
          <w:p w14:paraId="594412F0">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经济效益指标</w:t>
            </w:r>
          </w:p>
        </w:tc>
        <w:tc>
          <w:tcPr>
            <w:tcW w:w="2872" w:type="dxa"/>
            <w:tcBorders>
              <w:tl2br w:val="nil"/>
              <w:tr2bl w:val="nil"/>
            </w:tcBorders>
            <w:vAlign w:val="center"/>
          </w:tcPr>
          <w:p w14:paraId="6577FE19">
            <w:pPr>
              <w:widowControl/>
              <w:jc w:val="left"/>
              <w:textAlignment w:val="center"/>
              <w:rPr>
                <w:rFonts w:hint="eastAsia" w:ascii="宋体" w:cs="宋体" w:eastAsiaTheme="minorEastAsia"/>
                <w:sz w:val="20"/>
                <w:lang w:eastAsia="zh-CN"/>
              </w:rPr>
            </w:pPr>
            <w:r>
              <w:rPr>
                <w:rFonts w:hint="eastAsia" w:ascii="宋体" w:cs="宋体"/>
                <w:sz w:val="20"/>
                <w:lang w:eastAsia="zh-CN"/>
              </w:rPr>
              <w:t>对社会经济发展的影响</w:t>
            </w:r>
          </w:p>
        </w:tc>
        <w:tc>
          <w:tcPr>
            <w:tcW w:w="4228" w:type="dxa"/>
            <w:gridSpan w:val="2"/>
            <w:tcBorders>
              <w:tl2br w:val="nil"/>
              <w:tr2bl w:val="nil"/>
            </w:tcBorders>
            <w:vAlign w:val="center"/>
          </w:tcPr>
          <w:p w14:paraId="6B61783B">
            <w:pPr>
              <w:jc w:val="center"/>
              <w:rPr>
                <w:rFonts w:hint="eastAsia" w:ascii="宋体" w:cs="宋体" w:eastAsiaTheme="minorEastAsia"/>
                <w:sz w:val="20"/>
                <w:lang w:eastAsia="zh-CN"/>
              </w:rPr>
            </w:pPr>
            <w:r>
              <w:rPr>
                <w:rFonts w:hint="eastAsia" w:ascii="宋体" w:cs="宋体"/>
                <w:sz w:val="20"/>
                <w:lang w:eastAsia="zh-CN"/>
              </w:rPr>
              <w:t>明显</w:t>
            </w:r>
          </w:p>
        </w:tc>
      </w:tr>
      <w:tr w14:paraId="0D92A7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trPr>
        <w:tc>
          <w:tcPr>
            <w:tcW w:w="438" w:type="dxa"/>
            <w:vMerge w:val="continue"/>
            <w:tcBorders>
              <w:tl2br w:val="nil"/>
              <w:tr2bl w:val="nil"/>
            </w:tcBorders>
            <w:vAlign w:val="center"/>
          </w:tcPr>
          <w:p w14:paraId="047D7388">
            <w:pPr>
              <w:jc w:val="center"/>
              <w:rPr>
                <w:rFonts w:ascii="宋体" w:cs="宋体"/>
                <w:sz w:val="20"/>
              </w:rPr>
            </w:pPr>
          </w:p>
        </w:tc>
        <w:tc>
          <w:tcPr>
            <w:tcW w:w="723" w:type="dxa"/>
            <w:vMerge w:val="continue"/>
            <w:tcBorders>
              <w:tl2br w:val="nil"/>
              <w:tr2bl w:val="nil"/>
            </w:tcBorders>
            <w:vAlign w:val="center"/>
          </w:tcPr>
          <w:p w14:paraId="00BE280C">
            <w:pPr>
              <w:jc w:val="center"/>
              <w:rPr>
                <w:rFonts w:ascii="宋体" w:cs="宋体"/>
                <w:sz w:val="20"/>
              </w:rPr>
            </w:pPr>
          </w:p>
        </w:tc>
        <w:tc>
          <w:tcPr>
            <w:tcW w:w="759" w:type="dxa"/>
            <w:gridSpan w:val="2"/>
            <w:vMerge w:val="restart"/>
            <w:tcBorders>
              <w:tl2br w:val="nil"/>
              <w:tr2bl w:val="nil"/>
            </w:tcBorders>
            <w:vAlign w:val="center"/>
          </w:tcPr>
          <w:p w14:paraId="1960D69D">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社会效益指标</w:t>
            </w:r>
          </w:p>
        </w:tc>
        <w:tc>
          <w:tcPr>
            <w:tcW w:w="2872" w:type="dxa"/>
            <w:tcBorders>
              <w:tl2br w:val="nil"/>
              <w:tr2bl w:val="nil"/>
            </w:tcBorders>
            <w:vAlign w:val="center"/>
          </w:tcPr>
          <w:p w14:paraId="66D2A80D">
            <w:pPr>
              <w:widowControl/>
              <w:jc w:val="left"/>
              <w:textAlignment w:val="center"/>
              <w:rPr>
                <w:rFonts w:ascii="宋体" w:cs="宋体"/>
                <w:sz w:val="20"/>
              </w:rPr>
            </w:pPr>
            <w:r>
              <w:rPr>
                <w:rFonts w:hint="eastAsia" w:ascii="宋体" w:hAnsi="宋体" w:eastAsia="宋体" w:cs="宋体"/>
                <w:color w:val="000000"/>
                <w:kern w:val="0"/>
                <w:sz w:val="20"/>
                <w:szCs w:val="20"/>
              </w:rPr>
              <w:t>公众对生态环境保护意识的提升</w:t>
            </w:r>
          </w:p>
        </w:tc>
        <w:tc>
          <w:tcPr>
            <w:tcW w:w="4228" w:type="dxa"/>
            <w:gridSpan w:val="2"/>
            <w:tcBorders>
              <w:tl2br w:val="nil"/>
              <w:tr2bl w:val="nil"/>
            </w:tcBorders>
            <w:vAlign w:val="center"/>
          </w:tcPr>
          <w:p w14:paraId="51B60EC1">
            <w:pPr>
              <w:jc w:val="center"/>
              <w:rPr>
                <w:rFonts w:hint="eastAsia" w:ascii="宋体" w:cs="宋体" w:eastAsiaTheme="minorEastAsia"/>
                <w:sz w:val="20"/>
                <w:lang w:eastAsia="zh-CN"/>
              </w:rPr>
            </w:pPr>
            <w:r>
              <w:rPr>
                <w:rFonts w:hint="eastAsia" w:ascii="宋体" w:cs="宋体"/>
                <w:sz w:val="20"/>
                <w:lang w:eastAsia="zh-CN"/>
              </w:rPr>
              <w:t>明显</w:t>
            </w:r>
          </w:p>
        </w:tc>
      </w:tr>
      <w:tr w14:paraId="124F34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7" w:hRule="atLeast"/>
        </w:trPr>
        <w:tc>
          <w:tcPr>
            <w:tcW w:w="438" w:type="dxa"/>
            <w:vMerge w:val="continue"/>
            <w:tcBorders>
              <w:tl2br w:val="nil"/>
              <w:tr2bl w:val="nil"/>
            </w:tcBorders>
            <w:vAlign w:val="center"/>
          </w:tcPr>
          <w:p w14:paraId="5ECBB72C">
            <w:pPr>
              <w:jc w:val="center"/>
              <w:rPr>
                <w:rFonts w:ascii="宋体" w:cs="宋体"/>
                <w:sz w:val="20"/>
              </w:rPr>
            </w:pPr>
          </w:p>
        </w:tc>
        <w:tc>
          <w:tcPr>
            <w:tcW w:w="723" w:type="dxa"/>
            <w:vMerge w:val="continue"/>
            <w:tcBorders>
              <w:tl2br w:val="nil"/>
              <w:tr2bl w:val="nil"/>
            </w:tcBorders>
            <w:vAlign w:val="center"/>
          </w:tcPr>
          <w:p w14:paraId="189F7C83">
            <w:pPr>
              <w:jc w:val="center"/>
              <w:rPr>
                <w:rFonts w:ascii="宋体" w:cs="宋体"/>
                <w:sz w:val="20"/>
              </w:rPr>
            </w:pPr>
          </w:p>
        </w:tc>
        <w:tc>
          <w:tcPr>
            <w:tcW w:w="759" w:type="dxa"/>
            <w:gridSpan w:val="2"/>
            <w:vMerge w:val="restart"/>
            <w:tcBorders>
              <w:tl2br w:val="nil"/>
              <w:tr2bl w:val="nil"/>
            </w:tcBorders>
            <w:vAlign w:val="center"/>
          </w:tcPr>
          <w:p w14:paraId="385B005A">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生态效益指标</w:t>
            </w:r>
          </w:p>
        </w:tc>
        <w:tc>
          <w:tcPr>
            <w:tcW w:w="2872" w:type="dxa"/>
            <w:tcBorders>
              <w:tl2br w:val="nil"/>
              <w:tr2bl w:val="nil"/>
            </w:tcBorders>
            <w:vAlign w:val="center"/>
          </w:tcPr>
          <w:p w14:paraId="149DB90D">
            <w:pPr>
              <w:widowControl/>
              <w:jc w:val="left"/>
              <w:textAlignment w:val="center"/>
              <w:rPr>
                <w:rFonts w:ascii="宋体" w:cs="宋体"/>
                <w:sz w:val="20"/>
              </w:rPr>
            </w:pPr>
            <w:r>
              <w:rPr>
                <w:rFonts w:hint="eastAsia" w:ascii="宋体" w:hAnsi="宋体" w:eastAsia="宋体" w:cs="宋体"/>
                <w:color w:val="000000"/>
                <w:kern w:val="0"/>
                <w:sz w:val="20"/>
                <w:szCs w:val="20"/>
              </w:rPr>
              <w:t>对生态环境的改善</w:t>
            </w:r>
          </w:p>
        </w:tc>
        <w:tc>
          <w:tcPr>
            <w:tcW w:w="4228" w:type="dxa"/>
            <w:gridSpan w:val="2"/>
            <w:tcBorders>
              <w:tl2br w:val="nil"/>
              <w:tr2bl w:val="nil"/>
            </w:tcBorders>
            <w:vAlign w:val="center"/>
          </w:tcPr>
          <w:p w14:paraId="1BDAE56E">
            <w:pPr>
              <w:jc w:val="center"/>
              <w:rPr>
                <w:rFonts w:hint="eastAsia" w:ascii="宋体" w:cs="宋体" w:eastAsiaTheme="minorEastAsia"/>
                <w:sz w:val="20"/>
                <w:lang w:eastAsia="zh-CN"/>
              </w:rPr>
            </w:pPr>
            <w:r>
              <w:rPr>
                <w:rFonts w:hint="eastAsia" w:ascii="宋体" w:cs="宋体"/>
                <w:sz w:val="20"/>
                <w:lang w:eastAsia="zh-CN"/>
              </w:rPr>
              <w:t>较高</w:t>
            </w:r>
          </w:p>
        </w:tc>
      </w:tr>
      <w:tr w14:paraId="29D779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4" w:hRule="atLeast"/>
        </w:trPr>
        <w:tc>
          <w:tcPr>
            <w:tcW w:w="438" w:type="dxa"/>
            <w:vMerge w:val="continue"/>
            <w:tcBorders>
              <w:tl2br w:val="nil"/>
              <w:tr2bl w:val="nil"/>
            </w:tcBorders>
            <w:vAlign w:val="center"/>
          </w:tcPr>
          <w:p w14:paraId="5C5B9FA5">
            <w:pPr>
              <w:jc w:val="center"/>
              <w:rPr>
                <w:rFonts w:ascii="宋体" w:cs="宋体"/>
                <w:sz w:val="20"/>
              </w:rPr>
            </w:pPr>
          </w:p>
        </w:tc>
        <w:tc>
          <w:tcPr>
            <w:tcW w:w="723" w:type="dxa"/>
            <w:vMerge w:val="continue"/>
            <w:tcBorders>
              <w:tl2br w:val="nil"/>
              <w:tr2bl w:val="nil"/>
            </w:tcBorders>
            <w:vAlign w:val="center"/>
          </w:tcPr>
          <w:p w14:paraId="65F520D0">
            <w:pPr>
              <w:jc w:val="center"/>
              <w:rPr>
                <w:rFonts w:ascii="宋体" w:cs="宋体"/>
                <w:sz w:val="20"/>
              </w:rPr>
            </w:pPr>
          </w:p>
        </w:tc>
        <w:tc>
          <w:tcPr>
            <w:tcW w:w="759" w:type="dxa"/>
            <w:gridSpan w:val="2"/>
            <w:tcBorders>
              <w:tl2br w:val="nil"/>
              <w:tr2bl w:val="nil"/>
            </w:tcBorders>
            <w:vAlign w:val="center"/>
          </w:tcPr>
          <w:p w14:paraId="13E6E7EF">
            <w:pPr>
              <w:widowControl/>
              <w:spacing w:line="200" w:lineRule="exact"/>
              <w:jc w:val="center"/>
              <w:rPr>
                <w:rFonts w:hint="eastAsia" w:ascii="宋体" w:hAnsi="宋体" w:eastAsia="宋体" w:cs="宋体"/>
                <w:sz w:val="20"/>
              </w:rPr>
            </w:pPr>
            <w:r>
              <w:rPr>
                <w:rFonts w:hint="eastAsia" w:ascii="宋体" w:hAnsi="宋体" w:eastAsia="宋体" w:cs="宋体"/>
                <w:sz w:val="20"/>
              </w:rPr>
              <w:t>可持续影响指标</w:t>
            </w:r>
          </w:p>
        </w:tc>
        <w:tc>
          <w:tcPr>
            <w:tcW w:w="2872" w:type="dxa"/>
            <w:tcBorders>
              <w:tl2br w:val="nil"/>
              <w:tr2bl w:val="nil"/>
            </w:tcBorders>
            <w:vAlign w:val="center"/>
          </w:tcPr>
          <w:p w14:paraId="6448BE7E">
            <w:pPr>
              <w:widowControl/>
              <w:jc w:val="left"/>
              <w:textAlignment w:val="center"/>
              <w:rPr>
                <w:rFonts w:hint="eastAsia" w:ascii="宋体" w:hAnsi="宋体" w:eastAsia="宋体" w:cs="宋体"/>
                <w:sz w:val="20"/>
              </w:rPr>
            </w:pPr>
            <w:r>
              <w:rPr>
                <w:rFonts w:hint="eastAsia" w:ascii="宋体" w:hAnsi="宋体" w:eastAsia="宋体" w:cs="宋体"/>
                <w:color w:val="000000"/>
                <w:kern w:val="0"/>
                <w:sz w:val="20"/>
                <w:szCs w:val="20"/>
              </w:rPr>
              <w:t>持续对环境保护工作能力、水平提升的影响程度：</w:t>
            </w:r>
          </w:p>
        </w:tc>
        <w:tc>
          <w:tcPr>
            <w:tcW w:w="4228" w:type="dxa"/>
            <w:gridSpan w:val="2"/>
            <w:tcBorders>
              <w:tl2br w:val="nil"/>
              <w:tr2bl w:val="nil"/>
            </w:tcBorders>
            <w:vAlign w:val="center"/>
          </w:tcPr>
          <w:p w14:paraId="05474C67">
            <w:pPr>
              <w:jc w:val="center"/>
              <w:rPr>
                <w:rFonts w:hint="eastAsia" w:ascii="宋体" w:cs="宋体" w:eastAsiaTheme="minorEastAsia"/>
                <w:sz w:val="20"/>
                <w:lang w:eastAsia="zh-CN"/>
              </w:rPr>
            </w:pPr>
            <w:r>
              <w:rPr>
                <w:rFonts w:hint="eastAsia" w:ascii="宋体" w:cs="宋体"/>
                <w:sz w:val="20"/>
                <w:lang w:eastAsia="zh-CN"/>
              </w:rPr>
              <w:t>明显</w:t>
            </w:r>
          </w:p>
        </w:tc>
      </w:tr>
      <w:tr w14:paraId="652E40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6" w:hRule="atLeast"/>
        </w:trPr>
        <w:tc>
          <w:tcPr>
            <w:tcW w:w="438" w:type="dxa"/>
            <w:vMerge w:val="continue"/>
            <w:tcBorders>
              <w:tl2br w:val="nil"/>
              <w:tr2bl w:val="nil"/>
            </w:tcBorders>
            <w:vAlign w:val="center"/>
          </w:tcPr>
          <w:p w14:paraId="658D5ED1">
            <w:pPr>
              <w:jc w:val="center"/>
              <w:rPr>
                <w:rFonts w:ascii="宋体" w:cs="宋体"/>
                <w:sz w:val="20"/>
              </w:rPr>
            </w:pPr>
          </w:p>
        </w:tc>
        <w:tc>
          <w:tcPr>
            <w:tcW w:w="723" w:type="dxa"/>
            <w:tcBorders>
              <w:tl2br w:val="nil"/>
              <w:tr2bl w:val="nil"/>
            </w:tcBorders>
            <w:vAlign w:val="center"/>
          </w:tcPr>
          <w:p w14:paraId="499E554C">
            <w:pPr>
              <w:widowControl/>
              <w:spacing w:line="200" w:lineRule="exact"/>
              <w:jc w:val="center"/>
              <w:rPr>
                <w:rFonts w:hint="eastAsia" w:ascii="宋体" w:hAnsi="宋体" w:eastAsia="宋体" w:cs="宋体"/>
                <w:sz w:val="20"/>
              </w:rPr>
            </w:pPr>
            <w:r>
              <w:rPr>
                <w:rFonts w:hint="eastAsia" w:ascii="宋体" w:hAnsi="宋体" w:eastAsia="宋体" w:cs="宋体"/>
                <w:sz w:val="20"/>
              </w:rPr>
              <w:t>满意度指标</w:t>
            </w:r>
          </w:p>
        </w:tc>
        <w:tc>
          <w:tcPr>
            <w:tcW w:w="759" w:type="dxa"/>
            <w:gridSpan w:val="2"/>
            <w:tcBorders>
              <w:tl2br w:val="nil"/>
              <w:tr2bl w:val="nil"/>
            </w:tcBorders>
            <w:vAlign w:val="center"/>
          </w:tcPr>
          <w:p w14:paraId="5B93857F">
            <w:pPr>
              <w:widowControl/>
              <w:spacing w:line="200" w:lineRule="exact"/>
              <w:jc w:val="center"/>
              <w:rPr>
                <w:rFonts w:hint="eastAsia" w:ascii="宋体" w:hAnsi="宋体" w:eastAsia="宋体" w:cs="宋体"/>
                <w:sz w:val="20"/>
              </w:rPr>
            </w:pPr>
            <w:r>
              <w:rPr>
                <w:rFonts w:hint="eastAsia" w:ascii="宋体" w:hAnsi="宋体" w:eastAsia="宋体" w:cs="宋体"/>
                <w:sz w:val="20"/>
              </w:rPr>
              <w:t>满意度指标</w:t>
            </w:r>
          </w:p>
        </w:tc>
        <w:tc>
          <w:tcPr>
            <w:tcW w:w="2872" w:type="dxa"/>
            <w:tcBorders>
              <w:tl2br w:val="nil"/>
              <w:tr2bl w:val="nil"/>
            </w:tcBorders>
            <w:vAlign w:val="center"/>
          </w:tcPr>
          <w:p w14:paraId="28F3C59E">
            <w:pPr>
              <w:widowControl/>
              <w:jc w:val="left"/>
              <w:textAlignment w:val="center"/>
              <w:rPr>
                <w:rFonts w:hint="eastAsia" w:ascii="宋体" w:hAnsi="宋体" w:eastAsia="宋体" w:cs="宋体"/>
                <w:sz w:val="20"/>
              </w:rPr>
            </w:pPr>
            <w:r>
              <w:rPr>
                <w:rFonts w:hint="eastAsia" w:ascii="宋体" w:hAnsi="宋体" w:eastAsia="宋体" w:cs="宋体"/>
                <w:color w:val="000000"/>
                <w:kern w:val="0"/>
                <w:sz w:val="20"/>
                <w:szCs w:val="20"/>
              </w:rPr>
              <w:t>环境保护执法人员满意度</w:t>
            </w:r>
          </w:p>
        </w:tc>
        <w:tc>
          <w:tcPr>
            <w:tcW w:w="4228" w:type="dxa"/>
            <w:gridSpan w:val="2"/>
            <w:tcBorders>
              <w:tl2br w:val="nil"/>
              <w:tr2bl w:val="nil"/>
            </w:tcBorders>
            <w:vAlign w:val="center"/>
          </w:tcPr>
          <w:p w14:paraId="7C0E74FF">
            <w:pPr>
              <w:jc w:val="center"/>
              <w:rPr>
                <w:rFonts w:ascii="宋体" w:cs="宋体"/>
                <w:sz w:val="20"/>
              </w:rPr>
            </w:pPr>
            <w:r>
              <w:rPr>
                <w:rFonts w:hint="eastAsia" w:ascii="宋体" w:hAnsi="宋体" w:eastAsia="宋体" w:cs="宋体"/>
                <w:sz w:val="20"/>
                <w:szCs w:val="20"/>
              </w:rPr>
              <w:t>≧</w:t>
            </w:r>
            <w:r>
              <w:rPr>
                <w:rFonts w:hint="eastAsia" w:ascii="宋体" w:hAnsi="宋体" w:eastAsia="宋体" w:cs="宋体"/>
                <w:sz w:val="20"/>
                <w:szCs w:val="20"/>
                <w:lang w:val="en-US" w:eastAsia="zh-CN"/>
              </w:rPr>
              <w:t>95</w:t>
            </w:r>
            <w:r>
              <w:rPr>
                <w:rFonts w:hint="eastAsia" w:ascii="宋体" w:hAnsi="宋体" w:eastAsia="宋体" w:cs="宋体"/>
                <w:sz w:val="20"/>
                <w:szCs w:val="20"/>
              </w:rPr>
              <w:t>%</w:t>
            </w:r>
          </w:p>
        </w:tc>
      </w:tr>
    </w:tbl>
    <w:p w14:paraId="27B0F5E2">
      <w:pPr>
        <w:ind w:firstLine="420" w:firstLineChars="200"/>
      </w:pPr>
    </w:p>
    <w:p w14:paraId="6117558B"/>
    <w:p w14:paraId="744F1738">
      <w:pPr>
        <w:ind w:firstLine="643" w:firstLineChars="200"/>
        <w:rPr>
          <w:rFonts w:hint="eastAsia" w:ascii="仿宋" w:hAnsi="仿宋" w:eastAsia="仿宋" w:cs="仿宋"/>
          <w:b/>
          <w:bCs/>
          <w:kern w:val="0"/>
          <w:sz w:val="32"/>
          <w:szCs w:val="32"/>
        </w:rPr>
      </w:pPr>
      <w:r>
        <w:rPr>
          <w:rFonts w:hint="eastAsia" w:ascii="仿宋" w:hAnsi="仿宋" w:eastAsia="仿宋" w:cs="仿宋"/>
          <w:b/>
          <w:bCs/>
          <w:kern w:val="0"/>
          <w:sz w:val="32"/>
          <w:szCs w:val="32"/>
          <w:lang w:val="en-US" w:eastAsia="zh-CN"/>
        </w:rPr>
        <w:t>5</w:t>
      </w:r>
      <w:r>
        <w:rPr>
          <w:rFonts w:hint="eastAsia" w:ascii="仿宋" w:hAnsi="仿宋" w:eastAsia="仿宋" w:cs="仿宋"/>
          <w:b/>
          <w:bCs/>
          <w:kern w:val="0"/>
          <w:sz w:val="32"/>
          <w:szCs w:val="32"/>
        </w:rPr>
        <w:t>、“</w:t>
      </w:r>
      <w:r>
        <w:rPr>
          <w:rFonts w:hint="eastAsia" w:ascii="仿宋" w:hAnsi="仿宋" w:eastAsia="仿宋" w:cs="仿宋"/>
          <w:b/>
          <w:bCs/>
          <w:kern w:val="0"/>
          <w:sz w:val="32"/>
          <w:szCs w:val="32"/>
          <w:lang w:eastAsia="zh-CN"/>
        </w:rPr>
        <w:t>淮北市</w:t>
      </w:r>
      <w:r>
        <w:rPr>
          <w:rFonts w:hint="eastAsia" w:ascii="仿宋" w:hAnsi="仿宋" w:eastAsia="仿宋" w:cs="仿宋"/>
          <w:b/>
          <w:bCs/>
          <w:sz w:val="32"/>
          <w:szCs w:val="32"/>
        </w:rPr>
        <w:t>重点排污单位视频监控系统</w:t>
      </w:r>
      <w:r>
        <w:rPr>
          <w:rFonts w:hint="eastAsia" w:ascii="仿宋" w:hAnsi="仿宋" w:eastAsia="仿宋" w:cs="仿宋"/>
          <w:b/>
          <w:bCs/>
          <w:sz w:val="32"/>
          <w:szCs w:val="32"/>
          <w:lang w:eastAsia="zh-CN"/>
        </w:rPr>
        <w:t>项目视频专线及</w:t>
      </w:r>
      <w:r>
        <w:rPr>
          <w:rFonts w:hint="eastAsia" w:ascii="仿宋" w:hAnsi="仿宋" w:eastAsia="仿宋" w:cs="仿宋"/>
          <w:b/>
          <w:bCs/>
          <w:sz w:val="32"/>
          <w:szCs w:val="32"/>
        </w:rPr>
        <w:t>运维</w:t>
      </w:r>
      <w:r>
        <w:rPr>
          <w:rFonts w:hint="eastAsia" w:ascii="仿宋" w:hAnsi="仿宋" w:eastAsia="仿宋" w:cs="仿宋"/>
          <w:b/>
          <w:bCs/>
          <w:sz w:val="32"/>
          <w:szCs w:val="32"/>
          <w:lang w:eastAsia="zh-CN"/>
        </w:rPr>
        <w:t>服务</w:t>
      </w:r>
      <w:r>
        <w:rPr>
          <w:rFonts w:hint="eastAsia" w:ascii="仿宋" w:hAnsi="仿宋" w:eastAsia="仿宋" w:cs="仿宋"/>
          <w:b/>
          <w:bCs/>
          <w:kern w:val="0"/>
          <w:sz w:val="32"/>
          <w:szCs w:val="32"/>
        </w:rPr>
        <w:t>”项目。</w:t>
      </w:r>
    </w:p>
    <w:p w14:paraId="37B32093">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（1）项目概述。</w:t>
      </w:r>
      <w:r>
        <w:rPr>
          <w:rFonts w:hint="eastAsia" w:ascii="仿宋" w:hAnsi="仿宋" w:eastAsia="仿宋" w:cs="仿宋"/>
          <w:sz w:val="32"/>
          <w:szCs w:val="32"/>
          <w:lang w:eastAsia="zh-CN"/>
        </w:rPr>
        <w:t>主要是对</w:t>
      </w:r>
      <w:r>
        <w:rPr>
          <w:rFonts w:hint="eastAsia" w:ascii="仿宋" w:hAnsi="仿宋" w:eastAsia="仿宋" w:cs="仿宋"/>
          <w:sz w:val="32"/>
          <w:szCs w:val="32"/>
        </w:rPr>
        <w:t>数据中心机房、指挥中心、视频监控、三个全覆盖中控平台的技术运维服务。</w:t>
      </w:r>
    </w:p>
    <w:p w14:paraId="67AEB28B">
      <w:pPr>
        <w:pStyle w:val="3"/>
        <w:keepNext w:val="0"/>
        <w:keepLines w:val="0"/>
        <w:pageBreakBefore w:val="0"/>
        <w:widowControl w:val="0"/>
        <w:kinsoku/>
        <w:wordWrap/>
        <w:overflowPunct/>
        <w:topLinePunct w:val="0"/>
        <w:autoSpaceDE/>
        <w:autoSpaceDN/>
        <w:bidi w:val="0"/>
        <w:adjustRightInd/>
        <w:snapToGrid/>
        <w:spacing w:after="0" w:line="560" w:lineRule="exact"/>
        <w:ind w:left="0" w:leftChars="0" w:firstLine="640" w:firstLineChars="200"/>
        <w:textAlignment w:val="auto"/>
        <w:rPr>
          <w:rFonts w:hint="eastAsia" w:ascii="仿宋" w:hAnsi="仿宋" w:eastAsia="仿宋" w:cs="仿宋"/>
          <w:sz w:val="32"/>
          <w:szCs w:val="32"/>
        </w:rPr>
      </w:pPr>
      <w:r>
        <w:rPr>
          <w:rFonts w:hint="eastAsia" w:ascii="仿宋" w:hAnsi="仿宋" w:eastAsia="仿宋" w:cs="仿宋"/>
          <w:kern w:val="0"/>
          <w:sz w:val="32"/>
          <w:szCs w:val="32"/>
        </w:rPr>
        <w:t>（2）立项依据。</w:t>
      </w:r>
      <w:r>
        <w:rPr>
          <w:rFonts w:hint="eastAsia" w:ascii="仿宋" w:hAnsi="仿宋" w:eastAsia="仿宋" w:cs="仿宋"/>
          <w:sz w:val="32"/>
          <w:szCs w:val="32"/>
        </w:rPr>
        <w:t>安徽省生态环境厅下发皖环函［2018］1331号《安徽省</w:t>
      </w:r>
      <w:r>
        <w:rPr>
          <w:rFonts w:hint="eastAsia" w:ascii="仿宋" w:hAnsi="仿宋" w:eastAsia="仿宋" w:cs="仿宋"/>
          <w:sz w:val="32"/>
          <w:szCs w:val="32"/>
          <w:lang w:val="en-US" w:eastAsia="zh-CN"/>
        </w:rPr>
        <w:t>重</w:t>
      </w:r>
      <w:r>
        <w:rPr>
          <w:rFonts w:hint="eastAsia" w:ascii="仿宋" w:hAnsi="仿宋" w:eastAsia="仿宋" w:cs="仿宋"/>
          <w:sz w:val="32"/>
          <w:szCs w:val="32"/>
        </w:rPr>
        <w:t>点排污单位视频监控系统建设总体技术要求》</w:t>
      </w:r>
      <w:r>
        <w:rPr>
          <w:rFonts w:hint="eastAsia" w:ascii="仿宋" w:hAnsi="仿宋" w:eastAsia="仿宋" w:cs="仿宋"/>
          <w:sz w:val="32"/>
          <w:szCs w:val="32"/>
          <w:lang w:eastAsia="zh-CN"/>
        </w:rPr>
        <w:t>、</w:t>
      </w:r>
      <w:r>
        <w:rPr>
          <w:rFonts w:hint="eastAsia" w:ascii="仿宋" w:hAnsi="仿宋" w:eastAsia="仿宋" w:cs="仿宋"/>
          <w:sz w:val="32"/>
          <w:szCs w:val="32"/>
        </w:rPr>
        <w:t>淮北市发展改革委关于印发淮北市2020年度市本级政府投资项目指导计划的通知》（淮发改办〔2020〕7号）。</w:t>
      </w:r>
    </w:p>
    <w:p w14:paraId="2AD2B128">
      <w:pPr>
        <w:keepNext w:val="0"/>
        <w:keepLines w:val="0"/>
        <w:pageBreakBefore w:val="0"/>
        <w:widowControl w:val="0"/>
        <w:kinsoku/>
        <w:wordWrap/>
        <w:overflowPunct/>
        <w:topLinePunct w:val="0"/>
        <w:autoSpaceDE/>
        <w:autoSpaceDN/>
        <w:bidi w:val="0"/>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kern w:val="0"/>
          <w:sz w:val="32"/>
          <w:szCs w:val="32"/>
        </w:rPr>
        <w:t>（3）实施主体。</w:t>
      </w:r>
      <w:r>
        <w:rPr>
          <w:rFonts w:hint="eastAsia" w:ascii="仿宋" w:hAnsi="仿宋" w:eastAsia="仿宋" w:cs="仿宋"/>
          <w:sz w:val="32"/>
          <w:szCs w:val="32"/>
          <w:lang w:val="en-US" w:eastAsia="zh-CN"/>
        </w:rPr>
        <w:t>淮北市生态环境保护综合行政执法支队</w:t>
      </w:r>
    </w:p>
    <w:p w14:paraId="044D2208">
      <w:pPr>
        <w:keepNext w:val="0"/>
        <w:keepLines w:val="0"/>
        <w:pageBreakBefore w:val="0"/>
        <w:widowControl w:val="0"/>
        <w:kinsoku/>
        <w:wordWrap/>
        <w:overflowPunct/>
        <w:topLinePunct w:val="0"/>
        <w:autoSpaceDE/>
        <w:autoSpaceDN/>
        <w:bidi w:val="0"/>
        <w:spacing w:line="560" w:lineRule="exact"/>
        <w:ind w:firstLine="640" w:firstLineChars="200"/>
        <w:textAlignment w:val="auto"/>
        <w:rPr>
          <w:rFonts w:hint="default" w:ascii="仿宋" w:hAnsi="仿宋" w:eastAsia="仿宋" w:cs="仿宋"/>
          <w:kern w:val="0"/>
          <w:sz w:val="32"/>
          <w:szCs w:val="32"/>
          <w:lang w:val="en-US" w:eastAsia="zh-CN"/>
        </w:rPr>
      </w:pPr>
      <w:r>
        <w:rPr>
          <w:rFonts w:hint="eastAsia" w:ascii="仿宋" w:hAnsi="仿宋" w:eastAsia="仿宋" w:cs="仿宋"/>
          <w:kern w:val="0"/>
          <w:sz w:val="32"/>
          <w:szCs w:val="32"/>
        </w:rPr>
        <w:t>（4）起止时间。</w:t>
      </w:r>
      <w:r>
        <w:rPr>
          <w:rFonts w:hint="eastAsia" w:ascii="仿宋" w:hAnsi="仿宋" w:eastAsia="仿宋" w:cs="仿宋"/>
          <w:kern w:val="0"/>
          <w:sz w:val="32"/>
          <w:szCs w:val="32"/>
          <w:lang w:val="en-US" w:eastAsia="zh-CN"/>
        </w:rPr>
        <w:t>2024.11-2025.12</w:t>
      </w:r>
    </w:p>
    <w:p w14:paraId="4CA8A316">
      <w:pPr>
        <w:keepNext w:val="0"/>
        <w:keepLines w:val="0"/>
        <w:pageBreakBefore w:val="0"/>
        <w:widowControl w:val="0"/>
        <w:kinsoku/>
        <w:wordWrap/>
        <w:overflowPunct/>
        <w:topLinePunct w:val="0"/>
        <w:autoSpaceDE/>
        <w:autoSpaceDN/>
        <w:bidi w:val="0"/>
        <w:spacing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kern w:val="0"/>
          <w:sz w:val="32"/>
          <w:szCs w:val="32"/>
        </w:rPr>
        <w:t>（5）项目内容。</w:t>
      </w:r>
      <w:r>
        <w:rPr>
          <w:rFonts w:hint="eastAsia" w:ascii="仿宋" w:hAnsi="仿宋" w:eastAsia="仿宋" w:cs="仿宋"/>
          <w:sz w:val="32"/>
          <w:szCs w:val="32"/>
          <w:lang w:eastAsia="zh-CN"/>
        </w:rPr>
        <w:t>对</w:t>
      </w:r>
      <w:r>
        <w:rPr>
          <w:rFonts w:hint="eastAsia" w:ascii="仿宋" w:hAnsi="仿宋" w:eastAsia="仿宋" w:cs="仿宋"/>
          <w:sz w:val="32"/>
          <w:szCs w:val="32"/>
        </w:rPr>
        <w:t>1</w:t>
      </w:r>
      <w:r>
        <w:rPr>
          <w:rFonts w:hint="eastAsia" w:ascii="仿宋" w:hAnsi="仿宋" w:eastAsia="仿宋" w:cs="仿宋"/>
          <w:sz w:val="32"/>
          <w:szCs w:val="32"/>
          <w:lang w:val="en-US" w:eastAsia="zh-CN"/>
        </w:rPr>
        <w:t>9</w:t>
      </w:r>
      <w:r>
        <w:rPr>
          <w:rFonts w:hint="eastAsia" w:ascii="仿宋" w:hAnsi="仿宋" w:eastAsia="仿宋" w:cs="仿宋"/>
          <w:sz w:val="32"/>
          <w:szCs w:val="32"/>
        </w:rPr>
        <w:t>2家（17</w:t>
      </w:r>
      <w:r>
        <w:rPr>
          <w:rFonts w:hint="eastAsia" w:ascii="仿宋" w:hAnsi="仿宋" w:eastAsia="仿宋" w:cs="仿宋"/>
          <w:sz w:val="32"/>
          <w:szCs w:val="32"/>
          <w:lang w:val="en-US" w:eastAsia="zh-CN"/>
        </w:rPr>
        <w:t>7</w:t>
      </w:r>
      <w:r>
        <w:rPr>
          <w:rFonts w:hint="eastAsia" w:ascii="仿宋" w:hAnsi="仿宋" w:eastAsia="仿宋" w:cs="仿宋"/>
          <w:sz w:val="32"/>
          <w:szCs w:val="32"/>
        </w:rPr>
        <w:t>条专线）污染源企业监控站房及排口和15个污染源制高点等重要区域的7*24无人值守，提供事前、事中、事后的全方位环境监管可视化技术体系。</w:t>
      </w:r>
    </w:p>
    <w:p w14:paraId="57FBB251">
      <w:pPr>
        <w:keepNext w:val="0"/>
        <w:keepLines w:val="0"/>
        <w:pageBreakBefore w:val="0"/>
        <w:widowControl w:val="0"/>
        <w:kinsoku/>
        <w:wordWrap/>
        <w:overflowPunct/>
        <w:topLinePunct w:val="0"/>
        <w:autoSpaceDE/>
        <w:autoSpaceDN/>
        <w:bidi w:val="0"/>
        <w:spacing w:line="560" w:lineRule="exact"/>
        <w:ind w:firstLine="640" w:firstLineChars="200"/>
        <w:textAlignment w:val="auto"/>
        <w:rPr>
          <w:rFonts w:hint="eastAsia" w:ascii="仿宋" w:hAnsi="仿宋" w:eastAsia="仿宋" w:cs="仿宋"/>
          <w:kern w:val="0"/>
          <w:sz w:val="32"/>
          <w:szCs w:val="32"/>
          <w:lang w:eastAsia="zh-CN"/>
        </w:rPr>
      </w:pPr>
      <w:r>
        <w:rPr>
          <w:rFonts w:hint="eastAsia" w:ascii="仿宋" w:hAnsi="仿宋" w:eastAsia="仿宋" w:cs="仿宋"/>
          <w:kern w:val="0"/>
          <w:sz w:val="32"/>
          <w:szCs w:val="32"/>
        </w:rPr>
        <w:t>（6）年度预算安排。</w:t>
      </w:r>
      <w:r>
        <w:rPr>
          <w:rFonts w:hint="eastAsia" w:ascii="仿宋" w:hAnsi="仿宋" w:eastAsia="仿宋" w:cs="仿宋"/>
          <w:kern w:val="0"/>
          <w:sz w:val="32"/>
          <w:szCs w:val="32"/>
          <w:lang w:eastAsia="zh-CN"/>
        </w:rPr>
        <w:t>预算资金</w:t>
      </w:r>
      <w:r>
        <w:rPr>
          <w:rFonts w:hint="eastAsia" w:ascii="仿宋" w:hAnsi="仿宋" w:eastAsia="仿宋" w:cs="仿宋"/>
          <w:kern w:val="0"/>
          <w:sz w:val="32"/>
          <w:szCs w:val="32"/>
          <w:lang w:val="en-US" w:eastAsia="zh-CN"/>
        </w:rPr>
        <w:t>74</w:t>
      </w:r>
      <w:r>
        <w:rPr>
          <w:rFonts w:hint="eastAsia" w:ascii="仿宋" w:hAnsi="仿宋" w:eastAsia="仿宋" w:cs="仿宋"/>
          <w:kern w:val="0"/>
          <w:sz w:val="32"/>
          <w:szCs w:val="32"/>
          <w:lang w:eastAsia="zh-CN"/>
        </w:rPr>
        <w:t>万元。</w:t>
      </w:r>
    </w:p>
    <w:p w14:paraId="1196113A">
      <w:pPr>
        <w:keepNext w:val="0"/>
        <w:keepLines w:val="0"/>
        <w:pageBreakBefore w:val="0"/>
        <w:widowControl w:val="0"/>
        <w:kinsoku/>
        <w:wordWrap/>
        <w:overflowPunct/>
        <w:topLinePunct w:val="0"/>
        <w:autoSpaceDE/>
        <w:autoSpaceDN/>
        <w:bidi w:val="0"/>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（7）绩效目标。</w:t>
      </w:r>
    </w:p>
    <w:tbl>
      <w:tblPr>
        <w:tblStyle w:val="7"/>
        <w:tblW w:w="90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8"/>
        <w:gridCol w:w="723"/>
        <w:gridCol w:w="282"/>
        <w:gridCol w:w="477"/>
        <w:gridCol w:w="2872"/>
        <w:gridCol w:w="1848"/>
        <w:gridCol w:w="2380"/>
      </w:tblGrid>
      <w:tr w14:paraId="7298F8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trPr>
        <w:tc>
          <w:tcPr>
            <w:tcW w:w="9020" w:type="dxa"/>
            <w:gridSpan w:val="7"/>
            <w:tcBorders>
              <w:top w:val="nil"/>
              <w:left w:val="nil"/>
              <w:bottom w:val="nil"/>
              <w:right w:val="nil"/>
            </w:tcBorders>
            <w:vAlign w:val="center"/>
          </w:tcPr>
          <w:p w14:paraId="6CA552CC">
            <w:pPr>
              <w:widowControl/>
              <w:jc w:val="center"/>
              <w:textAlignment w:val="center"/>
              <w:rPr>
                <w:rFonts w:ascii="宋体" w:cs="宋体"/>
                <w:b/>
                <w:bCs/>
                <w:szCs w:val="32"/>
              </w:rPr>
            </w:pPr>
            <w:r>
              <w:rPr>
                <w:rFonts w:hint="eastAsia" w:ascii="宋体" w:hAnsi="宋体" w:eastAsia="宋体" w:cs="宋体"/>
                <w:b/>
                <w:color w:val="000000"/>
                <w:kern w:val="0"/>
                <w:sz w:val="28"/>
                <w:szCs w:val="28"/>
              </w:rPr>
              <w:t>项目支出绩效目标表</w:t>
            </w:r>
          </w:p>
        </w:tc>
      </w:tr>
      <w:tr w14:paraId="29BBE0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9020" w:type="dxa"/>
            <w:gridSpan w:val="7"/>
            <w:tcBorders>
              <w:top w:val="nil"/>
              <w:left w:val="nil"/>
              <w:right w:val="nil"/>
            </w:tcBorders>
            <w:vAlign w:val="center"/>
          </w:tcPr>
          <w:p w14:paraId="4C620454">
            <w:pPr>
              <w:widowControl/>
              <w:jc w:val="center"/>
              <w:textAlignment w:val="center"/>
              <w:rPr>
                <w:rFonts w:ascii="宋体" w:cs="宋体"/>
                <w:sz w:val="20"/>
              </w:rPr>
            </w:pPr>
            <w:r>
              <w:rPr>
                <w:rFonts w:hint="eastAsia" w:ascii="宋体" w:hAnsi="宋体" w:eastAsia="宋体" w:cs="宋体"/>
                <w:color w:val="000000"/>
                <w:kern w:val="0"/>
                <w:sz w:val="20"/>
                <w:szCs w:val="20"/>
              </w:rPr>
              <w:t xml:space="preserve"> （202</w:t>
            </w:r>
            <w:r>
              <w:rPr>
                <w:rFonts w:hint="eastAsia" w:ascii="宋体" w:hAnsi="宋体" w:eastAsia="宋体" w:cs="宋体"/>
                <w:color w:val="000000"/>
                <w:kern w:val="0"/>
                <w:sz w:val="20"/>
                <w:szCs w:val="20"/>
                <w:lang w:val="en-US" w:eastAsia="zh-CN"/>
              </w:rPr>
              <w:t>5</w:t>
            </w:r>
            <w:r>
              <w:rPr>
                <w:rFonts w:hint="eastAsia" w:ascii="宋体" w:hAnsi="宋体" w:eastAsia="宋体" w:cs="宋体"/>
                <w:color w:val="000000"/>
                <w:kern w:val="0"/>
                <w:sz w:val="20"/>
                <w:szCs w:val="20"/>
              </w:rPr>
              <w:t xml:space="preserve">年度）                                </w:t>
            </w:r>
          </w:p>
        </w:tc>
      </w:tr>
      <w:tr w14:paraId="4DC38B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tcBorders>
              <w:tl2br w:val="nil"/>
              <w:tr2bl w:val="nil"/>
            </w:tcBorders>
            <w:vAlign w:val="center"/>
          </w:tcPr>
          <w:p w14:paraId="05E6C88F">
            <w:pPr>
              <w:widowControl/>
              <w:jc w:val="center"/>
              <w:textAlignment w:val="center"/>
              <w:rPr>
                <w:rFonts w:ascii="宋体" w:cs="宋体"/>
                <w:sz w:val="20"/>
              </w:rPr>
            </w:pPr>
            <w:r>
              <w:rPr>
                <w:rFonts w:hint="eastAsia" w:ascii="宋体" w:hAnsi="宋体" w:eastAsia="宋体" w:cs="宋体"/>
                <w:color w:val="000000"/>
                <w:kern w:val="0"/>
                <w:sz w:val="20"/>
                <w:szCs w:val="20"/>
              </w:rPr>
              <w:t>项目名称</w:t>
            </w:r>
          </w:p>
        </w:tc>
        <w:tc>
          <w:tcPr>
            <w:tcW w:w="7577" w:type="dxa"/>
            <w:gridSpan w:val="4"/>
            <w:tcBorders>
              <w:tl2br w:val="nil"/>
              <w:tr2bl w:val="nil"/>
            </w:tcBorders>
            <w:vAlign w:val="center"/>
          </w:tcPr>
          <w:p w14:paraId="283A17A9">
            <w:pPr>
              <w:jc w:val="center"/>
              <w:rPr>
                <w:rFonts w:ascii="宋体" w:cs="宋体"/>
                <w:sz w:val="20"/>
              </w:rPr>
            </w:pPr>
            <w:r>
              <w:rPr>
                <w:rFonts w:hint="eastAsia" w:ascii="宋体" w:hAnsi="宋体" w:eastAsia="宋体" w:cs="宋体"/>
                <w:b w:val="0"/>
                <w:bCs w:val="0"/>
                <w:kern w:val="0"/>
                <w:sz w:val="20"/>
                <w:szCs w:val="20"/>
                <w:lang w:eastAsia="zh-CN"/>
              </w:rPr>
              <w:t>淮北市</w:t>
            </w:r>
            <w:r>
              <w:rPr>
                <w:rFonts w:hint="eastAsia" w:ascii="宋体" w:hAnsi="宋体" w:eastAsia="宋体" w:cs="宋体"/>
                <w:b w:val="0"/>
                <w:bCs w:val="0"/>
                <w:sz w:val="20"/>
                <w:szCs w:val="20"/>
              </w:rPr>
              <w:t>重点排污单位视频监控系统</w:t>
            </w:r>
            <w:r>
              <w:rPr>
                <w:rFonts w:hint="eastAsia" w:ascii="宋体" w:hAnsi="宋体" w:eastAsia="宋体" w:cs="宋体"/>
                <w:b w:val="0"/>
                <w:bCs w:val="0"/>
                <w:sz w:val="20"/>
                <w:szCs w:val="20"/>
                <w:lang w:eastAsia="zh-CN"/>
              </w:rPr>
              <w:t>项目视频专线及</w:t>
            </w:r>
            <w:r>
              <w:rPr>
                <w:rFonts w:hint="eastAsia" w:ascii="宋体" w:hAnsi="宋体" w:eastAsia="宋体" w:cs="宋体"/>
                <w:b w:val="0"/>
                <w:bCs w:val="0"/>
                <w:sz w:val="20"/>
                <w:szCs w:val="20"/>
              </w:rPr>
              <w:t>运维</w:t>
            </w:r>
            <w:r>
              <w:rPr>
                <w:rFonts w:hint="eastAsia" w:ascii="宋体" w:hAnsi="宋体" w:eastAsia="宋体" w:cs="宋体"/>
                <w:b w:val="0"/>
                <w:bCs w:val="0"/>
                <w:sz w:val="20"/>
                <w:szCs w:val="20"/>
                <w:lang w:eastAsia="zh-CN"/>
              </w:rPr>
              <w:t>服务</w:t>
            </w:r>
          </w:p>
        </w:tc>
      </w:tr>
      <w:tr w14:paraId="1451C7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1443" w:type="dxa"/>
            <w:gridSpan w:val="3"/>
            <w:tcBorders>
              <w:tl2br w:val="nil"/>
              <w:tr2bl w:val="nil"/>
            </w:tcBorders>
            <w:vAlign w:val="center"/>
          </w:tcPr>
          <w:p w14:paraId="4C6D3601">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主管部门   及代码</w:t>
            </w:r>
          </w:p>
        </w:tc>
        <w:tc>
          <w:tcPr>
            <w:tcW w:w="3349" w:type="dxa"/>
            <w:gridSpan w:val="2"/>
            <w:tcBorders>
              <w:tl2br w:val="nil"/>
              <w:tr2bl w:val="nil"/>
            </w:tcBorders>
            <w:vAlign w:val="center"/>
          </w:tcPr>
          <w:p w14:paraId="74FE864A">
            <w:pPr>
              <w:jc w:val="center"/>
              <w:rPr>
                <w:rFonts w:hint="eastAsia" w:ascii="宋体" w:cs="宋体" w:eastAsiaTheme="minorEastAsia"/>
                <w:sz w:val="20"/>
                <w:lang w:eastAsia="zh-CN"/>
              </w:rPr>
            </w:pPr>
            <w:r>
              <w:rPr>
                <w:rFonts w:hint="eastAsia" w:ascii="宋体" w:cs="宋体"/>
                <w:sz w:val="20"/>
                <w:lang w:val="en-US" w:eastAsia="zh-CN"/>
              </w:rPr>
              <w:t>264-</w:t>
            </w:r>
            <w:r>
              <w:rPr>
                <w:rFonts w:hint="eastAsia" w:ascii="宋体" w:cs="宋体"/>
                <w:sz w:val="20"/>
              </w:rPr>
              <w:t>淮北市生态环境局</w:t>
            </w:r>
          </w:p>
        </w:tc>
        <w:tc>
          <w:tcPr>
            <w:tcW w:w="1848" w:type="dxa"/>
            <w:tcBorders>
              <w:tl2br w:val="nil"/>
              <w:tr2bl w:val="nil"/>
            </w:tcBorders>
            <w:vAlign w:val="center"/>
          </w:tcPr>
          <w:p w14:paraId="737E1372">
            <w:pPr>
              <w:widowControl/>
              <w:jc w:val="center"/>
              <w:textAlignment w:val="center"/>
            </w:pPr>
            <w:r>
              <w:rPr>
                <w:rFonts w:hint="eastAsia" w:ascii="宋体" w:hAnsi="宋体" w:eastAsia="宋体" w:cs="宋体"/>
                <w:color w:val="000000"/>
                <w:kern w:val="0"/>
                <w:sz w:val="20"/>
                <w:szCs w:val="20"/>
              </w:rPr>
              <w:t>实施单位</w:t>
            </w:r>
          </w:p>
        </w:tc>
        <w:tc>
          <w:tcPr>
            <w:tcW w:w="2380" w:type="dxa"/>
            <w:tcBorders>
              <w:tl2br w:val="nil"/>
              <w:tr2bl w:val="nil"/>
            </w:tcBorders>
            <w:vAlign w:val="center"/>
          </w:tcPr>
          <w:p w14:paraId="58DC78AF">
            <w:pPr>
              <w:jc w:val="center"/>
            </w:pPr>
            <w:r>
              <w:rPr>
                <w:rFonts w:hint="eastAsia" w:ascii="宋体" w:hAnsi="宋体" w:eastAsia="宋体" w:cs="宋体"/>
                <w:sz w:val="20"/>
                <w:szCs w:val="20"/>
                <w:lang w:eastAsia="zh-CN"/>
              </w:rPr>
              <w:t>淮北市生态环境保护综合行政执法支队</w:t>
            </w:r>
          </w:p>
        </w:tc>
      </w:tr>
      <w:tr w14:paraId="773436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tcBorders>
              <w:tl2br w:val="nil"/>
              <w:tr2bl w:val="nil"/>
            </w:tcBorders>
            <w:vAlign w:val="center"/>
          </w:tcPr>
          <w:p w14:paraId="4D417419">
            <w:pPr>
              <w:widowControl/>
              <w:jc w:val="center"/>
              <w:textAlignment w:val="center"/>
              <w:rPr>
                <w:rFonts w:ascii="宋体" w:cs="宋体"/>
                <w:sz w:val="20"/>
              </w:rPr>
            </w:pPr>
            <w:r>
              <w:rPr>
                <w:rFonts w:hint="eastAsia" w:ascii="宋体" w:hAnsi="宋体" w:eastAsia="宋体" w:cs="宋体"/>
                <w:color w:val="000000"/>
                <w:kern w:val="0"/>
                <w:sz w:val="20"/>
                <w:szCs w:val="20"/>
              </w:rPr>
              <w:t>项目来源</w:t>
            </w:r>
          </w:p>
        </w:tc>
        <w:tc>
          <w:tcPr>
            <w:tcW w:w="3349" w:type="dxa"/>
            <w:gridSpan w:val="2"/>
            <w:tcBorders>
              <w:tl2br w:val="nil"/>
              <w:tr2bl w:val="nil"/>
            </w:tcBorders>
            <w:vAlign w:val="center"/>
          </w:tcPr>
          <w:p w14:paraId="4C1DF796">
            <w:pPr>
              <w:jc w:val="center"/>
              <w:rPr>
                <w:rFonts w:hint="eastAsia" w:ascii="宋体" w:cs="宋体" w:eastAsiaTheme="minorEastAsia"/>
                <w:sz w:val="20"/>
                <w:lang w:eastAsia="zh-CN"/>
              </w:rPr>
            </w:pPr>
            <w:r>
              <w:rPr>
                <w:rFonts w:hint="eastAsia" w:ascii="宋体" w:cs="宋体"/>
                <w:sz w:val="20"/>
                <w:lang w:eastAsia="zh-CN"/>
              </w:rPr>
              <w:t>年初预算</w:t>
            </w:r>
          </w:p>
        </w:tc>
        <w:tc>
          <w:tcPr>
            <w:tcW w:w="1848" w:type="dxa"/>
            <w:tcBorders>
              <w:tl2br w:val="nil"/>
              <w:tr2bl w:val="nil"/>
            </w:tcBorders>
            <w:vAlign w:val="center"/>
          </w:tcPr>
          <w:p w14:paraId="73904F0A">
            <w:pPr>
              <w:widowControl/>
              <w:jc w:val="center"/>
              <w:textAlignment w:val="center"/>
            </w:pPr>
            <w:r>
              <w:rPr>
                <w:rFonts w:hint="eastAsia" w:ascii="宋体" w:hAnsi="宋体" w:eastAsia="宋体" w:cs="宋体"/>
                <w:color w:val="000000"/>
                <w:kern w:val="0"/>
                <w:sz w:val="20"/>
                <w:szCs w:val="20"/>
              </w:rPr>
              <w:t>项目期</w:t>
            </w:r>
          </w:p>
        </w:tc>
        <w:tc>
          <w:tcPr>
            <w:tcW w:w="2380" w:type="dxa"/>
            <w:tcBorders>
              <w:tl2br w:val="nil"/>
              <w:tr2bl w:val="nil"/>
            </w:tcBorders>
            <w:vAlign w:val="center"/>
          </w:tcPr>
          <w:p w14:paraId="65978DE6">
            <w:pPr>
              <w:jc w:val="center"/>
              <w:rPr>
                <w:rFonts w:hint="default" w:eastAsiaTheme="minorEastAsia"/>
                <w:lang w:val="en-US" w:eastAsia="zh-CN"/>
              </w:rPr>
            </w:pPr>
            <w:r>
              <w:rPr>
                <w:rFonts w:hint="eastAsia"/>
                <w:lang w:val="en-US" w:eastAsia="zh-CN"/>
              </w:rPr>
              <w:t>2025.12</w:t>
            </w:r>
          </w:p>
        </w:tc>
      </w:tr>
      <w:tr w14:paraId="311BAB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restart"/>
            <w:tcBorders>
              <w:tl2br w:val="nil"/>
              <w:tr2bl w:val="nil"/>
            </w:tcBorders>
            <w:vAlign w:val="center"/>
          </w:tcPr>
          <w:p w14:paraId="7B75E71D">
            <w:pPr>
              <w:widowControl/>
              <w:jc w:val="center"/>
              <w:textAlignment w:val="center"/>
              <w:rPr>
                <w:rFonts w:hint="eastAsia" w:ascii="宋体" w:hAnsi="宋体" w:eastAsia="宋体" w:cs="宋体"/>
                <w:color w:val="000000"/>
                <w:kern w:val="0"/>
                <w:sz w:val="20"/>
                <w:szCs w:val="20"/>
                <w:lang w:eastAsia="zh-CN"/>
              </w:rPr>
            </w:pPr>
            <w:r>
              <w:rPr>
                <w:rFonts w:hint="eastAsia" w:ascii="宋体" w:hAnsi="宋体" w:eastAsia="宋体" w:cs="宋体"/>
                <w:color w:val="000000"/>
                <w:kern w:val="0"/>
                <w:sz w:val="20"/>
                <w:szCs w:val="20"/>
              </w:rPr>
              <w:t>项目资金</w:t>
            </w:r>
          </w:p>
          <w:p w14:paraId="365A1BA2">
            <w:pPr>
              <w:widowControl/>
              <w:jc w:val="center"/>
              <w:textAlignment w:val="center"/>
              <w:rPr>
                <w:rFonts w:ascii="宋体" w:cs="宋体"/>
                <w:sz w:val="20"/>
              </w:rPr>
            </w:pPr>
            <w:r>
              <w:rPr>
                <w:rFonts w:hint="eastAsia" w:ascii="宋体" w:hAnsi="宋体" w:eastAsia="宋体" w:cs="宋体"/>
                <w:color w:val="000000"/>
                <w:kern w:val="0"/>
                <w:sz w:val="20"/>
                <w:szCs w:val="20"/>
              </w:rPr>
              <w:t>（万元）</w:t>
            </w:r>
          </w:p>
        </w:tc>
        <w:tc>
          <w:tcPr>
            <w:tcW w:w="3349" w:type="dxa"/>
            <w:gridSpan w:val="2"/>
            <w:tcBorders>
              <w:tl2br w:val="nil"/>
              <w:tr2bl w:val="nil"/>
            </w:tcBorders>
            <w:vAlign w:val="center"/>
          </w:tcPr>
          <w:p w14:paraId="691C8530">
            <w:pPr>
              <w:widowControl/>
              <w:jc w:val="left"/>
              <w:textAlignment w:val="center"/>
              <w:rPr>
                <w:rFonts w:ascii="宋体" w:cs="宋体"/>
                <w:sz w:val="20"/>
              </w:rPr>
            </w:pPr>
            <w:r>
              <w:rPr>
                <w:rFonts w:hint="eastAsia" w:ascii="宋体" w:hAnsi="宋体" w:eastAsia="宋体" w:cs="宋体"/>
                <w:color w:val="000000"/>
                <w:kern w:val="0"/>
                <w:sz w:val="20"/>
                <w:szCs w:val="20"/>
              </w:rPr>
              <w:t xml:space="preserve"> 年度资金总额：</w:t>
            </w:r>
          </w:p>
        </w:tc>
        <w:tc>
          <w:tcPr>
            <w:tcW w:w="4228" w:type="dxa"/>
            <w:gridSpan w:val="2"/>
            <w:tcBorders>
              <w:tl2br w:val="nil"/>
              <w:tr2bl w:val="nil"/>
            </w:tcBorders>
            <w:vAlign w:val="center"/>
          </w:tcPr>
          <w:p w14:paraId="62C1A4F3">
            <w:pPr>
              <w:jc w:val="center"/>
              <w:rPr>
                <w:rFonts w:hint="default" w:ascii="宋体" w:cs="宋体" w:eastAsiaTheme="minorEastAsia"/>
                <w:sz w:val="20"/>
                <w:lang w:val="en-US" w:eastAsia="zh-CN"/>
              </w:rPr>
            </w:pPr>
            <w:r>
              <w:rPr>
                <w:rFonts w:hint="eastAsia" w:ascii="宋体" w:cs="宋体"/>
                <w:sz w:val="20"/>
                <w:lang w:val="en-US" w:eastAsia="zh-CN"/>
              </w:rPr>
              <w:t>74</w:t>
            </w:r>
          </w:p>
        </w:tc>
      </w:tr>
      <w:tr w14:paraId="08DEE0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continue"/>
            <w:tcBorders>
              <w:tl2br w:val="nil"/>
              <w:tr2bl w:val="nil"/>
            </w:tcBorders>
            <w:vAlign w:val="center"/>
          </w:tcPr>
          <w:p w14:paraId="48B562F2">
            <w:pPr>
              <w:jc w:val="center"/>
              <w:rPr>
                <w:rFonts w:ascii="宋体" w:cs="宋体"/>
                <w:sz w:val="20"/>
              </w:rPr>
            </w:pPr>
          </w:p>
        </w:tc>
        <w:tc>
          <w:tcPr>
            <w:tcW w:w="3349" w:type="dxa"/>
            <w:gridSpan w:val="2"/>
            <w:tcBorders>
              <w:tl2br w:val="nil"/>
              <w:tr2bl w:val="nil"/>
            </w:tcBorders>
            <w:vAlign w:val="center"/>
          </w:tcPr>
          <w:p w14:paraId="1329DD64">
            <w:pPr>
              <w:widowControl/>
              <w:jc w:val="left"/>
              <w:textAlignment w:val="center"/>
              <w:rPr>
                <w:rFonts w:ascii="宋体" w:cs="宋体"/>
                <w:sz w:val="20"/>
              </w:rPr>
            </w:pPr>
            <w:r>
              <w:rPr>
                <w:rFonts w:hint="eastAsia" w:ascii="宋体" w:hAnsi="宋体" w:eastAsia="宋体" w:cs="宋体"/>
                <w:color w:val="000000"/>
                <w:kern w:val="0"/>
                <w:sz w:val="20"/>
                <w:szCs w:val="20"/>
              </w:rPr>
              <w:t xml:space="preserve">   其中：财政拨款</w:t>
            </w:r>
          </w:p>
        </w:tc>
        <w:tc>
          <w:tcPr>
            <w:tcW w:w="4228" w:type="dxa"/>
            <w:gridSpan w:val="2"/>
            <w:tcBorders>
              <w:tl2br w:val="nil"/>
              <w:tr2bl w:val="nil"/>
            </w:tcBorders>
            <w:vAlign w:val="center"/>
          </w:tcPr>
          <w:p w14:paraId="501FA7D7">
            <w:pPr>
              <w:jc w:val="center"/>
              <w:rPr>
                <w:rFonts w:hint="default" w:ascii="宋体" w:cs="宋体" w:eastAsiaTheme="minorEastAsia"/>
                <w:sz w:val="20"/>
                <w:lang w:val="en-US" w:eastAsia="zh-CN"/>
              </w:rPr>
            </w:pPr>
            <w:r>
              <w:rPr>
                <w:rFonts w:hint="eastAsia" w:ascii="宋体" w:cs="宋体"/>
                <w:sz w:val="20"/>
                <w:lang w:val="en-US" w:eastAsia="zh-CN"/>
              </w:rPr>
              <w:t>74</w:t>
            </w:r>
          </w:p>
        </w:tc>
      </w:tr>
      <w:tr w14:paraId="38FB89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continue"/>
            <w:tcBorders>
              <w:tl2br w:val="nil"/>
              <w:tr2bl w:val="nil"/>
            </w:tcBorders>
            <w:vAlign w:val="center"/>
          </w:tcPr>
          <w:p w14:paraId="433138CE">
            <w:pPr>
              <w:jc w:val="center"/>
              <w:rPr>
                <w:rFonts w:ascii="宋体" w:cs="宋体"/>
                <w:sz w:val="20"/>
              </w:rPr>
            </w:pPr>
          </w:p>
        </w:tc>
        <w:tc>
          <w:tcPr>
            <w:tcW w:w="3349" w:type="dxa"/>
            <w:gridSpan w:val="2"/>
            <w:tcBorders>
              <w:tl2br w:val="nil"/>
              <w:tr2bl w:val="nil"/>
            </w:tcBorders>
            <w:vAlign w:val="center"/>
          </w:tcPr>
          <w:p w14:paraId="01C97EA9">
            <w:pPr>
              <w:widowControl/>
              <w:jc w:val="left"/>
              <w:textAlignment w:val="center"/>
              <w:rPr>
                <w:rFonts w:ascii="宋体" w:cs="宋体"/>
                <w:sz w:val="20"/>
              </w:rPr>
            </w:pPr>
            <w:r>
              <w:rPr>
                <w:rFonts w:hint="eastAsia" w:ascii="宋体" w:hAnsi="宋体" w:eastAsia="宋体" w:cs="宋体"/>
                <w:color w:val="000000"/>
                <w:kern w:val="0"/>
                <w:sz w:val="20"/>
                <w:szCs w:val="20"/>
              </w:rPr>
              <w:t xml:space="preserve">         上年结转</w:t>
            </w:r>
          </w:p>
        </w:tc>
        <w:tc>
          <w:tcPr>
            <w:tcW w:w="4228" w:type="dxa"/>
            <w:gridSpan w:val="2"/>
            <w:tcBorders>
              <w:tl2br w:val="nil"/>
              <w:tr2bl w:val="nil"/>
            </w:tcBorders>
            <w:vAlign w:val="center"/>
          </w:tcPr>
          <w:p w14:paraId="61E4E717">
            <w:pPr>
              <w:jc w:val="center"/>
              <w:rPr>
                <w:rFonts w:hint="eastAsia" w:ascii="宋体" w:cs="宋体" w:eastAsiaTheme="minorEastAsia"/>
                <w:sz w:val="20"/>
                <w:lang w:val="en-US" w:eastAsia="zh-CN"/>
              </w:rPr>
            </w:pPr>
            <w:r>
              <w:rPr>
                <w:rFonts w:hint="eastAsia" w:ascii="宋体" w:cs="宋体"/>
                <w:sz w:val="20"/>
                <w:lang w:val="en-US" w:eastAsia="zh-CN"/>
              </w:rPr>
              <w:t>0</w:t>
            </w:r>
          </w:p>
        </w:tc>
      </w:tr>
      <w:tr w14:paraId="1FBB0E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continue"/>
            <w:tcBorders>
              <w:tl2br w:val="nil"/>
              <w:tr2bl w:val="nil"/>
            </w:tcBorders>
            <w:vAlign w:val="center"/>
          </w:tcPr>
          <w:p w14:paraId="0B4E8D06">
            <w:pPr>
              <w:jc w:val="center"/>
              <w:rPr>
                <w:rFonts w:ascii="宋体" w:cs="宋体"/>
                <w:sz w:val="20"/>
              </w:rPr>
            </w:pPr>
          </w:p>
        </w:tc>
        <w:tc>
          <w:tcPr>
            <w:tcW w:w="3349" w:type="dxa"/>
            <w:gridSpan w:val="2"/>
            <w:tcBorders>
              <w:tl2br w:val="nil"/>
              <w:tr2bl w:val="nil"/>
            </w:tcBorders>
            <w:vAlign w:val="center"/>
          </w:tcPr>
          <w:p w14:paraId="12D42476">
            <w:pPr>
              <w:widowControl/>
              <w:jc w:val="left"/>
              <w:textAlignment w:val="center"/>
              <w:rPr>
                <w:rFonts w:ascii="宋体" w:cs="宋体"/>
                <w:sz w:val="20"/>
              </w:rPr>
            </w:pPr>
            <w:r>
              <w:rPr>
                <w:rFonts w:hint="eastAsia" w:ascii="宋体" w:hAnsi="宋体" w:eastAsia="宋体" w:cs="宋体"/>
                <w:color w:val="000000"/>
                <w:kern w:val="0"/>
                <w:sz w:val="20"/>
                <w:szCs w:val="20"/>
              </w:rPr>
              <w:t xml:space="preserve">         其他资金</w:t>
            </w:r>
          </w:p>
        </w:tc>
        <w:tc>
          <w:tcPr>
            <w:tcW w:w="4228" w:type="dxa"/>
            <w:gridSpan w:val="2"/>
            <w:tcBorders>
              <w:tl2br w:val="nil"/>
              <w:tr2bl w:val="nil"/>
            </w:tcBorders>
            <w:vAlign w:val="center"/>
          </w:tcPr>
          <w:p w14:paraId="1A8285EA">
            <w:pPr>
              <w:jc w:val="right"/>
              <w:rPr>
                <w:rFonts w:ascii="宋体" w:cs="宋体"/>
                <w:sz w:val="20"/>
              </w:rPr>
            </w:pPr>
          </w:p>
        </w:tc>
      </w:tr>
      <w:tr w14:paraId="05A18C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5" w:hRule="atLeast"/>
        </w:trPr>
        <w:tc>
          <w:tcPr>
            <w:tcW w:w="438" w:type="dxa"/>
            <w:tcBorders>
              <w:tl2br w:val="nil"/>
              <w:tr2bl w:val="nil"/>
            </w:tcBorders>
            <w:vAlign w:val="center"/>
          </w:tcPr>
          <w:p w14:paraId="2C5B68CD">
            <w:pPr>
              <w:widowControl/>
              <w:spacing w:line="200" w:lineRule="exact"/>
              <w:jc w:val="center"/>
              <w:textAlignment w:val="center"/>
              <w:rPr>
                <w:rFonts w:hint="eastAsia" w:ascii="宋体" w:hAnsi="宋体" w:eastAsia="宋体" w:cs="宋体"/>
                <w:color w:val="000000"/>
                <w:kern w:val="0"/>
                <w:sz w:val="20"/>
                <w:szCs w:val="20"/>
                <w:lang w:eastAsia="zh-CN"/>
              </w:rPr>
            </w:pPr>
            <w:r>
              <w:rPr>
                <w:rFonts w:hint="eastAsia" w:ascii="宋体" w:hAnsi="宋体" w:eastAsia="宋体" w:cs="宋体"/>
                <w:color w:val="000000"/>
                <w:kern w:val="0"/>
                <w:sz w:val="20"/>
                <w:szCs w:val="20"/>
              </w:rPr>
              <w:t>年度</w:t>
            </w:r>
          </w:p>
          <w:p w14:paraId="4E320462">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目标</w:t>
            </w:r>
          </w:p>
        </w:tc>
        <w:tc>
          <w:tcPr>
            <w:tcW w:w="8582" w:type="dxa"/>
            <w:gridSpan w:val="6"/>
            <w:tcBorders>
              <w:tl2br w:val="nil"/>
              <w:tr2bl w:val="nil"/>
            </w:tcBorders>
            <w:vAlign w:val="center"/>
          </w:tcPr>
          <w:p w14:paraId="4C96F5CF">
            <w:pPr>
              <w:jc w:val="left"/>
              <w:rPr>
                <w:rFonts w:ascii="宋体" w:cs="宋体"/>
                <w:sz w:val="20"/>
              </w:rPr>
            </w:pPr>
            <w:r>
              <w:rPr>
                <w:rFonts w:hint="eastAsia" w:ascii="宋体" w:hAnsi="宋体" w:eastAsia="宋体" w:cs="宋体"/>
                <w:sz w:val="20"/>
                <w:szCs w:val="20"/>
              </w:rPr>
              <w:t>充分发挥视频监控系统的预警和监控作用。保障重点污染源自动监控系统，稳定运行和监控数据准确有效，严厉打击污重点染源自动监控数据弄虚作假行为</w:t>
            </w:r>
          </w:p>
        </w:tc>
      </w:tr>
      <w:tr w14:paraId="507ECE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438" w:type="dxa"/>
            <w:vMerge w:val="restart"/>
            <w:tcBorders>
              <w:tl2br w:val="nil"/>
              <w:tr2bl w:val="nil"/>
            </w:tcBorders>
            <w:vAlign w:val="center"/>
          </w:tcPr>
          <w:p w14:paraId="37484416">
            <w:pPr>
              <w:widowControl/>
              <w:jc w:val="center"/>
              <w:textAlignment w:val="center"/>
              <w:rPr>
                <w:rFonts w:hint="eastAsia" w:ascii="宋体" w:hAnsi="宋体" w:eastAsia="宋体" w:cs="宋体"/>
                <w:color w:val="000000"/>
                <w:kern w:val="0"/>
                <w:sz w:val="20"/>
                <w:szCs w:val="20"/>
                <w:lang w:eastAsia="zh-CN"/>
              </w:rPr>
            </w:pPr>
            <w:r>
              <w:rPr>
                <w:rFonts w:hint="eastAsia" w:ascii="宋体" w:hAnsi="宋体" w:eastAsia="宋体" w:cs="宋体"/>
                <w:color w:val="000000"/>
                <w:kern w:val="0"/>
                <w:sz w:val="20"/>
                <w:szCs w:val="20"/>
              </w:rPr>
              <w:t>绩</w:t>
            </w:r>
          </w:p>
          <w:p w14:paraId="7CABDB39">
            <w:pPr>
              <w:widowControl/>
              <w:jc w:val="center"/>
              <w:textAlignment w:val="center"/>
              <w:rPr>
                <w:rFonts w:hint="eastAsia" w:ascii="宋体" w:hAnsi="宋体" w:eastAsia="宋体" w:cs="宋体"/>
                <w:color w:val="000000"/>
                <w:kern w:val="0"/>
                <w:sz w:val="20"/>
                <w:szCs w:val="20"/>
                <w:lang w:eastAsia="zh-CN"/>
              </w:rPr>
            </w:pPr>
            <w:r>
              <w:rPr>
                <w:rFonts w:hint="eastAsia" w:ascii="宋体" w:hAnsi="宋体" w:eastAsia="宋体" w:cs="宋体"/>
                <w:color w:val="000000"/>
                <w:kern w:val="0"/>
                <w:sz w:val="20"/>
                <w:szCs w:val="20"/>
              </w:rPr>
              <w:t>效</w:t>
            </w:r>
          </w:p>
          <w:p w14:paraId="1D218599">
            <w:pPr>
              <w:widowControl/>
              <w:jc w:val="center"/>
              <w:textAlignment w:val="center"/>
              <w:rPr>
                <w:rFonts w:hint="eastAsia" w:ascii="宋体" w:hAnsi="宋体" w:eastAsia="宋体" w:cs="宋体"/>
                <w:color w:val="000000"/>
                <w:kern w:val="0"/>
                <w:sz w:val="20"/>
                <w:szCs w:val="20"/>
                <w:lang w:eastAsia="zh-CN"/>
              </w:rPr>
            </w:pPr>
            <w:r>
              <w:rPr>
                <w:rFonts w:hint="eastAsia" w:ascii="宋体" w:hAnsi="宋体" w:eastAsia="宋体" w:cs="宋体"/>
                <w:color w:val="000000"/>
                <w:kern w:val="0"/>
                <w:sz w:val="20"/>
                <w:szCs w:val="20"/>
              </w:rPr>
              <w:t>指</w:t>
            </w:r>
          </w:p>
          <w:p w14:paraId="5886E0F1">
            <w:pPr>
              <w:widowControl/>
              <w:jc w:val="center"/>
              <w:textAlignment w:val="center"/>
              <w:rPr>
                <w:rFonts w:ascii="宋体" w:cs="宋体"/>
                <w:sz w:val="20"/>
              </w:rPr>
            </w:pPr>
            <w:r>
              <w:rPr>
                <w:rFonts w:hint="eastAsia" w:ascii="宋体" w:hAnsi="宋体" w:eastAsia="宋体" w:cs="宋体"/>
                <w:color w:val="000000"/>
                <w:kern w:val="0"/>
                <w:sz w:val="20"/>
                <w:szCs w:val="20"/>
              </w:rPr>
              <w:t>标</w:t>
            </w:r>
          </w:p>
        </w:tc>
        <w:tc>
          <w:tcPr>
            <w:tcW w:w="723" w:type="dxa"/>
            <w:tcBorders>
              <w:tl2br w:val="nil"/>
              <w:tr2bl w:val="nil"/>
            </w:tcBorders>
            <w:vAlign w:val="center"/>
          </w:tcPr>
          <w:p w14:paraId="3CA99854">
            <w:pPr>
              <w:widowControl/>
              <w:spacing w:line="200" w:lineRule="exact"/>
              <w:jc w:val="center"/>
              <w:textAlignment w:val="center"/>
              <w:rPr>
                <w:rFonts w:hint="eastAsia" w:ascii="宋体" w:hAnsi="宋体" w:eastAsia="宋体" w:cs="宋体"/>
                <w:color w:val="000000"/>
                <w:kern w:val="0"/>
                <w:sz w:val="20"/>
                <w:szCs w:val="20"/>
                <w:lang w:eastAsia="zh-CN"/>
              </w:rPr>
            </w:pPr>
            <w:r>
              <w:rPr>
                <w:rFonts w:hint="eastAsia" w:ascii="宋体" w:hAnsi="宋体" w:eastAsia="宋体" w:cs="宋体"/>
                <w:color w:val="000000"/>
                <w:kern w:val="0"/>
                <w:sz w:val="20"/>
                <w:szCs w:val="20"/>
              </w:rPr>
              <w:t>一级</w:t>
            </w:r>
          </w:p>
          <w:p w14:paraId="3624ADEC">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指标</w:t>
            </w:r>
          </w:p>
        </w:tc>
        <w:tc>
          <w:tcPr>
            <w:tcW w:w="759" w:type="dxa"/>
            <w:gridSpan w:val="2"/>
            <w:tcBorders>
              <w:tl2br w:val="nil"/>
              <w:tr2bl w:val="nil"/>
            </w:tcBorders>
            <w:vAlign w:val="center"/>
          </w:tcPr>
          <w:p w14:paraId="07A7AF8B">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二级指标</w:t>
            </w:r>
          </w:p>
        </w:tc>
        <w:tc>
          <w:tcPr>
            <w:tcW w:w="2872" w:type="dxa"/>
            <w:tcBorders>
              <w:tl2br w:val="nil"/>
              <w:tr2bl w:val="nil"/>
            </w:tcBorders>
            <w:vAlign w:val="center"/>
          </w:tcPr>
          <w:p w14:paraId="42C4D47D">
            <w:pPr>
              <w:widowControl/>
              <w:jc w:val="center"/>
              <w:textAlignment w:val="center"/>
              <w:rPr>
                <w:rFonts w:ascii="宋体" w:cs="宋体"/>
                <w:sz w:val="20"/>
              </w:rPr>
            </w:pPr>
            <w:r>
              <w:rPr>
                <w:rFonts w:hint="eastAsia" w:ascii="宋体" w:hAnsi="宋体" w:eastAsia="宋体" w:cs="宋体"/>
                <w:color w:val="000000"/>
                <w:kern w:val="0"/>
                <w:sz w:val="20"/>
                <w:szCs w:val="20"/>
              </w:rPr>
              <w:t>三级指标</w:t>
            </w:r>
          </w:p>
        </w:tc>
        <w:tc>
          <w:tcPr>
            <w:tcW w:w="4228" w:type="dxa"/>
            <w:gridSpan w:val="2"/>
            <w:tcBorders>
              <w:tl2br w:val="nil"/>
              <w:tr2bl w:val="nil"/>
            </w:tcBorders>
            <w:vAlign w:val="center"/>
          </w:tcPr>
          <w:p w14:paraId="3F783DE8">
            <w:pPr>
              <w:widowControl/>
              <w:jc w:val="center"/>
              <w:textAlignment w:val="center"/>
              <w:rPr>
                <w:rFonts w:ascii="宋体" w:cs="宋体"/>
                <w:sz w:val="20"/>
              </w:rPr>
            </w:pPr>
            <w:r>
              <w:rPr>
                <w:rFonts w:hint="eastAsia" w:ascii="宋体" w:hAnsi="宋体" w:eastAsia="宋体" w:cs="宋体"/>
                <w:color w:val="000000"/>
                <w:kern w:val="0"/>
                <w:sz w:val="20"/>
                <w:szCs w:val="20"/>
              </w:rPr>
              <w:t>指标值</w:t>
            </w:r>
          </w:p>
        </w:tc>
      </w:tr>
      <w:tr w14:paraId="10FC8E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trPr>
        <w:tc>
          <w:tcPr>
            <w:tcW w:w="438" w:type="dxa"/>
            <w:vMerge w:val="continue"/>
            <w:tcBorders>
              <w:tl2br w:val="nil"/>
              <w:tr2bl w:val="nil"/>
            </w:tcBorders>
            <w:vAlign w:val="center"/>
          </w:tcPr>
          <w:p w14:paraId="3D9FA4FB">
            <w:pPr>
              <w:jc w:val="center"/>
              <w:rPr>
                <w:rFonts w:ascii="宋体" w:cs="宋体"/>
                <w:sz w:val="20"/>
              </w:rPr>
            </w:pPr>
          </w:p>
        </w:tc>
        <w:tc>
          <w:tcPr>
            <w:tcW w:w="723" w:type="dxa"/>
            <w:vMerge w:val="restart"/>
            <w:tcBorders>
              <w:tl2br w:val="nil"/>
              <w:tr2bl w:val="nil"/>
            </w:tcBorders>
            <w:vAlign w:val="center"/>
          </w:tcPr>
          <w:p w14:paraId="144A984C">
            <w:pPr>
              <w:widowControl/>
              <w:jc w:val="center"/>
              <w:textAlignment w:val="center"/>
              <w:rPr>
                <w:rFonts w:ascii="宋体" w:cs="宋体"/>
                <w:sz w:val="20"/>
              </w:rPr>
            </w:pPr>
            <w:r>
              <w:rPr>
                <w:rFonts w:hint="eastAsia" w:ascii="宋体" w:hAnsi="宋体" w:eastAsia="宋体" w:cs="宋体"/>
                <w:color w:val="000000"/>
                <w:kern w:val="0"/>
                <w:sz w:val="20"/>
                <w:szCs w:val="20"/>
              </w:rPr>
              <w:t>产出指标</w:t>
            </w:r>
          </w:p>
        </w:tc>
        <w:tc>
          <w:tcPr>
            <w:tcW w:w="759" w:type="dxa"/>
            <w:gridSpan w:val="2"/>
            <w:vMerge w:val="restart"/>
            <w:tcBorders>
              <w:tl2br w:val="nil"/>
              <w:tr2bl w:val="nil"/>
            </w:tcBorders>
            <w:vAlign w:val="center"/>
          </w:tcPr>
          <w:p w14:paraId="4413A6D4">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数量指标</w:t>
            </w:r>
          </w:p>
        </w:tc>
        <w:tc>
          <w:tcPr>
            <w:tcW w:w="2872" w:type="dxa"/>
            <w:tcBorders>
              <w:tl2br w:val="nil"/>
              <w:tr2bl w:val="nil"/>
            </w:tcBorders>
            <w:vAlign w:val="center"/>
          </w:tcPr>
          <w:p w14:paraId="5B7D312D">
            <w:pPr>
              <w:widowControl/>
              <w:jc w:val="left"/>
              <w:textAlignment w:val="center"/>
              <w:rPr>
                <w:rFonts w:ascii="宋体" w:cs="宋体"/>
                <w:sz w:val="20"/>
              </w:rPr>
            </w:pPr>
            <w:r>
              <w:rPr>
                <w:rFonts w:hint="eastAsia" w:ascii="宋体" w:hAnsi="宋体" w:eastAsia="宋体" w:cs="宋体"/>
                <w:sz w:val="20"/>
                <w:szCs w:val="20"/>
                <w:lang w:eastAsia="zh-CN"/>
              </w:rPr>
              <w:t>重点排污单位视频监控专网数量</w:t>
            </w:r>
          </w:p>
        </w:tc>
        <w:tc>
          <w:tcPr>
            <w:tcW w:w="4228" w:type="dxa"/>
            <w:gridSpan w:val="2"/>
            <w:tcBorders>
              <w:tl2br w:val="nil"/>
              <w:tr2bl w:val="nil"/>
            </w:tcBorders>
            <w:vAlign w:val="center"/>
          </w:tcPr>
          <w:p w14:paraId="1C555C4E">
            <w:pPr>
              <w:jc w:val="center"/>
              <w:rPr>
                <w:rFonts w:hint="default" w:ascii="宋体" w:cs="宋体" w:eastAsiaTheme="minorEastAsia"/>
                <w:sz w:val="20"/>
                <w:lang w:val="en-US" w:eastAsia="zh-CN"/>
              </w:rPr>
            </w:pPr>
            <w:r>
              <w:rPr>
                <w:rFonts w:hint="eastAsia" w:ascii="宋体" w:cs="宋体"/>
                <w:sz w:val="20"/>
                <w:lang w:val="en-US" w:eastAsia="zh-CN"/>
              </w:rPr>
              <w:t>192条</w:t>
            </w:r>
          </w:p>
        </w:tc>
      </w:tr>
      <w:tr w14:paraId="375EE8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trPr>
        <w:tc>
          <w:tcPr>
            <w:tcW w:w="438" w:type="dxa"/>
            <w:vMerge w:val="continue"/>
            <w:tcBorders>
              <w:tl2br w:val="nil"/>
              <w:tr2bl w:val="nil"/>
            </w:tcBorders>
            <w:vAlign w:val="center"/>
          </w:tcPr>
          <w:p w14:paraId="17F35209">
            <w:pPr>
              <w:jc w:val="center"/>
              <w:rPr>
                <w:rFonts w:ascii="宋体" w:cs="宋体"/>
                <w:sz w:val="20"/>
              </w:rPr>
            </w:pPr>
          </w:p>
        </w:tc>
        <w:tc>
          <w:tcPr>
            <w:tcW w:w="723" w:type="dxa"/>
            <w:vMerge w:val="continue"/>
            <w:tcBorders>
              <w:tl2br w:val="nil"/>
              <w:tr2bl w:val="nil"/>
            </w:tcBorders>
            <w:vAlign w:val="center"/>
          </w:tcPr>
          <w:p w14:paraId="551E570C">
            <w:pPr>
              <w:jc w:val="center"/>
              <w:rPr>
                <w:rFonts w:ascii="宋体" w:cs="宋体"/>
                <w:sz w:val="20"/>
              </w:rPr>
            </w:pPr>
          </w:p>
        </w:tc>
        <w:tc>
          <w:tcPr>
            <w:tcW w:w="759" w:type="dxa"/>
            <w:gridSpan w:val="2"/>
            <w:vMerge w:val="restart"/>
            <w:tcBorders>
              <w:tl2br w:val="nil"/>
              <w:tr2bl w:val="nil"/>
            </w:tcBorders>
            <w:vAlign w:val="center"/>
          </w:tcPr>
          <w:p w14:paraId="5FC5AAE3">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质量指标</w:t>
            </w:r>
          </w:p>
        </w:tc>
        <w:tc>
          <w:tcPr>
            <w:tcW w:w="2872" w:type="dxa"/>
            <w:tcBorders>
              <w:tl2br w:val="nil"/>
              <w:tr2bl w:val="nil"/>
            </w:tcBorders>
            <w:vAlign w:val="center"/>
          </w:tcPr>
          <w:p w14:paraId="5E457D80">
            <w:pPr>
              <w:rPr>
                <w:rFonts w:hint="eastAsia" w:ascii="宋体" w:hAnsi="宋体" w:eastAsia="宋体" w:cs="宋体"/>
                <w:kern w:val="2"/>
                <w:sz w:val="20"/>
                <w:szCs w:val="20"/>
                <w:lang w:val="en-US" w:eastAsia="zh-CN" w:bidi="ar-SA"/>
              </w:rPr>
            </w:pPr>
            <w:r>
              <w:rPr>
                <w:rFonts w:hint="eastAsia" w:ascii="宋体" w:hAnsi="宋体" w:eastAsia="宋体" w:cs="宋体"/>
                <w:sz w:val="20"/>
                <w:szCs w:val="20"/>
                <w:lang w:eastAsia="zh-CN"/>
              </w:rPr>
              <w:t>重点排污单位视频监控专网数据连续性</w:t>
            </w:r>
            <w:r>
              <w:rPr>
                <w:rFonts w:hint="eastAsia" w:ascii="宋体" w:hAnsi="宋体" w:eastAsia="宋体" w:cs="宋体"/>
                <w:sz w:val="20"/>
                <w:szCs w:val="20"/>
              </w:rPr>
              <w:t>：</w:t>
            </w:r>
          </w:p>
        </w:tc>
        <w:tc>
          <w:tcPr>
            <w:tcW w:w="4228" w:type="dxa"/>
            <w:gridSpan w:val="2"/>
            <w:tcBorders>
              <w:tl2br w:val="nil"/>
              <w:tr2bl w:val="nil"/>
            </w:tcBorders>
            <w:vAlign w:val="center"/>
          </w:tcPr>
          <w:p w14:paraId="39CAD03C">
            <w:pPr>
              <w:jc w:val="center"/>
              <w:rPr>
                <w:rFonts w:hint="eastAsia" w:ascii="宋体" w:hAnsi="宋体" w:eastAsia="宋体" w:cs="宋体"/>
                <w:kern w:val="2"/>
                <w:sz w:val="20"/>
                <w:szCs w:val="20"/>
                <w:lang w:val="en-US" w:eastAsia="zh-CN" w:bidi="ar-SA"/>
              </w:rPr>
            </w:pPr>
            <w:r>
              <w:rPr>
                <w:rFonts w:hint="eastAsia" w:ascii="宋体" w:hAnsi="宋体" w:eastAsia="宋体" w:cs="宋体"/>
                <w:sz w:val="20"/>
                <w:szCs w:val="20"/>
                <w:lang w:eastAsia="zh-CN"/>
              </w:rPr>
              <w:t>连续、真实</w:t>
            </w:r>
          </w:p>
        </w:tc>
      </w:tr>
      <w:tr w14:paraId="6BAAE2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trPr>
        <w:tc>
          <w:tcPr>
            <w:tcW w:w="438" w:type="dxa"/>
            <w:vMerge w:val="continue"/>
            <w:tcBorders>
              <w:tl2br w:val="nil"/>
              <w:tr2bl w:val="nil"/>
            </w:tcBorders>
            <w:vAlign w:val="center"/>
          </w:tcPr>
          <w:p w14:paraId="6FB6DC08">
            <w:pPr>
              <w:jc w:val="center"/>
              <w:rPr>
                <w:rFonts w:ascii="宋体" w:cs="宋体"/>
                <w:sz w:val="20"/>
              </w:rPr>
            </w:pPr>
          </w:p>
        </w:tc>
        <w:tc>
          <w:tcPr>
            <w:tcW w:w="723" w:type="dxa"/>
            <w:vMerge w:val="continue"/>
            <w:tcBorders>
              <w:tl2br w:val="nil"/>
              <w:tr2bl w:val="nil"/>
            </w:tcBorders>
            <w:vAlign w:val="center"/>
          </w:tcPr>
          <w:p w14:paraId="58FBF498">
            <w:pPr>
              <w:jc w:val="center"/>
              <w:rPr>
                <w:rFonts w:ascii="宋体" w:cs="宋体"/>
                <w:sz w:val="20"/>
              </w:rPr>
            </w:pPr>
          </w:p>
        </w:tc>
        <w:tc>
          <w:tcPr>
            <w:tcW w:w="759" w:type="dxa"/>
            <w:gridSpan w:val="2"/>
            <w:vMerge w:val="restart"/>
            <w:tcBorders>
              <w:tl2br w:val="nil"/>
              <w:tr2bl w:val="nil"/>
            </w:tcBorders>
            <w:vAlign w:val="center"/>
          </w:tcPr>
          <w:p w14:paraId="56B69907">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时效指标</w:t>
            </w:r>
          </w:p>
        </w:tc>
        <w:tc>
          <w:tcPr>
            <w:tcW w:w="2872" w:type="dxa"/>
            <w:tcBorders>
              <w:tl2br w:val="nil"/>
              <w:tr2bl w:val="nil"/>
            </w:tcBorders>
            <w:vAlign w:val="center"/>
          </w:tcPr>
          <w:p w14:paraId="4B9305A9">
            <w:pPr>
              <w:rPr>
                <w:rFonts w:hint="eastAsia" w:ascii="宋体" w:hAnsi="宋体" w:eastAsia="宋体" w:cs="宋体"/>
                <w:kern w:val="2"/>
                <w:sz w:val="20"/>
                <w:szCs w:val="20"/>
                <w:lang w:val="en-US" w:eastAsia="zh-CN" w:bidi="ar-SA"/>
              </w:rPr>
            </w:pPr>
            <w:r>
              <w:rPr>
                <w:rFonts w:hint="eastAsia" w:ascii="宋体" w:hAnsi="宋体" w:eastAsia="宋体" w:cs="宋体"/>
                <w:sz w:val="20"/>
                <w:szCs w:val="20"/>
                <w:lang w:eastAsia="zh-CN"/>
              </w:rPr>
              <w:t>经费支出时效性</w:t>
            </w:r>
          </w:p>
        </w:tc>
        <w:tc>
          <w:tcPr>
            <w:tcW w:w="4228" w:type="dxa"/>
            <w:gridSpan w:val="2"/>
            <w:tcBorders>
              <w:tl2br w:val="nil"/>
              <w:tr2bl w:val="nil"/>
            </w:tcBorders>
            <w:vAlign w:val="center"/>
          </w:tcPr>
          <w:p w14:paraId="432DC62A">
            <w:pPr>
              <w:jc w:val="center"/>
              <w:rPr>
                <w:rFonts w:hint="eastAsia" w:ascii="宋体" w:hAnsi="宋体" w:eastAsia="宋体" w:cs="宋体"/>
                <w:kern w:val="2"/>
                <w:sz w:val="20"/>
                <w:szCs w:val="20"/>
                <w:lang w:val="en-US" w:eastAsia="zh-CN" w:bidi="ar-SA"/>
              </w:rPr>
            </w:pPr>
            <w:r>
              <w:rPr>
                <w:rFonts w:hint="eastAsia" w:ascii="宋体" w:hAnsi="宋体" w:eastAsia="宋体" w:cs="宋体"/>
                <w:sz w:val="20"/>
                <w:szCs w:val="20"/>
                <w:lang w:eastAsia="zh-CN"/>
              </w:rPr>
              <w:t>及时</w:t>
            </w:r>
          </w:p>
        </w:tc>
      </w:tr>
      <w:tr w14:paraId="7BA236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trPr>
        <w:tc>
          <w:tcPr>
            <w:tcW w:w="438" w:type="dxa"/>
            <w:vMerge w:val="continue"/>
            <w:tcBorders>
              <w:tl2br w:val="nil"/>
              <w:tr2bl w:val="nil"/>
            </w:tcBorders>
            <w:vAlign w:val="center"/>
          </w:tcPr>
          <w:p w14:paraId="246B18FF">
            <w:pPr>
              <w:jc w:val="center"/>
              <w:rPr>
                <w:rFonts w:ascii="宋体" w:cs="宋体"/>
                <w:sz w:val="20"/>
              </w:rPr>
            </w:pPr>
          </w:p>
        </w:tc>
        <w:tc>
          <w:tcPr>
            <w:tcW w:w="723" w:type="dxa"/>
            <w:vMerge w:val="continue"/>
            <w:tcBorders>
              <w:tl2br w:val="nil"/>
              <w:tr2bl w:val="nil"/>
            </w:tcBorders>
            <w:vAlign w:val="center"/>
          </w:tcPr>
          <w:p w14:paraId="517EEF91">
            <w:pPr>
              <w:jc w:val="center"/>
              <w:rPr>
                <w:rFonts w:ascii="宋体" w:cs="宋体"/>
                <w:sz w:val="20"/>
              </w:rPr>
            </w:pPr>
          </w:p>
        </w:tc>
        <w:tc>
          <w:tcPr>
            <w:tcW w:w="759" w:type="dxa"/>
            <w:gridSpan w:val="2"/>
            <w:tcBorders>
              <w:tl2br w:val="nil"/>
              <w:tr2bl w:val="nil"/>
            </w:tcBorders>
            <w:vAlign w:val="center"/>
          </w:tcPr>
          <w:p w14:paraId="7BD071F9">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成本指标</w:t>
            </w:r>
          </w:p>
        </w:tc>
        <w:tc>
          <w:tcPr>
            <w:tcW w:w="2872" w:type="dxa"/>
            <w:tcBorders>
              <w:tl2br w:val="nil"/>
              <w:tr2bl w:val="nil"/>
            </w:tcBorders>
            <w:vAlign w:val="center"/>
          </w:tcPr>
          <w:p w14:paraId="3B888ADE">
            <w:pPr>
              <w:widowControl/>
              <w:jc w:val="left"/>
              <w:textAlignment w:val="center"/>
              <w:rPr>
                <w:rFonts w:ascii="宋体" w:cs="宋体"/>
                <w:sz w:val="20"/>
              </w:rPr>
            </w:pPr>
            <w:r>
              <w:rPr>
                <w:rFonts w:hint="eastAsia" w:ascii="宋体" w:hAnsi="宋体" w:eastAsia="宋体" w:cs="宋体"/>
                <w:sz w:val="20"/>
                <w:szCs w:val="20"/>
                <w:lang w:eastAsia="zh-CN"/>
              </w:rPr>
              <w:t>项目总成本</w:t>
            </w:r>
          </w:p>
        </w:tc>
        <w:tc>
          <w:tcPr>
            <w:tcW w:w="4228" w:type="dxa"/>
            <w:gridSpan w:val="2"/>
            <w:tcBorders>
              <w:tl2br w:val="nil"/>
              <w:tr2bl w:val="nil"/>
            </w:tcBorders>
            <w:vAlign w:val="center"/>
          </w:tcPr>
          <w:p w14:paraId="34C304B8">
            <w:pPr>
              <w:jc w:val="center"/>
              <w:rPr>
                <w:rFonts w:hint="default" w:ascii="宋体" w:eastAsia="宋体" w:cs="宋体"/>
                <w:sz w:val="20"/>
                <w:lang w:val="en-US" w:eastAsia="zh-CN"/>
              </w:rPr>
            </w:pPr>
            <w:r>
              <w:rPr>
                <w:rFonts w:hint="eastAsia" w:ascii="宋体" w:hAnsi="宋体" w:eastAsia="宋体" w:cs="宋体"/>
                <w:sz w:val="20"/>
                <w:szCs w:val="20"/>
              </w:rPr>
              <w:t>≦</w:t>
            </w:r>
            <w:r>
              <w:rPr>
                <w:rFonts w:hint="eastAsia" w:ascii="宋体" w:hAnsi="宋体" w:eastAsia="宋体" w:cs="宋体"/>
                <w:sz w:val="20"/>
                <w:szCs w:val="20"/>
                <w:lang w:val="en-US" w:eastAsia="zh-CN"/>
              </w:rPr>
              <w:t>74万元</w:t>
            </w:r>
          </w:p>
        </w:tc>
      </w:tr>
      <w:tr w14:paraId="28BF8A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trPr>
        <w:tc>
          <w:tcPr>
            <w:tcW w:w="438" w:type="dxa"/>
            <w:vMerge w:val="continue"/>
            <w:tcBorders>
              <w:tl2br w:val="nil"/>
              <w:tr2bl w:val="nil"/>
            </w:tcBorders>
            <w:vAlign w:val="center"/>
          </w:tcPr>
          <w:p w14:paraId="3D21D629">
            <w:pPr>
              <w:jc w:val="center"/>
              <w:rPr>
                <w:rFonts w:ascii="宋体" w:cs="宋体"/>
                <w:sz w:val="20"/>
              </w:rPr>
            </w:pPr>
          </w:p>
        </w:tc>
        <w:tc>
          <w:tcPr>
            <w:tcW w:w="723" w:type="dxa"/>
            <w:vMerge w:val="restart"/>
            <w:tcBorders>
              <w:tl2br w:val="nil"/>
              <w:tr2bl w:val="nil"/>
            </w:tcBorders>
            <w:vAlign w:val="center"/>
          </w:tcPr>
          <w:p w14:paraId="3077A868">
            <w:pPr>
              <w:widowControl/>
              <w:jc w:val="center"/>
              <w:textAlignment w:val="center"/>
              <w:rPr>
                <w:rFonts w:ascii="宋体" w:cs="宋体"/>
                <w:sz w:val="20"/>
              </w:rPr>
            </w:pPr>
            <w:r>
              <w:rPr>
                <w:rFonts w:hint="eastAsia" w:ascii="宋体" w:hAnsi="宋体" w:eastAsia="宋体" w:cs="宋体"/>
                <w:color w:val="000000"/>
                <w:kern w:val="0"/>
                <w:sz w:val="20"/>
                <w:szCs w:val="20"/>
              </w:rPr>
              <w:t>效益指标</w:t>
            </w:r>
          </w:p>
        </w:tc>
        <w:tc>
          <w:tcPr>
            <w:tcW w:w="759" w:type="dxa"/>
            <w:gridSpan w:val="2"/>
            <w:vMerge w:val="restart"/>
            <w:tcBorders>
              <w:tl2br w:val="nil"/>
              <w:tr2bl w:val="nil"/>
            </w:tcBorders>
            <w:vAlign w:val="center"/>
          </w:tcPr>
          <w:p w14:paraId="763D7DB9">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经济效益指标</w:t>
            </w:r>
          </w:p>
        </w:tc>
        <w:tc>
          <w:tcPr>
            <w:tcW w:w="2872" w:type="dxa"/>
            <w:tcBorders>
              <w:tl2br w:val="nil"/>
              <w:tr2bl w:val="nil"/>
            </w:tcBorders>
            <w:vAlign w:val="center"/>
          </w:tcPr>
          <w:p w14:paraId="2FAC1D79">
            <w:pPr>
              <w:widowControl/>
              <w:jc w:val="left"/>
              <w:textAlignment w:val="center"/>
              <w:rPr>
                <w:rFonts w:hint="eastAsia" w:ascii="宋体" w:cs="宋体" w:eastAsiaTheme="minorEastAsia"/>
                <w:sz w:val="20"/>
                <w:lang w:eastAsia="zh-CN"/>
              </w:rPr>
            </w:pPr>
            <w:r>
              <w:rPr>
                <w:rFonts w:hint="eastAsia" w:ascii="宋体" w:cs="宋体"/>
                <w:sz w:val="20"/>
                <w:lang w:eastAsia="zh-CN"/>
              </w:rPr>
              <w:t>对社会经济发展的影响</w:t>
            </w:r>
          </w:p>
        </w:tc>
        <w:tc>
          <w:tcPr>
            <w:tcW w:w="4228" w:type="dxa"/>
            <w:gridSpan w:val="2"/>
            <w:tcBorders>
              <w:tl2br w:val="nil"/>
              <w:tr2bl w:val="nil"/>
            </w:tcBorders>
            <w:vAlign w:val="center"/>
          </w:tcPr>
          <w:p w14:paraId="1670467A">
            <w:pPr>
              <w:jc w:val="center"/>
              <w:rPr>
                <w:rFonts w:hint="eastAsia" w:ascii="宋体" w:cs="宋体" w:eastAsiaTheme="minorEastAsia"/>
                <w:sz w:val="20"/>
                <w:lang w:eastAsia="zh-CN"/>
              </w:rPr>
            </w:pPr>
            <w:r>
              <w:rPr>
                <w:rFonts w:hint="eastAsia" w:ascii="宋体" w:cs="宋体"/>
                <w:sz w:val="20"/>
                <w:lang w:eastAsia="zh-CN"/>
              </w:rPr>
              <w:t>较高</w:t>
            </w:r>
          </w:p>
        </w:tc>
      </w:tr>
      <w:tr w14:paraId="65C355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trPr>
        <w:tc>
          <w:tcPr>
            <w:tcW w:w="438" w:type="dxa"/>
            <w:vMerge w:val="continue"/>
            <w:tcBorders>
              <w:tl2br w:val="nil"/>
              <w:tr2bl w:val="nil"/>
            </w:tcBorders>
            <w:vAlign w:val="center"/>
          </w:tcPr>
          <w:p w14:paraId="38B123C0">
            <w:pPr>
              <w:jc w:val="center"/>
              <w:rPr>
                <w:rFonts w:ascii="宋体" w:cs="宋体"/>
                <w:sz w:val="20"/>
              </w:rPr>
            </w:pPr>
          </w:p>
        </w:tc>
        <w:tc>
          <w:tcPr>
            <w:tcW w:w="723" w:type="dxa"/>
            <w:vMerge w:val="continue"/>
            <w:tcBorders>
              <w:tl2br w:val="nil"/>
              <w:tr2bl w:val="nil"/>
            </w:tcBorders>
            <w:vAlign w:val="center"/>
          </w:tcPr>
          <w:p w14:paraId="2A16EF92">
            <w:pPr>
              <w:jc w:val="center"/>
              <w:rPr>
                <w:rFonts w:ascii="宋体" w:cs="宋体"/>
                <w:sz w:val="20"/>
              </w:rPr>
            </w:pPr>
          </w:p>
        </w:tc>
        <w:tc>
          <w:tcPr>
            <w:tcW w:w="759" w:type="dxa"/>
            <w:gridSpan w:val="2"/>
            <w:vMerge w:val="restart"/>
            <w:tcBorders>
              <w:tl2br w:val="nil"/>
              <w:tr2bl w:val="nil"/>
            </w:tcBorders>
            <w:vAlign w:val="center"/>
          </w:tcPr>
          <w:p w14:paraId="5E72B60D">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社会效益指标</w:t>
            </w:r>
          </w:p>
        </w:tc>
        <w:tc>
          <w:tcPr>
            <w:tcW w:w="2872" w:type="dxa"/>
            <w:tcBorders>
              <w:tl2br w:val="nil"/>
              <w:tr2bl w:val="nil"/>
            </w:tcBorders>
            <w:vAlign w:val="center"/>
          </w:tcPr>
          <w:p w14:paraId="38F0BEEF">
            <w:pPr>
              <w:rPr>
                <w:rFonts w:hint="eastAsia" w:ascii="宋体" w:hAnsi="宋体" w:eastAsia="宋体" w:cs="宋体"/>
                <w:kern w:val="2"/>
                <w:sz w:val="20"/>
                <w:szCs w:val="20"/>
                <w:lang w:val="en-US" w:eastAsia="zh-CN" w:bidi="ar-SA"/>
              </w:rPr>
            </w:pPr>
            <w:r>
              <w:rPr>
                <w:rFonts w:hint="eastAsia" w:ascii="宋体" w:hAnsi="宋体" w:eastAsia="宋体" w:cs="宋体"/>
                <w:sz w:val="20"/>
                <w:szCs w:val="20"/>
              </w:rPr>
              <w:t>公众对生态环境保护意识的提升</w:t>
            </w:r>
          </w:p>
        </w:tc>
        <w:tc>
          <w:tcPr>
            <w:tcW w:w="4228" w:type="dxa"/>
            <w:gridSpan w:val="2"/>
            <w:tcBorders>
              <w:tl2br w:val="nil"/>
              <w:tr2bl w:val="nil"/>
            </w:tcBorders>
            <w:vAlign w:val="center"/>
          </w:tcPr>
          <w:p w14:paraId="6FF258EF">
            <w:pPr>
              <w:jc w:val="center"/>
              <w:rPr>
                <w:rFonts w:hint="eastAsia" w:ascii="宋体" w:hAnsi="宋体" w:eastAsia="宋体" w:cs="宋体"/>
                <w:kern w:val="2"/>
                <w:sz w:val="20"/>
                <w:szCs w:val="20"/>
                <w:lang w:val="en-US" w:eastAsia="zh-CN" w:bidi="ar-SA"/>
              </w:rPr>
            </w:pPr>
            <w:r>
              <w:rPr>
                <w:rFonts w:hint="eastAsia" w:ascii="宋体" w:hAnsi="宋体" w:eastAsia="宋体" w:cs="宋体"/>
                <w:sz w:val="20"/>
                <w:szCs w:val="20"/>
                <w:lang w:eastAsia="zh-CN"/>
              </w:rPr>
              <w:t>明显</w:t>
            </w:r>
          </w:p>
        </w:tc>
      </w:tr>
      <w:tr w14:paraId="77BB12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7" w:hRule="atLeast"/>
        </w:trPr>
        <w:tc>
          <w:tcPr>
            <w:tcW w:w="438" w:type="dxa"/>
            <w:vMerge w:val="continue"/>
            <w:tcBorders>
              <w:tl2br w:val="nil"/>
              <w:tr2bl w:val="nil"/>
            </w:tcBorders>
            <w:vAlign w:val="center"/>
          </w:tcPr>
          <w:p w14:paraId="27D6E44B">
            <w:pPr>
              <w:jc w:val="center"/>
              <w:rPr>
                <w:rFonts w:ascii="宋体" w:cs="宋体"/>
                <w:sz w:val="20"/>
              </w:rPr>
            </w:pPr>
          </w:p>
        </w:tc>
        <w:tc>
          <w:tcPr>
            <w:tcW w:w="723" w:type="dxa"/>
            <w:vMerge w:val="continue"/>
            <w:tcBorders>
              <w:tl2br w:val="nil"/>
              <w:tr2bl w:val="nil"/>
            </w:tcBorders>
            <w:vAlign w:val="center"/>
          </w:tcPr>
          <w:p w14:paraId="551CA5EC">
            <w:pPr>
              <w:jc w:val="center"/>
              <w:rPr>
                <w:rFonts w:ascii="宋体" w:cs="宋体"/>
                <w:sz w:val="20"/>
              </w:rPr>
            </w:pPr>
          </w:p>
        </w:tc>
        <w:tc>
          <w:tcPr>
            <w:tcW w:w="759" w:type="dxa"/>
            <w:gridSpan w:val="2"/>
            <w:vMerge w:val="restart"/>
            <w:tcBorders>
              <w:tl2br w:val="nil"/>
              <w:tr2bl w:val="nil"/>
            </w:tcBorders>
            <w:vAlign w:val="center"/>
          </w:tcPr>
          <w:p w14:paraId="56085786">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生态效益指标</w:t>
            </w:r>
          </w:p>
        </w:tc>
        <w:tc>
          <w:tcPr>
            <w:tcW w:w="2872" w:type="dxa"/>
            <w:tcBorders>
              <w:tl2br w:val="nil"/>
              <w:tr2bl w:val="nil"/>
            </w:tcBorders>
            <w:vAlign w:val="center"/>
          </w:tcPr>
          <w:p w14:paraId="0F302677">
            <w:pPr>
              <w:rPr>
                <w:rFonts w:hint="eastAsia" w:ascii="宋体" w:hAnsi="宋体" w:eastAsia="宋体" w:cs="宋体"/>
                <w:kern w:val="2"/>
                <w:sz w:val="20"/>
                <w:szCs w:val="20"/>
                <w:lang w:val="en-US" w:eastAsia="zh-CN" w:bidi="ar-SA"/>
              </w:rPr>
            </w:pPr>
            <w:r>
              <w:rPr>
                <w:rFonts w:hint="eastAsia" w:ascii="宋体" w:hAnsi="宋体" w:eastAsia="宋体" w:cs="宋体"/>
                <w:sz w:val="20"/>
                <w:szCs w:val="20"/>
              </w:rPr>
              <w:t>对生态环境的改善</w:t>
            </w:r>
          </w:p>
        </w:tc>
        <w:tc>
          <w:tcPr>
            <w:tcW w:w="4228" w:type="dxa"/>
            <w:gridSpan w:val="2"/>
            <w:tcBorders>
              <w:tl2br w:val="nil"/>
              <w:tr2bl w:val="nil"/>
            </w:tcBorders>
            <w:vAlign w:val="center"/>
          </w:tcPr>
          <w:p w14:paraId="31C6EF52">
            <w:pPr>
              <w:jc w:val="center"/>
              <w:rPr>
                <w:rFonts w:hint="eastAsia" w:ascii="宋体" w:hAnsi="宋体" w:eastAsia="宋体" w:cs="宋体"/>
                <w:kern w:val="2"/>
                <w:sz w:val="20"/>
                <w:szCs w:val="20"/>
                <w:lang w:val="en-US" w:eastAsia="zh-CN" w:bidi="ar-SA"/>
              </w:rPr>
            </w:pPr>
            <w:r>
              <w:rPr>
                <w:rFonts w:hint="eastAsia" w:ascii="宋体" w:hAnsi="宋体" w:eastAsia="宋体" w:cs="宋体"/>
                <w:sz w:val="20"/>
                <w:szCs w:val="20"/>
                <w:lang w:eastAsia="zh-CN"/>
              </w:rPr>
              <w:t>明显</w:t>
            </w:r>
          </w:p>
        </w:tc>
      </w:tr>
      <w:tr w14:paraId="007299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4" w:hRule="atLeast"/>
        </w:trPr>
        <w:tc>
          <w:tcPr>
            <w:tcW w:w="438" w:type="dxa"/>
            <w:vMerge w:val="continue"/>
            <w:tcBorders>
              <w:tl2br w:val="nil"/>
              <w:tr2bl w:val="nil"/>
            </w:tcBorders>
            <w:vAlign w:val="center"/>
          </w:tcPr>
          <w:p w14:paraId="2FBC3601">
            <w:pPr>
              <w:jc w:val="center"/>
              <w:rPr>
                <w:rFonts w:ascii="宋体" w:cs="宋体"/>
                <w:sz w:val="20"/>
              </w:rPr>
            </w:pPr>
          </w:p>
        </w:tc>
        <w:tc>
          <w:tcPr>
            <w:tcW w:w="723" w:type="dxa"/>
            <w:vMerge w:val="continue"/>
            <w:tcBorders>
              <w:tl2br w:val="nil"/>
              <w:tr2bl w:val="nil"/>
            </w:tcBorders>
            <w:vAlign w:val="center"/>
          </w:tcPr>
          <w:p w14:paraId="52E5DBDC">
            <w:pPr>
              <w:jc w:val="center"/>
              <w:rPr>
                <w:rFonts w:ascii="宋体" w:cs="宋体"/>
                <w:sz w:val="20"/>
              </w:rPr>
            </w:pPr>
          </w:p>
        </w:tc>
        <w:tc>
          <w:tcPr>
            <w:tcW w:w="759" w:type="dxa"/>
            <w:gridSpan w:val="2"/>
            <w:tcBorders>
              <w:tl2br w:val="nil"/>
              <w:tr2bl w:val="nil"/>
            </w:tcBorders>
            <w:vAlign w:val="center"/>
          </w:tcPr>
          <w:p w14:paraId="75E20C2B">
            <w:pPr>
              <w:widowControl/>
              <w:spacing w:line="200" w:lineRule="exact"/>
              <w:jc w:val="center"/>
              <w:rPr>
                <w:rFonts w:hint="eastAsia" w:ascii="宋体" w:hAnsi="宋体" w:eastAsia="宋体" w:cs="宋体"/>
                <w:sz w:val="20"/>
              </w:rPr>
            </w:pPr>
            <w:r>
              <w:rPr>
                <w:rFonts w:hint="eastAsia" w:ascii="宋体" w:hAnsi="宋体" w:eastAsia="宋体" w:cs="宋体"/>
                <w:sz w:val="20"/>
              </w:rPr>
              <w:t>可持续影响指标</w:t>
            </w:r>
          </w:p>
        </w:tc>
        <w:tc>
          <w:tcPr>
            <w:tcW w:w="2872" w:type="dxa"/>
            <w:tcBorders>
              <w:tl2br w:val="nil"/>
              <w:tr2bl w:val="nil"/>
            </w:tcBorders>
            <w:vAlign w:val="center"/>
          </w:tcPr>
          <w:p w14:paraId="16EBB07C">
            <w:pPr>
              <w:rPr>
                <w:rFonts w:hint="eastAsia" w:ascii="宋体" w:hAnsi="宋体" w:eastAsia="宋体" w:cs="宋体"/>
                <w:kern w:val="2"/>
                <w:sz w:val="20"/>
                <w:szCs w:val="20"/>
                <w:lang w:val="en-US" w:eastAsia="zh-CN" w:bidi="ar-SA"/>
              </w:rPr>
            </w:pPr>
            <w:r>
              <w:rPr>
                <w:rFonts w:hint="eastAsia" w:ascii="宋体" w:hAnsi="宋体" w:eastAsia="宋体" w:cs="宋体"/>
                <w:sz w:val="20"/>
                <w:szCs w:val="20"/>
              </w:rPr>
              <w:t>对推动“互联网+”发展的持续影响程度</w:t>
            </w:r>
          </w:p>
        </w:tc>
        <w:tc>
          <w:tcPr>
            <w:tcW w:w="4228" w:type="dxa"/>
            <w:gridSpan w:val="2"/>
            <w:tcBorders>
              <w:tl2br w:val="nil"/>
              <w:tr2bl w:val="nil"/>
            </w:tcBorders>
            <w:vAlign w:val="center"/>
          </w:tcPr>
          <w:p w14:paraId="3B1BCB70">
            <w:pPr>
              <w:jc w:val="center"/>
              <w:rPr>
                <w:rFonts w:hint="eastAsia" w:ascii="宋体" w:hAnsi="宋体" w:eastAsia="宋体" w:cs="宋体"/>
                <w:kern w:val="2"/>
                <w:sz w:val="20"/>
                <w:szCs w:val="20"/>
                <w:lang w:val="en-US" w:eastAsia="zh-CN" w:bidi="ar-SA"/>
              </w:rPr>
            </w:pPr>
            <w:r>
              <w:rPr>
                <w:rFonts w:hint="eastAsia" w:ascii="宋体" w:hAnsi="宋体" w:eastAsia="宋体" w:cs="宋体"/>
                <w:kern w:val="2"/>
                <w:sz w:val="20"/>
                <w:szCs w:val="20"/>
                <w:lang w:val="en-US" w:eastAsia="zh-CN" w:bidi="ar-SA"/>
              </w:rPr>
              <w:t>较高</w:t>
            </w:r>
          </w:p>
        </w:tc>
      </w:tr>
      <w:tr w14:paraId="5063D7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38" w:type="dxa"/>
            <w:vMerge w:val="continue"/>
            <w:tcBorders>
              <w:tl2br w:val="nil"/>
              <w:tr2bl w:val="nil"/>
            </w:tcBorders>
            <w:vAlign w:val="center"/>
          </w:tcPr>
          <w:p w14:paraId="0BE8850A">
            <w:pPr>
              <w:jc w:val="center"/>
              <w:rPr>
                <w:rFonts w:ascii="宋体" w:cs="宋体"/>
                <w:sz w:val="20"/>
              </w:rPr>
            </w:pPr>
          </w:p>
        </w:tc>
        <w:tc>
          <w:tcPr>
            <w:tcW w:w="723" w:type="dxa"/>
            <w:tcBorders>
              <w:tl2br w:val="nil"/>
              <w:tr2bl w:val="nil"/>
            </w:tcBorders>
            <w:vAlign w:val="center"/>
          </w:tcPr>
          <w:p w14:paraId="35772225">
            <w:pPr>
              <w:widowControl/>
              <w:spacing w:line="200" w:lineRule="exact"/>
              <w:jc w:val="center"/>
              <w:rPr>
                <w:rFonts w:hint="eastAsia" w:ascii="宋体" w:hAnsi="宋体" w:eastAsia="宋体" w:cs="宋体"/>
                <w:sz w:val="20"/>
              </w:rPr>
            </w:pPr>
            <w:r>
              <w:rPr>
                <w:rFonts w:hint="eastAsia" w:ascii="宋体" w:hAnsi="宋体" w:eastAsia="宋体" w:cs="宋体"/>
                <w:sz w:val="20"/>
              </w:rPr>
              <w:t>满意度指标</w:t>
            </w:r>
          </w:p>
        </w:tc>
        <w:tc>
          <w:tcPr>
            <w:tcW w:w="759" w:type="dxa"/>
            <w:gridSpan w:val="2"/>
            <w:tcBorders>
              <w:tl2br w:val="nil"/>
              <w:tr2bl w:val="nil"/>
            </w:tcBorders>
            <w:vAlign w:val="center"/>
          </w:tcPr>
          <w:p w14:paraId="06160FF3">
            <w:pPr>
              <w:widowControl/>
              <w:spacing w:line="200" w:lineRule="exact"/>
              <w:jc w:val="center"/>
              <w:rPr>
                <w:rFonts w:hint="eastAsia" w:ascii="宋体" w:hAnsi="宋体" w:eastAsia="宋体" w:cs="宋体"/>
                <w:sz w:val="20"/>
              </w:rPr>
            </w:pPr>
            <w:r>
              <w:rPr>
                <w:rFonts w:hint="eastAsia" w:ascii="宋体" w:hAnsi="宋体" w:eastAsia="宋体" w:cs="宋体"/>
                <w:sz w:val="20"/>
              </w:rPr>
              <w:t>满意度指标</w:t>
            </w:r>
          </w:p>
        </w:tc>
        <w:tc>
          <w:tcPr>
            <w:tcW w:w="2872" w:type="dxa"/>
            <w:tcBorders>
              <w:tl2br w:val="nil"/>
              <w:tr2bl w:val="nil"/>
            </w:tcBorders>
            <w:vAlign w:val="center"/>
          </w:tcPr>
          <w:p w14:paraId="257B8E66">
            <w:pPr>
              <w:rPr>
                <w:rFonts w:hint="eastAsia" w:ascii="宋体" w:hAnsi="宋体" w:eastAsia="宋体" w:cs="宋体"/>
                <w:kern w:val="2"/>
                <w:sz w:val="20"/>
                <w:szCs w:val="20"/>
                <w:lang w:val="en-US" w:eastAsia="zh-CN" w:bidi="ar-SA"/>
              </w:rPr>
            </w:pPr>
            <w:r>
              <w:rPr>
                <w:rFonts w:hint="eastAsia" w:ascii="宋体" w:hAnsi="宋体" w:eastAsia="宋体" w:cs="宋体"/>
                <w:sz w:val="20"/>
                <w:szCs w:val="20"/>
              </w:rPr>
              <w:t>公众满意度</w:t>
            </w:r>
          </w:p>
        </w:tc>
        <w:tc>
          <w:tcPr>
            <w:tcW w:w="4228" w:type="dxa"/>
            <w:gridSpan w:val="2"/>
            <w:tcBorders>
              <w:tl2br w:val="nil"/>
              <w:tr2bl w:val="nil"/>
            </w:tcBorders>
            <w:vAlign w:val="center"/>
          </w:tcPr>
          <w:p w14:paraId="022CEAB4">
            <w:pPr>
              <w:jc w:val="center"/>
              <w:rPr>
                <w:rFonts w:hint="eastAsia" w:ascii="宋体" w:hAnsi="宋体" w:eastAsia="宋体" w:cs="宋体"/>
                <w:kern w:val="2"/>
                <w:sz w:val="20"/>
                <w:szCs w:val="20"/>
                <w:lang w:val="en-US" w:eastAsia="zh-CN" w:bidi="ar-SA"/>
              </w:rPr>
            </w:pPr>
            <w:r>
              <w:rPr>
                <w:rFonts w:hint="eastAsia" w:ascii="宋体" w:hAnsi="宋体" w:eastAsia="宋体" w:cs="宋体"/>
                <w:sz w:val="20"/>
                <w:szCs w:val="20"/>
              </w:rPr>
              <w:t>≧</w:t>
            </w:r>
            <w:r>
              <w:rPr>
                <w:rFonts w:hint="eastAsia" w:ascii="宋体" w:hAnsi="宋体" w:eastAsia="宋体" w:cs="宋体"/>
                <w:sz w:val="20"/>
                <w:szCs w:val="20"/>
                <w:lang w:val="en-US" w:eastAsia="zh-CN"/>
              </w:rPr>
              <w:t>95%</w:t>
            </w:r>
          </w:p>
        </w:tc>
      </w:tr>
    </w:tbl>
    <w:p w14:paraId="4FF90A73">
      <w:pPr>
        <w:keepNext w:val="0"/>
        <w:keepLines w:val="0"/>
        <w:pageBreakBefore w:val="0"/>
        <w:kinsoku/>
        <w:wordWrap/>
        <w:overflowPunct/>
        <w:topLinePunct w:val="0"/>
        <w:autoSpaceDE/>
        <w:autoSpaceDN/>
        <w:bidi w:val="0"/>
        <w:adjustRightInd/>
        <w:snapToGrid w:val="0"/>
        <w:spacing w:beforeAutospacing="0" w:afterAutospacing="0" w:line="560" w:lineRule="exact"/>
        <w:ind w:firstLine="643" w:firstLineChars="200"/>
        <w:textAlignment w:val="auto"/>
        <w:rPr>
          <w:rFonts w:hint="eastAsia" w:ascii="仿宋" w:hAnsi="仿宋" w:eastAsia="仿宋" w:cs="仿宋"/>
          <w:b/>
          <w:sz w:val="32"/>
          <w:szCs w:val="32"/>
        </w:rPr>
      </w:pPr>
      <w:r>
        <w:rPr>
          <w:rFonts w:hint="eastAsia" w:ascii="仿宋" w:hAnsi="仿宋" w:eastAsia="仿宋" w:cs="仿宋"/>
          <w:b/>
          <w:sz w:val="32"/>
          <w:szCs w:val="32"/>
        </w:rPr>
        <w:t>（二）机关运行经费。</w:t>
      </w:r>
    </w:p>
    <w:p w14:paraId="405C1264">
      <w:pPr>
        <w:keepNext w:val="0"/>
        <w:keepLines w:val="0"/>
        <w:pageBreakBefore w:val="0"/>
        <w:kinsoku/>
        <w:wordWrap/>
        <w:overflowPunct/>
        <w:topLinePunct w:val="0"/>
        <w:autoSpaceDE/>
        <w:autoSpaceDN/>
        <w:bidi w:val="0"/>
        <w:adjustRightInd/>
        <w:spacing w:beforeAutospacing="0" w:afterAutospacing="0"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bCs/>
          <w:sz w:val="32"/>
          <w:szCs w:val="32"/>
        </w:rPr>
        <w:t>淮北市生态环境保护综合行政执法支队</w:t>
      </w:r>
      <w:r>
        <w:rPr>
          <w:rFonts w:hint="eastAsia" w:ascii="仿宋" w:hAnsi="仿宋" w:eastAsia="仿宋" w:cs="仿宋"/>
          <w:kern w:val="0"/>
          <w:sz w:val="32"/>
          <w:szCs w:val="32"/>
        </w:rPr>
        <w:t>为非参照公务员法管理的事业单位，按照部门预算机关运行经费口径，2025年无机关运行经费财政拨款预算。</w:t>
      </w:r>
    </w:p>
    <w:p w14:paraId="4C65564A">
      <w:pPr>
        <w:keepNext w:val="0"/>
        <w:keepLines w:val="0"/>
        <w:pageBreakBefore w:val="0"/>
        <w:kinsoku/>
        <w:wordWrap/>
        <w:overflowPunct/>
        <w:topLinePunct w:val="0"/>
        <w:autoSpaceDE/>
        <w:autoSpaceDN/>
        <w:bidi w:val="0"/>
        <w:adjustRightInd/>
        <w:snapToGrid w:val="0"/>
        <w:spacing w:beforeAutospacing="0" w:afterAutospacing="0" w:line="560" w:lineRule="exact"/>
        <w:ind w:firstLine="643" w:firstLineChars="200"/>
        <w:textAlignment w:val="auto"/>
        <w:rPr>
          <w:rFonts w:hint="eastAsia" w:ascii="仿宋" w:hAnsi="仿宋" w:eastAsia="仿宋" w:cs="仿宋"/>
          <w:b/>
          <w:sz w:val="32"/>
          <w:szCs w:val="32"/>
        </w:rPr>
      </w:pPr>
      <w:r>
        <w:rPr>
          <w:rFonts w:hint="eastAsia" w:ascii="仿宋" w:hAnsi="仿宋" w:eastAsia="仿宋" w:cs="仿宋"/>
          <w:b/>
          <w:sz w:val="32"/>
          <w:szCs w:val="32"/>
        </w:rPr>
        <w:t>（三）政府采购情况。</w:t>
      </w:r>
    </w:p>
    <w:p w14:paraId="44B96383">
      <w:pPr>
        <w:keepNext w:val="0"/>
        <w:keepLines w:val="0"/>
        <w:pageBreakBefore w:val="0"/>
        <w:kinsoku/>
        <w:wordWrap/>
        <w:overflowPunct/>
        <w:topLinePunct w:val="0"/>
        <w:autoSpaceDE/>
        <w:autoSpaceDN/>
        <w:bidi w:val="0"/>
        <w:adjustRightInd/>
        <w:spacing w:beforeAutospacing="0" w:afterAutospacing="0"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bCs/>
          <w:sz w:val="32"/>
          <w:szCs w:val="32"/>
        </w:rPr>
        <w:t>淮北市生态环境保护综合行政执法支队</w:t>
      </w:r>
      <w:r>
        <w:rPr>
          <w:rFonts w:hint="eastAsia" w:ascii="仿宋" w:hAnsi="仿宋" w:eastAsia="仿宋" w:cs="仿宋"/>
          <w:kern w:val="0"/>
          <w:sz w:val="32"/>
          <w:szCs w:val="32"/>
        </w:rPr>
        <w:t>2025年政府采购预算</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万元。其中：政府采购货物预算</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万元，政府采购工程预算</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万元，政府采购服务预算</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万元。</w:t>
      </w:r>
    </w:p>
    <w:p w14:paraId="33510564">
      <w:pPr>
        <w:keepNext w:val="0"/>
        <w:keepLines w:val="0"/>
        <w:pageBreakBefore w:val="0"/>
        <w:kinsoku/>
        <w:wordWrap/>
        <w:overflowPunct/>
        <w:topLinePunct w:val="0"/>
        <w:autoSpaceDE/>
        <w:autoSpaceDN/>
        <w:bidi w:val="0"/>
        <w:adjustRightInd/>
        <w:snapToGrid w:val="0"/>
        <w:spacing w:beforeAutospacing="0" w:afterAutospacing="0" w:line="560" w:lineRule="exact"/>
        <w:ind w:firstLine="643" w:firstLineChars="200"/>
        <w:textAlignment w:val="auto"/>
        <w:rPr>
          <w:rFonts w:hint="eastAsia" w:ascii="仿宋" w:hAnsi="仿宋" w:eastAsia="仿宋" w:cs="仿宋"/>
          <w:b/>
          <w:sz w:val="32"/>
          <w:szCs w:val="32"/>
        </w:rPr>
      </w:pPr>
      <w:r>
        <w:rPr>
          <w:rFonts w:hint="eastAsia" w:ascii="仿宋" w:hAnsi="仿宋" w:eastAsia="仿宋" w:cs="仿宋"/>
          <w:b/>
          <w:sz w:val="32"/>
          <w:szCs w:val="32"/>
        </w:rPr>
        <w:t>（四）国有资产占有使用情况。</w:t>
      </w:r>
    </w:p>
    <w:p w14:paraId="419C160E">
      <w:pPr>
        <w:keepNext w:val="0"/>
        <w:keepLines w:val="0"/>
        <w:pageBreakBefore w:val="0"/>
        <w:kinsoku/>
        <w:wordWrap/>
        <w:overflowPunct/>
        <w:topLinePunct w:val="0"/>
        <w:autoSpaceDE/>
        <w:autoSpaceDN/>
        <w:bidi w:val="0"/>
        <w:adjustRightInd/>
        <w:spacing w:beforeAutospacing="0" w:afterAutospacing="0"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截至2024年12月31日，</w:t>
      </w:r>
      <w:r>
        <w:rPr>
          <w:rFonts w:hint="eastAsia" w:ascii="仿宋" w:hAnsi="仿宋" w:eastAsia="仿宋" w:cs="仿宋"/>
          <w:bCs/>
          <w:sz w:val="32"/>
          <w:szCs w:val="32"/>
        </w:rPr>
        <w:t>淮北市生态环境保护综合行政执法支队</w:t>
      </w:r>
      <w:r>
        <w:rPr>
          <w:rFonts w:hint="eastAsia" w:ascii="仿宋" w:hAnsi="仿宋" w:eastAsia="仿宋" w:cs="仿宋"/>
          <w:kern w:val="0"/>
          <w:sz w:val="32"/>
          <w:szCs w:val="32"/>
        </w:rPr>
        <w:t>共有车辆</w:t>
      </w:r>
      <w:r>
        <w:rPr>
          <w:rFonts w:hint="eastAsia" w:ascii="仿宋" w:hAnsi="仿宋" w:eastAsia="仿宋" w:cs="仿宋"/>
          <w:kern w:val="0"/>
          <w:sz w:val="32"/>
          <w:szCs w:val="32"/>
          <w:lang w:val="en-US" w:eastAsia="zh-CN"/>
        </w:rPr>
        <w:t>5</w:t>
      </w:r>
      <w:r>
        <w:rPr>
          <w:rFonts w:hint="eastAsia" w:ascii="仿宋" w:hAnsi="仿宋" w:eastAsia="仿宋" w:cs="仿宋"/>
          <w:kern w:val="0"/>
          <w:sz w:val="32"/>
          <w:szCs w:val="32"/>
        </w:rPr>
        <w:t>辆，其他用车</w:t>
      </w:r>
      <w:r>
        <w:rPr>
          <w:rFonts w:hint="eastAsia" w:ascii="仿宋" w:hAnsi="仿宋" w:eastAsia="仿宋" w:cs="仿宋"/>
          <w:kern w:val="0"/>
          <w:sz w:val="32"/>
          <w:szCs w:val="32"/>
          <w:lang w:val="en-US" w:eastAsia="zh-CN"/>
        </w:rPr>
        <w:t>5</w:t>
      </w:r>
      <w:r>
        <w:rPr>
          <w:rFonts w:hint="eastAsia" w:ascii="仿宋" w:hAnsi="仿宋" w:eastAsia="仿宋" w:cs="仿宋"/>
          <w:kern w:val="0"/>
          <w:sz w:val="32"/>
          <w:szCs w:val="32"/>
        </w:rPr>
        <w:t>辆。单价50万元以上的通用设备</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台（套），单价100万元以上的专用设备</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台（套）。</w:t>
      </w:r>
    </w:p>
    <w:p w14:paraId="62095D52">
      <w:pPr>
        <w:keepNext w:val="0"/>
        <w:keepLines w:val="0"/>
        <w:pageBreakBefore w:val="0"/>
        <w:kinsoku/>
        <w:wordWrap/>
        <w:overflowPunct/>
        <w:topLinePunct w:val="0"/>
        <w:autoSpaceDE/>
        <w:autoSpaceDN/>
        <w:bidi w:val="0"/>
        <w:adjustRightInd/>
        <w:spacing w:beforeAutospacing="0" w:afterAutospacing="0"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2025年单位预算安排购置公务用车</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辆，购置费</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万元；安排购置单价50万元以上的通用设备</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台（套），购置费</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万元；安排购置单价100万元以上专用设备</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台（套），购置费</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万元。</w:t>
      </w:r>
    </w:p>
    <w:p w14:paraId="59AB3F68">
      <w:pPr>
        <w:keepNext w:val="0"/>
        <w:keepLines w:val="0"/>
        <w:pageBreakBefore w:val="0"/>
        <w:kinsoku/>
        <w:wordWrap/>
        <w:overflowPunct/>
        <w:topLinePunct w:val="0"/>
        <w:autoSpaceDE/>
        <w:autoSpaceDN/>
        <w:bidi w:val="0"/>
        <w:adjustRightInd/>
        <w:snapToGrid w:val="0"/>
        <w:spacing w:beforeAutospacing="0" w:afterAutospacing="0" w:line="560" w:lineRule="exact"/>
        <w:ind w:firstLine="643" w:firstLineChars="200"/>
        <w:textAlignment w:val="auto"/>
        <w:rPr>
          <w:rFonts w:hint="eastAsia" w:ascii="仿宋" w:hAnsi="仿宋" w:eastAsia="仿宋" w:cs="仿宋"/>
          <w:b/>
          <w:sz w:val="32"/>
          <w:szCs w:val="32"/>
        </w:rPr>
      </w:pPr>
      <w:r>
        <w:rPr>
          <w:rFonts w:hint="eastAsia" w:ascii="仿宋" w:hAnsi="仿宋" w:eastAsia="仿宋" w:cs="仿宋"/>
          <w:b/>
          <w:sz w:val="32"/>
          <w:szCs w:val="32"/>
        </w:rPr>
        <w:t>（五）绩效目标设置情况。</w:t>
      </w:r>
    </w:p>
    <w:p w14:paraId="38B86401">
      <w:pPr>
        <w:keepNext w:val="0"/>
        <w:keepLines w:val="0"/>
        <w:pageBreakBefore w:val="0"/>
        <w:kinsoku/>
        <w:wordWrap/>
        <w:overflowPunct/>
        <w:topLinePunct w:val="0"/>
        <w:autoSpaceDE/>
        <w:autoSpaceDN/>
        <w:bidi w:val="0"/>
        <w:adjustRightInd/>
        <w:spacing w:beforeAutospacing="0" w:afterAutospacing="0"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2025年，</w:t>
      </w:r>
      <w:r>
        <w:rPr>
          <w:rFonts w:hint="eastAsia" w:ascii="仿宋" w:hAnsi="仿宋" w:eastAsia="仿宋" w:cs="仿宋"/>
          <w:bCs/>
          <w:sz w:val="32"/>
          <w:szCs w:val="32"/>
        </w:rPr>
        <w:t>淮北市生态环境保护综合行政执法支队</w:t>
      </w:r>
      <w:r>
        <w:rPr>
          <w:rFonts w:hint="eastAsia" w:ascii="仿宋" w:hAnsi="仿宋" w:eastAsia="仿宋" w:cs="仿宋"/>
          <w:bCs/>
          <w:sz w:val="32"/>
          <w:szCs w:val="32"/>
          <w:lang w:val="en-US" w:eastAsia="zh-CN"/>
        </w:rPr>
        <w:t>5</w:t>
      </w:r>
      <w:r>
        <w:rPr>
          <w:rFonts w:hint="eastAsia" w:ascii="仿宋" w:hAnsi="仿宋" w:eastAsia="仿宋" w:cs="仿宋"/>
          <w:kern w:val="0"/>
          <w:sz w:val="32"/>
          <w:szCs w:val="32"/>
        </w:rPr>
        <w:t>个项目实行了绩效目标管理，涉及一般公共预算当年财政拨款</w:t>
      </w:r>
      <w:r>
        <w:rPr>
          <w:rFonts w:hint="eastAsia" w:ascii="仿宋" w:hAnsi="仿宋" w:eastAsia="仿宋" w:cs="仿宋"/>
          <w:kern w:val="0"/>
          <w:sz w:val="32"/>
          <w:szCs w:val="32"/>
          <w:lang w:val="en-US" w:eastAsia="zh-CN"/>
        </w:rPr>
        <w:t>178.83</w:t>
      </w:r>
      <w:r>
        <w:rPr>
          <w:rFonts w:hint="eastAsia" w:ascii="仿宋" w:hAnsi="仿宋" w:eastAsia="仿宋" w:cs="仿宋"/>
          <w:kern w:val="0"/>
          <w:sz w:val="32"/>
          <w:szCs w:val="32"/>
        </w:rPr>
        <w:t>万元、政府性基金预算当年财政拨款</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万元、财政专户管理资金当年安排</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万元。</w:t>
      </w:r>
    </w:p>
    <w:p w14:paraId="2E5FB0C3">
      <w:pPr>
        <w:pStyle w:val="6"/>
        <w:adjustRightInd w:val="0"/>
        <w:snapToGrid w:val="0"/>
        <w:spacing w:line="560" w:lineRule="exact"/>
        <w:jc w:val="center"/>
        <w:rPr>
          <w:rFonts w:ascii="TimesNewRoman" w:hAnsi="TimesNewRoman" w:eastAsia="黑体" w:cs="TimesNewRoman"/>
          <w:bCs/>
          <w:sz w:val="36"/>
          <w:szCs w:val="36"/>
        </w:rPr>
      </w:pPr>
    </w:p>
    <w:p w14:paraId="435FF118">
      <w:pPr>
        <w:pStyle w:val="6"/>
        <w:adjustRightInd w:val="0"/>
        <w:snapToGrid w:val="0"/>
        <w:spacing w:line="560" w:lineRule="exact"/>
        <w:jc w:val="center"/>
        <w:rPr>
          <w:rFonts w:ascii="TimesNewRoman" w:hAnsi="TimesNewRoman" w:eastAsia="黑体" w:cs="TimesNewRoman"/>
          <w:bCs/>
          <w:sz w:val="36"/>
          <w:szCs w:val="36"/>
        </w:rPr>
      </w:pPr>
      <w:r>
        <w:rPr>
          <w:rFonts w:hint="eastAsia" w:ascii="TimesNewRoman" w:hAnsi="TimesNewRoman" w:eastAsia="黑体" w:cs="TimesNewRoman"/>
          <w:bCs/>
          <w:sz w:val="36"/>
          <w:szCs w:val="36"/>
        </w:rPr>
        <w:t>第四部分 名词解释</w:t>
      </w:r>
    </w:p>
    <w:p w14:paraId="3F0C5F02"/>
    <w:p w14:paraId="2852AFF3">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sz w:val="32"/>
          <w:szCs w:val="32"/>
        </w:rPr>
      </w:pPr>
      <w:r>
        <w:rPr>
          <w:rFonts w:hint="eastAsia" w:ascii="仿宋" w:hAnsi="仿宋" w:eastAsia="仿宋" w:cs="仿宋"/>
          <w:b/>
          <w:sz w:val="32"/>
          <w:szCs w:val="32"/>
        </w:rPr>
        <w:t>一、财政拨款收入：</w:t>
      </w:r>
      <w:r>
        <w:rPr>
          <w:rFonts w:hint="eastAsia" w:ascii="仿宋" w:hAnsi="仿宋" w:eastAsia="仿宋" w:cs="仿宋"/>
          <w:sz w:val="32"/>
          <w:szCs w:val="32"/>
        </w:rPr>
        <w:t>指部门或单位从同级财政部门取得的财政预算资金。</w:t>
      </w:r>
    </w:p>
    <w:p w14:paraId="33827F9D">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sz w:val="32"/>
          <w:szCs w:val="32"/>
        </w:rPr>
      </w:pPr>
      <w:r>
        <w:rPr>
          <w:rFonts w:hint="eastAsia" w:ascii="仿宋" w:hAnsi="仿宋" w:eastAsia="仿宋" w:cs="仿宋"/>
          <w:b/>
          <w:sz w:val="32"/>
          <w:szCs w:val="32"/>
        </w:rPr>
        <w:t>二、事业收入：</w:t>
      </w:r>
      <w:r>
        <w:rPr>
          <w:rFonts w:hint="eastAsia" w:ascii="仿宋" w:hAnsi="仿宋" w:eastAsia="仿宋" w:cs="仿宋"/>
          <w:sz w:val="32"/>
          <w:szCs w:val="32"/>
        </w:rPr>
        <w:t>指事业单位开展专业业务活动及辅助活动所取得的收入。</w:t>
      </w:r>
    </w:p>
    <w:p w14:paraId="75E13422">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sz w:val="32"/>
          <w:szCs w:val="32"/>
        </w:rPr>
      </w:pPr>
      <w:r>
        <w:rPr>
          <w:rFonts w:hint="eastAsia" w:ascii="仿宋" w:hAnsi="仿宋" w:eastAsia="仿宋" w:cs="仿宋"/>
          <w:b/>
          <w:sz w:val="32"/>
          <w:szCs w:val="32"/>
        </w:rPr>
        <w:t>三、财政专户管理资金：</w:t>
      </w:r>
      <w:r>
        <w:rPr>
          <w:rFonts w:hint="eastAsia" w:ascii="仿宋" w:hAnsi="仿宋" w:eastAsia="仿宋" w:cs="仿宋"/>
          <w:sz w:val="32"/>
          <w:szCs w:val="32"/>
        </w:rPr>
        <w:t>指按照非税收入管理相关规定，纳入财政专户管理的教育收费等。</w:t>
      </w:r>
    </w:p>
    <w:p w14:paraId="02145C0C">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sz w:val="32"/>
          <w:szCs w:val="32"/>
        </w:rPr>
      </w:pPr>
      <w:r>
        <w:rPr>
          <w:rFonts w:hint="eastAsia" w:ascii="仿宋" w:hAnsi="仿宋" w:eastAsia="仿宋" w:cs="仿宋"/>
          <w:b/>
          <w:sz w:val="32"/>
          <w:szCs w:val="32"/>
        </w:rPr>
        <w:t>四、事业单位经营收入：</w:t>
      </w:r>
      <w:r>
        <w:rPr>
          <w:rFonts w:hint="eastAsia" w:ascii="仿宋" w:hAnsi="仿宋" w:eastAsia="仿宋" w:cs="仿宋"/>
          <w:sz w:val="32"/>
          <w:szCs w:val="32"/>
        </w:rPr>
        <w:t>指事业单位在专业业务活动及其辅助活动之外开展非独立核算经营活动取得的收入。</w:t>
      </w:r>
    </w:p>
    <w:p w14:paraId="639A0A4C">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sz w:val="32"/>
          <w:szCs w:val="32"/>
        </w:rPr>
      </w:pPr>
      <w:r>
        <w:rPr>
          <w:rFonts w:hint="eastAsia" w:ascii="仿宋" w:hAnsi="仿宋" w:eastAsia="仿宋" w:cs="仿宋"/>
          <w:b/>
          <w:sz w:val="32"/>
          <w:szCs w:val="32"/>
        </w:rPr>
        <w:t>五、附属单位上缴收入：</w:t>
      </w:r>
      <w:r>
        <w:rPr>
          <w:rFonts w:hint="eastAsia" w:ascii="仿宋" w:hAnsi="仿宋" w:eastAsia="仿宋" w:cs="仿宋"/>
          <w:sz w:val="32"/>
          <w:szCs w:val="32"/>
        </w:rPr>
        <w:t>本单位所属下级单位上缴给本单位的全部收入。</w:t>
      </w:r>
    </w:p>
    <w:p w14:paraId="351B4263">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sz w:val="32"/>
          <w:szCs w:val="32"/>
        </w:rPr>
      </w:pPr>
      <w:r>
        <w:rPr>
          <w:rFonts w:hint="eastAsia" w:ascii="仿宋" w:hAnsi="仿宋" w:eastAsia="仿宋" w:cs="仿宋"/>
          <w:b/>
          <w:sz w:val="32"/>
          <w:szCs w:val="32"/>
        </w:rPr>
        <w:t>六、上年结转：</w:t>
      </w:r>
      <w:r>
        <w:rPr>
          <w:rFonts w:hint="eastAsia" w:ascii="仿宋" w:hAnsi="仿宋" w:eastAsia="仿宋" w:cs="仿宋"/>
          <w:sz w:val="32"/>
          <w:szCs w:val="32"/>
        </w:rPr>
        <w:t>指以前年度安排、结转到本年仍按原用途继续使用的资金。</w:t>
      </w:r>
    </w:p>
    <w:p w14:paraId="2DEA1B9A">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sz w:val="32"/>
          <w:szCs w:val="32"/>
        </w:rPr>
      </w:pPr>
      <w:r>
        <w:rPr>
          <w:rFonts w:hint="eastAsia" w:ascii="仿宋" w:hAnsi="仿宋" w:eastAsia="仿宋" w:cs="仿宋"/>
          <w:b/>
          <w:sz w:val="32"/>
          <w:szCs w:val="32"/>
        </w:rPr>
        <w:t>七、结转下年：</w:t>
      </w:r>
      <w:r>
        <w:rPr>
          <w:rFonts w:hint="eastAsia" w:ascii="仿宋" w:hAnsi="仿宋" w:eastAsia="仿宋" w:cs="仿宋"/>
          <w:sz w:val="32"/>
          <w:szCs w:val="32"/>
        </w:rPr>
        <w:t>指以前年度预算安排、因客观条件发生变化无法按原计划实施，需以后年度按原用途继续使用的资金。</w:t>
      </w:r>
    </w:p>
    <w:p w14:paraId="0AA6802D">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sz w:val="32"/>
          <w:szCs w:val="32"/>
        </w:rPr>
      </w:pPr>
      <w:r>
        <w:rPr>
          <w:rFonts w:hint="eastAsia" w:ascii="仿宋" w:hAnsi="仿宋" w:eastAsia="仿宋" w:cs="仿宋"/>
          <w:b/>
          <w:sz w:val="32"/>
          <w:szCs w:val="32"/>
        </w:rPr>
        <w:t>八、基本支出：</w:t>
      </w:r>
      <w:r>
        <w:rPr>
          <w:rFonts w:hint="eastAsia" w:ascii="仿宋" w:hAnsi="仿宋" w:eastAsia="仿宋" w:cs="仿宋"/>
          <w:sz w:val="32"/>
          <w:szCs w:val="32"/>
        </w:rPr>
        <w:t>指为保障机构正常运转、完成日常工作任务而发生的人员支出和公用支出。</w:t>
      </w:r>
    </w:p>
    <w:p w14:paraId="699DE279">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sz w:val="32"/>
          <w:szCs w:val="32"/>
        </w:rPr>
      </w:pPr>
      <w:r>
        <w:rPr>
          <w:rFonts w:hint="eastAsia" w:ascii="仿宋" w:hAnsi="仿宋" w:eastAsia="仿宋" w:cs="仿宋"/>
          <w:b/>
          <w:sz w:val="32"/>
          <w:szCs w:val="32"/>
        </w:rPr>
        <w:t>九、项目支出：</w:t>
      </w:r>
      <w:r>
        <w:rPr>
          <w:rFonts w:hint="eastAsia" w:ascii="仿宋" w:hAnsi="仿宋" w:eastAsia="仿宋" w:cs="仿宋"/>
          <w:sz w:val="32"/>
          <w:szCs w:val="32"/>
        </w:rPr>
        <w:t>指在除基本支出之外的支出，主要用于完成特定的工作任务和事业发展目标。</w:t>
      </w:r>
    </w:p>
    <w:p w14:paraId="428CE8F2">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sz w:val="32"/>
          <w:szCs w:val="32"/>
        </w:rPr>
      </w:pPr>
      <w:r>
        <w:rPr>
          <w:rFonts w:hint="eastAsia" w:ascii="仿宋" w:hAnsi="仿宋" w:eastAsia="仿宋" w:cs="仿宋"/>
          <w:b/>
          <w:sz w:val="32"/>
          <w:szCs w:val="32"/>
        </w:rPr>
        <w:t xml:space="preserve">十、机关运行经费: </w:t>
      </w:r>
      <w:r>
        <w:rPr>
          <w:rFonts w:hint="eastAsia" w:ascii="仿宋" w:hAnsi="仿宋" w:eastAsia="仿宋" w:cs="仿宋"/>
          <w:sz w:val="32"/>
          <w:szCs w:val="32"/>
        </w:rPr>
        <w:t>为保障行政单位（包括参照公务员法管理的事业单位）运行用于购买货物和服务的各项资金，包括办公及印刷费、邮电费、差旅费、会议费、福利费、日常维修费、一般设备购置费、办公用房水电费、办公用房取暖费、办公用房物业管理费、公务用车运行维护费以及其他费用。</w:t>
      </w:r>
    </w:p>
    <w:p w14:paraId="707483CD"/>
    <w:sectPr>
      <w:pgSz w:w="11906" w:h="16838"/>
      <w:pgMar w:top="1304" w:right="1134" w:bottom="1304" w:left="124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TimesNewRoman">
    <w:altName w:val="Segoe Print"/>
    <w:panose1 w:val="00000000000000000000"/>
    <w:charset w:val="00"/>
    <w:family w:val="auto"/>
    <w:pitch w:val="default"/>
    <w:sig w:usb0="00000000" w:usb1="00000000" w:usb2="00000029" w:usb3="00000000" w:csb0="600001FF" w:csb1="FFFF0000"/>
  </w:font>
  <w:font w:name="Segoe Print">
    <w:panose1 w:val="02000600000000000000"/>
    <w:charset w:val="00"/>
    <w:family w:val="auto"/>
    <w:pitch w:val="default"/>
    <w:sig w:usb0="0000028F" w:usb1="00000000" w:usb2="00000000" w:usb3="00000000" w:csb0="2000009F" w:csb1="4701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E907C4"/>
    <w:rsid w:val="000E28EE"/>
    <w:rsid w:val="00267E33"/>
    <w:rsid w:val="004A4DC6"/>
    <w:rsid w:val="0057562B"/>
    <w:rsid w:val="006546AF"/>
    <w:rsid w:val="00726D96"/>
    <w:rsid w:val="00740B10"/>
    <w:rsid w:val="007862C0"/>
    <w:rsid w:val="008F6D1A"/>
    <w:rsid w:val="009168AC"/>
    <w:rsid w:val="009A3CA3"/>
    <w:rsid w:val="00AE3242"/>
    <w:rsid w:val="00B468F1"/>
    <w:rsid w:val="00B964EC"/>
    <w:rsid w:val="00BD640A"/>
    <w:rsid w:val="00DB2A5C"/>
    <w:rsid w:val="00E907C4"/>
    <w:rsid w:val="00EC7755"/>
    <w:rsid w:val="00F45ECB"/>
    <w:rsid w:val="00F974AD"/>
    <w:rsid w:val="00FB5D55"/>
    <w:rsid w:val="0850648A"/>
    <w:rsid w:val="0AAB267A"/>
    <w:rsid w:val="1F222A6A"/>
    <w:rsid w:val="1FD34C93"/>
    <w:rsid w:val="220E33CD"/>
    <w:rsid w:val="23F43032"/>
    <w:rsid w:val="267A11BB"/>
    <w:rsid w:val="2D5E35E4"/>
    <w:rsid w:val="323E7BAF"/>
    <w:rsid w:val="358C7C03"/>
    <w:rsid w:val="380B7D3A"/>
    <w:rsid w:val="398338C6"/>
    <w:rsid w:val="3CAF7548"/>
    <w:rsid w:val="3FC574F3"/>
    <w:rsid w:val="420671D4"/>
    <w:rsid w:val="42BB36EC"/>
    <w:rsid w:val="45B1654F"/>
    <w:rsid w:val="4611108E"/>
    <w:rsid w:val="5213279C"/>
    <w:rsid w:val="53476745"/>
    <w:rsid w:val="580544D9"/>
    <w:rsid w:val="5F875E59"/>
    <w:rsid w:val="5FB27990"/>
    <w:rsid w:val="60D31244"/>
    <w:rsid w:val="610179CF"/>
    <w:rsid w:val="610213BD"/>
    <w:rsid w:val="67152A66"/>
    <w:rsid w:val="709119F6"/>
    <w:rsid w:val="762A0CE3"/>
    <w:rsid w:val="7D043D6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qFormat="1" w:unhideWhenUsed="0" w:uiPriority="99" w:semiHidden="0"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Plain Text"/>
    <w:basedOn w:val="1"/>
    <w:qFormat/>
    <w:uiPriority w:val="0"/>
    <w:rPr>
      <w:rFonts w:hAnsi="Courier New"/>
    </w:rPr>
  </w:style>
  <w:style w:type="paragraph" w:styleId="3">
    <w:name w:val="Body Text Indent 2"/>
    <w:basedOn w:val="1"/>
    <w:next w:val="1"/>
    <w:qFormat/>
    <w:uiPriority w:val="99"/>
    <w:pPr>
      <w:spacing w:after="120" w:line="480" w:lineRule="auto"/>
      <w:ind w:left="420" w:leftChars="200"/>
    </w:pPr>
    <w:rPr>
      <w:rFonts w:ascii="Calibri" w:hAnsi="Calibri" w:eastAsia="宋体" w:cs="Times New Roman"/>
      <w:szCs w:val="24"/>
    </w:rPr>
  </w:style>
  <w:style w:type="paragraph" w:styleId="4">
    <w:name w:val="footer"/>
    <w:basedOn w:val="1"/>
    <w:link w:val="10"/>
    <w:semiHidden/>
    <w:unhideWhenUsed/>
    <w:qFormat/>
    <w:uiPriority w:val="99"/>
    <w:pPr>
      <w:tabs>
        <w:tab w:val="center" w:pos="4153"/>
        <w:tab w:val="right" w:pos="8306"/>
      </w:tabs>
      <w:snapToGrid w:val="0"/>
      <w:jc w:val="left"/>
    </w:pPr>
    <w:rPr>
      <w:sz w:val="18"/>
      <w:szCs w:val="18"/>
    </w:rPr>
  </w:style>
  <w:style w:type="paragraph" w:styleId="5">
    <w:name w:val="header"/>
    <w:basedOn w:val="1"/>
    <w:link w:val="9"/>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9">
    <w:name w:val="页眉 Char"/>
    <w:basedOn w:val="8"/>
    <w:link w:val="5"/>
    <w:semiHidden/>
    <w:qFormat/>
    <w:uiPriority w:val="99"/>
    <w:rPr>
      <w:sz w:val="18"/>
      <w:szCs w:val="18"/>
    </w:rPr>
  </w:style>
  <w:style w:type="character" w:customStyle="1" w:styleId="10">
    <w:name w:val="页脚 Char"/>
    <w:basedOn w:val="8"/>
    <w:link w:val="4"/>
    <w:semiHidden/>
    <w:qFormat/>
    <w:uiPriority w:val="99"/>
    <w:rPr>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22</Pages>
  <Words>7843</Words>
  <Characters>8496</Characters>
  <Lines>48</Lines>
  <Paragraphs>13</Paragraphs>
  <TotalTime>10</TotalTime>
  <ScaleCrop>false</ScaleCrop>
  <LinksUpToDate>false</LinksUpToDate>
  <CharactersWithSpaces>8623</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2023-01-30T01:51:00Z</dcterms:created>
  <dc:creator>lenovo</dc:creator>
  <cp:lastModifiedBy>哦呼</cp:lastModifiedBy>
  <dcterms:modified xsi:type="dcterms:W3CDTF">2025-02-24T07:41:08Z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eyJoZGlkIjoiOGM2OGEzMWVkMDllMzZmNjUzNWVmMzQ5MTdhYmUyNWIiLCJ1c2VySWQiOiI1NjA5NzA0NzkifQ==</vt:lpwstr>
  </property>
  <property fmtid="{D5CDD505-2E9C-101B-9397-08002B2CF9AE}" pid="3" name="KSOProductBuildVer">
    <vt:lpwstr>2052-12.1.0.19770</vt:lpwstr>
  </property>
  <property fmtid="{D5CDD505-2E9C-101B-9397-08002B2CF9AE}" pid="4" name="ICV">
    <vt:lpwstr>EA8F26CB3E6946638B6B6B4728C642E4_12</vt:lpwstr>
  </property>
</Properties>
</file>