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2B341E">
      <w:pPr>
        <w:spacing w:line="560" w:lineRule="exact"/>
        <w:rPr>
          <w:rFonts w:hint="eastAsia" w:ascii="黑体" w:hAnsi="黑体" w:eastAsia="黑体" w:cs="黑体"/>
          <w:szCs w:val="32"/>
        </w:rPr>
      </w:pPr>
      <w:r>
        <w:rPr>
          <w:rFonts w:hint="eastAsia" w:ascii="黑体" w:hAnsi="黑体" w:eastAsia="黑体" w:cs="黑体"/>
          <w:szCs w:val="32"/>
        </w:rPr>
        <w:t>附件</w:t>
      </w:r>
      <w:r>
        <w:rPr>
          <w:rFonts w:hint="eastAsia" w:ascii="黑体" w:hAnsi="黑体" w:eastAsia="黑体" w:cs="黑体"/>
          <w:szCs w:val="32"/>
        </w:rPr>
        <w:t>1</w:t>
      </w:r>
      <w:r>
        <w:rPr>
          <w:rFonts w:hint="eastAsia" w:ascii="黑体" w:hAnsi="黑体" w:eastAsia="黑体" w:cs="黑体"/>
          <w:szCs w:val="32"/>
        </w:rPr>
        <w:t>-</w:t>
      </w:r>
      <w:r>
        <w:rPr>
          <w:rFonts w:hint="eastAsia" w:ascii="黑体" w:hAnsi="黑体" w:eastAsia="黑体" w:cs="黑体"/>
          <w:szCs w:val="32"/>
        </w:rPr>
        <w:t>1</w:t>
      </w:r>
    </w:p>
    <w:p w14:paraId="3F88B5C7"/>
    <w:p w14:paraId="6AC82D26"/>
    <w:p w14:paraId="55A15039"/>
    <w:p w14:paraId="0E398EA4"/>
    <w:p w14:paraId="5CF10D27"/>
    <w:p w14:paraId="038AC173"/>
    <w:p w14:paraId="357AFE20"/>
    <w:p w14:paraId="4B6D758D"/>
    <w:p w14:paraId="4F8EF15A">
      <w:pPr>
        <w:spacing w:line="560" w:lineRule="exact"/>
        <w:jc w:val="center"/>
        <w:rPr>
          <w:rFonts w:hint="eastAsia" w:ascii="黑体" w:hAnsi="黑体" w:eastAsia="黑体" w:cs="黑体"/>
          <w:b/>
          <w:sz w:val="44"/>
          <w:szCs w:val="44"/>
          <w:lang w:eastAsia="zh-CN"/>
        </w:rPr>
      </w:pPr>
      <w:r>
        <w:rPr>
          <w:rFonts w:hint="eastAsia" w:ascii="黑体" w:hAnsi="黑体" w:eastAsia="黑体" w:cs="黑体"/>
          <w:b/>
          <w:sz w:val="44"/>
          <w:szCs w:val="44"/>
          <w:lang w:eastAsia="zh-CN"/>
        </w:rPr>
        <w:t>濉溪县生态环境保护综合行政执法大队</w:t>
      </w:r>
    </w:p>
    <w:p w14:paraId="7A4B23CA">
      <w:pPr>
        <w:spacing w:line="560" w:lineRule="exact"/>
        <w:jc w:val="center"/>
        <w:rPr>
          <w:rFonts w:hint="eastAsia" w:ascii="黑体" w:hAnsi="黑体" w:eastAsia="黑体" w:cs="黑体"/>
          <w:b/>
          <w:sz w:val="44"/>
          <w:szCs w:val="44"/>
        </w:rPr>
      </w:pPr>
      <w:r>
        <w:rPr>
          <w:rFonts w:hint="eastAsia" w:ascii="黑体" w:hAnsi="黑体" w:eastAsia="黑体" w:cs="黑体"/>
          <w:b/>
          <w:bCs w:val="0"/>
          <w:kern w:val="0"/>
          <w:sz w:val="44"/>
          <w:szCs w:val="44"/>
          <w:lang w:val="en-US" w:eastAsia="zh-CN" w:bidi="ar-SA"/>
        </w:rPr>
        <w:t>2025</w:t>
      </w:r>
      <w:r>
        <w:rPr>
          <w:rFonts w:hint="eastAsia" w:ascii="黑体" w:hAnsi="黑体" w:eastAsia="黑体" w:cs="黑体"/>
          <w:b/>
          <w:sz w:val="44"/>
          <w:szCs w:val="44"/>
        </w:rPr>
        <w:t>年</w:t>
      </w:r>
      <w:r>
        <w:rPr>
          <w:rFonts w:hint="eastAsia" w:ascii="黑体" w:hAnsi="黑体" w:eastAsia="黑体" w:cs="黑体"/>
          <w:b/>
          <w:sz w:val="44"/>
          <w:szCs w:val="44"/>
          <w:lang w:eastAsia="zh-CN"/>
        </w:rPr>
        <w:t>单位</w:t>
      </w:r>
      <w:r>
        <w:rPr>
          <w:rFonts w:hint="eastAsia" w:ascii="黑体" w:hAnsi="黑体" w:eastAsia="黑体" w:cs="黑体"/>
          <w:b/>
          <w:sz w:val="44"/>
          <w:szCs w:val="44"/>
        </w:rPr>
        <w:t>预算</w:t>
      </w:r>
    </w:p>
    <w:p w14:paraId="6C53CCC8">
      <w:pPr>
        <w:rPr>
          <w:rFonts w:hint="eastAsia" w:ascii="黑体" w:hAnsi="黑体" w:eastAsia="黑体" w:cs="黑体"/>
          <w:sz w:val="44"/>
          <w:szCs w:val="44"/>
        </w:rPr>
      </w:pPr>
    </w:p>
    <w:p w14:paraId="664BF447"/>
    <w:p w14:paraId="5245BD1B"/>
    <w:p w14:paraId="0F38D5DF"/>
    <w:p w14:paraId="0BB78164"/>
    <w:p w14:paraId="788344DF"/>
    <w:p w14:paraId="3D6FD47C"/>
    <w:p w14:paraId="0C44EE07"/>
    <w:p w14:paraId="52FB6C68"/>
    <w:p w14:paraId="420777CF"/>
    <w:p w14:paraId="4B23F9F9"/>
    <w:p w14:paraId="24A728B5"/>
    <w:p w14:paraId="796A2845"/>
    <w:p w14:paraId="5A72650E"/>
    <w:p w14:paraId="2644FE09"/>
    <w:p w14:paraId="52B4E7E0"/>
    <w:p w14:paraId="6B98A330"/>
    <w:p w14:paraId="55BE00DD"/>
    <w:p w14:paraId="710B8B94"/>
    <w:p w14:paraId="0EC58C75"/>
    <w:p w14:paraId="36820615"/>
    <w:p w14:paraId="2C869962"/>
    <w:p w14:paraId="129FFFAB">
      <w:pPr>
        <w:pStyle w:val="6"/>
        <w:adjustRightInd w:val="0"/>
        <w:snapToGrid w:val="0"/>
        <w:spacing w:line="560" w:lineRule="exact"/>
        <w:jc w:val="center"/>
        <w:rPr>
          <w:rFonts w:ascii="TimesNewRoman" w:hAnsi="TimesNewRoman" w:eastAsia="黑体" w:cs="TimesNewRoman"/>
          <w:bCs/>
          <w:sz w:val="44"/>
          <w:szCs w:val="44"/>
        </w:rPr>
      </w:pPr>
    </w:p>
    <w:p w14:paraId="485A4089">
      <w:pPr>
        <w:pStyle w:val="6"/>
        <w:adjustRightInd w:val="0"/>
        <w:snapToGrid w:val="0"/>
        <w:spacing w:line="560" w:lineRule="exact"/>
        <w:jc w:val="center"/>
        <w:rPr>
          <w:rFonts w:hint="eastAsia" w:ascii="黑体" w:hAnsi="黑体" w:eastAsia="黑体" w:cs="黑体"/>
          <w:b/>
          <w:bCs w:val="0"/>
          <w:sz w:val="44"/>
          <w:szCs w:val="44"/>
        </w:rPr>
      </w:pPr>
      <w:r>
        <w:rPr>
          <w:rFonts w:hint="eastAsia" w:ascii="黑体" w:hAnsi="黑体" w:eastAsia="黑体" w:cs="黑体"/>
          <w:b/>
          <w:bCs w:val="0"/>
          <w:sz w:val="44"/>
          <w:szCs w:val="44"/>
          <w:lang w:eastAsia="zh-CN"/>
        </w:rPr>
        <w:t>2025</w:t>
      </w:r>
      <w:r>
        <w:rPr>
          <w:rFonts w:hint="eastAsia" w:ascii="黑体" w:hAnsi="黑体" w:eastAsia="黑体" w:cs="黑体"/>
          <w:b/>
          <w:bCs w:val="0"/>
          <w:sz w:val="44"/>
          <w:szCs w:val="44"/>
        </w:rPr>
        <w:t>年</w:t>
      </w:r>
      <w:r>
        <w:rPr>
          <w:rFonts w:hint="eastAsia" w:ascii="黑体" w:hAnsi="黑体" w:eastAsia="黑体" w:cs="黑体"/>
          <w:b/>
          <w:bCs w:val="0"/>
          <w:sz w:val="44"/>
          <w:szCs w:val="44"/>
          <w:lang w:val="en-US" w:eastAsia="zh-CN"/>
        </w:rPr>
        <w:t>2</w:t>
      </w:r>
      <w:r>
        <w:rPr>
          <w:rFonts w:hint="eastAsia" w:ascii="黑体" w:hAnsi="黑体" w:eastAsia="黑体" w:cs="黑体"/>
          <w:b/>
          <w:bCs w:val="0"/>
          <w:sz w:val="44"/>
          <w:szCs w:val="44"/>
        </w:rPr>
        <w:t>月</w:t>
      </w:r>
    </w:p>
    <w:p w14:paraId="0A2CEA73"/>
    <w:p w14:paraId="5B208FB3"/>
    <w:p w14:paraId="3D58C39C">
      <w:pPr>
        <w:pStyle w:val="6"/>
        <w:adjustRightInd w:val="0"/>
        <w:snapToGrid w:val="0"/>
        <w:spacing w:line="560" w:lineRule="exact"/>
        <w:jc w:val="center"/>
        <w:rPr>
          <w:rFonts w:ascii="TimesNewRoman" w:hAnsi="TimesNewRoman" w:eastAsia="黑体" w:cs="TimesNewRoman"/>
          <w:bCs/>
          <w:sz w:val="44"/>
          <w:szCs w:val="44"/>
        </w:rPr>
      </w:pPr>
      <w:r>
        <w:rPr>
          <w:rFonts w:hint="eastAsia" w:ascii="TimesNewRoman" w:hAnsi="TimesNewRoman" w:eastAsia="黑体" w:cs="TimesNewRoman"/>
          <w:bCs/>
          <w:sz w:val="44"/>
          <w:szCs w:val="44"/>
        </w:rPr>
        <w:t>目  录</w:t>
      </w:r>
    </w:p>
    <w:p w14:paraId="2D7A14F2"/>
    <w:p w14:paraId="70F1F036">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 xml:space="preserve">第一部分 </w:t>
      </w:r>
      <w:r>
        <w:rPr>
          <w:rFonts w:hint="eastAsia" w:ascii="仿宋" w:hAnsi="仿宋" w:eastAsia="仿宋" w:cs="仿宋"/>
          <w:b/>
          <w:sz w:val="32"/>
          <w:szCs w:val="32"/>
          <w:lang w:eastAsia="zh-CN"/>
        </w:rPr>
        <w:t>单位</w:t>
      </w:r>
      <w:r>
        <w:rPr>
          <w:rFonts w:hint="eastAsia" w:ascii="仿宋" w:hAnsi="仿宋" w:eastAsia="仿宋" w:cs="仿宋"/>
          <w:b/>
          <w:sz w:val="32"/>
          <w:szCs w:val="32"/>
        </w:rPr>
        <w:t>概况</w:t>
      </w:r>
    </w:p>
    <w:p w14:paraId="25A4DA9C">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1、主要职责</w:t>
      </w:r>
    </w:p>
    <w:p w14:paraId="6B1B77A4">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2、单位预算构成</w:t>
      </w:r>
    </w:p>
    <w:p w14:paraId="3182CE51">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3、2025年度主要工作任务</w:t>
      </w:r>
    </w:p>
    <w:p w14:paraId="2400CCE2">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lang w:eastAsia="zh-CN"/>
        </w:rPr>
      </w:pPr>
      <w:r>
        <w:rPr>
          <w:rFonts w:hint="eastAsia" w:ascii="仿宋" w:hAnsi="仿宋" w:eastAsia="仿宋" w:cs="仿宋"/>
          <w:b/>
          <w:bCs w:val="0"/>
          <w:sz w:val="32"/>
          <w:szCs w:val="32"/>
          <w:lang w:eastAsia="zh-CN"/>
        </w:rPr>
        <w:t>第二部分 2025年单位预算表</w:t>
      </w:r>
    </w:p>
    <w:p w14:paraId="1014BA16">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1、濉溪县生态环境保护综合行政执法大队2025年收支总表</w:t>
      </w:r>
    </w:p>
    <w:p w14:paraId="1A3C2671">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2、濉溪县生态环境保护综合行政执法大队2025年收入总表</w:t>
      </w:r>
    </w:p>
    <w:p w14:paraId="60D8311C">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3、濉溪县生态环境保护综合行政执法大队2025年支出总表</w:t>
      </w:r>
    </w:p>
    <w:p w14:paraId="674C0461">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4、濉溪县生态环境保护综合行政执法大队2025年财政拨款收支总表</w:t>
      </w:r>
    </w:p>
    <w:p w14:paraId="53732C4D">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5、濉溪县生态环境保护综合行政执法大队2025年一般公共预算支出表</w:t>
      </w:r>
    </w:p>
    <w:p w14:paraId="09B48575">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6、濉溪县生态环境保护综合行政执法大队2025年一般公共预算基本支出表</w:t>
      </w:r>
    </w:p>
    <w:p w14:paraId="0D838250">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7、濉溪县生态环境保护综合行政执法大队2025年政府性基金预算支出表</w:t>
      </w:r>
    </w:p>
    <w:p w14:paraId="6DAFD418">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8、濉溪县生态环境保护综合行政执法大队2025年国有资本经营预算支出表</w:t>
      </w:r>
    </w:p>
    <w:p w14:paraId="54B7B7E0">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9、濉溪县生态环境保护综合行政执法大队2025年项目支出表</w:t>
      </w:r>
    </w:p>
    <w:p w14:paraId="7DF7CE16">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10、濉溪县生态环境保护综合行政执法大队2025年政府采购支出表</w:t>
      </w:r>
    </w:p>
    <w:p w14:paraId="10C942BB">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11、濉溪县生态环境保护综合行政执法大队2025年政府购买服务支出表</w:t>
      </w:r>
    </w:p>
    <w:p w14:paraId="0CBCF76C">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12、濉溪县生态环境保护综合行政执法大队2025年通用资产配置支出表</w:t>
      </w:r>
    </w:p>
    <w:p w14:paraId="71E4C285">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lang w:eastAsia="zh-CN"/>
        </w:rPr>
      </w:pPr>
      <w:r>
        <w:rPr>
          <w:rFonts w:hint="eastAsia" w:ascii="仿宋" w:hAnsi="仿宋" w:eastAsia="仿宋" w:cs="仿宋"/>
          <w:b/>
          <w:bCs w:val="0"/>
          <w:sz w:val="32"/>
          <w:szCs w:val="32"/>
          <w:lang w:eastAsia="zh-CN"/>
        </w:rPr>
        <w:t>第三部分 2025年单位预算情况说明</w:t>
      </w:r>
    </w:p>
    <w:p w14:paraId="7D46B9D4">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1、关于2025年收支总表的说明</w:t>
      </w:r>
    </w:p>
    <w:p w14:paraId="458E5EDB">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2、关于2025年收入总表的说明</w:t>
      </w:r>
    </w:p>
    <w:p w14:paraId="68DBCF8C">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3、关于2025年支出总表的说明</w:t>
      </w:r>
    </w:p>
    <w:p w14:paraId="70BE78DA">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4、关于2025年财政拨款收支总表的说明</w:t>
      </w:r>
    </w:p>
    <w:p w14:paraId="6121601C">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5、关于2025年一般公共预算支出表的说明</w:t>
      </w:r>
    </w:p>
    <w:p w14:paraId="4020BA96">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6、关于2025年一般公共预算基本支出表的说明</w:t>
      </w:r>
    </w:p>
    <w:p w14:paraId="00C4CDD8">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7、关于2025年政府性基金预算支出表的说明</w:t>
      </w:r>
    </w:p>
    <w:p w14:paraId="38DD9051">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8、关于2025年国有资本经营预算支出表的说明</w:t>
      </w:r>
    </w:p>
    <w:p w14:paraId="0E443421">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9、关于2025年项目支出表的说明</w:t>
      </w:r>
    </w:p>
    <w:p w14:paraId="3E61BAB1">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10、关于2025年政府采购支出表的说明</w:t>
      </w:r>
    </w:p>
    <w:p w14:paraId="338FF7F5">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11、关于2025年政府购买服务支出表的说明</w:t>
      </w:r>
    </w:p>
    <w:p w14:paraId="475A59D0">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12、关于2025年通用资产配置支出表的说明</w:t>
      </w:r>
    </w:p>
    <w:p w14:paraId="72C27566">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lang w:val="en-US" w:eastAsia="zh-CN"/>
        </w:rPr>
        <w:t>13、</w:t>
      </w:r>
      <w:r>
        <w:rPr>
          <w:rFonts w:hint="eastAsia" w:ascii="仿宋" w:hAnsi="仿宋" w:eastAsia="仿宋" w:cs="仿宋"/>
          <w:bCs/>
          <w:sz w:val="32"/>
          <w:szCs w:val="32"/>
        </w:rPr>
        <w:t>其他重要事项情况说明</w:t>
      </w:r>
    </w:p>
    <w:p w14:paraId="25595177">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第四部分 名词解释</w:t>
      </w:r>
    </w:p>
    <w:p w14:paraId="17A13B14">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第五部分 其它公开事项</w:t>
      </w:r>
    </w:p>
    <w:p w14:paraId="7F636E79">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1、濉溪县生态环境保护综合行政执法大队2025年部门预算纳入绩效考评项目表</w:t>
      </w:r>
    </w:p>
    <w:p w14:paraId="60F89A6D">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lang w:eastAsia="zh-CN"/>
        </w:rPr>
      </w:pPr>
      <w:r>
        <w:rPr>
          <w:rFonts w:hint="eastAsia" w:ascii="仿宋" w:hAnsi="仿宋" w:eastAsia="仿宋" w:cs="仿宋"/>
          <w:bCs/>
          <w:sz w:val="32"/>
          <w:szCs w:val="32"/>
          <w:lang w:eastAsia="zh-CN"/>
        </w:rPr>
        <w:t>2、濉溪县生态环境保护综合行政执法大队2025年部门预算专项资金管理清单（专栏公开）</w:t>
      </w:r>
    </w:p>
    <w:p w14:paraId="40E56281">
      <w:pPr>
        <w:pStyle w:val="6"/>
        <w:adjustRightInd w:val="0"/>
        <w:snapToGrid w:val="0"/>
        <w:spacing w:line="400" w:lineRule="exact"/>
        <w:ind w:firstLine="800" w:firstLineChars="250"/>
        <w:rPr>
          <w:rFonts w:ascii="TimesNewRoman" w:hAnsi="TimesNewRoman" w:eastAsia="仿宋_GB2312" w:cs="TimesNewRoman"/>
          <w:bCs/>
          <w:sz w:val="32"/>
          <w:szCs w:val="32"/>
        </w:rPr>
      </w:pPr>
    </w:p>
    <w:p w14:paraId="0FDB4A6F">
      <w:pPr>
        <w:pStyle w:val="6"/>
        <w:adjustRightInd w:val="0"/>
        <w:snapToGrid w:val="0"/>
        <w:spacing w:line="400" w:lineRule="exact"/>
        <w:ind w:firstLine="800" w:firstLineChars="250"/>
        <w:rPr>
          <w:rFonts w:ascii="TimesNewRoman" w:hAnsi="TimesNewRoman" w:eastAsia="仿宋_GB2312" w:cs="TimesNewRoman"/>
          <w:bCs/>
          <w:sz w:val="32"/>
          <w:szCs w:val="32"/>
        </w:rPr>
      </w:pPr>
    </w:p>
    <w:p w14:paraId="3D86057C">
      <w:pPr>
        <w:pStyle w:val="6"/>
        <w:adjustRightInd w:val="0"/>
        <w:snapToGrid w:val="0"/>
        <w:spacing w:line="560" w:lineRule="exact"/>
        <w:jc w:val="center"/>
        <w:rPr>
          <w:rFonts w:ascii="TimesNewRoman" w:hAnsi="TimesNewRoman" w:eastAsia="黑体" w:cs="TimesNewRoman"/>
          <w:bCs/>
          <w:sz w:val="36"/>
          <w:szCs w:val="36"/>
        </w:rPr>
      </w:pPr>
      <w:r>
        <w:rPr>
          <w:rFonts w:hint="eastAsia" w:ascii="TimesNewRoman" w:hAnsi="TimesNewRoman" w:eastAsia="黑体" w:cs="TimesNewRoman"/>
          <w:bCs/>
          <w:sz w:val="36"/>
          <w:szCs w:val="36"/>
        </w:rPr>
        <w:t xml:space="preserve">第一部分 </w:t>
      </w:r>
      <w:r>
        <w:rPr>
          <w:rFonts w:hint="eastAsia" w:ascii="TimesNewRoman" w:hAnsi="TimesNewRoman" w:eastAsia="黑体" w:cs="TimesNewRoman"/>
          <w:bCs/>
          <w:sz w:val="36"/>
          <w:szCs w:val="36"/>
          <w:lang w:eastAsia="zh-CN"/>
        </w:rPr>
        <w:t>单位</w:t>
      </w:r>
      <w:r>
        <w:rPr>
          <w:rFonts w:hint="eastAsia" w:ascii="TimesNewRoman" w:hAnsi="TimesNewRoman" w:eastAsia="黑体" w:cs="TimesNewRoman"/>
          <w:bCs/>
          <w:sz w:val="36"/>
          <w:szCs w:val="36"/>
        </w:rPr>
        <w:t>概况</w:t>
      </w:r>
    </w:p>
    <w:p w14:paraId="02F4CC1E"/>
    <w:p w14:paraId="7206B98F">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一、主要职责</w:t>
      </w:r>
    </w:p>
    <w:p w14:paraId="3E92BA88">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kern w:val="0"/>
          <w:sz w:val="32"/>
          <w:szCs w:val="32"/>
          <w:lang w:val="en-US" w:eastAsia="zh-CN" w:bidi="ar-SA"/>
        </w:rPr>
      </w:pPr>
      <w:r>
        <w:rPr>
          <w:rFonts w:hint="eastAsia" w:ascii="仿宋" w:hAnsi="仿宋" w:eastAsia="仿宋" w:cs="仿宋"/>
          <w:bCs/>
          <w:kern w:val="0"/>
          <w:sz w:val="32"/>
          <w:szCs w:val="32"/>
          <w:lang w:val="en-US" w:eastAsia="zh-CN" w:bidi="ar-SA"/>
        </w:rPr>
        <w:t>按照属地管理原则，负责辖区的生态环境现场执法，依法查出生态环境违法行为，依法开展污染防治、生态保护等日常监督检查工作，参与一般突发环境时间、环境污染事故的现场调查处置工作，完成市生态环境局、县生态环境分局、市生态环境保护综合行政执法支队交办的任务。</w:t>
      </w:r>
    </w:p>
    <w:p w14:paraId="53EA6D40">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二、</w:t>
      </w:r>
      <w:r>
        <w:rPr>
          <w:rFonts w:hint="eastAsia" w:ascii="仿宋" w:hAnsi="仿宋" w:eastAsia="仿宋" w:cs="仿宋"/>
          <w:b/>
          <w:bCs w:val="0"/>
          <w:sz w:val="32"/>
          <w:szCs w:val="32"/>
          <w:lang w:eastAsia="zh-CN"/>
        </w:rPr>
        <w:t>单位</w:t>
      </w:r>
      <w:r>
        <w:rPr>
          <w:rFonts w:hint="eastAsia" w:ascii="仿宋" w:hAnsi="仿宋" w:eastAsia="仿宋" w:cs="仿宋"/>
          <w:b/>
          <w:bCs w:val="0"/>
          <w:sz w:val="32"/>
          <w:szCs w:val="32"/>
        </w:rPr>
        <w:t>预算构成</w:t>
      </w:r>
    </w:p>
    <w:p w14:paraId="5FA67598">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从预算单位构成看，</w:t>
      </w:r>
      <w:r>
        <w:rPr>
          <w:rFonts w:hint="eastAsia" w:ascii="仿宋" w:hAnsi="仿宋" w:eastAsia="仿宋" w:cs="仿宋"/>
          <w:bCs/>
          <w:sz w:val="32"/>
          <w:szCs w:val="32"/>
          <w:lang w:eastAsia="zh-CN"/>
        </w:rPr>
        <w:t>濉溪县生态环境保护综合行政执法大队</w:t>
      </w:r>
      <w:r>
        <w:rPr>
          <w:rFonts w:hint="eastAsia" w:ascii="仿宋" w:hAnsi="仿宋" w:eastAsia="仿宋" w:cs="仿宋"/>
          <w:sz w:val="32"/>
          <w:szCs w:val="32"/>
        </w:rPr>
        <w:t>2025年度部门预算仅包括本级预算，无其他下属单位预算。</w:t>
      </w:r>
    </w:p>
    <w:p w14:paraId="64065A6B">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三、2025年度主要工作任务</w:t>
      </w:r>
    </w:p>
    <w:p w14:paraId="3DC0AAFF">
      <w:pPr>
        <w:pStyle w:val="6"/>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43" w:firstLineChars="200"/>
        <w:jc w:val="both"/>
        <w:textAlignment w:val="auto"/>
        <w:rPr>
          <w:rFonts w:hint="eastAsia" w:ascii="仿宋" w:hAnsi="仿宋" w:eastAsia="仿宋" w:cs="仿宋"/>
          <w:b/>
          <w:bCs/>
          <w:kern w:val="0"/>
          <w:sz w:val="32"/>
          <w:szCs w:val="32"/>
          <w:lang w:val="en-US" w:eastAsia="zh-CN" w:bidi="ar-SA"/>
        </w:rPr>
      </w:pPr>
      <w:r>
        <w:rPr>
          <w:rFonts w:hint="eastAsia" w:ascii="仿宋" w:hAnsi="仿宋" w:eastAsia="仿宋" w:cs="仿宋"/>
          <w:b/>
          <w:bCs/>
          <w:kern w:val="0"/>
          <w:sz w:val="32"/>
          <w:szCs w:val="32"/>
          <w:lang w:val="en-US" w:eastAsia="zh-CN" w:bidi="ar-SA"/>
        </w:rPr>
        <w:t>（一）深入打好污染防治攻坚战</w:t>
      </w:r>
    </w:p>
    <w:p w14:paraId="4303203A">
      <w:pPr>
        <w:pStyle w:val="6"/>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40" w:firstLineChars="200"/>
        <w:jc w:val="both"/>
        <w:textAlignment w:val="auto"/>
        <w:rPr>
          <w:rFonts w:hint="eastAsia" w:ascii="仿宋" w:hAnsi="仿宋" w:eastAsia="仿宋" w:cs="仿宋"/>
          <w:b w:val="0"/>
          <w:bCs w:val="0"/>
          <w:kern w:val="0"/>
          <w:sz w:val="32"/>
          <w:szCs w:val="32"/>
          <w:lang w:val="en-US" w:eastAsia="zh-CN" w:bidi="ar-SA"/>
        </w:rPr>
      </w:pPr>
      <w:r>
        <w:rPr>
          <w:rFonts w:hint="eastAsia" w:ascii="仿宋" w:hAnsi="仿宋" w:eastAsia="仿宋" w:cs="仿宋"/>
          <w:b w:val="0"/>
          <w:bCs w:val="0"/>
          <w:kern w:val="0"/>
          <w:sz w:val="32"/>
          <w:szCs w:val="32"/>
          <w:lang w:val="en-US" w:eastAsia="zh-CN" w:bidi="ar-SA"/>
        </w:rPr>
        <w:t>持续开展大气污染防治立体化精准溯源与管控工作，强化工业废气治理，聚焦重点行业、聚焦关键点位，精准“控尘”；严格落实河长制，不断强化河道综合整治，推进河流中央水污染防治专项治理工程；开展工业企业危险废物规范化管理评估和土壤重点单位隐患排查“回头看”，做好“一住两公”重点建设用地安全利用工作，加强建设用地土壤污染管控，打好蓝天碧水保卫战。</w:t>
      </w:r>
    </w:p>
    <w:p w14:paraId="25616840">
      <w:pPr>
        <w:pStyle w:val="6"/>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43" w:firstLineChars="200"/>
        <w:jc w:val="both"/>
        <w:textAlignment w:val="auto"/>
        <w:rPr>
          <w:rFonts w:hint="eastAsia" w:ascii="仿宋" w:hAnsi="仿宋" w:eastAsia="仿宋" w:cs="仿宋"/>
          <w:b/>
          <w:bCs/>
          <w:kern w:val="0"/>
          <w:sz w:val="32"/>
          <w:szCs w:val="32"/>
          <w:lang w:val="en-US" w:eastAsia="zh-CN" w:bidi="ar-SA"/>
        </w:rPr>
      </w:pPr>
      <w:r>
        <w:rPr>
          <w:rFonts w:hint="eastAsia" w:ascii="仿宋" w:hAnsi="仿宋" w:eastAsia="仿宋" w:cs="仿宋"/>
          <w:b/>
          <w:bCs/>
          <w:kern w:val="0"/>
          <w:sz w:val="32"/>
          <w:szCs w:val="32"/>
          <w:lang w:val="en-US" w:eastAsia="zh-CN" w:bidi="ar-SA"/>
        </w:rPr>
        <w:t>（二）强化生态环境执法监管</w:t>
      </w:r>
    </w:p>
    <w:p w14:paraId="00FCD806">
      <w:pPr>
        <w:pStyle w:val="6"/>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40" w:firstLineChars="200"/>
        <w:jc w:val="both"/>
        <w:textAlignment w:val="auto"/>
        <w:rPr>
          <w:rFonts w:hint="eastAsia" w:ascii="仿宋" w:hAnsi="仿宋" w:eastAsia="仿宋" w:cs="仿宋"/>
          <w:b w:val="0"/>
          <w:bCs w:val="0"/>
          <w:kern w:val="0"/>
          <w:sz w:val="32"/>
          <w:szCs w:val="32"/>
          <w:lang w:val="en-US" w:eastAsia="zh-CN" w:bidi="ar-SA"/>
        </w:rPr>
      </w:pPr>
      <w:r>
        <w:rPr>
          <w:rFonts w:hint="eastAsia" w:ascii="仿宋" w:hAnsi="仿宋" w:eastAsia="仿宋" w:cs="仿宋"/>
          <w:b w:val="0"/>
          <w:bCs w:val="0"/>
          <w:kern w:val="0"/>
          <w:sz w:val="32"/>
          <w:szCs w:val="32"/>
          <w:lang w:val="en-US" w:eastAsia="zh-CN" w:bidi="ar-SA"/>
        </w:rPr>
        <w:t>严格环境执法，加大对重点区域、重点行业、重点企业的执法检查力度；加强执法能力建设，定期组织执法人员参加业务培训和执法实践锻炼，提升执法人员的业务水平和执法能力；推进环境执法信息化，利用大数据、物联网等技术手段，实现环境执法的信息化、智能化，加强与相关部门的信息共享和协同监管。</w:t>
      </w:r>
    </w:p>
    <w:p w14:paraId="331FE766">
      <w:pPr>
        <w:pStyle w:val="6"/>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43" w:firstLineChars="200"/>
        <w:jc w:val="both"/>
        <w:textAlignment w:val="auto"/>
        <w:rPr>
          <w:rFonts w:hint="eastAsia" w:ascii="仿宋" w:hAnsi="仿宋" w:eastAsia="仿宋" w:cs="仿宋"/>
          <w:b/>
          <w:bCs/>
          <w:kern w:val="0"/>
          <w:sz w:val="32"/>
          <w:szCs w:val="32"/>
          <w:lang w:val="en-US" w:eastAsia="zh-CN" w:bidi="ar-SA"/>
        </w:rPr>
      </w:pPr>
      <w:r>
        <w:rPr>
          <w:rFonts w:hint="eastAsia" w:ascii="仿宋" w:hAnsi="仿宋" w:eastAsia="仿宋" w:cs="仿宋"/>
          <w:b/>
          <w:bCs/>
          <w:kern w:val="0"/>
          <w:sz w:val="32"/>
          <w:szCs w:val="32"/>
          <w:lang w:val="en-US" w:eastAsia="zh-CN" w:bidi="ar-SA"/>
        </w:rPr>
        <w:t>（三）优化营商环境</w:t>
      </w:r>
    </w:p>
    <w:p w14:paraId="43B9F291">
      <w:pPr>
        <w:pStyle w:val="6"/>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40" w:firstLineChars="200"/>
        <w:jc w:val="both"/>
        <w:textAlignment w:val="auto"/>
        <w:rPr>
          <w:rFonts w:hint="eastAsia" w:ascii="仿宋" w:hAnsi="仿宋" w:eastAsia="仿宋" w:cs="仿宋"/>
          <w:b w:val="0"/>
          <w:bCs w:val="0"/>
          <w:kern w:val="0"/>
          <w:sz w:val="32"/>
          <w:szCs w:val="32"/>
          <w:lang w:val="en-US" w:eastAsia="zh-CN" w:bidi="ar-SA"/>
        </w:rPr>
      </w:pPr>
      <w:r>
        <w:rPr>
          <w:rFonts w:hint="eastAsia" w:ascii="仿宋" w:hAnsi="仿宋" w:eastAsia="仿宋" w:cs="仿宋"/>
          <w:b w:val="0"/>
          <w:bCs w:val="0"/>
          <w:kern w:val="0"/>
          <w:sz w:val="32"/>
          <w:szCs w:val="32"/>
          <w:lang w:val="en-US" w:eastAsia="zh-CN" w:bidi="ar-SA"/>
        </w:rPr>
        <w:t>落实生态环境轻微违法违规行为免罚清单和生态环境监督执法正面清单制度。强化执法与帮扶并重，继续发挥帮扶指导小组作用，对重点企业把脉问诊，解决企业实际困难。落实生态环境损害赔偿制度，严格督促赔偿义务人履行生态环境损害赔偿责任，修复受损的生态环境。</w:t>
      </w:r>
    </w:p>
    <w:p w14:paraId="3F0830F2">
      <w:pPr>
        <w:pStyle w:val="6"/>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43" w:firstLineChars="200"/>
        <w:jc w:val="both"/>
        <w:textAlignment w:val="auto"/>
        <w:rPr>
          <w:rFonts w:hint="eastAsia" w:ascii="仿宋" w:hAnsi="仿宋" w:eastAsia="仿宋" w:cs="仿宋"/>
          <w:b/>
          <w:bCs/>
          <w:kern w:val="0"/>
          <w:sz w:val="32"/>
          <w:szCs w:val="32"/>
          <w:lang w:val="en-US" w:eastAsia="zh-CN" w:bidi="ar-SA"/>
        </w:rPr>
      </w:pPr>
      <w:r>
        <w:rPr>
          <w:rFonts w:hint="eastAsia" w:ascii="仿宋" w:hAnsi="仿宋" w:eastAsia="仿宋" w:cs="仿宋"/>
          <w:b/>
          <w:bCs/>
          <w:kern w:val="0"/>
          <w:sz w:val="32"/>
          <w:szCs w:val="32"/>
          <w:lang w:val="en-US" w:eastAsia="zh-CN" w:bidi="ar-SA"/>
        </w:rPr>
        <w:t>（四）推进突出生态环境问题整改</w:t>
      </w:r>
    </w:p>
    <w:p w14:paraId="5CDD8D35">
      <w:pPr>
        <w:pStyle w:val="6"/>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40" w:firstLineChars="200"/>
        <w:jc w:val="both"/>
        <w:textAlignment w:val="auto"/>
        <w:rPr>
          <w:rFonts w:hint="eastAsia" w:ascii="仿宋" w:hAnsi="仿宋" w:eastAsia="仿宋" w:cs="仿宋"/>
          <w:b w:val="0"/>
          <w:bCs w:val="0"/>
          <w:kern w:val="0"/>
          <w:sz w:val="32"/>
          <w:szCs w:val="32"/>
          <w:lang w:val="en-US" w:eastAsia="zh-CN" w:bidi="ar-SA"/>
        </w:rPr>
      </w:pPr>
      <w:r>
        <w:rPr>
          <w:rFonts w:hint="eastAsia" w:ascii="仿宋" w:hAnsi="仿宋" w:eastAsia="仿宋" w:cs="仿宋"/>
          <w:b w:val="0"/>
          <w:bCs w:val="0"/>
          <w:kern w:val="0"/>
          <w:sz w:val="32"/>
          <w:szCs w:val="32"/>
          <w:lang w:val="en-US" w:eastAsia="zh-CN" w:bidi="ar-SA"/>
        </w:rPr>
        <w:t>做好中央环保督察交办问题整改“后半篇”文章。严格落实转办信访件分类动态管理，注重进度统筹、按程序办结销号，注重效果统筹、“回头看”防止问题反弹。 常态化开展大排查大整治专项行动。聚焦问题根源，建立问题早期纠正硬约束制度，强化责任落实，加快解决区域性、行业性突出生态环境问题。</w:t>
      </w:r>
    </w:p>
    <w:p w14:paraId="1A1801EA">
      <w:pPr>
        <w:pStyle w:val="6"/>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43" w:firstLineChars="200"/>
        <w:jc w:val="both"/>
        <w:textAlignment w:val="auto"/>
        <w:rPr>
          <w:rFonts w:hint="eastAsia" w:ascii="仿宋" w:hAnsi="仿宋" w:eastAsia="仿宋" w:cs="仿宋"/>
          <w:b/>
          <w:bCs/>
          <w:kern w:val="0"/>
          <w:sz w:val="32"/>
          <w:szCs w:val="32"/>
          <w:lang w:val="en-US" w:eastAsia="zh-CN" w:bidi="ar-SA"/>
        </w:rPr>
      </w:pPr>
      <w:r>
        <w:rPr>
          <w:rFonts w:hint="eastAsia" w:ascii="仿宋" w:hAnsi="仿宋" w:eastAsia="仿宋" w:cs="仿宋"/>
          <w:b/>
          <w:bCs/>
          <w:kern w:val="0"/>
          <w:sz w:val="32"/>
          <w:szCs w:val="32"/>
          <w:lang w:val="en-US" w:eastAsia="zh-CN" w:bidi="ar-SA"/>
        </w:rPr>
        <w:t>（五）加强生态环境保护宣传</w:t>
      </w:r>
    </w:p>
    <w:p w14:paraId="5859BF9F">
      <w:pPr>
        <w:pStyle w:val="6"/>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b w:val="0"/>
          <w:bCs w:val="0"/>
          <w:kern w:val="0"/>
          <w:sz w:val="32"/>
          <w:szCs w:val="32"/>
          <w:lang w:val="en-US" w:eastAsia="zh-CN" w:bidi="ar-SA"/>
        </w:rPr>
        <w:t>开展形式多样的宣传活动，是利用新媒体平台，广泛宣传，引导公众参与生态环境保护，鼓励公众积极参与生态环境保护。</w:t>
      </w:r>
    </w:p>
    <w:p w14:paraId="240FD19B"/>
    <w:p w14:paraId="360874E0">
      <w:pPr>
        <w:pStyle w:val="6"/>
        <w:adjustRightInd w:val="0"/>
        <w:snapToGrid w:val="0"/>
        <w:spacing w:line="560" w:lineRule="exact"/>
        <w:jc w:val="center"/>
        <w:rPr>
          <w:rFonts w:hint="eastAsia" w:ascii="黑体" w:hAnsi="黑体" w:eastAsia="黑体" w:cs="黑体"/>
          <w:bCs/>
          <w:sz w:val="36"/>
          <w:szCs w:val="36"/>
        </w:rPr>
      </w:pPr>
      <w:r>
        <w:rPr>
          <w:rFonts w:hint="eastAsia" w:ascii="黑体" w:hAnsi="黑体" w:eastAsia="黑体" w:cs="黑体"/>
          <w:bCs/>
          <w:sz w:val="36"/>
          <w:szCs w:val="36"/>
        </w:rPr>
        <w:t>第二部分 2025年</w:t>
      </w:r>
      <w:r>
        <w:rPr>
          <w:rFonts w:hint="eastAsia" w:ascii="黑体" w:hAnsi="黑体" w:eastAsia="黑体" w:cs="黑体"/>
          <w:bCs/>
          <w:sz w:val="36"/>
          <w:szCs w:val="36"/>
          <w:lang w:eastAsia="zh-CN"/>
        </w:rPr>
        <w:t>单位</w:t>
      </w:r>
      <w:r>
        <w:rPr>
          <w:rFonts w:hint="eastAsia" w:ascii="黑体" w:hAnsi="黑体" w:eastAsia="黑体" w:cs="黑体"/>
          <w:bCs/>
          <w:sz w:val="36"/>
          <w:szCs w:val="36"/>
        </w:rPr>
        <w:t>预算表</w:t>
      </w:r>
    </w:p>
    <w:p w14:paraId="54453BB2">
      <w:pPr>
        <w:pStyle w:val="6"/>
        <w:adjustRightInd w:val="0"/>
        <w:snapToGrid w:val="0"/>
        <w:spacing w:line="560" w:lineRule="exact"/>
        <w:ind w:firstLine="627" w:firstLineChars="196"/>
        <w:jc w:val="center"/>
        <w:rPr>
          <w:rFonts w:hint="eastAsia" w:ascii="黑体" w:hAnsi="黑体" w:eastAsia="黑体" w:cs="黑体"/>
          <w:bCs/>
          <w:sz w:val="32"/>
          <w:szCs w:val="32"/>
        </w:rPr>
      </w:pPr>
      <w:r>
        <w:rPr>
          <w:rFonts w:hint="eastAsia" w:ascii="黑体" w:hAnsi="黑体" w:eastAsia="黑体" w:cs="黑体"/>
          <w:bCs/>
          <w:sz w:val="32"/>
          <w:szCs w:val="32"/>
        </w:rPr>
        <w:t>见附件1-2</w:t>
      </w:r>
    </w:p>
    <w:p w14:paraId="27E3EDCD">
      <w:r>
        <w:t xml:space="preserve"> </w:t>
      </w:r>
    </w:p>
    <w:p w14:paraId="2CE1A1FA"/>
    <w:p w14:paraId="6A7DC327"/>
    <w:p w14:paraId="47812804"/>
    <w:p w14:paraId="40CA0BDA"/>
    <w:p w14:paraId="7C363082"/>
    <w:p w14:paraId="3F5D3F4D"/>
    <w:p w14:paraId="1497CBE5"/>
    <w:p w14:paraId="105891BA"/>
    <w:p w14:paraId="79EF27DD">
      <w:pPr>
        <w:pStyle w:val="6"/>
        <w:adjustRightInd w:val="0"/>
        <w:snapToGrid w:val="0"/>
        <w:spacing w:line="560" w:lineRule="exact"/>
        <w:jc w:val="center"/>
        <w:rPr>
          <w:rFonts w:hint="eastAsia" w:ascii="黑体" w:hAnsi="黑体" w:eastAsia="黑体" w:cs="黑体"/>
          <w:bCs/>
          <w:sz w:val="36"/>
          <w:szCs w:val="36"/>
        </w:rPr>
      </w:pPr>
      <w:r>
        <w:rPr>
          <w:rFonts w:hint="eastAsia" w:ascii="黑体" w:hAnsi="黑体" w:eastAsia="黑体" w:cs="黑体"/>
          <w:bCs/>
          <w:sz w:val="36"/>
          <w:szCs w:val="36"/>
        </w:rPr>
        <w:t>第三部分 2025年</w:t>
      </w:r>
      <w:r>
        <w:rPr>
          <w:rFonts w:hint="eastAsia" w:ascii="黑体" w:hAnsi="黑体" w:eastAsia="黑体" w:cs="黑体"/>
          <w:bCs/>
          <w:sz w:val="36"/>
          <w:szCs w:val="36"/>
          <w:lang w:eastAsia="zh-CN"/>
        </w:rPr>
        <w:t>单位</w:t>
      </w:r>
      <w:r>
        <w:rPr>
          <w:rFonts w:hint="eastAsia" w:ascii="黑体" w:hAnsi="黑体" w:eastAsia="黑体" w:cs="黑体"/>
          <w:bCs/>
          <w:sz w:val="36"/>
          <w:szCs w:val="36"/>
        </w:rPr>
        <w:t>预算情况说明</w:t>
      </w:r>
    </w:p>
    <w:p w14:paraId="408F2464"/>
    <w:p w14:paraId="415A1173">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一、关于2025年收支总表的说明</w:t>
      </w:r>
    </w:p>
    <w:p w14:paraId="5D56F9DC">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按照综合预算的原则，</w:t>
      </w:r>
      <w:r>
        <w:rPr>
          <w:rFonts w:hint="eastAsia" w:ascii="仿宋" w:hAnsi="仿宋" w:eastAsia="仿宋" w:cs="仿宋"/>
          <w:sz w:val="32"/>
          <w:szCs w:val="32"/>
          <w:lang w:eastAsia="zh-CN"/>
        </w:rPr>
        <w:t>濉溪县生态环境保护综合行政执法大队</w:t>
      </w:r>
      <w:r>
        <w:rPr>
          <w:rFonts w:hint="eastAsia" w:ascii="仿宋" w:hAnsi="仿宋" w:eastAsia="仿宋" w:cs="仿宋"/>
          <w:sz w:val="32"/>
          <w:szCs w:val="32"/>
        </w:rPr>
        <w:t>所有收入和支出均纳入</w:t>
      </w:r>
      <w:r>
        <w:rPr>
          <w:rFonts w:hint="eastAsia" w:ascii="仿宋" w:hAnsi="仿宋" w:eastAsia="仿宋" w:cs="仿宋"/>
          <w:sz w:val="32"/>
          <w:szCs w:val="32"/>
          <w:lang w:eastAsia="zh-CN"/>
        </w:rPr>
        <w:t>单位</w:t>
      </w:r>
      <w:r>
        <w:rPr>
          <w:rFonts w:hint="eastAsia" w:ascii="仿宋" w:hAnsi="仿宋" w:eastAsia="仿宋" w:cs="仿宋"/>
          <w:sz w:val="32"/>
          <w:szCs w:val="32"/>
        </w:rPr>
        <w:t>预算管理。</w:t>
      </w:r>
      <w:r>
        <w:rPr>
          <w:rFonts w:hint="eastAsia" w:ascii="仿宋" w:hAnsi="仿宋" w:eastAsia="仿宋" w:cs="仿宋"/>
          <w:sz w:val="32"/>
          <w:szCs w:val="32"/>
          <w:lang w:eastAsia="zh-CN"/>
        </w:rPr>
        <w:t>濉溪县生态环境保护综合行政执法大队</w:t>
      </w:r>
      <w:r>
        <w:rPr>
          <w:rFonts w:hint="eastAsia" w:ascii="仿宋" w:hAnsi="仿宋" w:eastAsia="仿宋" w:cs="仿宋"/>
          <w:kern w:val="0"/>
          <w:sz w:val="32"/>
          <w:szCs w:val="32"/>
          <w:lang w:val="en-US" w:eastAsia="zh-CN" w:bidi="ar-SA"/>
        </w:rPr>
        <w:t>2025</w:t>
      </w:r>
      <w:r>
        <w:rPr>
          <w:rFonts w:hint="eastAsia" w:ascii="仿宋" w:hAnsi="仿宋" w:eastAsia="仿宋" w:cs="仿宋"/>
          <w:sz w:val="32"/>
          <w:szCs w:val="32"/>
        </w:rPr>
        <w:t>年收支总预算</w:t>
      </w:r>
      <w:r>
        <w:rPr>
          <w:rFonts w:hint="eastAsia" w:ascii="仿宋" w:hAnsi="仿宋" w:eastAsia="仿宋" w:cs="仿宋"/>
          <w:sz w:val="32"/>
          <w:szCs w:val="32"/>
          <w:lang w:eastAsia="zh-CN"/>
        </w:rPr>
        <w:t>592.38万元</w:t>
      </w:r>
      <w:r>
        <w:rPr>
          <w:rFonts w:hint="eastAsia" w:ascii="仿宋" w:hAnsi="仿宋" w:eastAsia="仿宋" w:cs="仿宋"/>
          <w:sz w:val="32"/>
          <w:szCs w:val="32"/>
        </w:rPr>
        <w:t>，收入全部是一般公共预算拨款收入，支出包括：社会保障和就业支出、卫生健康支出、节能环保支出</w:t>
      </w:r>
      <w:r>
        <w:rPr>
          <w:rFonts w:hint="eastAsia" w:ascii="仿宋" w:hAnsi="仿宋" w:eastAsia="仿宋" w:cs="仿宋"/>
          <w:sz w:val="32"/>
          <w:szCs w:val="32"/>
          <w:lang w:eastAsia="zh-CN"/>
        </w:rPr>
        <w:t>、</w:t>
      </w:r>
      <w:r>
        <w:rPr>
          <w:rFonts w:hint="eastAsia" w:ascii="仿宋" w:hAnsi="仿宋" w:eastAsia="仿宋" w:cs="仿宋"/>
          <w:sz w:val="32"/>
          <w:szCs w:val="32"/>
        </w:rPr>
        <w:t>住房保障支出。</w:t>
      </w:r>
    </w:p>
    <w:p w14:paraId="76811EDA">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二、关于2025年收入总表的说明</w:t>
      </w:r>
    </w:p>
    <w:p w14:paraId="3C6E9450">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濉溪县生态环境保护综合行政执法大队</w:t>
      </w:r>
      <w:r>
        <w:rPr>
          <w:rFonts w:hint="eastAsia" w:ascii="仿宋" w:hAnsi="仿宋" w:eastAsia="仿宋" w:cs="仿宋"/>
          <w:kern w:val="0"/>
          <w:sz w:val="32"/>
          <w:szCs w:val="32"/>
        </w:rPr>
        <w:t>2025年收入预算</w:t>
      </w:r>
      <w:r>
        <w:rPr>
          <w:rFonts w:hint="eastAsia" w:ascii="仿宋" w:hAnsi="仿宋" w:eastAsia="仿宋" w:cs="仿宋"/>
          <w:sz w:val="32"/>
          <w:szCs w:val="32"/>
          <w:lang w:eastAsia="zh-CN"/>
        </w:rPr>
        <w:t>592.38万元</w:t>
      </w:r>
      <w:r>
        <w:rPr>
          <w:rFonts w:hint="eastAsia" w:ascii="仿宋" w:hAnsi="仿宋" w:eastAsia="仿宋" w:cs="仿宋"/>
          <w:kern w:val="0"/>
          <w:sz w:val="32"/>
          <w:szCs w:val="32"/>
        </w:rPr>
        <w:t>，其中，本年收入</w:t>
      </w:r>
      <w:r>
        <w:rPr>
          <w:rFonts w:hint="eastAsia" w:ascii="仿宋" w:hAnsi="仿宋" w:eastAsia="仿宋" w:cs="仿宋"/>
          <w:sz w:val="32"/>
          <w:szCs w:val="32"/>
          <w:lang w:eastAsia="zh-CN"/>
        </w:rPr>
        <w:t>592.38万元</w:t>
      </w:r>
      <w:r>
        <w:rPr>
          <w:rFonts w:hint="eastAsia" w:ascii="仿宋" w:hAnsi="仿宋" w:eastAsia="仿宋" w:cs="仿宋"/>
          <w:kern w:val="0"/>
          <w:sz w:val="32"/>
          <w:szCs w:val="32"/>
        </w:rPr>
        <w:t>。</w:t>
      </w:r>
    </w:p>
    <w:p w14:paraId="4AA34532">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kern w:val="0"/>
          <w:sz w:val="32"/>
          <w:szCs w:val="32"/>
        </w:rPr>
        <w:t>（一）本年收入</w:t>
      </w:r>
      <w:r>
        <w:rPr>
          <w:rFonts w:hint="eastAsia" w:ascii="仿宋" w:hAnsi="仿宋" w:eastAsia="仿宋" w:cs="仿宋"/>
          <w:sz w:val="32"/>
          <w:szCs w:val="32"/>
          <w:lang w:eastAsia="zh-CN"/>
        </w:rPr>
        <w:t>592.38万元</w:t>
      </w:r>
      <w:r>
        <w:rPr>
          <w:rFonts w:hint="eastAsia" w:ascii="仿宋" w:hAnsi="仿宋" w:eastAsia="仿宋" w:cs="仿宋"/>
          <w:b/>
          <w:kern w:val="0"/>
          <w:sz w:val="32"/>
          <w:szCs w:val="32"/>
        </w:rPr>
        <w:t>，</w:t>
      </w:r>
      <w:r>
        <w:rPr>
          <w:rFonts w:hint="eastAsia" w:ascii="仿宋" w:hAnsi="仿宋" w:eastAsia="仿宋" w:cs="仿宋"/>
          <w:kern w:val="0"/>
          <w:sz w:val="32"/>
          <w:szCs w:val="32"/>
        </w:rPr>
        <w:t>主要包括：一般公共预算拨款收入</w:t>
      </w:r>
      <w:r>
        <w:rPr>
          <w:rFonts w:hint="eastAsia" w:ascii="仿宋" w:hAnsi="仿宋" w:eastAsia="仿宋" w:cs="仿宋"/>
          <w:sz w:val="32"/>
          <w:szCs w:val="32"/>
          <w:lang w:eastAsia="zh-CN"/>
        </w:rPr>
        <w:t>592.38万元</w:t>
      </w:r>
      <w:r>
        <w:rPr>
          <w:rFonts w:hint="eastAsia" w:ascii="仿宋" w:hAnsi="仿宋" w:eastAsia="仿宋" w:cs="仿宋"/>
          <w:kern w:val="0"/>
          <w:sz w:val="32"/>
          <w:szCs w:val="32"/>
        </w:rPr>
        <w:t>，占</w:t>
      </w:r>
      <w:r>
        <w:rPr>
          <w:rFonts w:hint="eastAsia" w:ascii="仿宋" w:hAnsi="仿宋" w:eastAsia="仿宋" w:cs="仿宋"/>
          <w:kern w:val="0"/>
          <w:sz w:val="32"/>
          <w:szCs w:val="32"/>
          <w:lang w:val="en-US" w:eastAsia="zh-CN"/>
        </w:rPr>
        <w:t>100</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，比2024年预算</w:t>
      </w:r>
      <w:r>
        <w:rPr>
          <w:rFonts w:hint="eastAsia" w:ascii="仿宋" w:hAnsi="仿宋" w:eastAsia="仿宋" w:cs="仿宋"/>
          <w:kern w:val="0"/>
          <w:sz w:val="32"/>
          <w:szCs w:val="32"/>
          <w:lang w:eastAsia="zh-CN"/>
        </w:rPr>
        <w:t>减少</w:t>
      </w:r>
      <w:r>
        <w:rPr>
          <w:rFonts w:hint="eastAsia" w:ascii="仿宋" w:hAnsi="仿宋" w:eastAsia="仿宋" w:cs="仿宋"/>
          <w:sz w:val="32"/>
          <w:szCs w:val="32"/>
          <w:lang w:eastAsia="zh-CN"/>
        </w:rPr>
        <w:t>45.19万元，下降7.09%，</w:t>
      </w:r>
      <w:r>
        <w:rPr>
          <w:rFonts w:hint="eastAsia" w:ascii="仿宋" w:hAnsi="仿宋" w:eastAsia="仿宋" w:cs="仿宋"/>
          <w:kern w:val="0"/>
          <w:sz w:val="32"/>
          <w:szCs w:val="32"/>
        </w:rPr>
        <w:t>原因主要是</w:t>
      </w:r>
      <w:r>
        <w:rPr>
          <w:rFonts w:hint="eastAsia" w:ascii="仿宋" w:hAnsi="仿宋" w:eastAsia="仿宋" w:cs="仿宋"/>
          <w:color w:val="auto"/>
          <w:sz w:val="32"/>
          <w:szCs w:val="32"/>
          <w:lang w:eastAsia="zh-CN"/>
        </w:rPr>
        <w:t>人员调出、退休和项目资金安排减少</w:t>
      </w:r>
      <w:r>
        <w:rPr>
          <w:rFonts w:hint="eastAsia" w:ascii="仿宋" w:hAnsi="仿宋" w:eastAsia="仿宋" w:cs="仿宋"/>
          <w:kern w:val="0"/>
          <w:sz w:val="32"/>
          <w:szCs w:val="32"/>
        </w:rPr>
        <w:t>；政府性基金预算拨款收入</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%，比2024年预算增加</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万元，增长</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%，原因主要是无政府性基金预算拨款收入；财政专户管理资金收入</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%，比2024年预算增加</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万元，增长</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%，原因主要是无财政专户管理资金收入。</w:t>
      </w:r>
    </w:p>
    <w:p w14:paraId="77C9665C">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三、关于2025年支出总表的说明</w:t>
      </w:r>
    </w:p>
    <w:p w14:paraId="1A0E3FC9">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濉溪县生态环境保护综合行政执法大队</w:t>
      </w:r>
      <w:r>
        <w:rPr>
          <w:rFonts w:hint="eastAsia" w:ascii="仿宋" w:hAnsi="仿宋" w:eastAsia="仿宋" w:cs="仿宋"/>
          <w:kern w:val="0"/>
          <w:sz w:val="32"/>
          <w:szCs w:val="32"/>
        </w:rPr>
        <w:t>2025年支出预算</w:t>
      </w:r>
      <w:r>
        <w:rPr>
          <w:rFonts w:hint="eastAsia" w:ascii="仿宋" w:hAnsi="仿宋" w:eastAsia="仿宋" w:cs="仿宋"/>
          <w:sz w:val="32"/>
          <w:szCs w:val="32"/>
          <w:lang w:eastAsia="zh-CN"/>
        </w:rPr>
        <w:t>592.38万元</w:t>
      </w:r>
      <w:r>
        <w:rPr>
          <w:rFonts w:hint="eastAsia" w:ascii="仿宋" w:hAnsi="仿宋" w:eastAsia="仿宋" w:cs="仿宋"/>
          <w:kern w:val="0"/>
          <w:sz w:val="32"/>
          <w:szCs w:val="32"/>
        </w:rPr>
        <w:t>，比2024年预算</w:t>
      </w:r>
      <w:r>
        <w:rPr>
          <w:rFonts w:hint="eastAsia" w:ascii="仿宋" w:hAnsi="仿宋" w:eastAsia="仿宋" w:cs="仿宋"/>
          <w:kern w:val="0"/>
          <w:sz w:val="32"/>
          <w:szCs w:val="32"/>
          <w:lang w:eastAsia="zh-CN"/>
        </w:rPr>
        <w:t>减少</w:t>
      </w:r>
      <w:r>
        <w:rPr>
          <w:rFonts w:hint="eastAsia" w:ascii="仿宋" w:hAnsi="仿宋" w:eastAsia="仿宋" w:cs="仿宋"/>
          <w:sz w:val="32"/>
          <w:szCs w:val="32"/>
          <w:lang w:eastAsia="zh-CN"/>
        </w:rPr>
        <w:t>45.19万元，下降7.09%</w:t>
      </w:r>
      <w:r>
        <w:rPr>
          <w:rFonts w:hint="eastAsia" w:ascii="仿宋" w:hAnsi="仿宋" w:eastAsia="仿宋" w:cs="仿宋"/>
          <w:kern w:val="0"/>
          <w:sz w:val="32"/>
          <w:szCs w:val="32"/>
        </w:rPr>
        <w:t>，原因主要是</w:t>
      </w:r>
      <w:r>
        <w:rPr>
          <w:rFonts w:hint="eastAsia" w:ascii="仿宋" w:hAnsi="仿宋" w:eastAsia="仿宋" w:cs="仿宋"/>
          <w:color w:val="auto"/>
          <w:sz w:val="32"/>
          <w:szCs w:val="32"/>
          <w:lang w:eastAsia="zh-CN"/>
        </w:rPr>
        <w:t>人员调出、退休和项目资金安排减少</w:t>
      </w:r>
      <w:r>
        <w:rPr>
          <w:rFonts w:hint="eastAsia" w:ascii="仿宋" w:hAnsi="仿宋" w:eastAsia="仿宋" w:cs="仿宋"/>
          <w:kern w:val="0"/>
          <w:sz w:val="32"/>
          <w:szCs w:val="32"/>
        </w:rPr>
        <w:t>。其中，基本支出</w:t>
      </w:r>
      <w:r>
        <w:rPr>
          <w:rFonts w:hint="eastAsia" w:ascii="仿宋" w:hAnsi="仿宋" w:eastAsia="仿宋" w:cs="仿宋"/>
          <w:kern w:val="0"/>
          <w:sz w:val="32"/>
          <w:szCs w:val="32"/>
          <w:lang w:eastAsia="zh-CN"/>
        </w:rPr>
        <w:t>490.38</w:t>
      </w:r>
      <w:r>
        <w:rPr>
          <w:rFonts w:hint="eastAsia" w:ascii="仿宋" w:hAnsi="仿宋" w:eastAsia="仿宋" w:cs="仿宋"/>
          <w:kern w:val="0"/>
          <w:sz w:val="32"/>
          <w:szCs w:val="32"/>
        </w:rPr>
        <w:t>万元，占</w:t>
      </w:r>
      <w:r>
        <w:rPr>
          <w:rFonts w:hint="eastAsia" w:ascii="仿宋" w:hAnsi="仿宋" w:eastAsia="仿宋" w:cs="仿宋"/>
          <w:kern w:val="0"/>
          <w:sz w:val="32"/>
          <w:szCs w:val="32"/>
          <w:lang w:eastAsia="zh-CN"/>
        </w:rPr>
        <w:t>82.78%</w:t>
      </w:r>
      <w:r>
        <w:rPr>
          <w:rFonts w:hint="eastAsia" w:ascii="仿宋" w:hAnsi="仿宋" w:eastAsia="仿宋" w:cs="仿宋"/>
          <w:kern w:val="0"/>
          <w:sz w:val="32"/>
          <w:szCs w:val="32"/>
        </w:rPr>
        <w:t>，主要用于保障机构日常运转、完成日常工作任务；项目支出</w:t>
      </w:r>
      <w:r>
        <w:rPr>
          <w:rFonts w:hint="eastAsia" w:ascii="仿宋" w:hAnsi="仿宋" w:eastAsia="仿宋" w:cs="仿宋"/>
          <w:kern w:val="0"/>
          <w:sz w:val="32"/>
          <w:szCs w:val="32"/>
          <w:lang w:eastAsia="zh-CN"/>
        </w:rPr>
        <w:t>102万元</w:t>
      </w:r>
      <w:r>
        <w:rPr>
          <w:rFonts w:hint="eastAsia" w:ascii="仿宋" w:hAnsi="仿宋" w:eastAsia="仿宋" w:cs="仿宋"/>
          <w:kern w:val="0"/>
          <w:sz w:val="32"/>
          <w:szCs w:val="32"/>
        </w:rPr>
        <w:t>，占</w:t>
      </w:r>
      <w:r>
        <w:rPr>
          <w:rFonts w:hint="eastAsia" w:ascii="仿宋" w:hAnsi="仿宋" w:eastAsia="仿宋" w:cs="仿宋"/>
          <w:kern w:val="0"/>
          <w:sz w:val="32"/>
          <w:szCs w:val="32"/>
          <w:lang w:val="en-US" w:eastAsia="zh-CN"/>
        </w:rPr>
        <w:t>17.22</w:t>
      </w:r>
      <w:r>
        <w:rPr>
          <w:rFonts w:hint="eastAsia" w:ascii="仿宋" w:hAnsi="仿宋" w:eastAsia="仿宋" w:cs="仿宋"/>
          <w:kern w:val="0"/>
          <w:sz w:val="32"/>
          <w:szCs w:val="32"/>
        </w:rPr>
        <w:t>%，主要用于</w:t>
      </w:r>
      <w:r>
        <w:rPr>
          <w:rFonts w:hint="eastAsia" w:ascii="仿宋" w:hAnsi="仿宋" w:eastAsia="仿宋" w:cs="仿宋"/>
          <w:color w:val="auto"/>
          <w:kern w:val="0"/>
          <w:sz w:val="32"/>
          <w:szCs w:val="32"/>
          <w:lang w:val="en-US" w:eastAsia="zh-CN"/>
        </w:rPr>
        <w:t>综合行政执法能力建设</w:t>
      </w:r>
      <w:r>
        <w:rPr>
          <w:rFonts w:hint="eastAsia" w:ascii="仿宋" w:hAnsi="仿宋" w:eastAsia="仿宋" w:cs="仿宋"/>
          <w:kern w:val="0"/>
          <w:sz w:val="32"/>
          <w:szCs w:val="32"/>
        </w:rPr>
        <w:t>。</w:t>
      </w:r>
    </w:p>
    <w:p w14:paraId="103A45B0">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四、关于2025年财政拨款收支总表的说明</w:t>
      </w:r>
    </w:p>
    <w:p w14:paraId="53CAB940">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濉溪县生态环境保护综合行政执法大队</w:t>
      </w:r>
      <w:r>
        <w:rPr>
          <w:rFonts w:hint="eastAsia" w:ascii="仿宋" w:hAnsi="仿宋" w:eastAsia="仿宋" w:cs="仿宋"/>
          <w:kern w:val="0"/>
          <w:sz w:val="32"/>
          <w:szCs w:val="32"/>
        </w:rPr>
        <w:t>2025年财政拨款收支预算</w:t>
      </w:r>
      <w:r>
        <w:rPr>
          <w:rFonts w:hint="eastAsia" w:ascii="仿宋" w:hAnsi="仿宋" w:eastAsia="仿宋" w:cs="仿宋"/>
          <w:sz w:val="32"/>
          <w:szCs w:val="32"/>
          <w:lang w:eastAsia="zh-CN"/>
        </w:rPr>
        <w:t>592.38万元</w:t>
      </w:r>
      <w:r>
        <w:rPr>
          <w:rFonts w:hint="eastAsia" w:ascii="仿宋" w:hAnsi="仿宋" w:eastAsia="仿宋" w:cs="仿宋"/>
          <w:kern w:val="0"/>
          <w:sz w:val="32"/>
          <w:szCs w:val="32"/>
        </w:rPr>
        <w:t>。收入按资金来源分为：一般公共预算拨款</w:t>
      </w:r>
      <w:r>
        <w:rPr>
          <w:rFonts w:hint="eastAsia" w:ascii="仿宋" w:hAnsi="仿宋" w:eastAsia="仿宋" w:cs="仿宋"/>
          <w:sz w:val="32"/>
          <w:szCs w:val="32"/>
          <w:lang w:eastAsia="zh-CN"/>
        </w:rPr>
        <w:t>592.38万元</w:t>
      </w:r>
      <w:r>
        <w:rPr>
          <w:rFonts w:hint="eastAsia" w:ascii="仿宋" w:hAnsi="仿宋" w:eastAsia="仿宋" w:cs="仿宋"/>
          <w:kern w:val="0"/>
          <w:sz w:val="32"/>
          <w:szCs w:val="32"/>
        </w:rPr>
        <w:t>、政府性基金预算拨款</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万元；按资金年度分为：本年财政拨款收入</w:t>
      </w:r>
      <w:r>
        <w:rPr>
          <w:rFonts w:hint="eastAsia" w:ascii="仿宋" w:hAnsi="仿宋" w:eastAsia="仿宋" w:cs="仿宋"/>
          <w:kern w:val="0"/>
          <w:sz w:val="32"/>
          <w:szCs w:val="32"/>
          <w:lang w:eastAsia="zh-CN"/>
        </w:rPr>
        <w:t>592.38万元</w:t>
      </w:r>
      <w:r>
        <w:rPr>
          <w:rFonts w:hint="eastAsia" w:ascii="仿宋" w:hAnsi="仿宋" w:eastAsia="仿宋" w:cs="仿宋"/>
          <w:kern w:val="0"/>
          <w:sz w:val="32"/>
          <w:szCs w:val="32"/>
        </w:rPr>
        <w:t>。支出按功能分类分为：社会保障和就业支出</w:t>
      </w:r>
      <w:r>
        <w:rPr>
          <w:rFonts w:hint="eastAsia" w:ascii="仿宋" w:hAnsi="仿宋" w:eastAsia="仿宋" w:cs="仿宋"/>
          <w:kern w:val="0"/>
          <w:sz w:val="32"/>
          <w:szCs w:val="32"/>
          <w:lang w:val="en-US" w:eastAsia="zh-CN"/>
        </w:rPr>
        <w:t>67.61</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11.41</w:t>
      </w:r>
      <w:r>
        <w:rPr>
          <w:rFonts w:hint="eastAsia" w:ascii="仿宋" w:hAnsi="仿宋" w:eastAsia="仿宋" w:cs="仿宋"/>
          <w:kern w:val="0"/>
          <w:sz w:val="32"/>
          <w:szCs w:val="32"/>
        </w:rPr>
        <w:t>%；卫生健康支出</w:t>
      </w:r>
      <w:r>
        <w:rPr>
          <w:rFonts w:hint="eastAsia" w:ascii="仿宋" w:hAnsi="仿宋" w:eastAsia="仿宋" w:cs="仿宋"/>
          <w:kern w:val="0"/>
          <w:sz w:val="32"/>
          <w:szCs w:val="32"/>
          <w:lang w:val="en-US" w:eastAsia="zh-CN"/>
        </w:rPr>
        <w:t>20.97</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3.54</w:t>
      </w:r>
      <w:r>
        <w:rPr>
          <w:rFonts w:hint="eastAsia" w:ascii="仿宋" w:hAnsi="仿宋" w:eastAsia="仿宋" w:cs="仿宋"/>
          <w:kern w:val="0"/>
          <w:sz w:val="32"/>
          <w:szCs w:val="32"/>
        </w:rPr>
        <w:t>%；节能环保支出</w:t>
      </w:r>
      <w:r>
        <w:rPr>
          <w:rFonts w:hint="eastAsia" w:ascii="仿宋" w:hAnsi="仿宋" w:eastAsia="仿宋" w:cs="仿宋"/>
          <w:kern w:val="0"/>
          <w:sz w:val="32"/>
          <w:szCs w:val="32"/>
          <w:lang w:val="en-US" w:eastAsia="zh-CN"/>
        </w:rPr>
        <w:t>437.17</w:t>
      </w:r>
      <w:r>
        <w:rPr>
          <w:rFonts w:hint="eastAsia" w:ascii="仿宋" w:hAnsi="仿宋" w:eastAsia="仿宋" w:cs="仿宋"/>
          <w:kern w:val="0"/>
          <w:sz w:val="32"/>
          <w:szCs w:val="32"/>
        </w:rPr>
        <w:t>万元，占7</w:t>
      </w:r>
      <w:r>
        <w:rPr>
          <w:rFonts w:hint="eastAsia" w:ascii="仿宋" w:hAnsi="仿宋" w:eastAsia="仿宋" w:cs="仿宋"/>
          <w:kern w:val="0"/>
          <w:sz w:val="32"/>
          <w:szCs w:val="32"/>
          <w:lang w:val="en-US" w:eastAsia="zh-CN"/>
        </w:rPr>
        <w:t>3</w:t>
      </w:r>
      <w:r>
        <w:rPr>
          <w:rFonts w:hint="eastAsia" w:ascii="仿宋" w:hAnsi="仿宋" w:eastAsia="仿宋" w:cs="仿宋"/>
          <w:kern w:val="0"/>
          <w:sz w:val="32"/>
          <w:szCs w:val="32"/>
        </w:rPr>
        <w:t>.</w:t>
      </w:r>
      <w:r>
        <w:rPr>
          <w:rFonts w:hint="eastAsia" w:ascii="仿宋" w:hAnsi="仿宋" w:eastAsia="仿宋" w:cs="仿宋"/>
          <w:kern w:val="0"/>
          <w:sz w:val="32"/>
          <w:szCs w:val="32"/>
          <w:lang w:val="en-US" w:eastAsia="zh-CN"/>
        </w:rPr>
        <w:t>80</w:t>
      </w:r>
      <w:r>
        <w:rPr>
          <w:rFonts w:hint="eastAsia" w:ascii="仿宋" w:hAnsi="仿宋" w:eastAsia="仿宋" w:cs="仿宋"/>
          <w:kern w:val="0"/>
          <w:sz w:val="32"/>
          <w:szCs w:val="32"/>
        </w:rPr>
        <w:t>%；住房保障支出</w:t>
      </w:r>
      <w:r>
        <w:rPr>
          <w:rFonts w:hint="eastAsia" w:ascii="仿宋" w:hAnsi="仿宋" w:eastAsia="仿宋" w:cs="仿宋"/>
          <w:kern w:val="0"/>
          <w:sz w:val="32"/>
          <w:szCs w:val="32"/>
          <w:lang w:val="en-US" w:eastAsia="zh-CN"/>
        </w:rPr>
        <w:t>66</w:t>
      </w:r>
      <w:r>
        <w:rPr>
          <w:rFonts w:hint="eastAsia" w:ascii="仿宋" w:hAnsi="仿宋" w:eastAsia="仿宋" w:cs="仿宋"/>
          <w:kern w:val="0"/>
          <w:sz w:val="32"/>
          <w:szCs w:val="32"/>
        </w:rPr>
        <w:t>.</w:t>
      </w:r>
      <w:r>
        <w:rPr>
          <w:rFonts w:hint="eastAsia" w:ascii="仿宋" w:hAnsi="仿宋" w:eastAsia="仿宋" w:cs="仿宋"/>
          <w:kern w:val="0"/>
          <w:sz w:val="32"/>
          <w:szCs w:val="32"/>
          <w:lang w:val="en-US" w:eastAsia="zh-CN"/>
        </w:rPr>
        <w:t>63</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11</w:t>
      </w:r>
      <w:r>
        <w:rPr>
          <w:rFonts w:hint="eastAsia" w:ascii="仿宋" w:hAnsi="仿宋" w:eastAsia="仿宋" w:cs="仿宋"/>
          <w:kern w:val="0"/>
          <w:sz w:val="32"/>
          <w:szCs w:val="32"/>
        </w:rPr>
        <w:t>.</w:t>
      </w:r>
      <w:r>
        <w:rPr>
          <w:rFonts w:hint="eastAsia" w:ascii="仿宋" w:hAnsi="仿宋" w:eastAsia="仿宋" w:cs="仿宋"/>
          <w:kern w:val="0"/>
          <w:sz w:val="32"/>
          <w:szCs w:val="32"/>
          <w:lang w:val="en-US" w:eastAsia="zh-CN"/>
        </w:rPr>
        <w:t>25</w:t>
      </w:r>
      <w:r>
        <w:rPr>
          <w:rFonts w:hint="eastAsia" w:ascii="仿宋" w:hAnsi="仿宋" w:eastAsia="仿宋" w:cs="仿宋"/>
          <w:kern w:val="0"/>
          <w:sz w:val="32"/>
          <w:szCs w:val="32"/>
        </w:rPr>
        <w:t>%。</w:t>
      </w:r>
    </w:p>
    <w:p w14:paraId="4E5A45A5">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五、关于2025年一般公共预算支出表的说明</w:t>
      </w:r>
    </w:p>
    <w:p w14:paraId="6FA491CF">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（一）一般公共预算支出规模变化情况。</w:t>
      </w:r>
    </w:p>
    <w:p w14:paraId="793558D6">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濉溪县生态环境保护综合行政执法大队</w:t>
      </w:r>
      <w:r>
        <w:rPr>
          <w:rFonts w:hint="eastAsia" w:ascii="仿宋" w:hAnsi="仿宋" w:eastAsia="仿宋" w:cs="仿宋"/>
          <w:kern w:val="0"/>
          <w:sz w:val="32"/>
          <w:szCs w:val="32"/>
        </w:rPr>
        <w:t>2025年一般公共预算支出</w:t>
      </w:r>
      <w:r>
        <w:rPr>
          <w:rFonts w:hint="eastAsia" w:ascii="仿宋" w:hAnsi="仿宋" w:eastAsia="仿宋" w:cs="仿宋"/>
          <w:sz w:val="32"/>
          <w:szCs w:val="32"/>
          <w:lang w:eastAsia="zh-CN"/>
        </w:rPr>
        <w:t>592.38万元</w:t>
      </w:r>
      <w:r>
        <w:rPr>
          <w:rFonts w:hint="eastAsia" w:ascii="仿宋" w:hAnsi="仿宋" w:eastAsia="仿宋" w:cs="仿宋"/>
          <w:kern w:val="0"/>
          <w:sz w:val="32"/>
          <w:szCs w:val="32"/>
        </w:rPr>
        <w:t>，比2024年预算</w:t>
      </w:r>
      <w:r>
        <w:rPr>
          <w:rFonts w:hint="eastAsia" w:ascii="仿宋" w:hAnsi="仿宋" w:eastAsia="仿宋" w:cs="仿宋"/>
          <w:sz w:val="32"/>
          <w:szCs w:val="32"/>
          <w:lang w:eastAsia="zh-CN"/>
        </w:rPr>
        <w:t>减少45.19万元，下降7.09%</w:t>
      </w:r>
      <w:r>
        <w:rPr>
          <w:rFonts w:hint="eastAsia" w:ascii="仿宋" w:hAnsi="仿宋" w:eastAsia="仿宋" w:cs="仿宋"/>
          <w:kern w:val="0"/>
          <w:sz w:val="32"/>
          <w:szCs w:val="32"/>
        </w:rPr>
        <w:t>，原因主要是</w:t>
      </w:r>
      <w:r>
        <w:rPr>
          <w:rFonts w:hint="eastAsia" w:ascii="仿宋" w:hAnsi="仿宋" w:eastAsia="仿宋" w:cs="仿宋"/>
          <w:color w:val="auto"/>
          <w:sz w:val="32"/>
          <w:szCs w:val="32"/>
          <w:lang w:eastAsia="zh-CN"/>
        </w:rPr>
        <w:t>人员调出、退休和项目资金安排减少</w:t>
      </w:r>
      <w:r>
        <w:rPr>
          <w:rFonts w:hint="eastAsia" w:ascii="仿宋" w:hAnsi="仿宋" w:eastAsia="仿宋" w:cs="仿宋"/>
          <w:kern w:val="0"/>
          <w:sz w:val="32"/>
          <w:szCs w:val="32"/>
        </w:rPr>
        <w:t>。</w:t>
      </w:r>
    </w:p>
    <w:p w14:paraId="781D8A9E">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（二）一般公共预算支出结构情况。</w:t>
      </w:r>
    </w:p>
    <w:p w14:paraId="2EE9A2BF">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社会保障和就业支出</w:t>
      </w:r>
      <w:r>
        <w:rPr>
          <w:rFonts w:hint="eastAsia" w:ascii="仿宋" w:hAnsi="仿宋" w:eastAsia="仿宋" w:cs="仿宋"/>
          <w:kern w:val="0"/>
          <w:sz w:val="32"/>
          <w:szCs w:val="32"/>
          <w:lang w:val="en-US" w:eastAsia="zh-CN"/>
        </w:rPr>
        <w:t>67.61</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11.41</w:t>
      </w:r>
      <w:r>
        <w:rPr>
          <w:rFonts w:hint="eastAsia" w:ascii="仿宋" w:hAnsi="仿宋" w:eastAsia="仿宋" w:cs="仿宋"/>
          <w:kern w:val="0"/>
          <w:sz w:val="32"/>
          <w:szCs w:val="32"/>
        </w:rPr>
        <w:t>%；卫生健康支出</w:t>
      </w:r>
      <w:r>
        <w:rPr>
          <w:rFonts w:hint="eastAsia" w:ascii="仿宋" w:hAnsi="仿宋" w:eastAsia="仿宋" w:cs="仿宋"/>
          <w:kern w:val="0"/>
          <w:sz w:val="32"/>
          <w:szCs w:val="32"/>
          <w:lang w:val="en-US" w:eastAsia="zh-CN"/>
        </w:rPr>
        <w:t>20.97</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3.54</w:t>
      </w:r>
      <w:r>
        <w:rPr>
          <w:rFonts w:hint="eastAsia" w:ascii="仿宋" w:hAnsi="仿宋" w:eastAsia="仿宋" w:cs="仿宋"/>
          <w:kern w:val="0"/>
          <w:sz w:val="32"/>
          <w:szCs w:val="32"/>
        </w:rPr>
        <w:t>%；节能环保支出</w:t>
      </w:r>
      <w:r>
        <w:rPr>
          <w:rFonts w:hint="eastAsia" w:ascii="仿宋" w:hAnsi="仿宋" w:eastAsia="仿宋" w:cs="仿宋"/>
          <w:kern w:val="0"/>
          <w:sz w:val="32"/>
          <w:szCs w:val="32"/>
          <w:lang w:val="en-US" w:eastAsia="zh-CN"/>
        </w:rPr>
        <w:t>437.17</w:t>
      </w:r>
      <w:r>
        <w:rPr>
          <w:rFonts w:hint="eastAsia" w:ascii="仿宋" w:hAnsi="仿宋" w:eastAsia="仿宋" w:cs="仿宋"/>
          <w:kern w:val="0"/>
          <w:sz w:val="32"/>
          <w:szCs w:val="32"/>
        </w:rPr>
        <w:t>万元，占7</w:t>
      </w:r>
      <w:r>
        <w:rPr>
          <w:rFonts w:hint="eastAsia" w:ascii="仿宋" w:hAnsi="仿宋" w:eastAsia="仿宋" w:cs="仿宋"/>
          <w:kern w:val="0"/>
          <w:sz w:val="32"/>
          <w:szCs w:val="32"/>
          <w:lang w:val="en-US" w:eastAsia="zh-CN"/>
        </w:rPr>
        <w:t>3</w:t>
      </w:r>
      <w:r>
        <w:rPr>
          <w:rFonts w:hint="eastAsia" w:ascii="仿宋" w:hAnsi="仿宋" w:eastAsia="仿宋" w:cs="仿宋"/>
          <w:kern w:val="0"/>
          <w:sz w:val="32"/>
          <w:szCs w:val="32"/>
        </w:rPr>
        <w:t>.</w:t>
      </w:r>
      <w:r>
        <w:rPr>
          <w:rFonts w:hint="eastAsia" w:ascii="仿宋" w:hAnsi="仿宋" w:eastAsia="仿宋" w:cs="仿宋"/>
          <w:kern w:val="0"/>
          <w:sz w:val="32"/>
          <w:szCs w:val="32"/>
          <w:lang w:val="en-US" w:eastAsia="zh-CN"/>
        </w:rPr>
        <w:t>80</w:t>
      </w:r>
      <w:r>
        <w:rPr>
          <w:rFonts w:hint="eastAsia" w:ascii="仿宋" w:hAnsi="仿宋" w:eastAsia="仿宋" w:cs="仿宋"/>
          <w:kern w:val="0"/>
          <w:sz w:val="32"/>
          <w:szCs w:val="32"/>
        </w:rPr>
        <w:t>%；住房保障支出</w:t>
      </w:r>
      <w:r>
        <w:rPr>
          <w:rFonts w:hint="eastAsia" w:ascii="仿宋" w:hAnsi="仿宋" w:eastAsia="仿宋" w:cs="仿宋"/>
          <w:kern w:val="0"/>
          <w:sz w:val="32"/>
          <w:szCs w:val="32"/>
          <w:lang w:val="en-US" w:eastAsia="zh-CN"/>
        </w:rPr>
        <w:t>66</w:t>
      </w:r>
      <w:r>
        <w:rPr>
          <w:rFonts w:hint="eastAsia" w:ascii="仿宋" w:hAnsi="仿宋" w:eastAsia="仿宋" w:cs="仿宋"/>
          <w:kern w:val="0"/>
          <w:sz w:val="32"/>
          <w:szCs w:val="32"/>
        </w:rPr>
        <w:t>.</w:t>
      </w:r>
      <w:r>
        <w:rPr>
          <w:rFonts w:hint="eastAsia" w:ascii="仿宋" w:hAnsi="仿宋" w:eastAsia="仿宋" w:cs="仿宋"/>
          <w:kern w:val="0"/>
          <w:sz w:val="32"/>
          <w:szCs w:val="32"/>
          <w:lang w:val="en-US" w:eastAsia="zh-CN"/>
        </w:rPr>
        <w:t>63</w:t>
      </w:r>
      <w:r>
        <w:rPr>
          <w:rFonts w:hint="eastAsia" w:ascii="仿宋" w:hAnsi="仿宋" w:eastAsia="仿宋" w:cs="仿宋"/>
          <w:kern w:val="0"/>
          <w:sz w:val="32"/>
          <w:szCs w:val="32"/>
        </w:rPr>
        <w:t>万元，占</w:t>
      </w:r>
      <w:r>
        <w:rPr>
          <w:rFonts w:hint="eastAsia" w:ascii="仿宋" w:hAnsi="仿宋" w:eastAsia="仿宋" w:cs="仿宋"/>
          <w:kern w:val="0"/>
          <w:sz w:val="32"/>
          <w:szCs w:val="32"/>
          <w:lang w:val="en-US" w:eastAsia="zh-CN"/>
        </w:rPr>
        <w:t>11</w:t>
      </w:r>
      <w:r>
        <w:rPr>
          <w:rFonts w:hint="eastAsia" w:ascii="仿宋" w:hAnsi="仿宋" w:eastAsia="仿宋" w:cs="仿宋"/>
          <w:kern w:val="0"/>
          <w:sz w:val="32"/>
          <w:szCs w:val="32"/>
        </w:rPr>
        <w:t>.</w:t>
      </w:r>
      <w:r>
        <w:rPr>
          <w:rFonts w:hint="eastAsia" w:ascii="仿宋" w:hAnsi="仿宋" w:eastAsia="仿宋" w:cs="仿宋"/>
          <w:kern w:val="0"/>
          <w:sz w:val="32"/>
          <w:szCs w:val="32"/>
          <w:lang w:val="en-US" w:eastAsia="zh-CN"/>
        </w:rPr>
        <w:t>25</w:t>
      </w:r>
      <w:r>
        <w:rPr>
          <w:rFonts w:hint="eastAsia" w:ascii="仿宋" w:hAnsi="仿宋" w:eastAsia="仿宋" w:cs="仿宋"/>
          <w:kern w:val="0"/>
          <w:sz w:val="32"/>
          <w:szCs w:val="32"/>
        </w:rPr>
        <w:t>%。</w:t>
      </w:r>
    </w:p>
    <w:p w14:paraId="10D68383">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（三）一般公共预算支出具体使用情况。</w:t>
      </w:r>
    </w:p>
    <w:p w14:paraId="4CC0382D">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1</w:t>
      </w:r>
      <w:r>
        <w:rPr>
          <w:rFonts w:hint="eastAsia" w:ascii="仿宋" w:hAnsi="仿宋" w:eastAsia="仿宋" w:cs="仿宋"/>
          <w:b/>
          <w:bCs/>
          <w:kern w:val="0"/>
          <w:sz w:val="32"/>
          <w:szCs w:val="32"/>
        </w:rPr>
        <w:t>、社会保障和就业支出（类）行政事业单位养老支出（款）机关事业单位职业年金缴费支出（项）</w:t>
      </w:r>
      <w:r>
        <w:rPr>
          <w:rFonts w:hint="eastAsia" w:ascii="仿宋" w:hAnsi="仿宋" w:eastAsia="仿宋" w:cs="仿宋"/>
          <w:kern w:val="0"/>
          <w:sz w:val="32"/>
          <w:szCs w:val="32"/>
        </w:rPr>
        <w:t>2025年预算</w:t>
      </w:r>
      <w:r>
        <w:rPr>
          <w:rFonts w:hint="eastAsia" w:ascii="仿宋" w:hAnsi="仿宋" w:eastAsia="仿宋" w:cs="仿宋"/>
          <w:kern w:val="0"/>
          <w:sz w:val="32"/>
          <w:szCs w:val="32"/>
          <w:lang w:val="en-US" w:eastAsia="zh-CN"/>
        </w:rPr>
        <w:t>66.17</w:t>
      </w:r>
      <w:r>
        <w:rPr>
          <w:rFonts w:hint="eastAsia" w:ascii="仿宋" w:hAnsi="仿宋" w:eastAsia="仿宋" w:cs="仿宋"/>
          <w:kern w:val="0"/>
          <w:sz w:val="32"/>
          <w:szCs w:val="32"/>
        </w:rPr>
        <w:t>万元，比2024年预算</w:t>
      </w:r>
      <w:r>
        <w:rPr>
          <w:rFonts w:hint="eastAsia" w:ascii="仿宋" w:hAnsi="仿宋" w:eastAsia="仿宋" w:cs="仿宋"/>
          <w:kern w:val="0"/>
          <w:sz w:val="32"/>
          <w:szCs w:val="32"/>
          <w:lang w:val="en-US" w:eastAsia="zh-CN"/>
        </w:rPr>
        <w:t>增加66.17</w:t>
      </w:r>
      <w:r>
        <w:rPr>
          <w:rFonts w:hint="eastAsia" w:ascii="仿宋" w:hAnsi="仿宋" w:eastAsia="仿宋" w:cs="仿宋"/>
          <w:kern w:val="0"/>
          <w:sz w:val="32"/>
          <w:szCs w:val="32"/>
        </w:rPr>
        <w:t>万元，</w:t>
      </w:r>
      <w:r>
        <w:rPr>
          <w:rFonts w:hint="eastAsia" w:ascii="仿宋" w:hAnsi="仿宋" w:eastAsia="仿宋" w:cs="仿宋"/>
          <w:kern w:val="0"/>
          <w:sz w:val="32"/>
          <w:szCs w:val="32"/>
          <w:lang w:val="en-US" w:eastAsia="zh-CN"/>
        </w:rPr>
        <w:t>增长100%</w:t>
      </w:r>
      <w:r>
        <w:rPr>
          <w:rFonts w:hint="eastAsia" w:ascii="仿宋" w:hAnsi="仿宋" w:eastAsia="仿宋" w:cs="仿宋"/>
          <w:kern w:val="0"/>
          <w:sz w:val="32"/>
          <w:szCs w:val="32"/>
        </w:rPr>
        <w:t>，原因主要是</w:t>
      </w:r>
      <w:r>
        <w:rPr>
          <w:rFonts w:hint="eastAsia" w:ascii="仿宋" w:hAnsi="仿宋" w:eastAsia="仿宋" w:cs="仿宋"/>
          <w:kern w:val="0"/>
          <w:sz w:val="32"/>
          <w:szCs w:val="32"/>
          <w:lang w:val="en-US" w:eastAsia="zh-CN"/>
        </w:rPr>
        <w:t>支出功能科目调整增加。</w:t>
      </w:r>
    </w:p>
    <w:p w14:paraId="5DBD987D">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2</w:t>
      </w:r>
      <w:r>
        <w:rPr>
          <w:rFonts w:hint="eastAsia" w:ascii="仿宋" w:hAnsi="仿宋" w:eastAsia="仿宋" w:cs="仿宋"/>
          <w:b/>
          <w:bCs/>
          <w:kern w:val="0"/>
          <w:sz w:val="32"/>
          <w:szCs w:val="32"/>
        </w:rPr>
        <w:t>、社会保障和就业支出（类）其他社会保障和就业支出（款）其他社会保障和就业支出（项）</w:t>
      </w:r>
      <w:r>
        <w:rPr>
          <w:rFonts w:hint="eastAsia" w:ascii="仿宋" w:hAnsi="仿宋" w:eastAsia="仿宋" w:cs="仿宋"/>
          <w:kern w:val="0"/>
          <w:sz w:val="32"/>
          <w:szCs w:val="32"/>
        </w:rPr>
        <w:t>2025年预算</w:t>
      </w:r>
      <w:r>
        <w:rPr>
          <w:rFonts w:hint="eastAsia" w:ascii="仿宋" w:hAnsi="仿宋" w:eastAsia="仿宋" w:cs="仿宋"/>
          <w:kern w:val="0"/>
          <w:sz w:val="32"/>
          <w:szCs w:val="32"/>
          <w:lang w:val="en-US" w:eastAsia="zh-CN"/>
        </w:rPr>
        <w:t>1.44</w:t>
      </w:r>
      <w:r>
        <w:rPr>
          <w:rFonts w:hint="eastAsia" w:ascii="仿宋" w:hAnsi="仿宋" w:eastAsia="仿宋" w:cs="仿宋"/>
          <w:kern w:val="0"/>
          <w:sz w:val="32"/>
          <w:szCs w:val="32"/>
        </w:rPr>
        <w:t>万元，比2024年预算</w:t>
      </w:r>
      <w:r>
        <w:rPr>
          <w:rFonts w:hint="eastAsia" w:ascii="仿宋" w:hAnsi="仿宋" w:eastAsia="仿宋" w:cs="仿宋"/>
          <w:kern w:val="0"/>
          <w:sz w:val="32"/>
          <w:szCs w:val="32"/>
          <w:lang w:val="en-US" w:eastAsia="zh-CN"/>
        </w:rPr>
        <w:t>增加1.44</w:t>
      </w:r>
      <w:r>
        <w:rPr>
          <w:rFonts w:hint="eastAsia" w:ascii="仿宋" w:hAnsi="仿宋" w:eastAsia="仿宋" w:cs="仿宋"/>
          <w:kern w:val="0"/>
          <w:sz w:val="32"/>
          <w:szCs w:val="32"/>
        </w:rPr>
        <w:t>万元，</w:t>
      </w:r>
      <w:r>
        <w:rPr>
          <w:rFonts w:hint="eastAsia" w:ascii="仿宋" w:hAnsi="仿宋" w:eastAsia="仿宋" w:cs="仿宋"/>
          <w:kern w:val="0"/>
          <w:sz w:val="32"/>
          <w:szCs w:val="32"/>
          <w:lang w:val="en-US" w:eastAsia="zh-CN"/>
        </w:rPr>
        <w:t>增长100%</w:t>
      </w:r>
      <w:r>
        <w:rPr>
          <w:rFonts w:hint="eastAsia" w:ascii="仿宋" w:hAnsi="仿宋" w:eastAsia="仿宋" w:cs="仿宋"/>
          <w:kern w:val="0"/>
          <w:sz w:val="32"/>
          <w:szCs w:val="32"/>
        </w:rPr>
        <w:t>，原因主要是</w:t>
      </w:r>
      <w:r>
        <w:rPr>
          <w:rFonts w:hint="eastAsia" w:ascii="仿宋" w:hAnsi="仿宋" w:eastAsia="仿宋" w:cs="仿宋"/>
          <w:kern w:val="0"/>
          <w:sz w:val="32"/>
          <w:szCs w:val="32"/>
          <w:lang w:val="en-US" w:eastAsia="zh-CN"/>
        </w:rPr>
        <w:t>支出功能科目调整增加。</w:t>
      </w:r>
    </w:p>
    <w:p w14:paraId="1F779268">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3</w:t>
      </w:r>
      <w:r>
        <w:rPr>
          <w:rFonts w:hint="eastAsia" w:ascii="仿宋" w:hAnsi="仿宋" w:eastAsia="仿宋" w:cs="仿宋"/>
          <w:b/>
          <w:bCs/>
          <w:kern w:val="0"/>
          <w:sz w:val="32"/>
          <w:szCs w:val="32"/>
        </w:rPr>
        <w:t>、卫生健康支出（类）行政事业单位医疗（款）事业单位医疗（项）</w:t>
      </w:r>
      <w:r>
        <w:rPr>
          <w:rFonts w:hint="eastAsia" w:ascii="仿宋" w:hAnsi="仿宋" w:eastAsia="仿宋" w:cs="仿宋"/>
          <w:kern w:val="0"/>
          <w:sz w:val="32"/>
          <w:szCs w:val="32"/>
        </w:rPr>
        <w:t>2025年预算</w:t>
      </w:r>
      <w:r>
        <w:rPr>
          <w:rFonts w:hint="eastAsia" w:ascii="仿宋" w:hAnsi="仿宋" w:eastAsia="仿宋" w:cs="仿宋"/>
          <w:kern w:val="0"/>
          <w:sz w:val="32"/>
          <w:szCs w:val="32"/>
          <w:lang w:val="en-US" w:eastAsia="zh-CN"/>
        </w:rPr>
        <w:t>14.8</w:t>
      </w:r>
      <w:r>
        <w:rPr>
          <w:rFonts w:hint="eastAsia" w:ascii="仿宋" w:hAnsi="仿宋" w:eastAsia="仿宋" w:cs="仿宋"/>
          <w:kern w:val="0"/>
          <w:sz w:val="32"/>
          <w:szCs w:val="32"/>
        </w:rPr>
        <w:t>万元，比2024年预算</w:t>
      </w:r>
      <w:r>
        <w:rPr>
          <w:rFonts w:hint="eastAsia" w:ascii="仿宋" w:hAnsi="仿宋" w:eastAsia="仿宋" w:cs="仿宋"/>
          <w:kern w:val="0"/>
          <w:sz w:val="32"/>
          <w:szCs w:val="32"/>
          <w:lang w:val="en-US" w:eastAsia="zh-CN"/>
        </w:rPr>
        <w:t>增加14.8</w:t>
      </w:r>
      <w:r>
        <w:rPr>
          <w:rFonts w:hint="eastAsia" w:ascii="仿宋" w:hAnsi="仿宋" w:eastAsia="仿宋" w:cs="仿宋"/>
          <w:kern w:val="0"/>
          <w:sz w:val="32"/>
          <w:szCs w:val="32"/>
        </w:rPr>
        <w:t>万元，</w:t>
      </w:r>
      <w:r>
        <w:rPr>
          <w:rFonts w:hint="eastAsia" w:ascii="仿宋" w:hAnsi="仿宋" w:eastAsia="仿宋" w:cs="仿宋"/>
          <w:kern w:val="0"/>
          <w:sz w:val="32"/>
          <w:szCs w:val="32"/>
          <w:lang w:val="en-US" w:eastAsia="zh-CN"/>
        </w:rPr>
        <w:t>增长100%</w:t>
      </w:r>
      <w:r>
        <w:rPr>
          <w:rFonts w:hint="eastAsia" w:ascii="仿宋" w:hAnsi="仿宋" w:eastAsia="仿宋" w:cs="仿宋"/>
          <w:kern w:val="0"/>
          <w:sz w:val="32"/>
          <w:szCs w:val="32"/>
        </w:rPr>
        <w:t>，原因主要是</w:t>
      </w:r>
      <w:r>
        <w:rPr>
          <w:rFonts w:hint="eastAsia" w:ascii="仿宋" w:hAnsi="仿宋" w:eastAsia="仿宋" w:cs="仿宋"/>
          <w:kern w:val="0"/>
          <w:sz w:val="32"/>
          <w:szCs w:val="32"/>
          <w:lang w:val="en-US" w:eastAsia="zh-CN"/>
        </w:rPr>
        <w:t>支出功能科目调整增加。</w:t>
      </w:r>
    </w:p>
    <w:p w14:paraId="3B41BA56">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4</w:t>
      </w:r>
      <w:r>
        <w:rPr>
          <w:rFonts w:hint="eastAsia" w:ascii="仿宋" w:hAnsi="仿宋" w:eastAsia="仿宋" w:cs="仿宋"/>
          <w:b/>
          <w:bCs/>
          <w:kern w:val="0"/>
          <w:sz w:val="32"/>
          <w:szCs w:val="32"/>
        </w:rPr>
        <w:t>、卫生健康支出（类）行政事业单位医疗（款）公务员医疗补助（项）</w:t>
      </w:r>
      <w:r>
        <w:rPr>
          <w:rFonts w:hint="eastAsia" w:ascii="仿宋" w:hAnsi="仿宋" w:eastAsia="仿宋" w:cs="仿宋"/>
          <w:kern w:val="0"/>
          <w:sz w:val="32"/>
          <w:szCs w:val="32"/>
        </w:rPr>
        <w:t>2025年预算</w:t>
      </w:r>
      <w:r>
        <w:rPr>
          <w:rFonts w:hint="eastAsia" w:ascii="仿宋" w:hAnsi="仿宋" w:eastAsia="仿宋" w:cs="仿宋"/>
          <w:kern w:val="0"/>
          <w:sz w:val="32"/>
          <w:szCs w:val="32"/>
          <w:lang w:val="en-US" w:eastAsia="zh-CN"/>
        </w:rPr>
        <w:t>6.17</w:t>
      </w:r>
      <w:r>
        <w:rPr>
          <w:rFonts w:hint="eastAsia" w:ascii="仿宋" w:hAnsi="仿宋" w:eastAsia="仿宋" w:cs="仿宋"/>
          <w:kern w:val="0"/>
          <w:sz w:val="32"/>
          <w:szCs w:val="32"/>
        </w:rPr>
        <w:t>万元，比2024年预算</w:t>
      </w:r>
      <w:r>
        <w:rPr>
          <w:rFonts w:hint="eastAsia" w:ascii="仿宋" w:hAnsi="仿宋" w:eastAsia="仿宋" w:cs="仿宋"/>
          <w:kern w:val="0"/>
          <w:sz w:val="32"/>
          <w:szCs w:val="32"/>
          <w:lang w:val="en-US" w:eastAsia="zh-CN"/>
        </w:rPr>
        <w:t>增加6.17</w:t>
      </w:r>
      <w:r>
        <w:rPr>
          <w:rFonts w:hint="eastAsia" w:ascii="仿宋" w:hAnsi="仿宋" w:eastAsia="仿宋" w:cs="仿宋"/>
          <w:kern w:val="0"/>
          <w:sz w:val="32"/>
          <w:szCs w:val="32"/>
        </w:rPr>
        <w:t>万元，</w:t>
      </w:r>
      <w:r>
        <w:rPr>
          <w:rFonts w:hint="eastAsia" w:ascii="仿宋" w:hAnsi="仿宋" w:eastAsia="仿宋" w:cs="仿宋"/>
          <w:kern w:val="0"/>
          <w:sz w:val="32"/>
          <w:szCs w:val="32"/>
          <w:lang w:val="en-US" w:eastAsia="zh-CN"/>
        </w:rPr>
        <w:t>增长100%</w:t>
      </w:r>
      <w:r>
        <w:rPr>
          <w:rFonts w:hint="eastAsia" w:ascii="仿宋" w:hAnsi="仿宋" w:eastAsia="仿宋" w:cs="仿宋"/>
          <w:kern w:val="0"/>
          <w:sz w:val="32"/>
          <w:szCs w:val="32"/>
        </w:rPr>
        <w:t>，原因主要是</w:t>
      </w:r>
      <w:r>
        <w:rPr>
          <w:rFonts w:hint="eastAsia" w:ascii="仿宋" w:hAnsi="仿宋" w:eastAsia="仿宋" w:cs="仿宋"/>
          <w:kern w:val="0"/>
          <w:sz w:val="32"/>
          <w:szCs w:val="32"/>
          <w:lang w:val="en-US" w:eastAsia="zh-CN"/>
        </w:rPr>
        <w:t>支出功能科目调整增加。</w:t>
      </w:r>
    </w:p>
    <w:p w14:paraId="2FAD5ADC">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5</w:t>
      </w:r>
      <w:r>
        <w:rPr>
          <w:rFonts w:hint="eastAsia" w:ascii="仿宋" w:hAnsi="仿宋" w:eastAsia="仿宋" w:cs="仿宋"/>
          <w:b/>
          <w:bCs/>
          <w:kern w:val="0"/>
          <w:sz w:val="32"/>
          <w:szCs w:val="32"/>
        </w:rPr>
        <w:t>、节能环保支出（类）环境监测与监察（款）其他环境监测与监察支出（项）</w:t>
      </w:r>
      <w:r>
        <w:rPr>
          <w:rFonts w:hint="eastAsia" w:ascii="仿宋" w:hAnsi="仿宋" w:eastAsia="仿宋" w:cs="仿宋"/>
          <w:kern w:val="0"/>
          <w:sz w:val="32"/>
          <w:szCs w:val="32"/>
        </w:rPr>
        <w:t>2025年预算</w:t>
      </w:r>
      <w:r>
        <w:rPr>
          <w:rFonts w:hint="eastAsia" w:ascii="仿宋" w:hAnsi="仿宋" w:eastAsia="仿宋" w:cs="仿宋"/>
          <w:kern w:val="0"/>
          <w:sz w:val="32"/>
          <w:szCs w:val="32"/>
          <w:lang w:val="en-US" w:eastAsia="zh-CN"/>
        </w:rPr>
        <w:t>437.17</w:t>
      </w:r>
      <w:r>
        <w:rPr>
          <w:rFonts w:hint="eastAsia" w:ascii="仿宋" w:hAnsi="仿宋" w:eastAsia="仿宋" w:cs="仿宋"/>
          <w:kern w:val="0"/>
          <w:sz w:val="32"/>
          <w:szCs w:val="32"/>
        </w:rPr>
        <w:t>万元，比2024年预算减少187.95万元，下降30.07 %，原因主要是</w:t>
      </w:r>
      <w:r>
        <w:rPr>
          <w:rFonts w:hint="eastAsia" w:ascii="仿宋" w:hAnsi="仿宋" w:eastAsia="仿宋" w:cs="仿宋"/>
          <w:kern w:val="0"/>
          <w:sz w:val="32"/>
          <w:szCs w:val="32"/>
          <w:lang w:val="en-US" w:eastAsia="zh-CN"/>
        </w:rPr>
        <w:t>支出功能科目调整和项目资金安排减少。</w:t>
      </w:r>
    </w:p>
    <w:p w14:paraId="59DA95FB">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b/>
          <w:bCs/>
          <w:kern w:val="0"/>
          <w:sz w:val="32"/>
          <w:szCs w:val="32"/>
          <w:lang w:val="en-US" w:eastAsia="zh-CN"/>
        </w:rPr>
        <w:t>6</w:t>
      </w:r>
      <w:r>
        <w:rPr>
          <w:rFonts w:hint="eastAsia" w:ascii="仿宋" w:hAnsi="仿宋" w:eastAsia="仿宋" w:cs="仿宋"/>
          <w:b/>
          <w:bCs/>
          <w:kern w:val="0"/>
          <w:sz w:val="32"/>
          <w:szCs w:val="32"/>
        </w:rPr>
        <w:t>、住房保障支出（类）住房改革支出（款）住房公积金（项）</w:t>
      </w:r>
      <w:r>
        <w:rPr>
          <w:rFonts w:hint="eastAsia" w:ascii="仿宋" w:hAnsi="仿宋" w:eastAsia="仿宋" w:cs="仿宋"/>
          <w:kern w:val="0"/>
          <w:sz w:val="32"/>
          <w:szCs w:val="32"/>
        </w:rPr>
        <w:t>2025年预算</w:t>
      </w:r>
      <w:r>
        <w:rPr>
          <w:rFonts w:hint="eastAsia" w:ascii="仿宋" w:hAnsi="仿宋" w:eastAsia="仿宋" w:cs="仿宋"/>
          <w:kern w:val="0"/>
          <w:sz w:val="32"/>
          <w:szCs w:val="32"/>
          <w:lang w:val="en-US" w:eastAsia="zh-CN"/>
        </w:rPr>
        <w:t>38.79</w:t>
      </w:r>
      <w:r>
        <w:rPr>
          <w:rFonts w:hint="eastAsia" w:ascii="仿宋" w:hAnsi="仿宋" w:eastAsia="仿宋" w:cs="仿宋"/>
          <w:kern w:val="0"/>
          <w:sz w:val="32"/>
          <w:szCs w:val="32"/>
        </w:rPr>
        <w:t>万元，比2024年预算</w:t>
      </w:r>
      <w:r>
        <w:rPr>
          <w:rFonts w:hint="eastAsia" w:ascii="仿宋" w:hAnsi="仿宋" w:eastAsia="仿宋" w:cs="仿宋"/>
          <w:kern w:val="0"/>
          <w:sz w:val="32"/>
          <w:szCs w:val="32"/>
          <w:lang w:val="en-US" w:eastAsia="zh-CN"/>
        </w:rPr>
        <w:t>增加38.79</w:t>
      </w:r>
      <w:r>
        <w:rPr>
          <w:rFonts w:hint="eastAsia" w:ascii="仿宋" w:hAnsi="仿宋" w:eastAsia="仿宋" w:cs="仿宋"/>
          <w:kern w:val="0"/>
          <w:sz w:val="32"/>
          <w:szCs w:val="32"/>
        </w:rPr>
        <w:t>万元，</w:t>
      </w:r>
      <w:r>
        <w:rPr>
          <w:rFonts w:hint="eastAsia" w:ascii="仿宋" w:hAnsi="仿宋" w:eastAsia="仿宋" w:cs="仿宋"/>
          <w:kern w:val="0"/>
          <w:sz w:val="32"/>
          <w:szCs w:val="32"/>
          <w:lang w:val="en-US" w:eastAsia="zh-CN"/>
        </w:rPr>
        <w:t>增长100%</w:t>
      </w:r>
      <w:r>
        <w:rPr>
          <w:rFonts w:hint="eastAsia" w:ascii="仿宋" w:hAnsi="仿宋" w:eastAsia="仿宋" w:cs="仿宋"/>
          <w:kern w:val="0"/>
          <w:sz w:val="32"/>
          <w:szCs w:val="32"/>
        </w:rPr>
        <w:t>，原因主要是</w:t>
      </w:r>
      <w:r>
        <w:rPr>
          <w:rFonts w:hint="eastAsia" w:ascii="仿宋" w:hAnsi="仿宋" w:eastAsia="仿宋" w:cs="仿宋"/>
          <w:kern w:val="0"/>
          <w:sz w:val="32"/>
          <w:szCs w:val="32"/>
          <w:lang w:val="en-US" w:eastAsia="zh-CN"/>
        </w:rPr>
        <w:t>支出功能科目调整增加。</w:t>
      </w:r>
    </w:p>
    <w:p w14:paraId="6AA377C0">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lang w:val="en-US" w:eastAsia="zh-CN"/>
        </w:rPr>
      </w:pPr>
      <w:r>
        <w:rPr>
          <w:rFonts w:hint="eastAsia" w:ascii="仿宋" w:hAnsi="仿宋" w:eastAsia="仿宋" w:cs="仿宋"/>
          <w:b/>
          <w:bCs/>
          <w:kern w:val="0"/>
          <w:sz w:val="32"/>
          <w:szCs w:val="32"/>
          <w:lang w:val="en-US" w:eastAsia="zh-CN"/>
        </w:rPr>
        <w:t>7</w:t>
      </w:r>
      <w:r>
        <w:rPr>
          <w:rFonts w:hint="eastAsia" w:ascii="仿宋" w:hAnsi="仿宋" w:eastAsia="仿宋" w:cs="仿宋"/>
          <w:b/>
          <w:bCs/>
          <w:kern w:val="0"/>
          <w:sz w:val="32"/>
          <w:szCs w:val="32"/>
        </w:rPr>
        <w:t>、住房保障支出（类）住房改革支出（款）提租补贴（项）</w:t>
      </w:r>
      <w:r>
        <w:rPr>
          <w:rFonts w:hint="eastAsia" w:ascii="仿宋" w:hAnsi="仿宋" w:eastAsia="仿宋" w:cs="仿宋"/>
          <w:kern w:val="0"/>
          <w:sz w:val="32"/>
          <w:szCs w:val="32"/>
        </w:rPr>
        <w:t>2025年预算</w:t>
      </w:r>
      <w:r>
        <w:rPr>
          <w:rFonts w:hint="eastAsia" w:ascii="仿宋" w:hAnsi="仿宋" w:eastAsia="仿宋" w:cs="仿宋"/>
          <w:kern w:val="0"/>
          <w:sz w:val="32"/>
          <w:szCs w:val="32"/>
          <w:lang w:val="en-US" w:eastAsia="zh-CN"/>
        </w:rPr>
        <w:t>11.69</w:t>
      </w:r>
      <w:r>
        <w:rPr>
          <w:rFonts w:hint="eastAsia" w:ascii="仿宋" w:hAnsi="仿宋" w:eastAsia="仿宋" w:cs="仿宋"/>
          <w:kern w:val="0"/>
          <w:sz w:val="32"/>
          <w:szCs w:val="32"/>
        </w:rPr>
        <w:t>万元，比2024年预算减少0.77万元，下降6.15 %，原因主要是</w:t>
      </w:r>
      <w:r>
        <w:rPr>
          <w:rFonts w:hint="eastAsia" w:ascii="仿宋" w:hAnsi="仿宋" w:eastAsia="仿宋" w:cs="仿宋"/>
          <w:kern w:val="0"/>
          <w:sz w:val="32"/>
          <w:szCs w:val="32"/>
          <w:lang w:val="en-US" w:eastAsia="zh-CN"/>
        </w:rPr>
        <w:t>政策性调整。</w:t>
      </w:r>
    </w:p>
    <w:p w14:paraId="2E6F3831">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8</w:t>
      </w:r>
      <w:r>
        <w:rPr>
          <w:rFonts w:hint="eastAsia" w:ascii="仿宋" w:hAnsi="仿宋" w:eastAsia="仿宋" w:cs="仿宋"/>
          <w:b/>
          <w:bCs/>
          <w:kern w:val="0"/>
          <w:sz w:val="32"/>
          <w:szCs w:val="32"/>
        </w:rPr>
        <w:t>、住房保障支出（类）住房改革支出（款）购房补贴（项）</w:t>
      </w:r>
      <w:r>
        <w:rPr>
          <w:rFonts w:hint="eastAsia" w:ascii="仿宋" w:hAnsi="仿宋" w:eastAsia="仿宋" w:cs="仿宋"/>
          <w:kern w:val="0"/>
          <w:sz w:val="32"/>
          <w:szCs w:val="32"/>
        </w:rPr>
        <w:t>2025年预算</w:t>
      </w:r>
      <w:r>
        <w:rPr>
          <w:rFonts w:hint="eastAsia" w:ascii="仿宋" w:hAnsi="仿宋" w:eastAsia="仿宋" w:cs="仿宋"/>
          <w:kern w:val="0"/>
          <w:sz w:val="32"/>
          <w:szCs w:val="32"/>
          <w:lang w:val="en-US" w:eastAsia="zh-CN"/>
        </w:rPr>
        <w:t>16.16</w:t>
      </w:r>
      <w:r>
        <w:rPr>
          <w:rFonts w:hint="eastAsia" w:ascii="仿宋" w:hAnsi="仿宋" w:eastAsia="仿宋" w:cs="仿宋"/>
          <w:kern w:val="0"/>
          <w:sz w:val="32"/>
          <w:szCs w:val="32"/>
        </w:rPr>
        <w:t>万元，比2024年预算</w:t>
      </w:r>
      <w:r>
        <w:rPr>
          <w:rFonts w:hint="eastAsia" w:ascii="仿宋" w:hAnsi="仿宋" w:eastAsia="仿宋" w:cs="仿宋"/>
          <w:kern w:val="0"/>
          <w:sz w:val="32"/>
          <w:szCs w:val="32"/>
          <w:lang w:val="en-US" w:eastAsia="zh-CN"/>
        </w:rPr>
        <w:t>增加16.16</w:t>
      </w:r>
      <w:r>
        <w:rPr>
          <w:rFonts w:hint="eastAsia" w:ascii="仿宋" w:hAnsi="仿宋" w:eastAsia="仿宋" w:cs="仿宋"/>
          <w:kern w:val="0"/>
          <w:sz w:val="32"/>
          <w:szCs w:val="32"/>
        </w:rPr>
        <w:t>万元，</w:t>
      </w:r>
      <w:r>
        <w:rPr>
          <w:rFonts w:hint="eastAsia" w:ascii="仿宋" w:hAnsi="仿宋" w:eastAsia="仿宋" w:cs="仿宋"/>
          <w:kern w:val="0"/>
          <w:sz w:val="32"/>
          <w:szCs w:val="32"/>
          <w:lang w:val="en-US" w:eastAsia="zh-CN"/>
        </w:rPr>
        <w:t>增长100%</w:t>
      </w:r>
      <w:r>
        <w:rPr>
          <w:rFonts w:hint="eastAsia" w:ascii="仿宋" w:hAnsi="仿宋" w:eastAsia="仿宋" w:cs="仿宋"/>
          <w:kern w:val="0"/>
          <w:sz w:val="32"/>
          <w:szCs w:val="32"/>
        </w:rPr>
        <w:t>，原因主要是</w:t>
      </w:r>
      <w:r>
        <w:rPr>
          <w:rFonts w:hint="eastAsia" w:ascii="仿宋" w:hAnsi="仿宋" w:eastAsia="仿宋" w:cs="仿宋"/>
          <w:kern w:val="0"/>
          <w:sz w:val="32"/>
          <w:szCs w:val="32"/>
          <w:lang w:val="en-US" w:eastAsia="zh-CN"/>
        </w:rPr>
        <w:t>支出功能科目调整增加。</w:t>
      </w:r>
    </w:p>
    <w:p w14:paraId="4DECDECF">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六、关于2025年一般公共预算基本支出表的说明</w:t>
      </w:r>
    </w:p>
    <w:p w14:paraId="3169BD7A">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濉溪县生态环境保护综合行政执法大队</w:t>
      </w:r>
      <w:r>
        <w:rPr>
          <w:rFonts w:hint="eastAsia" w:ascii="仿宋" w:hAnsi="仿宋" w:eastAsia="仿宋" w:cs="仿宋"/>
          <w:kern w:val="0"/>
          <w:sz w:val="32"/>
          <w:szCs w:val="32"/>
        </w:rPr>
        <w:t>2025年一般公共预算基本支出</w:t>
      </w:r>
      <w:r>
        <w:rPr>
          <w:rFonts w:hint="eastAsia" w:ascii="仿宋" w:hAnsi="仿宋" w:eastAsia="仿宋" w:cs="仿宋"/>
          <w:kern w:val="0"/>
          <w:sz w:val="32"/>
          <w:szCs w:val="32"/>
          <w:lang w:eastAsia="zh-CN"/>
        </w:rPr>
        <w:t>490.38</w:t>
      </w:r>
      <w:r>
        <w:rPr>
          <w:rFonts w:hint="eastAsia" w:ascii="仿宋" w:hAnsi="仿宋" w:eastAsia="仿宋" w:cs="仿宋"/>
          <w:kern w:val="0"/>
          <w:sz w:val="32"/>
          <w:szCs w:val="32"/>
        </w:rPr>
        <w:t>万元，其中，人员经费460.38万元，公用经费30万元。</w:t>
      </w:r>
    </w:p>
    <w:p w14:paraId="1B5B95C4">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kern w:val="0"/>
          <w:sz w:val="32"/>
          <w:szCs w:val="32"/>
        </w:rPr>
        <w:t>（一）人员经费</w:t>
      </w:r>
      <w:r>
        <w:rPr>
          <w:rFonts w:hint="eastAsia" w:ascii="仿宋" w:hAnsi="仿宋" w:eastAsia="仿宋" w:cs="仿宋"/>
          <w:kern w:val="0"/>
          <w:sz w:val="32"/>
          <w:szCs w:val="32"/>
        </w:rPr>
        <w:t>460.38</w:t>
      </w:r>
      <w:r>
        <w:rPr>
          <w:rFonts w:hint="eastAsia" w:ascii="仿宋" w:hAnsi="仿宋" w:eastAsia="仿宋" w:cs="仿宋"/>
          <w:b/>
          <w:kern w:val="0"/>
          <w:sz w:val="32"/>
          <w:szCs w:val="32"/>
        </w:rPr>
        <w:t>万元，</w:t>
      </w:r>
      <w:r>
        <w:rPr>
          <w:rFonts w:hint="eastAsia" w:ascii="仿宋" w:hAnsi="仿宋" w:eastAsia="仿宋" w:cs="仿宋"/>
          <w:kern w:val="0"/>
          <w:sz w:val="32"/>
          <w:szCs w:val="32"/>
        </w:rPr>
        <w:t>主要包括:基本工资、津贴补贴、奖金、绩效工资、机关事业单位基本养老保险费、职业年金缴费、职工基本医疗保险缴费、公务员医疗补助缴费、其他社会保障缴费、</w:t>
      </w:r>
      <w:r>
        <w:rPr>
          <w:rFonts w:hint="eastAsia" w:ascii="仿宋" w:hAnsi="仿宋" w:eastAsia="仿宋" w:cs="仿宋"/>
          <w:kern w:val="0"/>
          <w:sz w:val="32"/>
          <w:szCs w:val="32"/>
          <w:lang w:eastAsia="zh-CN"/>
        </w:rPr>
        <w:t>办公费、</w:t>
      </w:r>
      <w:r>
        <w:rPr>
          <w:rFonts w:hint="eastAsia" w:ascii="仿宋" w:hAnsi="仿宋" w:eastAsia="仿宋" w:cs="仿宋"/>
          <w:kern w:val="0"/>
          <w:sz w:val="32"/>
          <w:szCs w:val="32"/>
        </w:rPr>
        <w:t>工会经费、福利费、其他商品和服务支出</w:t>
      </w:r>
      <w:r>
        <w:rPr>
          <w:rFonts w:hint="eastAsia" w:ascii="仿宋" w:hAnsi="仿宋" w:eastAsia="仿宋" w:cs="仿宋"/>
          <w:kern w:val="0"/>
          <w:sz w:val="32"/>
          <w:szCs w:val="32"/>
          <w:lang w:eastAsia="zh-CN"/>
        </w:rPr>
        <w:t>、</w:t>
      </w:r>
      <w:r>
        <w:rPr>
          <w:rFonts w:hint="eastAsia" w:ascii="仿宋" w:hAnsi="仿宋" w:eastAsia="仿宋" w:cs="仿宋"/>
          <w:kern w:val="0"/>
          <w:sz w:val="32"/>
          <w:szCs w:val="32"/>
        </w:rPr>
        <w:t>住房公积金、退休费、医疗费补助、奖励金、对其他个人和家庭的补助支出。</w:t>
      </w:r>
    </w:p>
    <w:p w14:paraId="37FABFF5">
      <w:pPr>
        <w:keepNext w:val="0"/>
        <w:keepLines w:val="0"/>
        <w:pageBreakBefore w:val="0"/>
        <w:kinsoku/>
        <w:wordWrap/>
        <w:overflowPunct/>
        <w:topLinePunct w:val="0"/>
        <w:autoSpaceDE/>
        <w:autoSpaceDN/>
        <w:bidi w:val="0"/>
        <w:adjustRightInd/>
        <w:spacing w:beforeAutospacing="0" w:afterAutospacing="0" w:line="560" w:lineRule="exact"/>
        <w:ind w:firstLine="643" w:firstLineChars="200"/>
        <w:textAlignment w:val="auto"/>
        <w:rPr>
          <w:rFonts w:hint="eastAsia" w:ascii="仿宋" w:hAnsi="仿宋" w:eastAsia="仿宋" w:cs="仿宋"/>
          <w:kern w:val="0"/>
          <w:sz w:val="32"/>
          <w:szCs w:val="32"/>
        </w:rPr>
      </w:pPr>
      <w:r>
        <w:rPr>
          <w:rFonts w:hint="eastAsia" w:ascii="仿宋" w:hAnsi="仿宋" w:eastAsia="仿宋" w:cs="仿宋"/>
          <w:b/>
          <w:kern w:val="0"/>
          <w:sz w:val="32"/>
          <w:szCs w:val="32"/>
        </w:rPr>
        <w:t>（二）公用经费</w:t>
      </w:r>
      <w:r>
        <w:rPr>
          <w:rFonts w:hint="eastAsia" w:ascii="仿宋" w:hAnsi="仿宋" w:eastAsia="仿宋" w:cs="仿宋"/>
          <w:kern w:val="0"/>
          <w:sz w:val="32"/>
          <w:szCs w:val="32"/>
        </w:rPr>
        <w:t>30</w:t>
      </w:r>
      <w:r>
        <w:rPr>
          <w:rFonts w:hint="eastAsia" w:ascii="仿宋" w:hAnsi="仿宋" w:eastAsia="仿宋" w:cs="仿宋"/>
          <w:b/>
          <w:kern w:val="0"/>
          <w:sz w:val="32"/>
          <w:szCs w:val="32"/>
        </w:rPr>
        <w:t>万元，</w:t>
      </w:r>
      <w:r>
        <w:rPr>
          <w:rFonts w:hint="eastAsia" w:ascii="仿宋" w:hAnsi="仿宋" w:eastAsia="仿宋" w:cs="仿宋"/>
          <w:kern w:val="0"/>
          <w:sz w:val="32"/>
          <w:szCs w:val="32"/>
        </w:rPr>
        <w:t>主要包括：办公费、其他商品服务支出。</w:t>
      </w:r>
    </w:p>
    <w:p w14:paraId="0517B55E">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七、关于2025年政府性基金预算支出表的说明</w:t>
      </w:r>
    </w:p>
    <w:p w14:paraId="56F8F0A8">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濉溪县生态环境保护综合行政执法大队</w:t>
      </w:r>
      <w:r>
        <w:rPr>
          <w:rFonts w:hint="eastAsia" w:ascii="仿宋" w:hAnsi="仿宋" w:eastAsia="仿宋" w:cs="仿宋"/>
          <w:kern w:val="0"/>
          <w:sz w:val="32"/>
          <w:szCs w:val="32"/>
        </w:rPr>
        <w:t>2025年没有政府性基金预算拨款收入，也没有使用政府性基金预算拨款安排的支出。</w:t>
      </w:r>
    </w:p>
    <w:p w14:paraId="42CD52E2">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rPr>
        <w:t>八、关于2025年国有资本经营预算支出表的说明</w:t>
      </w:r>
    </w:p>
    <w:p w14:paraId="1FD28D79">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濉溪县生态环境保护综合行政执法大队</w:t>
      </w:r>
      <w:r>
        <w:rPr>
          <w:rFonts w:hint="eastAsia" w:ascii="仿宋" w:hAnsi="仿宋" w:eastAsia="仿宋" w:cs="仿宋"/>
          <w:kern w:val="0"/>
          <w:sz w:val="32"/>
          <w:szCs w:val="32"/>
        </w:rPr>
        <w:t>2025年没有国有资本经营预算拨款收入，也没有使用国有资本经营预算拨款安排的支出。</w:t>
      </w:r>
    </w:p>
    <w:p w14:paraId="4E7FF0D8">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九、关于2025年项目支出表的说明</w:t>
      </w:r>
    </w:p>
    <w:p w14:paraId="0F7FD715">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濉溪县生态环境保护综合行政执法大队</w:t>
      </w:r>
      <w:r>
        <w:rPr>
          <w:rFonts w:hint="eastAsia" w:ascii="仿宋" w:hAnsi="仿宋" w:eastAsia="仿宋" w:cs="仿宋"/>
          <w:kern w:val="0"/>
          <w:sz w:val="32"/>
          <w:szCs w:val="32"/>
        </w:rPr>
        <w:t>2025年预算共安排项目支出</w:t>
      </w:r>
      <w:r>
        <w:rPr>
          <w:rFonts w:hint="eastAsia" w:ascii="仿宋" w:hAnsi="仿宋" w:eastAsia="仿宋" w:cs="仿宋"/>
          <w:kern w:val="0"/>
          <w:sz w:val="32"/>
          <w:szCs w:val="32"/>
          <w:lang w:eastAsia="zh-CN"/>
        </w:rPr>
        <w:t>102万元</w:t>
      </w:r>
      <w:r>
        <w:rPr>
          <w:rFonts w:hint="eastAsia" w:ascii="仿宋" w:hAnsi="仿宋" w:eastAsia="仿宋" w:cs="仿宋"/>
          <w:kern w:val="0"/>
          <w:sz w:val="32"/>
          <w:szCs w:val="32"/>
        </w:rPr>
        <w:t>，比2024年预算减少</w:t>
      </w:r>
      <w:r>
        <w:rPr>
          <w:rFonts w:hint="eastAsia" w:ascii="仿宋" w:hAnsi="仿宋" w:eastAsia="仿宋" w:cs="仿宋"/>
          <w:kern w:val="0"/>
          <w:sz w:val="32"/>
          <w:szCs w:val="32"/>
          <w:lang w:val="en-US" w:eastAsia="zh-CN"/>
        </w:rPr>
        <w:t>25.5</w:t>
      </w:r>
      <w:r>
        <w:rPr>
          <w:rFonts w:hint="eastAsia" w:ascii="仿宋" w:hAnsi="仿宋" w:eastAsia="仿宋" w:cs="仿宋"/>
          <w:kern w:val="0"/>
          <w:sz w:val="32"/>
          <w:szCs w:val="32"/>
        </w:rPr>
        <w:t>万元，下降</w:t>
      </w:r>
      <w:r>
        <w:rPr>
          <w:rFonts w:hint="eastAsia" w:ascii="仿宋" w:hAnsi="仿宋" w:eastAsia="仿宋" w:cs="仿宋"/>
          <w:kern w:val="0"/>
          <w:sz w:val="32"/>
          <w:szCs w:val="32"/>
          <w:lang w:val="en-US" w:eastAsia="zh-CN"/>
        </w:rPr>
        <w:t>20</w:t>
      </w:r>
      <w:r>
        <w:rPr>
          <w:rFonts w:hint="eastAsia" w:ascii="仿宋" w:hAnsi="仿宋" w:eastAsia="仿宋" w:cs="仿宋"/>
          <w:kern w:val="0"/>
          <w:sz w:val="32"/>
          <w:szCs w:val="32"/>
        </w:rPr>
        <w:t>%，原因主要是</w:t>
      </w:r>
      <w:r>
        <w:rPr>
          <w:rFonts w:hint="eastAsia" w:ascii="仿宋" w:hAnsi="仿宋" w:eastAsia="仿宋" w:cs="仿宋"/>
          <w:sz w:val="32"/>
          <w:szCs w:val="32"/>
        </w:rPr>
        <w:t>政策性</w:t>
      </w:r>
      <w:r>
        <w:rPr>
          <w:rFonts w:hint="eastAsia" w:ascii="仿宋" w:hAnsi="仿宋" w:eastAsia="仿宋" w:cs="仿宋"/>
          <w:sz w:val="32"/>
          <w:szCs w:val="32"/>
          <w:lang w:val="en-US" w:eastAsia="zh-CN"/>
        </w:rPr>
        <w:t>减少</w:t>
      </w:r>
      <w:r>
        <w:rPr>
          <w:rFonts w:hint="eastAsia" w:ascii="仿宋" w:hAnsi="仿宋" w:eastAsia="仿宋" w:cs="仿宋"/>
          <w:sz w:val="32"/>
          <w:szCs w:val="32"/>
        </w:rPr>
        <w:t>项目，财政安排预算</w:t>
      </w:r>
      <w:r>
        <w:rPr>
          <w:rFonts w:hint="eastAsia" w:ascii="仿宋" w:hAnsi="仿宋" w:eastAsia="仿宋" w:cs="仿宋"/>
          <w:kern w:val="0"/>
          <w:sz w:val="32"/>
          <w:szCs w:val="32"/>
        </w:rPr>
        <w:t>。主要包括：本年财政拨款安排</w:t>
      </w:r>
      <w:r>
        <w:rPr>
          <w:rFonts w:hint="eastAsia" w:ascii="仿宋" w:hAnsi="仿宋" w:eastAsia="仿宋" w:cs="仿宋"/>
          <w:kern w:val="0"/>
          <w:sz w:val="32"/>
          <w:szCs w:val="32"/>
          <w:lang w:eastAsia="zh-CN"/>
        </w:rPr>
        <w:t>102万元</w:t>
      </w:r>
      <w:r>
        <w:rPr>
          <w:rFonts w:hint="eastAsia" w:ascii="仿宋" w:hAnsi="仿宋" w:eastAsia="仿宋" w:cs="仿宋"/>
          <w:kern w:val="0"/>
          <w:sz w:val="32"/>
          <w:szCs w:val="32"/>
        </w:rPr>
        <w:t>（其中，一般公共预算拨款安排</w:t>
      </w:r>
      <w:r>
        <w:rPr>
          <w:rFonts w:hint="eastAsia" w:ascii="仿宋" w:hAnsi="仿宋" w:eastAsia="仿宋" w:cs="仿宋"/>
          <w:kern w:val="0"/>
          <w:sz w:val="32"/>
          <w:szCs w:val="32"/>
          <w:lang w:eastAsia="zh-CN"/>
        </w:rPr>
        <w:t>102万元</w:t>
      </w:r>
      <w:r>
        <w:rPr>
          <w:rFonts w:hint="eastAsia" w:ascii="仿宋" w:hAnsi="仿宋" w:eastAsia="仿宋" w:cs="仿宋"/>
          <w:kern w:val="0"/>
          <w:sz w:val="32"/>
          <w:szCs w:val="32"/>
        </w:rPr>
        <w:t>，政府性基金预算拨款安排</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万元），财政专户管理资金安排</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w:t>
      </w:r>
    </w:p>
    <w:p w14:paraId="3FE5A723">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val="0"/>
          <w:sz w:val="32"/>
          <w:szCs w:val="32"/>
        </w:rPr>
      </w:pPr>
      <w:r>
        <w:rPr>
          <w:rFonts w:hint="eastAsia" w:ascii="仿宋" w:hAnsi="仿宋" w:eastAsia="仿宋" w:cs="仿宋"/>
          <w:b/>
          <w:bCs w:val="0"/>
          <w:sz w:val="32"/>
          <w:szCs w:val="32"/>
        </w:rPr>
        <w:t>十、关于2025年政府采购支出表的说明</w:t>
      </w:r>
    </w:p>
    <w:p w14:paraId="2B1037B4">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濉溪县生态环境保护综合行政执法大队</w:t>
      </w:r>
      <w:r>
        <w:rPr>
          <w:rFonts w:hint="eastAsia" w:ascii="仿宋" w:hAnsi="仿宋" w:eastAsia="仿宋" w:cs="仿宋"/>
          <w:kern w:val="0"/>
          <w:sz w:val="32"/>
          <w:szCs w:val="32"/>
        </w:rPr>
        <w:t>2025年没有使用一般公共预算拨款、政府性基金预算拨款、国有资本经营预算拨款、财政专户管理资金和单位资金安排的政府采购支出。</w:t>
      </w:r>
    </w:p>
    <w:p w14:paraId="6FF0B393">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Cs/>
          <w:sz w:val="32"/>
          <w:szCs w:val="32"/>
        </w:rPr>
      </w:pPr>
      <w:r>
        <w:rPr>
          <w:rFonts w:hint="eastAsia" w:ascii="仿宋" w:hAnsi="仿宋" w:eastAsia="仿宋" w:cs="仿宋"/>
          <w:b/>
          <w:bCs w:val="0"/>
          <w:sz w:val="32"/>
          <w:szCs w:val="32"/>
        </w:rPr>
        <w:t>十一、关于2025年政府购买服务支出表的说明</w:t>
      </w:r>
    </w:p>
    <w:p w14:paraId="259A20EB">
      <w:pPr>
        <w:keepNext w:val="0"/>
        <w:keepLines w:val="0"/>
        <w:pageBreakBefore w:val="0"/>
        <w:kinsoku/>
        <w:wordWrap/>
        <w:overflowPunct/>
        <w:topLinePunct w:val="0"/>
        <w:autoSpaceDE/>
        <w:autoSpaceDN/>
        <w:bidi w:val="0"/>
        <w:adjustRightInd/>
        <w:spacing w:beforeAutospacing="0" w:afterAutospacing="0"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濉溪县生态环境保护综合行政执法大队</w:t>
      </w:r>
      <w:r>
        <w:rPr>
          <w:rFonts w:hint="eastAsia" w:ascii="仿宋" w:hAnsi="仿宋" w:eastAsia="仿宋" w:cs="仿宋"/>
          <w:kern w:val="0"/>
          <w:sz w:val="32"/>
          <w:szCs w:val="32"/>
        </w:rPr>
        <w:t>2025年没有安排政府购买服务支出。</w:t>
      </w:r>
    </w:p>
    <w:p w14:paraId="172C4FFE">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b/>
          <w:bCs/>
          <w:color w:val="auto"/>
          <w:sz w:val="32"/>
          <w:szCs w:val="32"/>
        </w:rPr>
      </w:pPr>
      <w:r>
        <w:rPr>
          <w:rFonts w:hint="eastAsia" w:ascii="仿宋" w:hAnsi="仿宋" w:eastAsia="仿宋" w:cs="仿宋"/>
          <w:b/>
          <w:bCs/>
          <w:color w:val="auto"/>
          <w:sz w:val="32"/>
          <w:szCs w:val="32"/>
        </w:rPr>
        <w:t>十二、关于2025年通用资产配置支出表的说明</w:t>
      </w:r>
    </w:p>
    <w:p w14:paraId="29D0452A">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0" w:firstLineChars="200"/>
        <w:textAlignment w:val="auto"/>
        <w:outlineLvl w:val="0"/>
        <w:rPr>
          <w:rFonts w:hint="eastAsia" w:ascii="仿宋" w:hAnsi="仿宋" w:eastAsia="仿宋" w:cs="仿宋"/>
          <w:sz w:val="32"/>
          <w:szCs w:val="32"/>
        </w:rPr>
      </w:pPr>
      <w:r>
        <w:rPr>
          <w:rFonts w:hint="eastAsia" w:ascii="仿宋" w:hAnsi="仿宋" w:eastAsia="仿宋" w:cs="仿宋"/>
          <w:kern w:val="0"/>
          <w:sz w:val="32"/>
          <w:szCs w:val="32"/>
          <w:lang w:eastAsia="zh-CN"/>
        </w:rPr>
        <w:t>濉溪县生态环境保护综合行政执法大队</w:t>
      </w:r>
      <w:r>
        <w:rPr>
          <w:rFonts w:hint="eastAsia" w:ascii="仿宋" w:hAnsi="仿宋" w:eastAsia="仿宋" w:cs="仿宋"/>
          <w:sz w:val="32"/>
          <w:szCs w:val="32"/>
        </w:rPr>
        <w:t>2025年没有安排通用资产配置支出。</w:t>
      </w:r>
    </w:p>
    <w:p w14:paraId="20F120D6">
      <w:pPr>
        <w:ind w:firstLine="640" w:firstLineChars="200"/>
        <w:rPr>
          <w:rFonts w:hint="eastAsia" w:ascii="TimesNewRoman" w:hAnsi="TimesNewRoman" w:eastAsia="仿宋_GB2312" w:cs="TimesNewRoman"/>
          <w:kern w:val="0"/>
          <w:sz w:val="32"/>
          <w:szCs w:val="32"/>
        </w:rPr>
      </w:pPr>
    </w:p>
    <w:p w14:paraId="6FAD717F">
      <w:pPr>
        <w:pStyle w:val="6"/>
        <w:adjustRightInd w:val="0"/>
        <w:snapToGrid w:val="0"/>
        <w:spacing w:line="560" w:lineRule="exact"/>
        <w:ind w:firstLine="630" w:firstLineChars="196"/>
        <w:rPr>
          <w:rFonts w:hint="eastAsia" w:ascii="仿宋" w:hAnsi="仿宋" w:eastAsia="仿宋" w:cs="仿宋"/>
          <w:b/>
          <w:bCs w:val="0"/>
          <w:sz w:val="32"/>
          <w:szCs w:val="32"/>
        </w:rPr>
      </w:pPr>
      <w:r>
        <w:rPr>
          <w:rFonts w:hint="eastAsia" w:ascii="仿宋" w:hAnsi="仿宋" w:eastAsia="仿宋" w:cs="仿宋"/>
          <w:b/>
          <w:bCs w:val="0"/>
          <w:sz w:val="32"/>
          <w:szCs w:val="32"/>
        </w:rPr>
        <w:t>十</w:t>
      </w:r>
      <w:r>
        <w:rPr>
          <w:rFonts w:hint="eastAsia" w:ascii="仿宋" w:hAnsi="仿宋" w:eastAsia="仿宋" w:cs="仿宋"/>
          <w:b/>
          <w:bCs w:val="0"/>
          <w:sz w:val="32"/>
          <w:szCs w:val="32"/>
          <w:lang w:eastAsia="zh-CN"/>
        </w:rPr>
        <w:t>三</w:t>
      </w:r>
      <w:r>
        <w:rPr>
          <w:rFonts w:hint="eastAsia" w:ascii="仿宋" w:hAnsi="仿宋" w:eastAsia="仿宋" w:cs="仿宋"/>
          <w:b/>
          <w:bCs w:val="0"/>
          <w:sz w:val="32"/>
          <w:szCs w:val="32"/>
        </w:rPr>
        <w:t>、其他重要事项情况说明</w:t>
      </w:r>
      <w:bookmarkStart w:id="0" w:name="_GoBack"/>
      <w:bookmarkEnd w:id="0"/>
    </w:p>
    <w:p w14:paraId="50FC1CCF">
      <w:pPr>
        <w:adjustRightInd w:val="0"/>
        <w:snapToGrid w:val="0"/>
        <w:spacing w:line="580" w:lineRule="exact"/>
        <w:ind w:firstLine="643" w:firstLineChars="200"/>
        <w:rPr>
          <w:rFonts w:ascii="TimesNewRoman" w:hAnsi="TimesNewRoman" w:eastAsia="仿宋_GB2312" w:cs="TimesNewRoman"/>
          <w:b/>
          <w:sz w:val="32"/>
          <w:szCs w:val="32"/>
        </w:rPr>
      </w:pPr>
      <w:r>
        <w:rPr>
          <w:rFonts w:hint="eastAsia" w:ascii="TimesNewRoman" w:hAnsi="TimesNewRoman" w:eastAsia="仿宋_GB2312" w:cs="TimesNewRoman"/>
          <w:b/>
          <w:sz w:val="32"/>
          <w:szCs w:val="32"/>
        </w:rPr>
        <w:t>（一）项目及绩效目标情况。</w:t>
      </w:r>
    </w:p>
    <w:p w14:paraId="1E8CD02C">
      <w:pPr>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w:t>
      </w:r>
      <w:r>
        <w:rPr>
          <w:rFonts w:hint="eastAsia" w:ascii="仿宋" w:hAnsi="仿宋" w:eastAsia="仿宋" w:cs="仿宋"/>
          <w:b/>
          <w:bCs/>
          <w:kern w:val="0"/>
          <w:sz w:val="32"/>
          <w:szCs w:val="32"/>
          <w:lang w:eastAsia="zh-CN"/>
        </w:rPr>
        <w:t>工作</w:t>
      </w:r>
      <w:r>
        <w:rPr>
          <w:rFonts w:hint="eastAsia" w:ascii="仿宋" w:hAnsi="仿宋" w:eastAsia="仿宋" w:cs="仿宋"/>
          <w:b/>
          <w:bCs/>
          <w:kern w:val="0"/>
          <w:sz w:val="32"/>
          <w:szCs w:val="32"/>
        </w:rPr>
        <w:t>运行</w:t>
      </w:r>
      <w:r>
        <w:rPr>
          <w:rFonts w:hint="eastAsia" w:ascii="仿宋" w:hAnsi="仿宋" w:eastAsia="仿宋" w:cs="仿宋"/>
          <w:b/>
          <w:bCs/>
          <w:kern w:val="0"/>
          <w:sz w:val="32"/>
          <w:szCs w:val="32"/>
          <w:lang w:eastAsia="zh-CN"/>
        </w:rPr>
        <w:t>经费</w:t>
      </w:r>
      <w:r>
        <w:rPr>
          <w:rFonts w:hint="eastAsia" w:ascii="仿宋" w:hAnsi="仿宋" w:eastAsia="仿宋" w:cs="仿宋"/>
          <w:b/>
          <w:bCs/>
          <w:kern w:val="0"/>
          <w:sz w:val="32"/>
          <w:szCs w:val="32"/>
        </w:rPr>
        <w:t>”项目。</w:t>
      </w:r>
    </w:p>
    <w:p w14:paraId="38312940">
      <w:pPr>
        <w:keepNext w:val="0"/>
        <w:keepLines w:val="0"/>
        <w:pageBreakBefore w:val="0"/>
        <w:kinsoku/>
        <w:wordWrap/>
        <w:overflowPunct/>
        <w:topLinePunct w:val="0"/>
        <w:autoSpaceDE/>
        <w:autoSpaceDN/>
        <w:bidi w:val="0"/>
        <w:adjustRightInd/>
        <w:snapToGrid w:val="0"/>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kern w:val="0"/>
          <w:sz w:val="32"/>
          <w:szCs w:val="32"/>
        </w:rPr>
        <w:t>（1）项目概述。</w:t>
      </w:r>
      <w:r>
        <w:rPr>
          <w:rFonts w:hint="eastAsia" w:ascii="仿宋" w:hAnsi="仿宋" w:eastAsia="仿宋" w:cs="仿宋"/>
          <w:sz w:val="32"/>
          <w:szCs w:val="32"/>
          <w:lang w:eastAsia="zh-CN"/>
        </w:rPr>
        <w:t>主要是</w:t>
      </w:r>
      <w:r>
        <w:rPr>
          <w:rFonts w:hint="eastAsia" w:ascii="仿宋" w:hAnsi="仿宋" w:eastAsia="仿宋" w:cs="仿宋"/>
          <w:kern w:val="0"/>
          <w:sz w:val="32"/>
          <w:szCs w:val="32"/>
          <w:lang w:eastAsia="zh-CN"/>
        </w:rPr>
        <w:t>保障全县生态环境</w:t>
      </w:r>
      <w:r>
        <w:rPr>
          <w:rFonts w:hint="eastAsia" w:ascii="仿宋" w:hAnsi="仿宋" w:eastAsia="仿宋" w:cs="仿宋"/>
          <w:color w:val="000000"/>
          <w:sz w:val="32"/>
          <w:szCs w:val="32"/>
          <w:lang w:eastAsia="zh-CN"/>
        </w:rPr>
        <w:t>综合行政执法</w:t>
      </w:r>
      <w:r>
        <w:rPr>
          <w:rFonts w:hint="eastAsia" w:ascii="仿宋" w:hAnsi="仿宋" w:eastAsia="仿宋" w:cs="仿宋"/>
          <w:kern w:val="0"/>
          <w:sz w:val="32"/>
          <w:szCs w:val="32"/>
          <w:lang w:eastAsia="zh-CN"/>
        </w:rPr>
        <w:t>正常运行的需要。</w:t>
      </w:r>
    </w:p>
    <w:p w14:paraId="50F68FDD">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color w:val="000000"/>
          <w:sz w:val="32"/>
          <w:szCs w:val="32"/>
          <w:lang w:eastAsia="zh-CN"/>
        </w:rPr>
      </w:pPr>
      <w:r>
        <w:rPr>
          <w:rFonts w:hint="eastAsia" w:ascii="仿宋" w:hAnsi="仿宋" w:eastAsia="仿宋" w:cs="仿宋"/>
          <w:kern w:val="0"/>
          <w:sz w:val="32"/>
          <w:szCs w:val="32"/>
        </w:rPr>
        <w:t>（2）立项依据。</w:t>
      </w:r>
      <w:r>
        <w:rPr>
          <w:rFonts w:hint="eastAsia" w:ascii="仿宋" w:hAnsi="仿宋" w:eastAsia="仿宋" w:cs="仿宋"/>
          <w:color w:val="000000"/>
          <w:sz w:val="32"/>
          <w:szCs w:val="32"/>
          <w:lang w:eastAsia="zh-CN"/>
        </w:rPr>
        <w:t>生态环境保护综合行政执法部门职责。</w:t>
      </w:r>
    </w:p>
    <w:p w14:paraId="2C64941D">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color w:val="000000"/>
          <w:sz w:val="32"/>
          <w:szCs w:val="32"/>
          <w:lang w:eastAsia="zh-CN"/>
        </w:rPr>
      </w:pPr>
      <w:r>
        <w:rPr>
          <w:rFonts w:hint="eastAsia" w:ascii="仿宋" w:hAnsi="仿宋" w:eastAsia="仿宋" w:cs="仿宋"/>
          <w:kern w:val="0"/>
          <w:sz w:val="32"/>
          <w:szCs w:val="32"/>
        </w:rPr>
        <w:t>（3）实施主体。</w:t>
      </w:r>
      <w:r>
        <w:rPr>
          <w:rFonts w:hint="eastAsia" w:ascii="仿宋" w:hAnsi="仿宋" w:eastAsia="仿宋" w:cs="仿宋"/>
          <w:color w:val="000000"/>
          <w:sz w:val="32"/>
          <w:szCs w:val="32"/>
          <w:lang w:eastAsia="zh-CN"/>
        </w:rPr>
        <w:t>濉溪县生态环境保护综合行政执法大队。</w:t>
      </w:r>
    </w:p>
    <w:p w14:paraId="21991A5F">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仿宋" w:hAnsi="仿宋" w:eastAsia="仿宋" w:cs="仿宋"/>
          <w:kern w:val="0"/>
          <w:sz w:val="32"/>
          <w:szCs w:val="32"/>
          <w:lang w:val="en-US" w:eastAsia="zh-CN"/>
        </w:rPr>
      </w:pPr>
      <w:r>
        <w:rPr>
          <w:rFonts w:hint="eastAsia" w:ascii="仿宋" w:hAnsi="仿宋" w:eastAsia="仿宋" w:cs="仿宋"/>
          <w:kern w:val="0"/>
          <w:sz w:val="32"/>
          <w:szCs w:val="32"/>
        </w:rPr>
        <w:t>（4）起止时间。</w:t>
      </w:r>
      <w:r>
        <w:rPr>
          <w:rFonts w:hint="eastAsia" w:ascii="仿宋" w:hAnsi="仿宋" w:eastAsia="仿宋" w:cs="仿宋"/>
          <w:kern w:val="0"/>
          <w:sz w:val="32"/>
          <w:szCs w:val="32"/>
          <w:lang w:val="en-US" w:eastAsia="zh-CN"/>
        </w:rPr>
        <w:t>2025.1-12</w:t>
      </w:r>
    </w:p>
    <w:p w14:paraId="10EEC68A">
      <w:pPr>
        <w:pStyle w:val="6"/>
        <w:keepNext w:val="0"/>
        <w:keepLines w:val="0"/>
        <w:pageBreakBefore w:val="0"/>
        <w:kinsoku/>
        <w:wordWrap/>
        <w:overflowPunct/>
        <w:topLinePunct w:val="0"/>
        <w:autoSpaceDE/>
        <w:autoSpaceDN/>
        <w:bidi w:val="0"/>
        <w:adjustRightInd/>
        <w:snapToGrid w:val="0"/>
        <w:spacing w:before="0" w:beforeAutospacing="0" w:after="0" w:afterAutospacing="0"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kern w:val="0"/>
          <w:sz w:val="32"/>
          <w:szCs w:val="32"/>
        </w:rPr>
        <w:t>（5）项目内容。</w:t>
      </w:r>
      <w:r>
        <w:rPr>
          <w:rFonts w:hint="eastAsia" w:ascii="仿宋" w:hAnsi="仿宋" w:eastAsia="仿宋" w:cs="仿宋"/>
          <w:sz w:val="32"/>
          <w:szCs w:val="32"/>
        </w:rPr>
        <w:t>保障</w:t>
      </w:r>
      <w:r>
        <w:rPr>
          <w:rFonts w:hint="eastAsia" w:ascii="仿宋" w:hAnsi="仿宋" w:eastAsia="仿宋" w:cs="仿宋"/>
          <w:sz w:val="32"/>
          <w:szCs w:val="32"/>
          <w:lang w:eastAsia="zh-CN"/>
        </w:rPr>
        <w:t>单位</w:t>
      </w:r>
      <w:r>
        <w:rPr>
          <w:rFonts w:hint="eastAsia" w:ascii="仿宋" w:hAnsi="仿宋" w:eastAsia="仿宋" w:cs="仿宋"/>
          <w:sz w:val="32"/>
          <w:szCs w:val="32"/>
        </w:rPr>
        <w:t>正常运转、完成日常工作任务而发生的公用支出。</w:t>
      </w:r>
    </w:p>
    <w:p w14:paraId="5FCBACE6">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default" w:ascii="仿宋" w:hAnsi="仿宋" w:eastAsia="仿宋" w:cs="仿宋"/>
          <w:kern w:val="0"/>
          <w:sz w:val="32"/>
          <w:szCs w:val="32"/>
          <w:lang w:val="en-US" w:eastAsia="zh-CN"/>
        </w:rPr>
      </w:pPr>
      <w:r>
        <w:rPr>
          <w:rFonts w:hint="eastAsia" w:ascii="仿宋" w:hAnsi="仿宋" w:eastAsia="仿宋" w:cs="仿宋"/>
          <w:kern w:val="0"/>
          <w:sz w:val="32"/>
          <w:szCs w:val="32"/>
        </w:rPr>
        <w:t>（6）年度预算安排。</w:t>
      </w:r>
      <w:r>
        <w:rPr>
          <w:rFonts w:hint="eastAsia" w:ascii="仿宋" w:hAnsi="仿宋" w:eastAsia="仿宋" w:cs="仿宋"/>
          <w:kern w:val="0"/>
          <w:sz w:val="32"/>
          <w:szCs w:val="32"/>
          <w:lang w:eastAsia="zh-CN"/>
        </w:rPr>
        <w:t>预算资金</w:t>
      </w:r>
      <w:r>
        <w:rPr>
          <w:rFonts w:hint="eastAsia" w:ascii="仿宋" w:hAnsi="仿宋" w:eastAsia="仿宋" w:cs="仿宋"/>
          <w:kern w:val="0"/>
          <w:sz w:val="32"/>
          <w:szCs w:val="32"/>
          <w:lang w:val="en-US" w:eastAsia="zh-CN"/>
        </w:rPr>
        <w:t>102万元。</w:t>
      </w:r>
    </w:p>
    <w:p w14:paraId="0A227457">
      <w:pPr>
        <w:keepNext w:val="0"/>
        <w:keepLines w:val="0"/>
        <w:pageBreakBefore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（7）绩效目标。</w:t>
      </w:r>
    </w:p>
    <w:tbl>
      <w:tblPr>
        <w:tblStyle w:val="7"/>
        <w:tblW w:w="90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
        <w:gridCol w:w="723"/>
        <w:gridCol w:w="282"/>
        <w:gridCol w:w="477"/>
        <w:gridCol w:w="2872"/>
        <w:gridCol w:w="1848"/>
        <w:gridCol w:w="2380"/>
      </w:tblGrid>
      <w:tr w14:paraId="75ADD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trPr>
        <w:tc>
          <w:tcPr>
            <w:tcW w:w="9020" w:type="dxa"/>
            <w:gridSpan w:val="7"/>
            <w:tcBorders>
              <w:top w:val="nil"/>
              <w:left w:val="nil"/>
              <w:bottom w:val="nil"/>
              <w:right w:val="nil"/>
            </w:tcBorders>
            <w:vAlign w:val="center"/>
          </w:tcPr>
          <w:p w14:paraId="3230E1FA">
            <w:pPr>
              <w:widowControl/>
              <w:jc w:val="center"/>
              <w:textAlignment w:val="center"/>
              <w:rPr>
                <w:rFonts w:ascii="宋体" w:cs="宋体"/>
                <w:b/>
                <w:bCs/>
                <w:szCs w:val="32"/>
              </w:rPr>
            </w:pPr>
            <w:r>
              <w:rPr>
                <w:rFonts w:hint="eastAsia" w:ascii="宋体" w:hAnsi="宋体" w:eastAsia="宋体" w:cs="宋体"/>
                <w:b/>
                <w:color w:val="000000"/>
                <w:kern w:val="0"/>
                <w:sz w:val="28"/>
                <w:szCs w:val="28"/>
              </w:rPr>
              <w:t>项目支出绩效目标表</w:t>
            </w:r>
          </w:p>
        </w:tc>
      </w:tr>
      <w:tr w14:paraId="13A2E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9020" w:type="dxa"/>
            <w:gridSpan w:val="7"/>
            <w:tcBorders>
              <w:top w:val="nil"/>
              <w:left w:val="nil"/>
              <w:right w:val="nil"/>
            </w:tcBorders>
            <w:vAlign w:val="center"/>
          </w:tcPr>
          <w:p w14:paraId="6AE29293">
            <w:pPr>
              <w:widowControl/>
              <w:jc w:val="center"/>
              <w:textAlignment w:val="center"/>
              <w:rPr>
                <w:rFonts w:ascii="宋体" w:cs="宋体"/>
                <w:sz w:val="20"/>
              </w:rPr>
            </w:pPr>
            <w:r>
              <w:rPr>
                <w:rFonts w:hint="eastAsia" w:ascii="宋体" w:hAnsi="宋体" w:eastAsia="宋体" w:cs="宋体"/>
                <w:color w:val="000000"/>
                <w:kern w:val="0"/>
                <w:sz w:val="20"/>
                <w:szCs w:val="20"/>
              </w:rPr>
              <w:t xml:space="preserve"> （202</w:t>
            </w:r>
            <w:r>
              <w:rPr>
                <w:rFonts w:hint="eastAsia" w:ascii="宋体" w:hAnsi="宋体" w:eastAsia="宋体" w:cs="宋体"/>
                <w:color w:val="000000"/>
                <w:kern w:val="0"/>
                <w:sz w:val="20"/>
                <w:szCs w:val="20"/>
                <w:lang w:val="en-US" w:eastAsia="zh-CN"/>
              </w:rPr>
              <w:t>5</w:t>
            </w:r>
            <w:r>
              <w:rPr>
                <w:rFonts w:hint="eastAsia" w:ascii="宋体" w:hAnsi="宋体" w:eastAsia="宋体" w:cs="宋体"/>
                <w:color w:val="000000"/>
                <w:kern w:val="0"/>
                <w:sz w:val="20"/>
                <w:szCs w:val="20"/>
              </w:rPr>
              <w:t xml:space="preserve">年度）                                </w:t>
            </w:r>
          </w:p>
        </w:tc>
      </w:tr>
      <w:tr w14:paraId="0F5F3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2D53BB50">
            <w:pPr>
              <w:widowControl/>
              <w:jc w:val="center"/>
              <w:textAlignment w:val="center"/>
              <w:rPr>
                <w:rFonts w:ascii="宋体" w:cs="宋体"/>
                <w:sz w:val="20"/>
              </w:rPr>
            </w:pPr>
            <w:r>
              <w:rPr>
                <w:rFonts w:hint="eastAsia" w:ascii="宋体" w:hAnsi="宋体" w:eastAsia="宋体" w:cs="宋体"/>
                <w:color w:val="000000"/>
                <w:kern w:val="0"/>
                <w:sz w:val="20"/>
                <w:szCs w:val="20"/>
              </w:rPr>
              <w:t>项目名称</w:t>
            </w:r>
          </w:p>
        </w:tc>
        <w:tc>
          <w:tcPr>
            <w:tcW w:w="7577" w:type="dxa"/>
            <w:gridSpan w:val="4"/>
            <w:tcBorders>
              <w:tl2br w:val="nil"/>
              <w:tr2bl w:val="nil"/>
            </w:tcBorders>
            <w:vAlign w:val="center"/>
          </w:tcPr>
          <w:p w14:paraId="18ABF67B">
            <w:pPr>
              <w:jc w:val="center"/>
              <w:rPr>
                <w:rFonts w:hint="eastAsia" w:ascii="宋体" w:cs="宋体" w:eastAsiaTheme="minorEastAsia"/>
                <w:sz w:val="20"/>
                <w:lang w:eastAsia="zh-CN"/>
              </w:rPr>
            </w:pPr>
            <w:r>
              <w:rPr>
                <w:rFonts w:hint="eastAsia" w:ascii="宋体" w:cs="宋体"/>
                <w:sz w:val="20"/>
                <w:lang w:eastAsia="zh-CN"/>
              </w:rPr>
              <w:t>工作</w:t>
            </w:r>
            <w:r>
              <w:rPr>
                <w:rFonts w:hint="eastAsia" w:ascii="宋体" w:cs="宋体"/>
                <w:sz w:val="20"/>
              </w:rPr>
              <w:t>运行</w:t>
            </w:r>
            <w:r>
              <w:rPr>
                <w:rFonts w:hint="eastAsia" w:ascii="宋体" w:cs="宋体"/>
                <w:sz w:val="20"/>
                <w:lang w:eastAsia="zh-CN"/>
              </w:rPr>
              <w:t>经费</w:t>
            </w:r>
          </w:p>
        </w:tc>
      </w:tr>
      <w:tr w14:paraId="06AAF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43" w:type="dxa"/>
            <w:gridSpan w:val="3"/>
            <w:tcBorders>
              <w:tl2br w:val="nil"/>
              <w:tr2bl w:val="nil"/>
            </w:tcBorders>
            <w:vAlign w:val="center"/>
          </w:tcPr>
          <w:p w14:paraId="36B96F60">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主管部门   及代码</w:t>
            </w:r>
          </w:p>
        </w:tc>
        <w:tc>
          <w:tcPr>
            <w:tcW w:w="3349" w:type="dxa"/>
            <w:gridSpan w:val="2"/>
            <w:tcBorders>
              <w:tl2br w:val="nil"/>
              <w:tr2bl w:val="nil"/>
            </w:tcBorders>
            <w:vAlign w:val="center"/>
          </w:tcPr>
          <w:p w14:paraId="5E0B4B4E">
            <w:pPr>
              <w:jc w:val="center"/>
              <w:rPr>
                <w:rFonts w:hint="eastAsia" w:ascii="宋体" w:cs="宋体" w:eastAsiaTheme="minorEastAsia"/>
                <w:sz w:val="20"/>
                <w:lang w:eastAsia="zh-CN"/>
              </w:rPr>
            </w:pPr>
            <w:r>
              <w:rPr>
                <w:rFonts w:hint="eastAsia" w:ascii="宋体" w:cs="宋体"/>
                <w:sz w:val="20"/>
                <w:lang w:eastAsia="zh-CN"/>
              </w:rPr>
              <w:t>淮北市生态环境局</w:t>
            </w:r>
          </w:p>
        </w:tc>
        <w:tc>
          <w:tcPr>
            <w:tcW w:w="1848" w:type="dxa"/>
            <w:tcBorders>
              <w:tl2br w:val="nil"/>
              <w:tr2bl w:val="nil"/>
            </w:tcBorders>
            <w:vAlign w:val="center"/>
          </w:tcPr>
          <w:p w14:paraId="7F5E4E3F">
            <w:pPr>
              <w:widowControl/>
              <w:jc w:val="center"/>
              <w:textAlignment w:val="center"/>
            </w:pPr>
            <w:r>
              <w:rPr>
                <w:rFonts w:hint="eastAsia" w:ascii="宋体" w:hAnsi="宋体" w:eastAsia="宋体" w:cs="宋体"/>
                <w:color w:val="000000"/>
                <w:kern w:val="0"/>
                <w:sz w:val="20"/>
                <w:szCs w:val="20"/>
              </w:rPr>
              <w:t>实施单位</w:t>
            </w:r>
          </w:p>
        </w:tc>
        <w:tc>
          <w:tcPr>
            <w:tcW w:w="2380" w:type="dxa"/>
            <w:tcBorders>
              <w:tl2br w:val="nil"/>
              <w:tr2bl w:val="nil"/>
            </w:tcBorders>
            <w:vAlign w:val="center"/>
          </w:tcPr>
          <w:p w14:paraId="469ABAF0">
            <w:pPr>
              <w:jc w:val="center"/>
            </w:pPr>
            <w:r>
              <w:rPr>
                <w:rFonts w:hint="eastAsia"/>
                <w:color w:val="000000"/>
                <w:sz w:val="20"/>
                <w:szCs w:val="20"/>
                <w:lang w:eastAsia="zh-CN"/>
              </w:rPr>
              <w:t>濉溪县生态环境保护综合行政执法大队</w:t>
            </w:r>
          </w:p>
        </w:tc>
      </w:tr>
      <w:tr w14:paraId="1B283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tcBorders>
              <w:tl2br w:val="nil"/>
              <w:tr2bl w:val="nil"/>
            </w:tcBorders>
            <w:vAlign w:val="center"/>
          </w:tcPr>
          <w:p w14:paraId="2E3F43D9">
            <w:pPr>
              <w:widowControl/>
              <w:jc w:val="center"/>
              <w:textAlignment w:val="center"/>
              <w:rPr>
                <w:rFonts w:ascii="宋体" w:cs="宋体"/>
                <w:sz w:val="20"/>
              </w:rPr>
            </w:pPr>
            <w:r>
              <w:rPr>
                <w:rFonts w:hint="eastAsia" w:ascii="宋体" w:hAnsi="宋体" w:eastAsia="宋体" w:cs="宋体"/>
                <w:color w:val="000000"/>
                <w:kern w:val="0"/>
                <w:sz w:val="20"/>
                <w:szCs w:val="20"/>
              </w:rPr>
              <w:t>项目来源</w:t>
            </w:r>
          </w:p>
        </w:tc>
        <w:tc>
          <w:tcPr>
            <w:tcW w:w="3349" w:type="dxa"/>
            <w:gridSpan w:val="2"/>
            <w:tcBorders>
              <w:tl2br w:val="nil"/>
              <w:tr2bl w:val="nil"/>
            </w:tcBorders>
            <w:vAlign w:val="center"/>
          </w:tcPr>
          <w:p w14:paraId="538BF3EE">
            <w:pPr>
              <w:jc w:val="center"/>
              <w:rPr>
                <w:rFonts w:hint="eastAsia" w:ascii="宋体" w:cs="宋体" w:eastAsiaTheme="minorEastAsia"/>
                <w:sz w:val="20"/>
                <w:lang w:eastAsia="zh-CN"/>
              </w:rPr>
            </w:pPr>
            <w:r>
              <w:rPr>
                <w:rFonts w:hint="eastAsia" w:ascii="宋体" w:cs="宋体"/>
                <w:sz w:val="20"/>
                <w:lang w:eastAsia="zh-CN"/>
              </w:rPr>
              <w:t>年初预算</w:t>
            </w:r>
          </w:p>
        </w:tc>
        <w:tc>
          <w:tcPr>
            <w:tcW w:w="1848" w:type="dxa"/>
            <w:tcBorders>
              <w:tl2br w:val="nil"/>
              <w:tr2bl w:val="nil"/>
            </w:tcBorders>
            <w:vAlign w:val="center"/>
          </w:tcPr>
          <w:p w14:paraId="672C8B3C">
            <w:pPr>
              <w:widowControl/>
              <w:jc w:val="center"/>
              <w:textAlignment w:val="center"/>
            </w:pPr>
            <w:r>
              <w:rPr>
                <w:rFonts w:hint="eastAsia" w:ascii="宋体" w:hAnsi="宋体" w:eastAsia="宋体" w:cs="宋体"/>
                <w:color w:val="000000"/>
                <w:kern w:val="0"/>
                <w:sz w:val="20"/>
                <w:szCs w:val="20"/>
              </w:rPr>
              <w:t>项目期</w:t>
            </w:r>
          </w:p>
        </w:tc>
        <w:tc>
          <w:tcPr>
            <w:tcW w:w="2380" w:type="dxa"/>
            <w:tcBorders>
              <w:tl2br w:val="nil"/>
              <w:tr2bl w:val="nil"/>
            </w:tcBorders>
            <w:vAlign w:val="center"/>
          </w:tcPr>
          <w:p w14:paraId="7C1819AD">
            <w:pPr>
              <w:jc w:val="center"/>
              <w:rPr>
                <w:rFonts w:hint="default" w:eastAsiaTheme="minorEastAsia"/>
                <w:lang w:val="en-US" w:eastAsia="zh-CN"/>
              </w:rPr>
            </w:pPr>
            <w:r>
              <w:rPr>
                <w:rFonts w:hint="eastAsia"/>
                <w:lang w:val="en-US" w:eastAsia="zh-CN"/>
              </w:rPr>
              <w:t>2025.1-12</w:t>
            </w:r>
          </w:p>
        </w:tc>
      </w:tr>
      <w:tr w14:paraId="15E91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restart"/>
            <w:tcBorders>
              <w:tl2br w:val="nil"/>
              <w:tr2bl w:val="nil"/>
            </w:tcBorders>
            <w:vAlign w:val="center"/>
          </w:tcPr>
          <w:p w14:paraId="2AF7BDDE">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项目资金</w:t>
            </w:r>
          </w:p>
          <w:p w14:paraId="4E741C11">
            <w:pPr>
              <w:widowControl/>
              <w:jc w:val="center"/>
              <w:textAlignment w:val="center"/>
              <w:rPr>
                <w:rFonts w:ascii="宋体" w:cs="宋体"/>
                <w:sz w:val="20"/>
              </w:rPr>
            </w:pPr>
            <w:r>
              <w:rPr>
                <w:rFonts w:hint="eastAsia" w:ascii="宋体" w:hAnsi="宋体" w:eastAsia="宋体" w:cs="宋体"/>
                <w:color w:val="000000"/>
                <w:kern w:val="0"/>
                <w:sz w:val="20"/>
                <w:szCs w:val="20"/>
              </w:rPr>
              <w:t>（万元）</w:t>
            </w:r>
          </w:p>
        </w:tc>
        <w:tc>
          <w:tcPr>
            <w:tcW w:w="3349" w:type="dxa"/>
            <w:gridSpan w:val="2"/>
            <w:tcBorders>
              <w:tl2br w:val="nil"/>
              <w:tr2bl w:val="nil"/>
            </w:tcBorders>
            <w:vAlign w:val="center"/>
          </w:tcPr>
          <w:p w14:paraId="5272497D">
            <w:pPr>
              <w:widowControl/>
              <w:jc w:val="left"/>
              <w:textAlignment w:val="center"/>
              <w:rPr>
                <w:rFonts w:ascii="宋体" w:cs="宋体"/>
                <w:sz w:val="20"/>
              </w:rPr>
            </w:pPr>
            <w:r>
              <w:rPr>
                <w:rFonts w:hint="eastAsia" w:ascii="宋体" w:hAnsi="宋体" w:eastAsia="宋体" w:cs="宋体"/>
                <w:color w:val="000000"/>
                <w:kern w:val="0"/>
                <w:sz w:val="20"/>
                <w:szCs w:val="20"/>
              </w:rPr>
              <w:t xml:space="preserve"> 年度资金总额：</w:t>
            </w:r>
          </w:p>
        </w:tc>
        <w:tc>
          <w:tcPr>
            <w:tcW w:w="4228" w:type="dxa"/>
            <w:gridSpan w:val="2"/>
            <w:tcBorders>
              <w:tl2br w:val="nil"/>
              <w:tr2bl w:val="nil"/>
            </w:tcBorders>
            <w:vAlign w:val="center"/>
          </w:tcPr>
          <w:p w14:paraId="33EA4CF6">
            <w:pPr>
              <w:jc w:val="center"/>
              <w:rPr>
                <w:rFonts w:hint="default" w:ascii="宋体" w:cs="宋体" w:eastAsiaTheme="minorEastAsia"/>
                <w:sz w:val="20"/>
                <w:lang w:val="en-US" w:eastAsia="zh-CN"/>
              </w:rPr>
            </w:pPr>
            <w:r>
              <w:rPr>
                <w:rFonts w:hint="eastAsia" w:ascii="宋体" w:cs="宋体"/>
                <w:sz w:val="20"/>
                <w:lang w:val="en-US" w:eastAsia="zh-CN"/>
              </w:rPr>
              <w:t>102</w:t>
            </w:r>
          </w:p>
        </w:tc>
      </w:tr>
      <w:tr w14:paraId="14168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1BE0045B">
            <w:pPr>
              <w:jc w:val="center"/>
              <w:rPr>
                <w:rFonts w:ascii="宋体" w:cs="宋体"/>
                <w:sz w:val="20"/>
              </w:rPr>
            </w:pPr>
          </w:p>
        </w:tc>
        <w:tc>
          <w:tcPr>
            <w:tcW w:w="3349" w:type="dxa"/>
            <w:gridSpan w:val="2"/>
            <w:tcBorders>
              <w:tl2br w:val="nil"/>
              <w:tr2bl w:val="nil"/>
            </w:tcBorders>
            <w:vAlign w:val="center"/>
          </w:tcPr>
          <w:p w14:paraId="7344FAE3">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其中：财政拨款</w:t>
            </w:r>
          </w:p>
        </w:tc>
        <w:tc>
          <w:tcPr>
            <w:tcW w:w="4228" w:type="dxa"/>
            <w:gridSpan w:val="2"/>
            <w:tcBorders>
              <w:tl2br w:val="nil"/>
              <w:tr2bl w:val="nil"/>
            </w:tcBorders>
            <w:vAlign w:val="center"/>
          </w:tcPr>
          <w:p w14:paraId="465A0AA7">
            <w:pPr>
              <w:jc w:val="center"/>
              <w:rPr>
                <w:rFonts w:hint="default" w:ascii="宋体" w:cs="宋体" w:eastAsiaTheme="minorEastAsia"/>
                <w:sz w:val="20"/>
                <w:lang w:val="en-US" w:eastAsia="zh-CN"/>
              </w:rPr>
            </w:pPr>
            <w:r>
              <w:rPr>
                <w:rFonts w:hint="eastAsia" w:ascii="宋体" w:cs="宋体"/>
                <w:sz w:val="20"/>
                <w:lang w:val="en-US" w:eastAsia="zh-CN"/>
              </w:rPr>
              <w:t>102</w:t>
            </w:r>
          </w:p>
        </w:tc>
      </w:tr>
      <w:tr w14:paraId="282E7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7E7E7273">
            <w:pPr>
              <w:jc w:val="center"/>
              <w:rPr>
                <w:rFonts w:ascii="宋体" w:cs="宋体"/>
                <w:sz w:val="20"/>
              </w:rPr>
            </w:pPr>
          </w:p>
        </w:tc>
        <w:tc>
          <w:tcPr>
            <w:tcW w:w="3349" w:type="dxa"/>
            <w:gridSpan w:val="2"/>
            <w:tcBorders>
              <w:tl2br w:val="nil"/>
              <w:tr2bl w:val="nil"/>
            </w:tcBorders>
            <w:vAlign w:val="center"/>
          </w:tcPr>
          <w:p w14:paraId="157694A2">
            <w:pPr>
              <w:widowControl/>
              <w:jc w:val="left"/>
              <w:textAlignment w:val="center"/>
              <w:rPr>
                <w:rFonts w:ascii="宋体" w:cs="宋体"/>
                <w:sz w:val="20"/>
              </w:rPr>
            </w:pPr>
            <w:r>
              <w:rPr>
                <w:rFonts w:hint="eastAsia" w:ascii="宋体" w:hAnsi="宋体" w:eastAsia="宋体" w:cs="宋体"/>
                <w:color w:val="000000"/>
                <w:kern w:val="0"/>
                <w:sz w:val="20"/>
                <w:szCs w:val="20"/>
              </w:rPr>
              <w:t xml:space="preserve">         上年结转</w:t>
            </w:r>
          </w:p>
        </w:tc>
        <w:tc>
          <w:tcPr>
            <w:tcW w:w="4228" w:type="dxa"/>
            <w:gridSpan w:val="2"/>
            <w:tcBorders>
              <w:tl2br w:val="nil"/>
              <w:tr2bl w:val="nil"/>
            </w:tcBorders>
            <w:vAlign w:val="center"/>
          </w:tcPr>
          <w:p w14:paraId="5483132D">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3A3B0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1443" w:type="dxa"/>
            <w:gridSpan w:val="3"/>
            <w:vMerge w:val="continue"/>
            <w:tcBorders>
              <w:tl2br w:val="nil"/>
              <w:tr2bl w:val="nil"/>
            </w:tcBorders>
            <w:vAlign w:val="center"/>
          </w:tcPr>
          <w:p w14:paraId="0E9AF829">
            <w:pPr>
              <w:jc w:val="center"/>
              <w:rPr>
                <w:rFonts w:ascii="宋体" w:cs="宋体"/>
                <w:sz w:val="20"/>
              </w:rPr>
            </w:pPr>
          </w:p>
        </w:tc>
        <w:tc>
          <w:tcPr>
            <w:tcW w:w="3349" w:type="dxa"/>
            <w:gridSpan w:val="2"/>
            <w:tcBorders>
              <w:tl2br w:val="nil"/>
              <w:tr2bl w:val="nil"/>
            </w:tcBorders>
            <w:vAlign w:val="center"/>
          </w:tcPr>
          <w:p w14:paraId="623585C6">
            <w:pPr>
              <w:widowControl/>
              <w:jc w:val="left"/>
              <w:textAlignment w:val="center"/>
              <w:rPr>
                <w:rFonts w:ascii="宋体" w:cs="宋体"/>
                <w:sz w:val="20"/>
              </w:rPr>
            </w:pPr>
            <w:r>
              <w:rPr>
                <w:rFonts w:hint="eastAsia" w:ascii="宋体" w:hAnsi="宋体" w:eastAsia="宋体" w:cs="宋体"/>
                <w:color w:val="000000"/>
                <w:kern w:val="0"/>
                <w:sz w:val="20"/>
                <w:szCs w:val="20"/>
              </w:rPr>
              <w:t xml:space="preserve">         其他资金</w:t>
            </w:r>
          </w:p>
        </w:tc>
        <w:tc>
          <w:tcPr>
            <w:tcW w:w="4228" w:type="dxa"/>
            <w:gridSpan w:val="2"/>
            <w:tcBorders>
              <w:tl2br w:val="nil"/>
              <w:tr2bl w:val="nil"/>
            </w:tcBorders>
            <w:vAlign w:val="center"/>
          </w:tcPr>
          <w:p w14:paraId="3B08B319">
            <w:pPr>
              <w:jc w:val="center"/>
              <w:rPr>
                <w:rFonts w:hint="eastAsia" w:ascii="宋体" w:cs="宋体" w:eastAsiaTheme="minorEastAsia"/>
                <w:sz w:val="20"/>
                <w:lang w:val="en-US" w:eastAsia="zh-CN"/>
              </w:rPr>
            </w:pPr>
            <w:r>
              <w:rPr>
                <w:rFonts w:hint="eastAsia" w:ascii="宋体" w:cs="宋体"/>
                <w:sz w:val="20"/>
                <w:lang w:val="en-US" w:eastAsia="zh-CN"/>
              </w:rPr>
              <w:t>0</w:t>
            </w:r>
          </w:p>
        </w:tc>
      </w:tr>
      <w:tr w14:paraId="228B6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438" w:type="dxa"/>
            <w:tcBorders>
              <w:tl2br w:val="nil"/>
              <w:tr2bl w:val="nil"/>
            </w:tcBorders>
            <w:vAlign w:val="center"/>
          </w:tcPr>
          <w:p w14:paraId="5FBE70AF">
            <w:pPr>
              <w:widowControl/>
              <w:spacing w:line="200" w:lineRule="exact"/>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年度</w:t>
            </w:r>
          </w:p>
          <w:p w14:paraId="502178D6">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目标</w:t>
            </w:r>
          </w:p>
        </w:tc>
        <w:tc>
          <w:tcPr>
            <w:tcW w:w="8582" w:type="dxa"/>
            <w:gridSpan w:val="6"/>
            <w:tcBorders>
              <w:tl2br w:val="nil"/>
              <w:tr2bl w:val="nil"/>
            </w:tcBorders>
            <w:vAlign w:val="center"/>
          </w:tcPr>
          <w:p w14:paraId="159D36D5">
            <w:pPr>
              <w:adjustRightInd w:val="0"/>
              <w:snapToGrid w:val="0"/>
              <w:spacing w:line="600" w:lineRule="exact"/>
              <w:ind w:firstLine="400" w:firstLineChars="200"/>
              <w:rPr>
                <w:rFonts w:hint="eastAsia" w:ascii="仿宋" w:hAnsi="仿宋" w:eastAsia="仿宋" w:cs="仿宋"/>
                <w:sz w:val="32"/>
                <w:szCs w:val="32"/>
                <w:lang w:val="en-US" w:eastAsia="zh-CN"/>
              </w:rPr>
            </w:pPr>
            <w:r>
              <w:rPr>
                <w:rFonts w:hint="eastAsia" w:ascii="宋体" w:hAnsi="宋体" w:eastAsia="宋体" w:cs="宋体"/>
                <w:sz w:val="20"/>
                <w:szCs w:val="20"/>
                <w:lang w:val="en-US" w:eastAsia="zh-CN"/>
              </w:rPr>
              <w:t>履行部门职责，对违反环境保护法行为依法进行处理，对群众环境利益负责，以群众满意度为指标。</w:t>
            </w:r>
          </w:p>
          <w:p w14:paraId="1402A4E7">
            <w:pPr>
              <w:jc w:val="left"/>
              <w:rPr>
                <w:rFonts w:ascii="宋体" w:cs="宋体"/>
                <w:sz w:val="20"/>
              </w:rPr>
            </w:pPr>
          </w:p>
        </w:tc>
      </w:tr>
      <w:tr w14:paraId="2C9C9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438" w:type="dxa"/>
            <w:vMerge w:val="restart"/>
            <w:tcBorders>
              <w:tl2br w:val="nil"/>
              <w:tr2bl w:val="nil"/>
            </w:tcBorders>
            <w:vAlign w:val="center"/>
          </w:tcPr>
          <w:p w14:paraId="178E6DE9">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绩</w:t>
            </w:r>
          </w:p>
          <w:p w14:paraId="7B47CF57">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效</w:t>
            </w:r>
          </w:p>
          <w:p w14:paraId="41E5CE69">
            <w:pPr>
              <w:widowControl/>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指</w:t>
            </w:r>
          </w:p>
          <w:p w14:paraId="25B80C99">
            <w:pPr>
              <w:widowControl/>
              <w:jc w:val="center"/>
              <w:textAlignment w:val="center"/>
              <w:rPr>
                <w:rFonts w:ascii="宋体" w:cs="宋体"/>
                <w:sz w:val="20"/>
              </w:rPr>
            </w:pPr>
            <w:r>
              <w:rPr>
                <w:rFonts w:hint="eastAsia" w:ascii="宋体" w:hAnsi="宋体" w:eastAsia="宋体" w:cs="宋体"/>
                <w:color w:val="000000"/>
                <w:kern w:val="0"/>
                <w:sz w:val="20"/>
                <w:szCs w:val="20"/>
              </w:rPr>
              <w:t>标</w:t>
            </w:r>
          </w:p>
        </w:tc>
        <w:tc>
          <w:tcPr>
            <w:tcW w:w="723" w:type="dxa"/>
            <w:tcBorders>
              <w:tl2br w:val="nil"/>
              <w:tr2bl w:val="nil"/>
            </w:tcBorders>
            <w:vAlign w:val="center"/>
          </w:tcPr>
          <w:p w14:paraId="2048F413">
            <w:pPr>
              <w:widowControl/>
              <w:spacing w:line="200" w:lineRule="exact"/>
              <w:jc w:val="center"/>
              <w:textAlignment w:val="center"/>
              <w:rPr>
                <w:rFonts w:hint="eastAsia" w:ascii="宋体" w:hAnsi="宋体" w:eastAsia="宋体" w:cs="宋体"/>
                <w:color w:val="000000"/>
                <w:kern w:val="0"/>
                <w:sz w:val="20"/>
                <w:szCs w:val="20"/>
                <w:lang w:eastAsia="zh-CN"/>
              </w:rPr>
            </w:pPr>
            <w:r>
              <w:rPr>
                <w:rFonts w:hint="eastAsia" w:ascii="宋体" w:hAnsi="宋体" w:eastAsia="宋体" w:cs="宋体"/>
                <w:color w:val="000000"/>
                <w:kern w:val="0"/>
                <w:sz w:val="20"/>
                <w:szCs w:val="20"/>
              </w:rPr>
              <w:t>一级</w:t>
            </w:r>
          </w:p>
          <w:p w14:paraId="75694852">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指标</w:t>
            </w:r>
          </w:p>
        </w:tc>
        <w:tc>
          <w:tcPr>
            <w:tcW w:w="759" w:type="dxa"/>
            <w:gridSpan w:val="2"/>
            <w:tcBorders>
              <w:tl2br w:val="nil"/>
              <w:tr2bl w:val="nil"/>
            </w:tcBorders>
            <w:vAlign w:val="center"/>
          </w:tcPr>
          <w:p w14:paraId="2B662492">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二级指标</w:t>
            </w:r>
          </w:p>
        </w:tc>
        <w:tc>
          <w:tcPr>
            <w:tcW w:w="2872" w:type="dxa"/>
            <w:tcBorders>
              <w:tl2br w:val="nil"/>
              <w:tr2bl w:val="nil"/>
            </w:tcBorders>
            <w:vAlign w:val="center"/>
          </w:tcPr>
          <w:p w14:paraId="133DE8FC">
            <w:pPr>
              <w:widowControl/>
              <w:jc w:val="center"/>
              <w:textAlignment w:val="center"/>
              <w:rPr>
                <w:rFonts w:ascii="宋体" w:cs="宋体"/>
                <w:sz w:val="20"/>
              </w:rPr>
            </w:pPr>
            <w:r>
              <w:rPr>
                <w:rFonts w:hint="eastAsia" w:ascii="宋体" w:hAnsi="宋体" w:eastAsia="宋体" w:cs="宋体"/>
                <w:color w:val="000000"/>
                <w:kern w:val="0"/>
                <w:sz w:val="20"/>
                <w:szCs w:val="20"/>
              </w:rPr>
              <w:t>三级指标</w:t>
            </w:r>
          </w:p>
        </w:tc>
        <w:tc>
          <w:tcPr>
            <w:tcW w:w="4228" w:type="dxa"/>
            <w:gridSpan w:val="2"/>
            <w:tcBorders>
              <w:tl2br w:val="nil"/>
              <w:tr2bl w:val="nil"/>
            </w:tcBorders>
            <w:vAlign w:val="center"/>
          </w:tcPr>
          <w:p w14:paraId="1CE4DCF8">
            <w:pPr>
              <w:widowControl/>
              <w:jc w:val="center"/>
              <w:textAlignment w:val="center"/>
              <w:rPr>
                <w:rFonts w:ascii="宋体" w:cs="宋体"/>
                <w:sz w:val="20"/>
              </w:rPr>
            </w:pPr>
            <w:r>
              <w:rPr>
                <w:rFonts w:hint="eastAsia" w:ascii="宋体" w:hAnsi="宋体" w:eastAsia="宋体" w:cs="宋体"/>
                <w:color w:val="000000"/>
                <w:kern w:val="0"/>
                <w:sz w:val="20"/>
                <w:szCs w:val="20"/>
              </w:rPr>
              <w:t>指标值</w:t>
            </w:r>
          </w:p>
        </w:tc>
      </w:tr>
      <w:tr w14:paraId="47864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32934B53">
            <w:pPr>
              <w:jc w:val="center"/>
              <w:rPr>
                <w:rFonts w:ascii="宋体" w:cs="宋体"/>
                <w:sz w:val="20"/>
              </w:rPr>
            </w:pPr>
          </w:p>
        </w:tc>
        <w:tc>
          <w:tcPr>
            <w:tcW w:w="723" w:type="dxa"/>
            <w:vMerge w:val="restart"/>
            <w:tcBorders>
              <w:tl2br w:val="nil"/>
              <w:tr2bl w:val="nil"/>
            </w:tcBorders>
            <w:vAlign w:val="center"/>
          </w:tcPr>
          <w:p w14:paraId="2C6A9C5C">
            <w:pPr>
              <w:widowControl/>
              <w:jc w:val="center"/>
              <w:textAlignment w:val="center"/>
              <w:rPr>
                <w:rFonts w:ascii="宋体" w:cs="宋体"/>
                <w:sz w:val="20"/>
              </w:rPr>
            </w:pPr>
            <w:r>
              <w:rPr>
                <w:rFonts w:hint="eastAsia" w:ascii="宋体" w:hAnsi="宋体" w:eastAsia="宋体" w:cs="宋体"/>
                <w:color w:val="000000"/>
                <w:kern w:val="0"/>
                <w:sz w:val="20"/>
                <w:szCs w:val="20"/>
              </w:rPr>
              <w:t>产出指标</w:t>
            </w:r>
          </w:p>
        </w:tc>
        <w:tc>
          <w:tcPr>
            <w:tcW w:w="759" w:type="dxa"/>
            <w:gridSpan w:val="2"/>
            <w:vMerge w:val="restart"/>
            <w:tcBorders>
              <w:tl2br w:val="nil"/>
              <w:tr2bl w:val="nil"/>
            </w:tcBorders>
            <w:vAlign w:val="center"/>
          </w:tcPr>
          <w:p w14:paraId="60632DBE">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数量指标</w:t>
            </w:r>
          </w:p>
        </w:tc>
        <w:tc>
          <w:tcPr>
            <w:tcW w:w="2872" w:type="dxa"/>
            <w:tcBorders>
              <w:tl2br w:val="nil"/>
              <w:tr2bl w:val="nil"/>
            </w:tcBorders>
            <w:vAlign w:val="center"/>
          </w:tcPr>
          <w:p w14:paraId="3CB7D50A">
            <w:pPr>
              <w:keepNext w:val="0"/>
              <w:keepLines w:val="0"/>
              <w:widowControl/>
              <w:suppressLineNumbers w:val="0"/>
              <w:jc w:val="left"/>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经费支出月数</w:t>
            </w:r>
          </w:p>
        </w:tc>
        <w:tc>
          <w:tcPr>
            <w:tcW w:w="4228" w:type="dxa"/>
            <w:gridSpan w:val="2"/>
            <w:tcBorders>
              <w:tl2br w:val="nil"/>
              <w:tr2bl w:val="nil"/>
            </w:tcBorders>
            <w:vAlign w:val="center"/>
          </w:tcPr>
          <w:p w14:paraId="0A1071DA">
            <w:pPr>
              <w:keepNext w:val="0"/>
              <w:keepLines w:val="0"/>
              <w:widowControl/>
              <w:suppressLineNumbers w:val="0"/>
              <w:jc w:val="center"/>
              <w:textAlignment w:val="center"/>
              <w:rPr>
                <w:rFonts w:hint="default" w:ascii="宋体" w:cs="宋体" w:eastAsiaTheme="minorEastAsia"/>
                <w:sz w:val="20"/>
                <w:lang w:val="en-US" w:eastAsia="zh-CN"/>
              </w:rPr>
            </w:pPr>
            <w:r>
              <w:rPr>
                <w:rFonts w:hint="eastAsia" w:ascii="宋体" w:hAnsi="宋体" w:eastAsia="宋体" w:cs="宋体"/>
                <w:i w:val="0"/>
                <w:iCs w:val="0"/>
                <w:color w:val="000000"/>
                <w:kern w:val="0"/>
                <w:sz w:val="20"/>
                <w:szCs w:val="20"/>
                <w:u w:val="none"/>
                <w:lang w:val="en-US" w:eastAsia="zh-CN" w:bidi="ar"/>
              </w:rPr>
              <w:t>12</w:t>
            </w:r>
          </w:p>
        </w:tc>
      </w:tr>
      <w:tr w14:paraId="41DB5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2BE0D9D0">
            <w:pPr>
              <w:jc w:val="center"/>
              <w:rPr>
                <w:rFonts w:ascii="宋体" w:cs="宋体"/>
                <w:sz w:val="20"/>
              </w:rPr>
            </w:pPr>
          </w:p>
        </w:tc>
        <w:tc>
          <w:tcPr>
            <w:tcW w:w="723" w:type="dxa"/>
            <w:vMerge w:val="continue"/>
            <w:tcBorders>
              <w:tl2br w:val="nil"/>
              <w:tr2bl w:val="nil"/>
            </w:tcBorders>
            <w:vAlign w:val="center"/>
          </w:tcPr>
          <w:p w14:paraId="133773BB">
            <w:pPr>
              <w:jc w:val="center"/>
              <w:rPr>
                <w:rFonts w:ascii="宋体" w:cs="宋体"/>
                <w:sz w:val="20"/>
              </w:rPr>
            </w:pPr>
          </w:p>
        </w:tc>
        <w:tc>
          <w:tcPr>
            <w:tcW w:w="759" w:type="dxa"/>
            <w:gridSpan w:val="2"/>
            <w:vMerge w:val="restart"/>
            <w:tcBorders>
              <w:tl2br w:val="nil"/>
              <w:tr2bl w:val="nil"/>
            </w:tcBorders>
            <w:vAlign w:val="center"/>
          </w:tcPr>
          <w:p w14:paraId="16F9EB9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质量指标</w:t>
            </w:r>
          </w:p>
        </w:tc>
        <w:tc>
          <w:tcPr>
            <w:tcW w:w="2872" w:type="dxa"/>
            <w:tcBorders>
              <w:tl2br w:val="nil"/>
              <w:tr2bl w:val="nil"/>
            </w:tcBorders>
            <w:vAlign w:val="center"/>
          </w:tcPr>
          <w:p w14:paraId="2A4C8B41">
            <w:pPr>
              <w:keepNext w:val="0"/>
              <w:keepLines w:val="0"/>
              <w:widowControl/>
              <w:suppressLineNumbers w:val="0"/>
              <w:jc w:val="left"/>
              <w:textAlignment w:val="center"/>
              <w:rPr>
                <w:rFonts w:ascii="宋体" w:hAnsi="宋体" w:cs="宋体" w:eastAsiaTheme="minorEastAsia"/>
                <w:kern w:val="2"/>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经费支出合规性</w:t>
            </w:r>
          </w:p>
        </w:tc>
        <w:tc>
          <w:tcPr>
            <w:tcW w:w="4228" w:type="dxa"/>
            <w:gridSpan w:val="2"/>
            <w:tcBorders>
              <w:tl2br w:val="nil"/>
              <w:tr2bl w:val="nil"/>
            </w:tcBorders>
            <w:vAlign w:val="center"/>
          </w:tcPr>
          <w:p w14:paraId="6D1EF5D7">
            <w:pPr>
              <w:keepNext w:val="0"/>
              <w:keepLines w:val="0"/>
              <w:widowControl/>
              <w:suppressLineNumbers w:val="0"/>
              <w:jc w:val="center"/>
              <w:textAlignment w:val="center"/>
              <w:rPr>
                <w:rFonts w:ascii="宋体" w:hAnsi="宋体" w:cs="宋体" w:eastAsiaTheme="minorEastAsia"/>
                <w:kern w:val="2"/>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严格执行相关财经法规、制度</w:t>
            </w:r>
          </w:p>
        </w:tc>
      </w:tr>
      <w:tr w14:paraId="23C35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15842EFB">
            <w:pPr>
              <w:jc w:val="center"/>
              <w:rPr>
                <w:rFonts w:ascii="宋体" w:cs="宋体"/>
                <w:sz w:val="20"/>
              </w:rPr>
            </w:pPr>
          </w:p>
        </w:tc>
        <w:tc>
          <w:tcPr>
            <w:tcW w:w="723" w:type="dxa"/>
            <w:vMerge w:val="continue"/>
            <w:tcBorders>
              <w:tl2br w:val="nil"/>
              <w:tr2bl w:val="nil"/>
            </w:tcBorders>
            <w:vAlign w:val="center"/>
          </w:tcPr>
          <w:p w14:paraId="4CF78426">
            <w:pPr>
              <w:jc w:val="center"/>
              <w:rPr>
                <w:rFonts w:ascii="宋体" w:cs="宋体"/>
                <w:sz w:val="20"/>
              </w:rPr>
            </w:pPr>
          </w:p>
        </w:tc>
        <w:tc>
          <w:tcPr>
            <w:tcW w:w="759" w:type="dxa"/>
            <w:gridSpan w:val="2"/>
            <w:vMerge w:val="restart"/>
            <w:tcBorders>
              <w:tl2br w:val="nil"/>
              <w:tr2bl w:val="nil"/>
            </w:tcBorders>
            <w:vAlign w:val="center"/>
          </w:tcPr>
          <w:p w14:paraId="6FDAF2E4">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时效指标</w:t>
            </w:r>
          </w:p>
        </w:tc>
        <w:tc>
          <w:tcPr>
            <w:tcW w:w="2872" w:type="dxa"/>
            <w:tcBorders>
              <w:tl2br w:val="nil"/>
              <w:tr2bl w:val="nil"/>
            </w:tcBorders>
            <w:vAlign w:val="center"/>
          </w:tcPr>
          <w:p w14:paraId="33EDD2DB">
            <w:pPr>
              <w:keepNext w:val="0"/>
              <w:keepLines w:val="0"/>
              <w:widowControl/>
              <w:suppressLineNumbers w:val="0"/>
              <w:jc w:val="left"/>
              <w:textAlignment w:val="center"/>
              <w:rPr>
                <w:rFonts w:ascii="宋体" w:hAnsi="宋体" w:cs="宋体" w:eastAsiaTheme="minorEastAsia"/>
                <w:kern w:val="2"/>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处置环境污染问题的及时性</w:t>
            </w:r>
          </w:p>
        </w:tc>
        <w:tc>
          <w:tcPr>
            <w:tcW w:w="4228" w:type="dxa"/>
            <w:gridSpan w:val="2"/>
            <w:tcBorders>
              <w:tl2br w:val="nil"/>
              <w:tr2bl w:val="nil"/>
            </w:tcBorders>
            <w:vAlign w:val="center"/>
          </w:tcPr>
          <w:p w14:paraId="6B5ED4BA">
            <w:pPr>
              <w:keepNext w:val="0"/>
              <w:keepLines w:val="0"/>
              <w:widowControl/>
              <w:suppressLineNumbers w:val="0"/>
              <w:jc w:val="center"/>
              <w:textAlignment w:val="center"/>
              <w:rPr>
                <w:rFonts w:hint="eastAsia" w:ascii="宋体" w:hAnsi="宋体" w:eastAsia="宋体" w:cs="宋体"/>
                <w:kern w:val="2"/>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及时、准确</w:t>
            </w:r>
          </w:p>
        </w:tc>
      </w:tr>
      <w:tr w14:paraId="25E74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59517E1A">
            <w:pPr>
              <w:jc w:val="center"/>
              <w:rPr>
                <w:rFonts w:ascii="宋体" w:cs="宋体"/>
                <w:sz w:val="20"/>
              </w:rPr>
            </w:pPr>
          </w:p>
        </w:tc>
        <w:tc>
          <w:tcPr>
            <w:tcW w:w="723" w:type="dxa"/>
            <w:vMerge w:val="continue"/>
            <w:tcBorders>
              <w:tl2br w:val="nil"/>
              <w:tr2bl w:val="nil"/>
            </w:tcBorders>
            <w:vAlign w:val="center"/>
          </w:tcPr>
          <w:p w14:paraId="2737BB48">
            <w:pPr>
              <w:jc w:val="center"/>
              <w:rPr>
                <w:rFonts w:ascii="宋体" w:cs="宋体"/>
                <w:sz w:val="20"/>
              </w:rPr>
            </w:pPr>
          </w:p>
        </w:tc>
        <w:tc>
          <w:tcPr>
            <w:tcW w:w="759" w:type="dxa"/>
            <w:gridSpan w:val="2"/>
            <w:tcBorders>
              <w:tl2br w:val="nil"/>
              <w:tr2bl w:val="nil"/>
            </w:tcBorders>
            <w:vAlign w:val="center"/>
          </w:tcPr>
          <w:p w14:paraId="30CC0F89">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成本指标</w:t>
            </w:r>
          </w:p>
        </w:tc>
        <w:tc>
          <w:tcPr>
            <w:tcW w:w="2872" w:type="dxa"/>
            <w:tcBorders>
              <w:tl2br w:val="nil"/>
              <w:tr2bl w:val="nil"/>
            </w:tcBorders>
            <w:vAlign w:val="center"/>
          </w:tcPr>
          <w:p w14:paraId="46F01AE3">
            <w:pPr>
              <w:keepNext w:val="0"/>
              <w:keepLines w:val="0"/>
              <w:widowControl/>
              <w:suppressLineNumbers w:val="0"/>
              <w:jc w:val="left"/>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经费总额</w:t>
            </w:r>
          </w:p>
        </w:tc>
        <w:tc>
          <w:tcPr>
            <w:tcW w:w="4228" w:type="dxa"/>
            <w:gridSpan w:val="2"/>
            <w:tcBorders>
              <w:tl2br w:val="nil"/>
              <w:tr2bl w:val="nil"/>
            </w:tcBorders>
            <w:vAlign w:val="center"/>
          </w:tcPr>
          <w:p w14:paraId="1DA75C34">
            <w:pPr>
              <w:keepNext w:val="0"/>
              <w:keepLines w:val="0"/>
              <w:widowControl/>
              <w:suppressLineNumbers w:val="0"/>
              <w:jc w:val="center"/>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≦102</w:t>
            </w:r>
          </w:p>
        </w:tc>
      </w:tr>
      <w:tr w14:paraId="44322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trPr>
        <w:tc>
          <w:tcPr>
            <w:tcW w:w="438" w:type="dxa"/>
            <w:vMerge w:val="continue"/>
            <w:tcBorders>
              <w:tl2br w:val="nil"/>
              <w:tr2bl w:val="nil"/>
            </w:tcBorders>
            <w:vAlign w:val="center"/>
          </w:tcPr>
          <w:p w14:paraId="0EDA0062">
            <w:pPr>
              <w:jc w:val="center"/>
              <w:rPr>
                <w:rFonts w:ascii="宋体" w:cs="宋体"/>
                <w:sz w:val="20"/>
              </w:rPr>
            </w:pPr>
          </w:p>
        </w:tc>
        <w:tc>
          <w:tcPr>
            <w:tcW w:w="723" w:type="dxa"/>
            <w:vMerge w:val="restart"/>
            <w:tcBorders>
              <w:tl2br w:val="nil"/>
              <w:tr2bl w:val="nil"/>
            </w:tcBorders>
            <w:vAlign w:val="center"/>
          </w:tcPr>
          <w:p w14:paraId="5BCF9A7F">
            <w:pPr>
              <w:widowControl/>
              <w:jc w:val="center"/>
              <w:textAlignment w:val="center"/>
              <w:rPr>
                <w:rFonts w:ascii="宋体" w:cs="宋体"/>
                <w:sz w:val="20"/>
              </w:rPr>
            </w:pPr>
            <w:r>
              <w:rPr>
                <w:rFonts w:hint="eastAsia" w:ascii="宋体" w:hAnsi="宋体" w:eastAsia="宋体" w:cs="宋体"/>
                <w:color w:val="000000"/>
                <w:kern w:val="0"/>
                <w:sz w:val="20"/>
                <w:szCs w:val="20"/>
              </w:rPr>
              <w:t>效益指标</w:t>
            </w:r>
          </w:p>
        </w:tc>
        <w:tc>
          <w:tcPr>
            <w:tcW w:w="759" w:type="dxa"/>
            <w:gridSpan w:val="2"/>
            <w:vMerge w:val="restart"/>
            <w:tcBorders>
              <w:tl2br w:val="nil"/>
              <w:tr2bl w:val="nil"/>
            </w:tcBorders>
            <w:vAlign w:val="center"/>
          </w:tcPr>
          <w:p w14:paraId="1100010D">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经济效益指标</w:t>
            </w:r>
          </w:p>
        </w:tc>
        <w:tc>
          <w:tcPr>
            <w:tcW w:w="2872" w:type="dxa"/>
            <w:tcBorders>
              <w:tl2br w:val="nil"/>
              <w:tr2bl w:val="nil"/>
            </w:tcBorders>
            <w:vAlign w:val="center"/>
          </w:tcPr>
          <w:p w14:paraId="4DC2FAAF">
            <w:pPr>
              <w:keepNext w:val="0"/>
              <w:keepLines w:val="0"/>
              <w:widowControl/>
              <w:suppressLineNumbers w:val="0"/>
              <w:jc w:val="left"/>
              <w:textAlignment w:val="center"/>
              <w:rPr>
                <w:rFonts w:ascii="宋体" w:cs="宋体"/>
                <w:sz w:val="20"/>
              </w:rPr>
            </w:pPr>
            <w:r>
              <w:rPr>
                <w:rFonts w:hint="eastAsia" w:ascii="宋体" w:hAnsi="宋体" w:eastAsia="宋体" w:cs="宋体"/>
                <w:i w:val="0"/>
                <w:iCs w:val="0"/>
                <w:color w:val="000000"/>
                <w:kern w:val="0"/>
                <w:sz w:val="20"/>
                <w:szCs w:val="20"/>
                <w:u w:val="none"/>
                <w:lang w:val="en-US" w:eastAsia="zh-CN" w:bidi="ar"/>
              </w:rPr>
              <w:t>对社会经济发展的影响</w:t>
            </w:r>
          </w:p>
        </w:tc>
        <w:tc>
          <w:tcPr>
            <w:tcW w:w="4228" w:type="dxa"/>
            <w:gridSpan w:val="2"/>
            <w:tcBorders>
              <w:tl2br w:val="nil"/>
              <w:tr2bl w:val="nil"/>
            </w:tcBorders>
            <w:vAlign w:val="center"/>
          </w:tcPr>
          <w:p w14:paraId="78449D3C">
            <w:pPr>
              <w:keepNext w:val="0"/>
              <w:keepLines w:val="0"/>
              <w:widowControl/>
              <w:suppressLineNumbers w:val="0"/>
              <w:jc w:val="center"/>
              <w:textAlignment w:val="center"/>
              <w:rPr>
                <w:rFonts w:hint="eastAsia" w:ascii="宋体" w:cs="宋体" w:eastAsiaTheme="minorEastAsia"/>
                <w:sz w:val="20"/>
                <w:lang w:eastAsia="zh-CN"/>
              </w:rPr>
            </w:pPr>
            <w:r>
              <w:rPr>
                <w:rFonts w:hint="eastAsia" w:ascii="宋体" w:hAnsi="宋体" w:eastAsia="宋体" w:cs="宋体"/>
                <w:i w:val="0"/>
                <w:iCs w:val="0"/>
                <w:color w:val="000000"/>
                <w:kern w:val="0"/>
                <w:sz w:val="20"/>
                <w:szCs w:val="20"/>
                <w:u w:val="none"/>
                <w:lang w:val="en-US" w:eastAsia="zh-CN" w:bidi="ar"/>
              </w:rPr>
              <w:t>较高</w:t>
            </w:r>
          </w:p>
        </w:tc>
      </w:tr>
      <w:tr w14:paraId="4E0D4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438" w:type="dxa"/>
            <w:vMerge w:val="continue"/>
            <w:tcBorders>
              <w:tl2br w:val="nil"/>
              <w:tr2bl w:val="nil"/>
            </w:tcBorders>
            <w:vAlign w:val="center"/>
          </w:tcPr>
          <w:p w14:paraId="7AA75BB8">
            <w:pPr>
              <w:jc w:val="center"/>
              <w:rPr>
                <w:rFonts w:ascii="宋体" w:cs="宋体"/>
                <w:sz w:val="20"/>
              </w:rPr>
            </w:pPr>
          </w:p>
        </w:tc>
        <w:tc>
          <w:tcPr>
            <w:tcW w:w="723" w:type="dxa"/>
            <w:vMerge w:val="continue"/>
            <w:tcBorders>
              <w:tl2br w:val="nil"/>
              <w:tr2bl w:val="nil"/>
            </w:tcBorders>
            <w:vAlign w:val="center"/>
          </w:tcPr>
          <w:p w14:paraId="44122C88">
            <w:pPr>
              <w:jc w:val="center"/>
              <w:rPr>
                <w:rFonts w:ascii="宋体" w:cs="宋体"/>
                <w:sz w:val="20"/>
              </w:rPr>
            </w:pPr>
          </w:p>
        </w:tc>
        <w:tc>
          <w:tcPr>
            <w:tcW w:w="759" w:type="dxa"/>
            <w:gridSpan w:val="2"/>
            <w:vMerge w:val="restart"/>
            <w:tcBorders>
              <w:tl2br w:val="nil"/>
              <w:tr2bl w:val="nil"/>
            </w:tcBorders>
            <w:vAlign w:val="center"/>
          </w:tcPr>
          <w:p w14:paraId="3C8398C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社会效益指标</w:t>
            </w:r>
          </w:p>
        </w:tc>
        <w:tc>
          <w:tcPr>
            <w:tcW w:w="2872" w:type="dxa"/>
            <w:tcBorders>
              <w:tl2br w:val="nil"/>
              <w:tr2bl w:val="nil"/>
            </w:tcBorders>
            <w:vAlign w:val="center"/>
          </w:tcPr>
          <w:p w14:paraId="6EA40CAA">
            <w:pPr>
              <w:keepNext w:val="0"/>
              <w:keepLines w:val="0"/>
              <w:widowControl/>
              <w:suppressLineNumbers w:val="0"/>
              <w:jc w:val="left"/>
              <w:textAlignment w:val="center"/>
              <w:rPr>
                <w:rFonts w:ascii="宋体" w:hAnsi="宋体" w:cs="宋体" w:eastAsiaTheme="minorEastAsia"/>
                <w:kern w:val="2"/>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公众对生态环境保护意识的提升</w:t>
            </w:r>
          </w:p>
        </w:tc>
        <w:tc>
          <w:tcPr>
            <w:tcW w:w="4228" w:type="dxa"/>
            <w:gridSpan w:val="2"/>
            <w:tcBorders>
              <w:tl2br w:val="nil"/>
              <w:tr2bl w:val="nil"/>
            </w:tcBorders>
            <w:vAlign w:val="center"/>
          </w:tcPr>
          <w:p w14:paraId="43EC0C6A">
            <w:pPr>
              <w:keepNext w:val="0"/>
              <w:keepLines w:val="0"/>
              <w:widowControl/>
              <w:suppressLineNumbers w:val="0"/>
              <w:jc w:val="center"/>
              <w:textAlignment w:val="center"/>
              <w:rPr>
                <w:rFonts w:hint="eastAsia" w:ascii="宋体" w:hAnsi="宋体" w:eastAsia="宋体" w:cs="宋体"/>
                <w:kern w:val="2"/>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明显</w:t>
            </w:r>
          </w:p>
        </w:tc>
      </w:tr>
      <w:tr w14:paraId="3F3C5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438" w:type="dxa"/>
            <w:vMerge w:val="continue"/>
            <w:tcBorders>
              <w:tl2br w:val="nil"/>
              <w:tr2bl w:val="nil"/>
            </w:tcBorders>
            <w:vAlign w:val="center"/>
          </w:tcPr>
          <w:p w14:paraId="43EBBDFF">
            <w:pPr>
              <w:jc w:val="center"/>
              <w:rPr>
                <w:rFonts w:ascii="宋体" w:cs="宋体"/>
                <w:sz w:val="20"/>
              </w:rPr>
            </w:pPr>
          </w:p>
        </w:tc>
        <w:tc>
          <w:tcPr>
            <w:tcW w:w="723" w:type="dxa"/>
            <w:vMerge w:val="continue"/>
            <w:tcBorders>
              <w:tl2br w:val="nil"/>
              <w:tr2bl w:val="nil"/>
            </w:tcBorders>
            <w:vAlign w:val="center"/>
          </w:tcPr>
          <w:p w14:paraId="127BCC51">
            <w:pPr>
              <w:jc w:val="center"/>
              <w:rPr>
                <w:rFonts w:ascii="宋体" w:cs="宋体"/>
                <w:sz w:val="20"/>
              </w:rPr>
            </w:pPr>
          </w:p>
        </w:tc>
        <w:tc>
          <w:tcPr>
            <w:tcW w:w="759" w:type="dxa"/>
            <w:gridSpan w:val="2"/>
            <w:vMerge w:val="restart"/>
            <w:tcBorders>
              <w:tl2br w:val="nil"/>
              <w:tr2bl w:val="nil"/>
            </w:tcBorders>
            <w:vAlign w:val="center"/>
          </w:tcPr>
          <w:p w14:paraId="282D429B">
            <w:pPr>
              <w:widowControl/>
              <w:spacing w:line="200" w:lineRule="exact"/>
              <w:jc w:val="center"/>
              <w:textAlignment w:val="center"/>
              <w:rPr>
                <w:rFonts w:ascii="宋体" w:cs="宋体"/>
                <w:sz w:val="20"/>
              </w:rPr>
            </w:pPr>
            <w:r>
              <w:rPr>
                <w:rFonts w:hint="eastAsia" w:ascii="宋体" w:hAnsi="宋体" w:eastAsia="宋体" w:cs="宋体"/>
                <w:color w:val="000000"/>
                <w:kern w:val="0"/>
                <w:sz w:val="20"/>
                <w:szCs w:val="20"/>
              </w:rPr>
              <w:t>生态效益指标</w:t>
            </w:r>
          </w:p>
        </w:tc>
        <w:tc>
          <w:tcPr>
            <w:tcW w:w="2872" w:type="dxa"/>
            <w:tcBorders>
              <w:tl2br w:val="nil"/>
              <w:tr2bl w:val="nil"/>
            </w:tcBorders>
            <w:vAlign w:val="center"/>
          </w:tcPr>
          <w:p w14:paraId="5BBC3BCD">
            <w:pPr>
              <w:keepNext w:val="0"/>
              <w:keepLines w:val="0"/>
              <w:widowControl/>
              <w:suppressLineNumbers w:val="0"/>
              <w:jc w:val="left"/>
              <w:textAlignment w:val="center"/>
              <w:rPr>
                <w:rFonts w:ascii="宋体" w:hAnsi="宋体" w:cs="宋体" w:eastAsiaTheme="minorEastAsia"/>
                <w:kern w:val="2"/>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对生态环境的改善</w:t>
            </w:r>
          </w:p>
        </w:tc>
        <w:tc>
          <w:tcPr>
            <w:tcW w:w="4228" w:type="dxa"/>
            <w:gridSpan w:val="2"/>
            <w:tcBorders>
              <w:tl2br w:val="nil"/>
              <w:tr2bl w:val="nil"/>
            </w:tcBorders>
            <w:vAlign w:val="center"/>
          </w:tcPr>
          <w:p w14:paraId="440F6496">
            <w:pPr>
              <w:keepNext w:val="0"/>
              <w:keepLines w:val="0"/>
              <w:widowControl/>
              <w:suppressLineNumbers w:val="0"/>
              <w:jc w:val="center"/>
              <w:textAlignment w:val="center"/>
              <w:rPr>
                <w:rFonts w:ascii="宋体" w:hAnsi="宋体" w:cs="宋体" w:eastAsiaTheme="minorEastAsia"/>
                <w:kern w:val="2"/>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明显</w:t>
            </w:r>
          </w:p>
        </w:tc>
      </w:tr>
      <w:tr w14:paraId="7E0DF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438" w:type="dxa"/>
            <w:vMerge w:val="continue"/>
            <w:tcBorders>
              <w:tl2br w:val="nil"/>
              <w:tr2bl w:val="nil"/>
            </w:tcBorders>
            <w:vAlign w:val="center"/>
          </w:tcPr>
          <w:p w14:paraId="2EDCAB06">
            <w:pPr>
              <w:jc w:val="center"/>
              <w:rPr>
                <w:rFonts w:ascii="宋体" w:cs="宋体"/>
                <w:sz w:val="20"/>
              </w:rPr>
            </w:pPr>
          </w:p>
        </w:tc>
        <w:tc>
          <w:tcPr>
            <w:tcW w:w="723" w:type="dxa"/>
            <w:vMerge w:val="continue"/>
            <w:tcBorders>
              <w:tl2br w:val="nil"/>
              <w:tr2bl w:val="nil"/>
            </w:tcBorders>
            <w:vAlign w:val="center"/>
          </w:tcPr>
          <w:p w14:paraId="7767EB04">
            <w:pPr>
              <w:jc w:val="center"/>
              <w:rPr>
                <w:rFonts w:ascii="宋体" w:cs="宋体"/>
                <w:sz w:val="20"/>
              </w:rPr>
            </w:pPr>
          </w:p>
        </w:tc>
        <w:tc>
          <w:tcPr>
            <w:tcW w:w="759" w:type="dxa"/>
            <w:gridSpan w:val="2"/>
            <w:tcBorders>
              <w:tl2br w:val="nil"/>
              <w:tr2bl w:val="nil"/>
            </w:tcBorders>
            <w:vAlign w:val="center"/>
          </w:tcPr>
          <w:p w14:paraId="76A5C565">
            <w:pPr>
              <w:widowControl/>
              <w:spacing w:line="200" w:lineRule="exact"/>
              <w:jc w:val="center"/>
              <w:rPr>
                <w:rFonts w:hint="eastAsia" w:ascii="宋体" w:hAnsi="宋体" w:eastAsia="宋体" w:cs="宋体"/>
                <w:sz w:val="20"/>
              </w:rPr>
            </w:pPr>
            <w:r>
              <w:rPr>
                <w:rFonts w:hint="eastAsia" w:ascii="宋体" w:hAnsi="宋体" w:eastAsia="宋体" w:cs="宋体"/>
                <w:sz w:val="20"/>
              </w:rPr>
              <w:t>可持续影响指标</w:t>
            </w:r>
          </w:p>
        </w:tc>
        <w:tc>
          <w:tcPr>
            <w:tcW w:w="2872" w:type="dxa"/>
            <w:tcBorders>
              <w:tl2br w:val="nil"/>
              <w:tr2bl w:val="nil"/>
            </w:tcBorders>
            <w:vAlign w:val="center"/>
          </w:tcPr>
          <w:p w14:paraId="0B9150C5">
            <w:pPr>
              <w:keepNext w:val="0"/>
              <w:keepLines w:val="0"/>
              <w:widowControl/>
              <w:suppressLineNumbers w:val="0"/>
              <w:jc w:val="left"/>
              <w:textAlignment w:val="center"/>
              <w:rPr>
                <w:rFonts w:hint="eastAsia" w:ascii="宋体" w:hAnsi="宋体" w:cs="宋体" w:eastAsiaTheme="minorEastAsia"/>
                <w:kern w:val="2"/>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持续对环境保护工作能力、水平提升的影响程度</w:t>
            </w:r>
          </w:p>
        </w:tc>
        <w:tc>
          <w:tcPr>
            <w:tcW w:w="4228" w:type="dxa"/>
            <w:gridSpan w:val="2"/>
            <w:tcBorders>
              <w:tl2br w:val="nil"/>
              <w:tr2bl w:val="nil"/>
            </w:tcBorders>
            <w:vAlign w:val="center"/>
          </w:tcPr>
          <w:p w14:paraId="0B52CB55">
            <w:pPr>
              <w:keepNext w:val="0"/>
              <w:keepLines w:val="0"/>
              <w:widowControl/>
              <w:suppressLineNumbers w:val="0"/>
              <w:jc w:val="center"/>
              <w:textAlignment w:val="center"/>
              <w:rPr>
                <w:rFonts w:ascii="宋体" w:hAnsi="宋体" w:cs="宋体" w:eastAsiaTheme="minorEastAsia"/>
                <w:kern w:val="2"/>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明显</w:t>
            </w:r>
          </w:p>
        </w:tc>
      </w:tr>
      <w:tr w14:paraId="0B893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trPr>
        <w:tc>
          <w:tcPr>
            <w:tcW w:w="438" w:type="dxa"/>
            <w:vMerge w:val="continue"/>
            <w:tcBorders>
              <w:tl2br w:val="nil"/>
              <w:tr2bl w:val="nil"/>
            </w:tcBorders>
            <w:vAlign w:val="center"/>
          </w:tcPr>
          <w:p w14:paraId="0FFE0B5A">
            <w:pPr>
              <w:jc w:val="center"/>
              <w:rPr>
                <w:rFonts w:ascii="宋体" w:cs="宋体"/>
                <w:sz w:val="20"/>
              </w:rPr>
            </w:pPr>
          </w:p>
        </w:tc>
        <w:tc>
          <w:tcPr>
            <w:tcW w:w="723" w:type="dxa"/>
            <w:tcBorders>
              <w:tl2br w:val="nil"/>
              <w:tr2bl w:val="nil"/>
            </w:tcBorders>
            <w:vAlign w:val="center"/>
          </w:tcPr>
          <w:p w14:paraId="74103C1D">
            <w:pPr>
              <w:widowControl/>
              <w:spacing w:line="200" w:lineRule="exact"/>
              <w:jc w:val="center"/>
              <w:rPr>
                <w:rFonts w:hint="eastAsia" w:ascii="宋体" w:hAnsi="宋体" w:eastAsia="宋体" w:cs="宋体"/>
                <w:sz w:val="20"/>
              </w:rPr>
            </w:pPr>
            <w:r>
              <w:rPr>
                <w:rFonts w:hint="eastAsia" w:ascii="宋体" w:hAnsi="宋体" w:eastAsia="宋体" w:cs="宋体"/>
                <w:sz w:val="20"/>
              </w:rPr>
              <w:t>满意度指标</w:t>
            </w:r>
          </w:p>
        </w:tc>
        <w:tc>
          <w:tcPr>
            <w:tcW w:w="759" w:type="dxa"/>
            <w:gridSpan w:val="2"/>
            <w:tcBorders>
              <w:tl2br w:val="nil"/>
              <w:tr2bl w:val="nil"/>
            </w:tcBorders>
            <w:vAlign w:val="center"/>
          </w:tcPr>
          <w:p w14:paraId="24DAD35F">
            <w:pPr>
              <w:widowControl/>
              <w:spacing w:line="200" w:lineRule="exact"/>
              <w:jc w:val="center"/>
              <w:rPr>
                <w:rFonts w:hint="eastAsia" w:ascii="宋体" w:hAnsi="宋体" w:eastAsia="宋体" w:cs="宋体"/>
                <w:sz w:val="20"/>
              </w:rPr>
            </w:pPr>
            <w:r>
              <w:rPr>
                <w:rFonts w:hint="eastAsia" w:ascii="宋体" w:hAnsi="宋体" w:eastAsia="宋体" w:cs="宋体"/>
                <w:sz w:val="20"/>
              </w:rPr>
              <w:t>满意度指标</w:t>
            </w:r>
          </w:p>
        </w:tc>
        <w:tc>
          <w:tcPr>
            <w:tcW w:w="2872" w:type="dxa"/>
            <w:tcBorders>
              <w:tl2br w:val="nil"/>
              <w:tr2bl w:val="nil"/>
            </w:tcBorders>
            <w:vAlign w:val="center"/>
          </w:tcPr>
          <w:p w14:paraId="0F8689C6">
            <w:pPr>
              <w:keepNext w:val="0"/>
              <w:keepLines w:val="0"/>
              <w:widowControl/>
              <w:suppressLineNumbers w:val="0"/>
              <w:jc w:val="left"/>
              <w:textAlignment w:val="center"/>
              <w:rPr>
                <w:rFonts w:hint="eastAsia" w:ascii="宋体" w:hAnsi="宋体" w:cs="宋体" w:eastAsiaTheme="minorEastAsia"/>
                <w:kern w:val="2"/>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环境保护执法人员满意度</w:t>
            </w:r>
          </w:p>
        </w:tc>
        <w:tc>
          <w:tcPr>
            <w:tcW w:w="4228" w:type="dxa"/>
            <w:gridSpan w:val="2"/>
            <w:tcBorders>
              <w:tl2br w:val="nil"/>
              <w:tr2bl w:val="nil"/>
            </w:tcBorders>
            <w:vAlign w:val="center"/>
          </w:tcPr>
          <w:p w14:paraId="5B7D4D4C">
            <w:pPr>
              <w:keepNext w:val="0"/>
              <w:keepLines w:val="0"/>
              <w:widowControl/>
              <w:suppressLineNumbers w:val="0"/>
              <w:jc w:val="center"/>
              <w:textAlignment w:val="center"/>
              <w:rPr>
                <w:rFonts w:ascii="宋体" w:hAnsi="宋体" w:cs="宋体" w:eastAsiaTheme="minorEastAsia"/>
                <w:kern w:val="2"/>
                <w:sz w:val="20"/>
                <w:szCs w:val="20"/>
                <w:lang w:val="en-US" w:eastAsia="zh-CN" w:bidi="ar-SA"/>
              </w:rPr>
            </w:pPr>
            <w:r>
              <w:rPr>
                <w:rFonts w:hint="eastAsia" w:ascii="宋体" w:hAnsi="宋体" w:eastAsia="宋体" w:cs="宋体"/>
                <w:i w:val="0"/>
                <w:iCs w:val="0"/>
                <w:color w:val="000000"/>
                <w:kern w:val="0"/>
                <w:sz w:val="20"/>
                <w:szCs w:val="20"/>
                <w:u w:val="none"/>
                <w:lang w:val="en-US" w:eastAsia="zh-CN" w:bidi="ar"/>
              </w:rPr>
              <w:t>≧95%</w:t>
            </w:r>
          </w:p>
        </w:tc>
      </w:tr>
    </w:tbl>
    <w:p w14:paraId="78CB89E8">
      <w:pPr>
        <w:ind w:firstLine="420" w:firstLineChars="200"/>
      </w:pPr>
    </w:p>
    <w:p w14:paraId="5803B03E">
      <w:pPr>
        <w:ind w:firstLine="420" w:firstLineChars="200"/>
      </w:pPr>
    </w:p>
    <w:p w14:paraId="142342D8">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（二）机关运行经费。</w:t>
      </w:r>
    </w:p>
    <w:p w14:paraId="205ABED4">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濉溪县生态环境保护综合行政执法大队</w:t>
      </w:r>
      <w:r>
        <w:rPr>
          <w:rFonts w:hint="eastAsia" w:ascii="仿宋" w:hAnsi="仿宋" w:eastAsia="仿宋" w:cs="仿宋"/>
          <w:kern w:val="0"/>
          <w:sz w:val="32"/>
          <w:szCs w:val="32"/>
        </w:rPr>
        <w:t>为非参照公务员法管理的事业单位，按照部门预算机关运行经费口径，2025年无机关运行经费财政拨款预算。</w:t>
      </w:r>
    </w:p>
    <w:p w14:paraId="693511EB">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（三）政府采购情况。</w:t>
      </w:r>
    </w:p>
    <w:p w14:paraId="75513156">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lang w:eastAsia="zh-CN"/>
        </w:rPr>
        <w:t>濉溪县生态环境保护综合行政执法大队</w:t>
      </w:r>
      <w:r>
        <w:rPr>
          <w:rFonts w:hint="eastAsia" w:ascii="仿宋" w:hAnsi="仿宋" w:eastAsia="仿宋" w:cs="仿宋"/>
          <w:kern w:val="0"/>
          <w:sz w:val="32"/>
          <w:szCs w:val="32"/>
        </w:rPr>
        <w:t>2025年政府采购预算</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万元。其中：政府采购货物预算</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万元，政府采购工程预算</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万元，政府采购服务预算</w:t>
      </w:r>
      <w:r>
        <w:rPr>
          <w:rFonts w:hint="eastAsia" w:ascii="仿宋" w:hAnsi="仿宋" w:eastAsia="仿宋" w:cs="仿宋"/>
          <w:kern w:val="0"/>
          <w:sz w:val="32"/>
          <w:szCs w:val="32"/>
          <w:lang w:val="en-US" w:eastAsia="zh-CN"/>
        </w:rPr>
        <w:t>0</w:t>
      </w:r>
      <w:r>
        <w:rPr>
          <w:rFonts w:hint="eastAsia" w:ascii="仿宋" w:hAnsi="仿宋" w:eastAsia="仿宋" w:cs="仿宋"/>
          <w:kern w:val="0"/>
          <w:sz w:val="32"/>
          <w:szCs w:val="32"/>
        </w:rPr>
        <w:t>万元。</w:t>
      </w:r>
    </w:p>
    <w:p w14:paraId="24AF5EFD">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（四）国有资产占有使用情况。</w:t>
      </w:r>
    </w:p>
    <w:p w14:paraId="1C0AF99C">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截至2024年12月31日，</w:t>
      </w:r>
      <w:r>
        <w:rPr>
          <w:rFonts w:hint="eastAsia" w:ascii="仿宋" w:hAnsi="仿宋" w:eastAsia="仿宋" w:cs="仿宋"/>
          <w:kern w:val="0"/>
          <w:sz w:val="32"/>
          <w:szCs w:val="32"/>
          <w:lang w:eastAsia="zh-CN"/>
        </w:rPr>
        <w:t>濉溪县生态环境保护综合行政执法大队</w:t>
      </w:r>
      <w:r>
        <w:rPr>
          <w:rFonts w:hint="eastAsia" w:ascii="仿宋" w:hAnsi="仿宋" w:eastAsia="仿宋" w:cs="仿宋"/>
          <w:kern w:val="0"/>
          <w:sz w:val="32"/>
          <w:szCs w:val="32"/>
        </w:rPr>
        <w:t>共有车辆</w:t>
      </w:r>
      <w:r>
        <w:rPr>
          <w:rFonts w:hint="eastAsia" w:ascii="仿宋" w:hAnsi="仿宋" w:eastAsia="仿宋" w:cs="仿宋"/>
          <w:kern w:val="0"/>
          <w:sz w:val="32"/>
          <w:szCs w:val="32"/>
          <w:lang w:val="en-US" w:eastAsia="zh-CN"/>
        </w:rPr>
        <w:t>13</w:t>
      </w:r>
      <w:r>
        <w:rPr>
          <w:rFonts w:hint="eastAsia" w:ascii="仿宋" w:hAnsi="仿宋" w:eastAsia="仿宋" w:cs="仿宋"/>
          <w:kern w:val="0"/>
          <w:sz w:val="32"/>
          <w:szCs w:val="32"/>
        </w:rPr>
        <w:t>辆，其中：其他用车</w:t>
      </w:r>
      <w:r>
        <w:rPr>
          <w:rFonts w:hint="eastAsia" w:ascii="仿宋" w:hAnsi="仿宋" w:eastAsia="仿宋" w:cs="仿宋"/>
          <w:kern w:val="0"/>
          <w:sz w:val="32"/>
          <w:szCs w:val="32"/>
          <w:lang w:val="en-US" w:eastAsia="zh-CN"/>
        </w:rPr>
        <w:t>13</w:t>
      </w:r>
      <w:r>
        <w:rPr>
          <w:rFonts w:hint="eastAsia" w:ascii="仿宋" w:hAnsi="仿宋" w:eastAsia="仿宋" w:cs="仿宋"/>
          <w:kern w:val="0"/>
          <w:sz w:val="32"/>
          <w:szCs w:val="32"/>
        </w:rPr>
        <w:t>辆。单价50万元以上的通用设备0台（套），单价100万元以上的专用设备0台（套）。</w:t>
      </w:r>
    </w:p>
    <w:p w14:paraId="4FA72A79">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2025年</w:t>
      </w:r>
      <w:r>
        <w:rPr>
          <w:rFonts w:hint="eastAsia" w:ascii="仿宋" w:hAnsi="仿宋" w:eastAsia="仿宋" w:cs="仿宋"/>
          <w:kern w:val="0"/>
          <w:sz w:val="32"/>
          <w:szCs w:val="32"/>
          <w:lang w:eastAsia="zh-CN"/>
        </w:rPr>
        <w:t>单位</w:t>
      </w:r>
      <w:r>
        <w:rPr>
          <w:rFonts w:hint="eastAsia" w:ascii="仿宋" w:hAnsi="仿宋" w:eastAsia="仿宋" w:cs="仿宋"/>
          <w:kern w:val="0"/>
          <w:sz w:val="32"/>
          <w:szCs w:val="32"/>
        </w:rPr>
        <w:t>预算安排购置公务用车0辆，购置费0万元，安排购置单价50万元以上的通用设备0台（套），购置费0万元；安排购置单价100万元以上专用设备0台（套），购置费0万元。</w:t>
      </w:r>
    </w:p>
    <w:p w14:paraId="27C55377">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 w:hAnsi="仿宋" w:eastAsia="仿宋" w:cs="仿宋"/>
          <w:b/>
          <w:sz w:val="32"/>
          <w:szCs w:val="32"/>
        </w:rPr>
      </w:pPr>
      <w:r>
        <w:rPr>
          <w:rFonts w:hint="eastAsia" w:ascii="仿宋" w:hAnsi="仿宋" w:eastAsia="仿宋" w:cs="仿宋"/>
          <w:b/>
          <w:sz w:val="32"/>
          <w:szCs w:val="32"/>
        </w:rPr>
        <w:t>（五）绩效目标设置情况。</w:t>
      </w:r>
    </w:p>
    <w:p w14:paraId="49736B63">
      <w:pPr>
        <w:keepNext w:val="0"/>
        <w:keepLines w:val="0"/>
        <w:pageBreakBefore w:val="0"/>
        <w:widowControl w:val="0"/>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kern w:val="0"/>
          <w:sz w:val="32"/>
          <w:szCs w:val="32"/>
        </w:rPr>
      </w:pPr>
      <w:r>
        <w:rPr>
          <w:rFonts w:hint="eastAsia" w:ascii="仿宋" w:hAnsi="仿宋" w:eastAsia="仿宋" w:cs="仿宋"/>
          <w:kern w:val="0"/>
          <w:sz w:val="32"/>
          <w:szCs w:val="32"/>
        </w:rPr>
        <w:t>2025年，</w:t>
      </w:r>
      <w:r>
        <w:rPr>
          <w:rFonts w:hint="eastAsia" w:ascii="仿宋" w:hAnsi="仿宋" w:eastAsia="仿宋" w:cs="仿宋"/>
          <w:kern w:val="0"/>
          <w:sz w:val="32"/>
          <w:szCs w:val="32"/>
          <w:lang w:eastAsia="zh-CN"/>
        </w:rPr>
        <w:t>濉溪县生态环境保护综合行政执法大队</w:t>
      </w:r>
      <w:r>
        <w:rPr>
          <w:rFonts w:hint="eastAsia" w:ascii="仿宋" w:hAnsi="仿宋" w:eastAsia="仿宋" w:cs="仿宋"/>
          <w:kern w:val="0"/>
          <w:sz w:val="32"/>
          <w:szCs w:val="32"/>
          <w:lang w:val="en-US" w:eastAsia="zh-CN"/>
        </w:rPr>
        <w:t>1</w:t>
      </w:r>
      <w:r>
        <w:rPr>
          <w:rFonts w:hint="eastAsia" w:ascii="仿宋" w:hAnsi="仿宋" w:eastAsia="仿宋" w:cs="仿宋"/>
          <w:kern w:val="0"/>
          <w:sz w:val="32"/>
          <w:szCs w:val="32"/>
        </w:rPr>
        <w:t>个项目实行了绩效目标管理，涉及一般公共预算当年财政拨款</w:t>
      </w:r>
      <w:r>
        <w:rPr>
          <w:rFonts w:hint="eastAsia" w:ascii="仿宋" w:hAnsi="仿宋" w:eastAsia="仿宋" w:cs="仿宋"/>
          <w:kern w:val="0"/>
          <w:sz w:val="32"/>
          <w:szCs w:val="32"/>
          <w:lang w:eastAsia="zh-CN"/>
        </w:rPr>
        <w:t>102万元</w:t>
      </w:r>
      <w:r>
        <w:rPr>
          <w:rFonts w:hint="eastAsia" w:ascii="仿宋" w:hAnsi="仿宋" w:eastAsia="仿宋" w:cs="仿宋"/>
          <w:kern w:val="0"/>
          <w:sz w:val="32"/>
          <w:szCs w:val="32"/>
        </w:rPr>
        <w:t>、政府性基金预算当年财政拨款0万元、财政专户管理资金当年安排0万元。</w:t>
      </w:r>
    </w:p>
    <w:p w14:paraId="7B029F5D">
      <w:pPr>
        <w:pStyle w:val="6"/>
        <w:adjustRightInd w:val="0"/>
        <w:snapToGrid w:val="0"/>
        <w:spacing w:line="560" w:lineRule="exact"/>
        <w:jc w:val="center"/>
        <w:rPr>
          <w:rFonts w:ascii="TimesNewRoman" w:hAnsi="TimesNewRoman" w:eastAsia="黑体" w:cs="TimesNewRoman"/>
          <w:bCs/>
          <w:sz w:val="36"/>
          <w:szCs w:val="36"/>
        </w:rPr>
      </w:pPr>
    </w:p>
    <w:p w14:paraId="0E6836FA">
      <w:pPr>
        <w:pStyle w:val="6"/>
        <w:adjustRightInd w:val="0"/>
        <w:snapToGrid w:val="0"/>
        <w:spacing w:line="560" w:lineRule="exact"/>
        <w:jc w:val="center"/>
        <w:rPr>
          <w:rFonts w:ascii="TimesNewRoman" w:hAnsi="TimesNewRoman" w:eastAsia="黑体" w:cs="TimesNewRoman"/>
          <w:bCs/>
          <w:sz w:val="36"/>
          <w:szCs w:val="36"/>
        </w:rPr>
      </w:pPr>
      <w:r>
        <w:rPr>
          <w:rFonts w:hint="eastAsia" w:ascii="TimesNewRoman" w:hAnsi="TimesNewRoman" w:eastAsia="黑体" w:cs="TimesNewRoman"/>
          <w:bCs/>
          <w:sz w:val="36"/>
          <w:szCs w:val="36"/>
        </w:rPr>
        <w:t>第四部分 名词解释</w:t>
      </w:r>
    </w:p>
    <w:p w14:paraId="75EE8B07"/>
    <w:p w14:paraId="622E34AB">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一、财政拨款收入：</w:t>
      </w:r>
      <w:r>
        <w:rPr>
          <w:rFonts w:hint="eastAsia" w:ascii="仿宋" w:hAnsi="仿宋" w:eastAsia="仿宋" w:cs="仿宋"/>
          <w:sz w:val="32"/>
          <w:szCs w:val="32"/>
        </w:rPr>
        <w:t>指部门或单位从同级财政部门取得的财政预算资金。</w:t>
      </w:r>
    </w:p>
    <w:p w14:paraId="36F34939">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二、事业收入：</w:t>
      </w:r>
      <w:r>
        <w:rPr>
          <w:rFonts w:hint="eastAsia" w:ascii="仿宋" w:hAnsi="仿宋" w:eastAsia="仿宋" w:cs="仿宋"/>
          <w:sz w:val="32"/>
          <w:szCs w:val="32"/>
        </w:rPr>
        <w:t>指事业单位开展专业业务活动及辅助活动所取得的收入。</w:t>
      </w:r>
    </w:p>
    <w:p w14:paraId="5EB26762">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三、财政专户管理资金：</w:t>
      </w:r>
      <w:r>
        <w:rPr>
          <w:rFonts w:hint="eastAsia" w:ascii="仿宋" w:hAnsi="仿宋" w:eastAsia="仿宋" w:cs="仿宋"/>
          <w:sz w:val="32"/>
          <w:szCs w:val="32"/>
        </w:rPr>
        <w:t>指按照非税收入管理相关规定，纳入财政专户管理的教育收费等。</w:t>
      </w:r>
    </w:p>
    <w:p w14:paraId="5455AD0F">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四、事业单位经营收入：</w:t>
      </w:r>
      <w:r>
        <w:rPr>
          <w:rFonts w:hint="eastAsia" w:ascii="仿宋" w:hAnsi="仿宋" w:eastAsia="仿宋" w:cs="仿宋"/>
          <w:sz w:val="32"/>
          <w:szCs w:val="32"/>
        </w:rPr>
        <w:t>指事业单位在专业业务活动及其辅助活动之外开展非独立核算经营活动取得的收入。</w:t>
      </w:r>
    </w:p>
    <w:p w14:paraId="00A693FE">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五、附属单位上缴收入：</w:t>
      </w:r>
      <w:r>
        <w:rPr>
          <w:rFonts w:hint="eastAsia" w:ascii="仿宋" w:hAnsi="仿宋" w:eastAsia="仿宋" w:cs="仿宋"/>
          <w:sz w:val="32"/>
          <w:szCs w:val="32"/>
        </w:rPr>
        <w:t>本单位所属下级单位上缴给本单位的全部收入。</w:t>
      </w:r>
    </w:p>
    <w:p w14:paraId="3ED26DAC">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六、上年结转：</w:t>
      </w:r>
      <w:r>
        <w:rPr>
          <w:rFonts w:hint="eastAsia" w:ascii="仿宋" w:hAnsi="仿宋" w:eastAsia="仿宋" w:cs="仿宋"/>
          <w:sz w:val="32"/>
          <w:szCs w:val="32"/>
        </w:rPr>
        <w:t>指以前年度安排、结转到本年仍按原用途继续使用的资金。</w:t>
      </w:r>
    </w:p>
    <w:p w14:paraId="0DE651CC">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七、结转下年：</w:t>
      </w:r>
      <w:r>
        <w:rPr>
          <w:rFonts w:hint="eastAsia" w:ascii="仿宋" w:hAnsi="仿宋" w:eastAsia="仿宋" w:cs="仿宋"/>
          <w:sz w:val="32"/>
          <w:szCs w:val="32"/>
        </w:rPr>
        <w:t>指以前年度预算安排、因客观条件发生变化无法按原计划实施，需以后年度按原用途继续使用的资金。</w:t>
      </w:r>
    </w:p>
    <w:p w14:paraId="3EBAB3DA">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八、基本支出：</w:t>
      </w:r>
      <w:r>
        <w:rPr>
          <w:rFonts w:hint="eastAsia" w:ascii="仿宋" w:hAnsi="仿宋" w:eastAsia="仿宋" w:cs="仿宋"/>
          <w:sz w:val="32"/>
          <w:szCs w:val="32"/>
        </w:rPr>
        <w:t>指为保障机构正常运转、完成日常工作任务而发生的人员支出和公用支出。</w:t>
      </w:r>
    </w:p>
    <w:p w14:paraId="1A325B9B">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九、项目支出：</w:t>
      </w:r>
      <w:r>
        <w:rPr>
          <w:rFonts w:hint="eastAsia" w:ascii="仿宋" w:hAnsi="仿宋" w:eastAsia="仿宋" w:cs="仿宋"/>
          <w:sz w:val="32"/>
          <w:szCs w:val="32"/>
        </w:rPr>
        <w:t>指在除基本支出之外的支出，主要用于完成特定的工作任务和事业发展目标。</w:t>
      </w:r>
    </w:p>
    <w:p w14:paraId="33A719F9">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60" w:lineRule="exact"/>
        <w:ind w:firstLine="643" w:firstLineChars="200"/>
        <w:textAlignment w:val="auto"/>
        <w:rPr>
          <w:rFonts w:hint="eastAsia" w:ascii="仿宋" w:hAnsi="仿宋" w:eastAsia="仿宋" w:cs="仿宋"/>
          <w:sz w:val="32"/>
          <w:szCs w:val="32"/>
        </w:rPr>
      </w:pPr>
      <w:r>
        <w:rPr>
          <w:rFonts w:hint="eastAsia" w:ascii="仿宋" w:hAnsi="仿宋" w:eastAsia="仿宋" w:cs="仿宋"/>
          <w:b/>
          <w:sz w:val="32"/>
          <w:szCs w:val="32"/>
        </w:rPr>
        <w:t xml:space="preserve">十、机关运行经费: </w:t>
      </w:r>
      <w:r>
        <w:rPr>
          <w:rFonts w:hint="eastAsia" w:ascii="仿宋" w:hAnsi="仿宋" w:eastAsia="仿宋" w:cs="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sectPr>
      <w:pgSz w:w="11906" w:h="16838"/>
      <w:pgMar w:top="1304" w:right="1134" w:bottom="1304" w:left="124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3"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imesNewRoman">
    <w:altName w:val="Segoe Print"/>
    <w:panose1 w:val="00000000000000000000"/>
    <w:charset w:val="00"/>
    <w:family w:val="auto"/>
    <w:pitch w:val="default"/>
    <w:sig w:usb0="00000000" w:usb1="00000000" w:usb2="00000029" w:usb3="00000000" w:csb0="600001FF" w:csb1="FFFF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rsids>
    <w:rsidRoot w:val="00E907C4"/>
    <w:rsid w:val="000E28EE"/>
    <w:rsid w:val="00267E33"/>
    <w:rsid w:val="004A4DC6"/>
    <w:rsid w:val="0057562B"/>
    <w:rsid w:val="006546AF"/>
    <w:rsid w:val="00726D96"/>
    <w:rsid w:val="00740B10"/>
    <w:rsid w:val="008F6D1A"/>
    <w:rsid w:val="009168AC"/>
    <w:rsid w:val="009A3CA3"/>
    <w:rsid w:val="00AE3242"/>
    <w:rsid w:val="00B964EC"/>
    <w:rsid w:val="00BD640A"/>
    <w:rsid w:val="00DB2A5C"/>
    <w:rsid w:val="00E907C4"/>
    <w:rsid w:val="00EC7755"/>
    <w:rsid w:val="00F45ECB"/>
    <w:rsid w:val="00F974AD"/>
    <w:rsid w:val="019C0B51"/>
    <w:rsid w:val="01A87AFF"/>
    <w:rsid w:val="01F86CD9"/>
    <w:rsid w:val="023D66A4"/>
    <w:rsid w:val="025739FF"/>
    <w:rsid w:val="02DD41B1"/>
    <w:rsid w:val="044C6E68"/>
    <w:rsid w:val="04C866EB"/>
    <w:rsid w:val="05BE5B43"/>
    <w:rsid w:val="05D22BD7"/>
    <w:rsid w:val="069114AA"/>
    <w:rsid w:val="0BF64289"/>
    <w:rsid w:val="0C847C19"/>
    <w:rsid w:val="106F0166"/>
    <w:rsid w:val="110F36F7"/>
    <w:rsid w:val="12A52565"/>
    <w:rsid w:val="161E640E"/>
    <w:rsid w:val="16783AEC"/>
    <w:rsid w:val="17343EB7"/>
    <w:rsid w:val="18584AAF"/>
    <w:rsid w:val="18E6075A"/>
    <w:rsid w:val="19434886"/>
    <w:rsid w:val="1A2212A7"/>
    <w:rsid w:val="1AAB726E"/>
    <w:rsid w:val="1BC20431"/>
    <w:rsid w:val="1C0320AA"/>
    <w:rsid w:val="1D9901E0"/>
    <w:rsid w:val="1DEF0BDF"/>
    <w:rsid w:val="1FB736C0"/>
    <w:rsid w:val="20124E53"/>
    <w:rsid w:val="221C1380"/>
    <w:rsid w:val="223034CD"/>
    <w:rsid w:val="23BD0B35"/>
    <w:rsid w:val="256517BD"/>
    <w:rsid w:val="2657371E"/>
    <w:rsid w:val="268D3834"/>
    <w:rsid w:val="270B59EF"/>
    <w:rsid w:val="29E63B44"/>
    <w:rsid w:val="2C1D0F66"/>
    <w:rsid w:val="2C8B4122"/>
    <w:rsid w:val="2D6D604F"/>
    <w:rsid w:val="2DF9097A"/>
    <w:rsid w:val="2ED55B28"/>
    <w:rsid w:val="31666F0B"/>
    <w:rsid w:val="31C854D0"/>
    <w:rsid w:val="347E456C"/>
    <w:rsid w:val="355F614C"/>
    <w:rsid w:val="38431B9C"/>
    <w:rsid w:val="38827460"/>
    <w:rsid w:val="3B5878C5"/>
    <w:rsid w:val="3C1C4D96"/>
    <w:rsid w:val="3C710B37"/>
    <w:rsid w:val="435816D4"/>
    <w:rsid w:val="475F0627"/>
    <w:rsid w:val="488351EA"/>
    <w:rsid w:val="48D83DF3"/>
    <w:rsid w:val="492F08E2"/>
    <w:rsid w:val="4A273284"/>
    <w:rsid w:val="4AA2290B"/>
    <w:rsid w:val="4AF34F14"/>
    <w:rsid w:val="4B6B08DB"/>
    <w:rsid w:val="4C467F77"/>
    <w:rsid w:val="51F81238"/>
    <w:rsid w:val="5422686A"/>
    <w:rsid w:val="5A47702B"/>
    <w:rsid w:val="5B7C4AB2"/>
    <w:rsid w:val="5E19304C"/>
    <w:rsid w:val="5F722313"/>
    <w:rsid w:val="602D6CC3"/>
    <w:rsid w:val="635244A2"/>
    <w:rsid w:val="64A92D88"/>
    <w:rsid w:val="65BE4D8B"/>
    <w:rsid w:val="6764121C"/>
    <w:rsid w:val="68AF64C7"/>
    <w:rsid w:val="68B735CD"/>
    <w:rsid w:val="69407A67"/>
    <w:rsid w:val="6A48145B"/>
    <w:rsid w:val="6CDA5ADC"/>
    <w:rsid w:val="6E107CFE"/>
    <w:rsid w:val="710E63F5"/>
    <w:rsid w:val="713C7BF2"/>
    <w:rsid w:val="724F2AC9"/>
    <w:rsid w:val="74A92964"/>
    <w:rsid w:val="75CA5166"/>
    <w:rsid w:val="767E397C"/>
    <w:rsid w:val="76BE0F66"/>
    <w:rsid w:val="77AB6B31"/>
    <w:rsid w:val="77E85551"/>
    <w:rsid w:val="783562BD"/>
    <w:rsid w:val="792D4138"/>
    <w:rsid w:val="79E24222"/>
    <w:rsid w:val="7B3F192C"/>
    <w:rsid w:val="7CD937C7"/>
    <w:rsid w:val="7D4D1120"/>
    <w:rsid w:val="7F9878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0"/>
    <w:rPr>
      <w:rFonts w:hAnsi="Courier New"/>
    </w:rPr>
  </w:style>
  <w:style w:type="paragraph" w:styleId="3">
    <w:name w:val="Body Text Indent 2"/>
    <w:basedOn w:val="1"/>
    <w:next w:val="1"/>
    <w:qFormat/>
    <w:uiPriority w:val="99"/>
    <w:pPr>
      <w:spacing w:after="120" w:line="480" w:lineRule="auto"/>
      <w:ind w:left="420" w:leftChars="200"/>
    </w:pPr>
    <w:rPr>
      <w:rFonts w:ascii="Calibri" w:hAnsi="Calibri" w:eastAsia="宋体" w:cs="Times New Roman"/>
      <w:szCs w:val="24"/>
    </w:rPr>
  </w:style>
  <w:style w:type="paragraph" w:styleId="4">
    <w:name w:val="footer"/>
    <w:basedOn w:val="1"/>
    <w:link w:val="10"/>
    <w:semiHidden/>
    <w:unhideWhenUsed/>
    <w:qFormat/>
    <w:uiPriority w:val="99"/>
    <w:pPr>
      <w:tabs>
        <w:tab w:val="center" w:pos="4153"/>
        <w:tab w:val="right" w:pos="8306"/>
      </w:tabs>
      <w:snapToGrid w:val="0"/>
      <w:jc w:val="left"/>
    </w:pPr>
    <w:rPr>
      <w:sz w:val="18"/>
      <w:szCs w:val="18"/>
    </w:rPr>
  </w:style>
  <w:style w:type="paragraph" w:styleId="5">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9">
    <w:name w:val="页眉 Char"/>
    <w:basedOn w:val="8"/>
    <w:link w:val="5"/>
    <w:semiHidden/>
    <w:qFormat/>
    <w:uiPriority w:val="99"/>
    <w:rPr>
      <w:sz w:val="18"/>
      <w:szCs w:val="18"/>
    </w:rPr>
  </w:style>
  <w:style w:type="character" w:customStyle="1" w:styleId="10">
    <w:name w:val="页脚 Char"/>
    <w:basedOn w:val="8"/>
    <w:link w:val="4"/>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5192</Words>
  <Characters>5800</Characters>
  <Lines>46</Lines>
  <Paragraphs>13</Paragraphs>
  <TotalTime>0</TotalTime>
  <ScaleCrop>false</ScaleCrop>
  <LinksUpToDate>false</LinksUpToDate>
  <CharactersWithSpaces>5941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2023-01-30T01:51:00Z</dcterms:created>
  <dc:creator>lenovo</dc:creator>
  <cp:lastModifiedBy>周超</cp:lastModifiedBy>
  <dcterms:modified xsi:type="dcterms:W3CDTF">2025-02-21T02:44:21Z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eyJoZGlkIjoiYzJlZjYxZTViMzA4YmMyYTFlNjczZWIyMTgxZGVkNmIifQ==</vt:lpwstr>
  </property>
  <property fmtid="{D5CDD505-2E9C-101B-9397-08002B2CF9AE}" pid="3" name="KSOProductBuildVer">
    <vt:lpwstr>2052-12.1.0.19302</vt:lpwstr>
  </property>
  <property fmtid="{D5CDD505-2E9C-101B-9397-08002B2CF9AE}" pid="4" name="ICV">
    <vt:lpwstr>95632D49CA804573A93A2BB126BCF6A5_12</vt:lpwstr>
  </property>
</Properties>
</file>