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b/>
          <w:sz w:val="40"/>
        </w:rPr>
      </w:pPr>
    </w:p>
    <w:p>
      <w:pPr>
        <w:ind w:firstLine="0" w:firstLineChars="0"/>
        <w:jc w:val="center"/>
        <w:rPr>
          <w:rFonts w:hint="eastAsia"/>
          <w:b/>
          <w:sz w:val="40"/>
        </w:rPr>
      </w:pPr>
    </w:p>
    <w:p>
      <w:pPr>
        <w:ind w:firstLine="0" w:firstLineChars="0"/>
        <w:jc w:val="center"/>
        <w:rPr>
          <w:rFonts w:hint="eastAsia"/>
          <w:b/>
          <w:sz w:val="40"/>
        </w:rPr>
      </w:pPr>
    </w:p>
    <w:p>
      <w:pPr>
        <w:ind w:firstLine="0" w:firstLineChars="0"/>
        <w:jc w:val="center"/>
        <w:rPr>
          <w:rFonts w:hint="eastAsia"/>
          <w:b/>
          <w:sz w:val="52"/>
          <w:szCs w:val="52"/>
          <w:lang w:val="en-US" w:eastAsia="zh-CN"/>
        </w:rPr>
      </w:pPr>
      <w:r>
        <w:rPr>
          <w:rFonts w:hint="eastAsia"/>
          <w:b/>
          <w:sz w:val="52"/>
          <w:szCs w:val="52"/>
        </w:rPr>
        <w:t>安徽</w:t>
      </w:r>
      <w:r>
        <w:rPr>
          <w:rFonts w:hint="eastAsia"/>
          <w:b/>
          <w:sz w:val="52"/>
          <w:szCs w:val="52"/>
          <w:lang w:val="en-US" w:eastAsia="zh-CN"/>
        </w:rPr>
        <w:t>淮北杜经济开发区环境影响</w:t>
      </w:r>
    </w:p>
    <w:p>
      <w:pPr>
        <w:ind w:firstLine="0" w:firstLineChars="0"/>
        <w:jc w:val="center"/>
        <w:rPr>
          <w:rFonts w:hint="eastAsia"/>
          <w:b/>
          <w:sz w:val="52"/>
          <w:szCs w:val="52"/>
          <w:lang w:val="en-US" w:eastAsia="zh-CN"/>
        </w:rPr>
      </w:pPr>
      <w:r>
        <w:rPr>
          <w:rFonts w:hint="eastAsia"/>
          <w:b/>
          <w:sz w:val="52"/>
          <w:szCs w:val="52"/>
          <w:lang w:val="en-US" w:eastAsia="zh-CN"/>
        </w:rPr>
        <w:t>区域评估报告</w:t>
      </w:r>
    </w:p>
    <w:p>
      <w:pPr>
        <w:ind w:firstLine="482"/>
        <w:rPr>
          <w:b/>
        </w:rPr>
      </w:pPr>
    </w:p>
    <w:p>
      <w:pPr>
        <w:ind w:firstLine="482"/>
        <w:rPr>
          <w:b/>
        </w:rPr>
      </w:pPr>
    </w:p>
    <w:p>
      <w:pPr>
        <w:ind w:firstLine="482"/>
        <w:rPr>
          <w:b/>
        </w:rPr>
      </w:pPr>
    </w:p>
    <w:p>
      <w:pPr>
        <w:ind w:firstLine="482"/>
        <w:rPr>
          <w:b/>
        </w:rPr>
      </w:pPr>
    </w:p>
    <w:p>
      <w:pPr>
        <w:ind w:firstLine="482"/>
        <w:rPr>
          <w:b/>
        </w:rPr>
      </w:pPr>
    </w:p>
    <w:p>
      <w:pPr>
        <w:ind w:firstLine="482"/>
        <w:rPr>
          <w:b/>
        </w:rPr>
      </w:pPr>
    </w:p>
    <w:p>
      <w:pPr>
        <w:ind w:firstLine="482"/>
        <w:rPr>
          <w:b/>
        </w:rPr>
      </w:pPr>
    </w:p>
    <w:p>
      <w:pPr>
        <w:ind w:firstLine="482"/>
        <w:rPr>
          <w:b/>
        </w:rPr>
      </w:pPr>
    </w:p>
    <w:p>
      <w:pPr>
        <w:ind w:firstLine="482"/>
        <w:rPr>
          <w:b/>
        </w:rPr>
      </w:pPr>
    </w:p>
    <w:p>
      <w:pPr>
        <w:ind w:firstLine="482"/>
        <w:rPr>
          <w:b/>
        </w:rPr>
      </w:pPr>
    </w:p>
    <w:p>
      <w:pPr>
        <w:ind w:firstLine="482"/>
        <w:rPr>
          <w:b/>
        </w:rPr>
      </w:pPr>
    </w:p>
    <w:p>
      <w:pPr>
        <w:ind w:firstLine="482"/>
        <w:rPr>
          <w:b/>
        </w:rPr>
      </w:pPr>
    </w:p>
    <w:p>
      <w:pPr>
        <w:ind w:firstLine="482"/>
        <w:rPr>
          <w:b/>
        </w:rPr>
      </w:pPr>
    </w:p>
    <w:p>
      <w:pPr>
        <w:rPr>
          <w:b/>
        </w:rPr>
      </w:pPr>
      <w:r>
        <w:rPr>
          <w:b/>
        </w:rPr>
        <w:br w:type="page"/>
      </w:r>
    </w:p>
    <w:p>
      <w:pPr>
        <w:pStyle w:val="2"/>
      </w:pPr>
    </w:p>
    <w:p>
      <w:pPr>
        <w:ind w:firstLine="643"/>
        <w:jc w:val="left"/>
        <w:rPr>
          <w:rFonts w:hint="eastAsia"/>
          <w:b w:val="0"/>
          <w:bCs/>
          <w:sz w:val="32"/>
          <w:lang w:val="en-US" w:eastAsia="zh-CN"/>
        </w:rPr>
      </w:pPr>
      <w:r>
        <w:rPr>
          <w:rFonts w:hint="eastAsia"/>
          <w:b w:val="0"/>
          <w:bCs/>
          <w:sz w:val="32"/>
          <w:lang w:val="en-US" w:eastAsia="zh-CN"/>
        </w:rPr>
        <w:t>节选自《安徽淮北杜集经济开发区总体发展规划环境影响跟踪评价报告书》</w:t>
      </w:r>
    </w:p>
    <w:p>
      <w:pPr>
        <w:ind w:firstLine="643"/>
        <w:jc w:val="left"/>
        <w:rPr>
          <w:b w:val="0"/>
          <w:bCs/>
          <w:sz w:val="32"/>
        </w:rPr>
      </w:pPr>
      <w:r>
        <w:rPr>
          <w:rFonts w:hint="eastAsia"/>
          <w:b w:val="0"/>
          <w:bCs/>
          <w:sz w:val="32"/>
          <w:lang w:val="en-US" w:eastAsia="zh-CN"/>
        </w:rPr>
        <w:t>主体</w:t>
      </w:r>
      <w:r>
        <w:rPr>
          <w:b w:val="0"/>
          <w:bCs/>
          <w:sz w:val="32"/>
        </w:rPr>
        <w:t>单位：</w:t>
      </w:r>
      <w:r>
        <w:rPr>
          <w:rFonts w:hint="eastAsia"/>
          <w:b w:val="0"/>
          <w:bCs/>
          <w:sz w:val="32"/>
          <w:lang w:eastAsia="zh-CN"/>
        </w:rPr>
        <w:t>安徽淮北杜集经济开发区</w:t>
      </w:r>
      <w:r>
        <w:rPr>
          <w:b w:val="0"/>
          <w:bCs/>
          <w:sz w:val="32"/>
        </w:rPr>
        <w:t>管理委员会</w:t>
      </w:r>
    </w:p>
    <w:p>
      <w:pPr>
        <w:ind w:firstLine="643"/>
        <w:jc w:val="left"/>
        <w:rPr>
          <w:b w:val="0"/>
          <w:bCs/>
          <w:sz w:val="32"/>
        </w:rPr>
      </w:pPr>
      <w:r>
        <w:rPr>
          <w:b w:val="0"/>
          <w:bCs/>
          <w:sz w:val="32"/>
        </w:rPr>
        <w:t>编制单位：安徽睿晟环境科技有限公司</w:t>
      </w:r>
    </w:p>
    <w:p>
      <w:pPr>
        <w:pStyle w:val="2"/>
        <w:rPr>
          <w:rFonts w:hint="default" w:eastAsiaTheme="minorEastAsia"/>
          <w:lang w:val="en-US" w:eastAsia="zh-CN"/>
        </w:rPr>
      </w:pPr>
      <w:r>
        <w:rPr>
          <w:rFonts w:hint="eastAsia"/>
          <w:b w:val="0"/>
          <w:bCs/>
          <w:sz w:val="32"/>
          <w:lang w:val="en-US" w:eastAsia="zh-CN"/>
        </w:rPr>
        <w:t>审查单位：淮北市生态环境局</w:t>
      </w:r>
    </w:p>
    <w:p>
      <w:pPr>
        <w:jc w:val="left"/>
        <w:rPr>
          <w:rFonts w:hint="eastAsia" w:ascii="仿宋_GB2312"/>
          <w:sz w:val="32"/>
          <w:szCs w:val="32"/>
          <w:lang w:val="en-US" w:eastAsia="zh-CN"/>
        </w:rPr>
      </w:pPr>
      <w:r>
        <w:rPr>
          <w:rFonts w:hint="eastAsia"/>
          <w:b w:val="0"/>
          <w:bCs/>
          <w:sz w:val="32"/>
          <w:lang w:val="en-US" w:eastAsia="zh-CN"/>
        </w:rPr>
        <w:t>批复文号：淮环函</w:t>
      </w:r>
      <w:r>
        <w:rPr>
          <w:rFonts w:hint="eastAsia" w:ascii="仿宋_GB2312" w:hAnsi="仿宋_GB2312" w:eastAsia="仿宋_GB2312" w:cs="仿宋_GB2312"/>
          <w:sz w:val="32"/>
          <w:szCs w:val="32"/>
          <w:lang w:val="en-US" w:eastAsia="zh-CN"/>
        </w:rPr>
        <w:t>〔</w:t>
      </w:r>
      <w:r>
        <w:rPr>
          <w:rFonts w:hint="eastAsia" w:ascii="仿宋_GB2312"/>
          <w:sz w:val="32"/>
          <w:szCs w:val="32"/>
          <w:lang w:val="en-US" w:eastAsia="zh-CN"/>
        </w:rPr>
        <w:t>2020</w:t>
      </w:r>
      <w:r>
        <w:rPr>
          <w:rFonts w:hint="eastAsia" w:ascii="仿宋_GB2312" w:hAnsi="仿宋_GB2312" w:eastAsia="仿宋_GB2312" w:cs="仿宋_GB2312"/>
          <w:sz w:val="32"/>
          <w:szCs w:val="32"/>
          <w:lang w:val="en-US" w:eastAsia="zh-CN"/>
        </w:rPr>
        <w:t>〕</w:t>
      </w:r>
      <w:r>
        <w:rPr>
          <w:rFonts w:hint="eastAsia" w:ascii="仿宋_GB2312"/>
          <w:sz w:val="32"/>
          <w:szCs w:val="32"/>
          <w:lang w:val="en-US" w:eastAsia="zh-CN"/>
        </w:rPr>
        <w:t>174号</w:t>
      </w:r>
    </w:p>
    <w:p>
      <w:pPr>
        <w:pStyle w:val="2"/>
        <w:rPr>
          <w:rFonts w:hint="default"/>
          <w:lang w:val="en-US"/>
        </w:rPr>
      </w:pPr>
      <w:r>
        <w:rPr>
          <w:rFonts w:hint="eastAsia" w:ascii="仿宋_GB2312"/>
          <w:sz w:val="32"/>
          <w:szCs w:val="32"/>
          <w:lang w:val="en-US" w:eastAsia="zh-CN"/>
        </w:rPr>
        <w:t>批复日期：2020年6月25日</w:t>
      </w:r>
    </w:p>
    <w:p>
      <w:pPr>
        <w:jc w:val="center"/>
      </w:pPr>
      <w:r>
        <w:br w:type="page"/>
      </w:r>
    </w:p>
    <w:p>
      <w:pPr>
        <w:jc w:val="center"/>
        <w:rPr>
          <w:rFonts w:hint="eastAsia"/>
          <w:sz w:val="36"/>
          <w:szCs w:val="36"/>
          <w:lang w:eastAsia="zh-CN"/>
        </w:rPr>
      </w:pPr>
    </w:p>
    <w:p>
      <w:pPr>
        <w:ind w:left="0" w:leftChars="0" w:firstLine="0" w:firstLineChars="0"/>
        <w:jc w:val="center"/>
        <w:rPr>
          <w:rFonts w:hint="eastAsia"/>
          <w:sz w:val="36"/>
          <w:szCs w:val="36"/>
          <w:lang w:val="en-US" w:eastAsia="zh-CN"/>
        </w:rPr>
      </w:pPr>
      <w:r>
        <w:rPr>
          <w:rFonts w:hint="eastAsia"/>
          <w:sz w:val="36"/>
          <w:szCs w:val="36"/>
          <w:lang w:eastAsia="zh-CN"/>
        </w:rPr>
        <w:t>目</w:t>
      </w:r>
      <w:r>
        <w:rPr>
          <w:rFonts w:hint="eastAsia"/>
          <w:sz w:val="36"/>
          <w:szCs w:val="36"/>
          <w:lang w:val="en-US" w:eastAsia="zh-CN"/>
        </w:rPr>
        <w:t xml:space="preserve">  录</w:t>
      </w:r>
    </w:p>
    <w:p>
      <w:pPr>
        <w:pStyle w:val="2"/>
        <w:rPr>
          <w:rFonts w:hint="eastAsia"/>
          <w:lang w:val="en-US" w:eastAsia="zh-CN"/>
        </w:rPr>
      </w:pPr>
    </w:p>
    <w:p>
      <w:pPr>
        <w:pStyle w:val="2"/>
        <w:rPr>
          <w:rFonts w:hint="eastAsia"/>
          <w:lang w:val="en-US" w:eastAsia="zh-CN"/>
        </w:rPr>
      </w:pPr>
    </w:p>
    <w:p>
      <w:pPr>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1开发区简介（包括四至与主导产业）………………………4</w:t>
      </w:r>
    </w:p>
    <w:p>
      <w:pPr>
        <w:pStyle w:val="2"/>
        <w:jc w:val="both"/>
        <w:rPr>
          <w:rFonts w:hint="eastAsia" w:asciiTheme="majorEastAsia" w:hAnsiTheme="majorEastAsia" w:eastAsiaTheme="majorEastAsia" w:cstheme="majorEastAsia"/>
          <w:sz w:val="28"/>
          <w:szCs w:val="28"/>
          <w:lang w:val="en-US" w:eastAsia="zh-CN"/>
        </w:rPr>
      </w:pPr>
    </w:p>
    <w:p>
      <w:pPr>
        <w:pStyle w:val="2"/>
        <w:jc w:val="both"/>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kern w:val="2"/>
          <w:sz w:val="28"/>
          <w:szCs w:val="28"/>
          <w:lang w:val="en-US" w:eastAsia="zh-CN" w:bidi="ar-SA"/>
        </w:rPr>
        <w:t>区域环境质量评价标准</w:t>
      </w:r>
      <w:r>
        <w:rPr>
          <w:rFonts w:hint="eastAsia" w:asciiTheme="majorEastAsia" w:hAnsiTheme="majorEastAsia" w:eastAsiaTheme="majorEastAsia" w:cstheme="majorEastAsia"/>
          <w:sz w:val="28"/>
          <w:szCs w:val="28"/>
          <w:lang w:val="en-US" w:eastAsia="zh-CN"/>
        </w:rPr>
        <w:t>………………………………………6</w:t>
      </w:r>
    </w:p>
    <w:p>
      <w:pPr>
        <w:pStyle w:val="2"/>
        <w:jc w:val="both"/>
        <w:rPr>
          <w:rFonts w:hint="eastAsia" w:asciiTheme="majorEastAsia" w:hAnsiTheme="majorEastAsia" w:eastAsiaTheme="majorEastAsia" w:cstheme="majorEastAsia"/>
          <w:sz w:val="28"/>
          <w:szCs w:val="28"/>
          <w:lang w:val="en-US" w:eastAsia="zh-CN"/>
        </w:rPr>
      </w:pPr>
    </w:p>
    <w:p>
      <w:pPr>
        <w:pStyle w:val="2"/>
        <w:jc w:val="both"/>
        <w:rPr>
          <w:rFonts w:hint="default"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3</w:t>
      </w:r>
      <w:r>
        <w:rPr>
          <w:rFonts w:hint="eastAsia" w:asciiTheme="majorEastAsia" w:hAnsiTheme="majorEastAsia" w:eastAsiaTheme="majorEastAsia" w:cstheme="majorEastAsia"/>
          <w:kern w:val="2"/>
          <w:sz w:val="28"/>
          <w:szCs w:val="28"/>
          <w:lang w:val="en-US" w:eastAsia="zh-CN" w:bidi="ar-SA"/>
        </w:rPr>
        <w:t>环境质量跟踪评价</w:t>
      </w:r>
      <w:r>
        <w:rPr>
          <w:rFonts w:hint="eastAsia" w:asciiTheme="majorEastAsia" w:hAnsiTheme="majorEastAsia" w:eastAsiaTheme="majorEastAsia" w:cstheme="majorEastAsia"/>
          <w:sz w:val="28"/>
          <w:szCs w:val="28"/>
          <w:lang w:val="en-US" w:eastAsia="zh-CN"/>
        </w:rPr>
        <w:t>……………………………………………10</w:t>
      </w:r>
    </w:p>
    <w:p>
      <w:pPr>
        <w:pStyle w:val="2"/>
        <w:jc w:val="both"/>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(附监测点位图)</w:t>
      </w:r>
    </w:p>
    <w:p>
      <w:pPr>
        <w:pStyle w:val="2"/>
        <w:jc w:val="both"/>
        <w:rPr>
          <w:rFonts w:hint="eastAsia" w:asciiTheme="majorEastAsia" w:hAnsiTheme="majorEastAsia" w:eastAsiaTheme="majorEastAsia" w:cstheme="majorEastAsia"/>
          <w:sz w:val="28"/>
          <w:szCs w:val="28"/>
          <w:lang w:val="en-US" w:eastAsia="zh-CN"/>
        </w:rPr>
      </w:pPr>
    </w:p>
    <w:p>
      <w:pPr>
        <w:pStyle w:val="2"/>
        <w:jc w:val="both"/>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附件  水、气、声监测报告</w:t>
      </w:r>
    </w:p>
    <w:p>
      <w:pPr>
        <w:pStyle w:val="2"/>
        <w:rPr>
          <w:rFonts w:hint="eastAsia"/>
          <w:lang w:val="en-US" w:eastAsia="zh-CN"/>
        </w:rPr>
      </w:pPr>
      <w:bookmarkStart w:id="7" w:name="_GoBack"/>
      <w:bookmarkEnd w:id="7"/>
    </w:p>
    <w:p>
      <w:pPr>
        <w:pStyle w:val="2"/>
        <w:rPr>
          <w:sz w:val="36"/>
          <w:szCs w:val="36"/>
        </w:rPr>
      </w:pPr>
      <w:r>
        <w:rPr>
          <w:sz w:val="36"/>
          <w:szCs w:val="36"/>
        </w:rPr>
        <w:br w:type="page"/>
      </w:r>
    </w:p>
    <w:p>
      <w:pPr>
        <w:pStyle w:val="2"/>
      </w:pPr>
    </w:p>
    <w:p>
      <w:pPr>
        <w:pStyle w:val="3"/>
        <w:numPr>
          <w:ilvl w:val="0"/>
          <w:numId w:val="0"/>
        </w:numPr>
        <w:tabs>
          <w:tab w:val="clear" w:pos="567"/>
        </w:tabs>
        <w:spacing w:before="156" w:after="156"/>
        <w:jc w:val="center"/>
      </w:pPr>
      <w:bookmarkStart w:id="0" w:name="_Toc3446"/>
      <w:r>
        <w:rPr>
          <w:rFonts w:hint="eastAsia"/>
          <w:lang w:val="en-US" w:eastAsia="zh-CN"/>
        </w:rPr>
        <w:t>1开发区简介</w:t>
      </w:r>
    </w:p>
    <w:p>
      <w:pPr>
        <w:adjustRightInd w:val="0"/>
        <w:snapToGrid w:val="0"/>
        <w:rPr>
          <w:kern w:val="0"/>
          <w:szCs w:val="20"/>
        </w:rPr>
      </w:pPr>
      <w:bookmarkStart w:id="1" w:name="_Hlk2146253"/>
    </w:p>
    <w:p>
      <w:pPr>
        <w:adjustRightInd w:val="0"/>
        <w:snapToGrid w:val="0"/>
        <w:rPr>
          <w:rFonts w:eastAsia="宋体"/>
        </w:rPr>
      </w:pPr>
      <w:r>
        <w:rPr>
          <w:rFonts w:eastAsia="宋体"/>
        </w:rPr>
        <w:t>安徽淮北杜集经济开发区（以下简称“开发区”）位于淮北市城区的北部，其前身是杜集区委、区政府于2004年逐步建设发展的滂汪工业园，初步形成一定规模的矿业装备制造产业。2006年，安徽省人民政府发布的《关于同意筹建安徽淮北杜集经济开发区的批复》（皖政秘[2006]164号）文件中同意筹建安徽淮北杜集经济开发区为省级经济开发区，开发区规划面积9.37平方公里，核准主导产业为矿山装备制造产业。</w:t>
      </w:r>
    </w:p>
    <w:p>
      <w:pPr>
        <w:adjustRightInd w:val="0"/>
        <w:snapToGrid w:val="0"/>
        <w:rPr>
          <w:rFonts w:eastAsia="宋体"/>
        </w:rPr>
      </w:pPr>
      <w:r>
        <w:rPr>
          <w:rFonts w:eastAsia="宋体"/>
        </w:rPr>
        <w:t>2011年11月，原安徽省环境保护厅以《关于安徽淮北杜集经济开发区总体规划环境影响报告书的审查意见》（环评函[2011]1151号）同意杜集经济开发区规划实施，规划面积约为9.37平方公里，主导产业为矿山装备制造等产业，规划年限至2020年。</w:t>
      </w:r>
    </w:p>
    <w:p>
      <w:pPr>
        <w:adjustRightInd w:val="0"/>
        <w:snapToGrid w:val="0"/>
        <w:rPr>
          <w:rFonts w:eastAsia="宋体"/>
        </w:rPr>
      </w:pPr>
      <w:r>
        <w:rPr>
          <w:rFonts w:eastAsia="宋体"/>
        </w:rPr>
        <w:t>2018年2月，《国家开发区审核公告目录》（2018年版）中公布的杜集经济开发区核准面积为8.18平方公里，核准主导产业为矿山装备制造。</w:t>
      </w:r>
    </w:p>
    <w:p>
      <w:pPr>
        <w:adjustRightInd w:val="0"/>
        <w:snapToGrid w:val="0"/>
        <w:rPr>
          <w:rFonts w:eastAsia="宋体"/>
        </w:rPr>
      </w:pPr>
      <w:r>
        <w:rPr>
          <w:rFonts w:eastAsia="宋体"/>
        </w:rPr>
        <w:t>安徽省生态环境厅于2019年8月20日发布《安徽省生态环境厅关于进一步加强省级开发区规划环评及跟踪评价工作的通知》（皖环发</w:t>
      </w:r>
      <w:r>
        <w:rPr>
          <w:rFonts w:hint="eastAsia" w:eastAsia="宋体"/>
        </w:rPr>
        <w:t>[</w:t>
      </w:r>
      <w:r>
        <w:rPr>
          <w:rFonts w:eastAsia="宋体"/>
        </w:rPr>
        <w:t>2019</w:t>
      </w:r>
      <w:r>
        <w:rPr>
          <w:rFonts w:hint="eastAsia" w:eastAsia="宋体"/>
        </w:rPr>
        <w:t>]</w:t>
      </w:r>
      <w:r>
        <w:rPr>
          <w:rFonts w:eastAsia="宋体"/>
        </w:rPr>
        <w:t>74号），要求各市生态环境部门要认真落实属地监管责任，逐个梳理辖区内省级及以上开发区规划环评、跟踪评价落实情况，建立工作台账，督促开发区管理机构落实相关要求，及时开展规划环评、修规环评或跟踪评价。</w:t>
      </w:r>
    </w:p>
    <w:p>
      <w:pPr>
        <w:adjustRightInd w:val="0"/>
        <w:snapToGrid w:val="0"/>
        <w:rPr>
          <w:rFonts w:eastAsia="宋体"/>
        </w:rPr>
      </w:pPr>
      <w:r>
        <w:rPr>
          <w:rFonts w:eastAsia="宋体"/>
        </w:rPr>
        <w:t>2018年7月，安徽省人民政府《关于淮北市省级以上开发区优化整合方案的批复》中同意保留安徽淮北杜集经济开发区，并要求淮北市人民政府加强对开发区优化整合工作的领导，按照积极稳妥、有序推进原则，依法依规做好开发区规划修编、产业定位等工作。</w:t>
      </w:r>
    </w:p>
    <w:p>
      <w:pPr>
        <w:adjustRightInd w:val="0"/>
        <w:snapToGrid w:val="0"/>
        <w:rPr>
          <w:rFonts w:eastAsia="宋体"/>
        </w:rPr>
      </w:pPr>
      <w:r>
        <w:rPr>
          <w:rFonts w:eastAsia="宋体"/>
        </w:rPr>
        <w:t>根据《安徽淮北杜集经济技术开发区总体规划》（2007-2020年）中确定的范围：安徽淮北杜集经济开发区规划近期（至2010年）建设总用地7.04平方公里；远期（至2020年）建设总用地9.37平方公里，远期规划用地范围为：北至淮北市北部市域界线，南至滂汪村下滂汪自然村，西至尖山山脚，东至岱河和萧淮路一线，包括高岳镇的滂汪村，朔里镇的罗里村，朔里镇葛塘村和坡里村的一部分，规范确定的主导产业为矿山装备制造。</w:t>
      </w:r>
    </w:p>
    <w:p>
      <w:pPr>
        <w:adjustRightInd w:val="0"/>
        <w:snapToGrid w:val="0"/>
        <w:rPr>
          <w:rFonts w:eastAsia="宋体"/>
        </w:rPr>
      </w:pPr>
      <w:r>
        <w:rPr>
          <w:rFonts w:eastAsia="宋体"/>
        </w:rPr>
        <w:t>根据《安徽淮北杜集经济技术开发区总体规划》（2007-2020年）、《安徽淮北杜集经济开发</w:t>
      </w:r>
      <w:r>
        <w:rPr>
          <w:rFonts w:hint="eastAsia" w:eastAsia="宋体"/>
        </w:rPr>
        <w:t>区</w:t>
      </w:r>
      <w:r>
        <w:rPr>
          <w:rFonts w:eastAsia="宋体"/>
        </w:rPr>
        <w:t>总体规划环境影响报告书》（以下简称上一轮规划环评）及其审查意见（环评函[2011]1151号），杜集</w:t>
      </w:r>
      <w:r>
        <w:rPr>
          <w:rFonts w:hint="eastAsia" w:eastAsia="宋体"/>
        </w:rPr>
        <w:t>经济</w:t>
      </w:r>
      <w:r>
        <w:rPr>
          <w:rFonts w:eastAsia="宋体"/>
        </w:rPr>
        <w:t>开发区紧邻淮北市城市规划区和宿州萧县，北距徐州市区仅40公里，处在沿淮城镇群与徐州都市圈的结合点上，是淮北市的北部门户，迎接徐州集群并与之对接的排头兵，徐淮南北工业走廊重要的区域节点。杜集经济开发区选择装备制造业及其配套产业为其未来发展的主导产业，以现代物流业作为其有效补充。目前，安徽淮北杜集经济开发区已基本形成一定规模的装备制造及其配套产业集群，基础设施建设、产业发展、环境管理等方面的工作基本按照上一轮规划环评及其审查意见提出的相关要求进行。</w:t>
      </w:r>
    </w:p>
    <w:p>
      <w:pPr>
        <w:adjustRightInd w:val="0"/>
        <w:snapToGrid w:val="0"/>
        <w:rPr>
          <w:rFonts w:eastAsia="宋体"/>
        </w:rPr>
      </w:pPr>
      <w:r>
        <w:rPr>
          <w:rFonts w:eastAsia="宋体"/>
        </w:rPr>
        <w:t>经过多年建设，开发区的经济总量和区域环境均发生了明显的变化，为缓解安徽</w:t>
      </w:r>
      <w:r>
        <w:rPr>
          <w:rFonts w:hint="eastAsia" w:eastAsia="宋体"/>
        </w:rPr>
        <w:t>淮北</w:t>
      </w:r>
      <w:r>
        <w:rPr>
          <w:rFonts w:eastAsia="宋体"/>
        </w:rPr>
        <w:t>杜集经济开发区规划发展与周边环境的矛盾，促进地方经济的可持续发展，根据《中华人民共和国环境影响评价法》、安徽省生态环境厅文件《安徽省生态环境厅关于进一步加强省级开发区规划环评及跟踪评价工作的通知》（皖环发〔2019〕74号），安徽淮北杜集经济开发区管理委员会拟对开发区规划的9.37平方公里的用地范围进行环境影响跟踪评价，通过对开发区发展现状进行调查，对环境问题进行分析，结合区域环境质量目标管理要求，优化开发区产业结构、规模和布局，将生态空间管制作为重要内容，确保生态功能不降低、面积不减少、性质不改变，提出相关对策措施，制定生态环境准入清单，推动开发区环境基础设施建设，有效降低环境风险，提升开发区综合发展水平。</w:t>
      </w:r>
    </w:p>
    <w:p>
      <w:pPr>
        <w:adjustRightInd w:val="0"/>
        <w:snapToGrid w:val="0"/>
        <w:rPr>
          <w:rFonts w:hint="eastAsia" w:eastAsia="宋体"/>
        </w:rPr>
      </w:pPr>
      <w:r>
        <w:rPr>
          <w:rFonts w:hint="eastAsia" w:eastAsia="宋体"/>
        </w:rPr>
        <w:t>根据相关法律法规要求，</w:t>
      </w:r>
      <w:r>
        <w:rPr>
          <w:rFonts w:eastAsia="宋体"/>
        </w:rPr>
        <w:t>安徽淮北杜集经济开发区管理委员会于2020年3月15日委托安徽睿晟环境科技有限公司，以《安徽淮北杜集经济技术开发区总体规划》（2007-2020年）、《安徽淮北杜集经济开发</w:t>
      </w:r>
      <w:r>
        <w:rPr>
          <w:rFonts w:hint="eastAsia" w:eastAsia="宋体"/>
        </w:rPr>
        <w:t>区</w:t>
      </w:r>
      <w:r>
        <w:rPr>
          <w:rFonts w:eastAsia="宋体"/>
        </w:rPr>
        <w:t>总体规划环境影响报告书》（以下简称上一轮规划环评）作为跟踪评价对象，按照国家相关环保法律、法规及有关技术规范，编制完成了《安徽淮北杜集经济开发</w:t>
      </w:r>
      <w:r>
        <w:rPr>
          <w:rFonts w:hint="eastAsia" w:eastAsia="宋体"/>
        </w:rPr>
        <w:t>区</w:t>
      </w:r>
      <w:r>
        <w:rPr>
          <w:rFonts w:eastAsia="宋体"/>
        </w:rPr>
        <w:t>总体规划环境影响跟踪评价报告书》，</w:t>
      </w:r>
      <w:r>
        <w:rPr>
          <w:rFonts w:hint="eastAsia" w:eastAsia="宋体"/>
        </w:rPr>
        <w:t>2020年</w:t>
      </w:r>
      <w:r>
        <w:rPr>
          <w:rFonts w:hint="eastAsia" w:eastAsia="宋体"/>
          <w:lang w:val="en-US" w:eastAsia="zh-CN"/>
        </w:rPr>
        <w:t>6</w:t>
      </w:r>
      <w:r>
        <w:rPr>
          <w:rFonts w:hint="eastAsia" w:eastAsia="宋体"/>
        </w:rPr>
        <w:t>月</w:t>
      </w:r>
      <w:r>
        <w:rPr>
          <w:rFonts w:hint="eastAsia" w:eastAsia="宋体"/>
          <w:lang w:val="en-US" w:eastAsia="zh-CN"/>
        </w:rPr>
        <w:t>25</w:t>
      </w:r>
      <w:r>
        <w:rPr>
          <w:rFonts w:hint="eastAsia" w:eastAsia="宋体"/>
        </w:rPr>
        <w:t>日</w:t>
      </w:r>
      <w:r>
        <w:rPr>
          <w:rFonts w:hint="eastAsia" w:eastAsia="宋体"/>
          <w:lang w:val="en-US" w:eastAsia="zh-CN"/>
        </w:rPr>
        <w:t>淮北市生态环境局出具《</w:t>
      </w:r>
      <w:r>
        <w:rPr>
          <w:rFonts w:eastAsia="宋体"/>
        </w:rPr>
        <w:t>安徽淮北杜集经济开发</w:t>
      </w:r>
      <w:r>
        <w:rPr>
          <w:rFonts w:hint="eastAsia" w:eastAsia="宋体"/>
        </w:rPr>
        <w:t>区总体发展规划</w:t>
      </w:r>
      <w:r>
        <w:rPr>
          <w:rFonts w:hint="eastAsia" w:eastAsia="宋体"/>
          <w:lang w:val="en-US" w:eastAsia="zh-CN"/>
        </w:rPr>
        <w:t>环境影响跟踪评价报告书审查意见的函》（淮环函[2020]174号）</w:t>
      </w:r>
      <w:r>
        <w:rPr>
          <w:rFonts w:hint="eastAsia" w:eastAsia="宋体"/>
        </w:rPr>
        <w:t>。</w:t>
      </w:r>
    </w:p>
    <w:p>
      <w:pPr>
        <w:pStyle w:val="2"/>
        <w:jc w:val="center"/>
        <w:rPr>
          <w:rFonts w:hint="eastAsia" w:ascii="Times New Roman" w:hAnsi="Times New Roman" w:eastAsia="宋体" w:cs="Times New Roman"/>
          <w:b/>
          <w:kern w:val="44"/>
          <w:sz w:val="32"/>
          <w:szCs w:val="30"/>
          <w:lang w:val="en-US" w:eastAsia="zh-CN" w:bidi="ar-SA"/>
        </w:rPr>
      </w:pPr>
      <w:r>
        <w:rPr>
          <w:rFonts w:hint="eastAsia" w:ascii="Times New Roman" w:hAnsi="Times New Roman" w:eastAsia="宋体" w:cs="Times New Roman"/>
          <w:b/>
          <w:kern w:val="44"/>
          <w:sz w:val="32"/>
          <w:szCs w:val="30"/>
          <w:lang w:val="en-US" w:eastAsia="zh-CN" w:bidi="ar-SA"/>
        </w:rPr>
        <w:br w:type="page"/>
      </w:r>
    </w:p>
    <w:p>
      <w:pPr>
        <w:pStyle w:val="2"/>
        <w:jc w:val="center"/>
        <w:rPr>
          <w:rFonts w:hint="eastAsia" w:ascii="Times New Roman" w:hAnsi="Times New Roman" w:eastAsia="宋体" w:cs="Times New Roman"/>
          <w:b/>
          <w:kern w:val="44"/>
          <w:sz w:val="32"/>
          <w:szCs w:val="30"/>
          <w:lang w:val="en-US" w:eastAsia="zh-CN" w:bidi="ar-SA"/>
        </w:rPr>
      </w:pPr>
    </w:p>
    <w:p>
      <w:pPr>
        <w:pStyle w:val="2"/>
        <w:jc w:val="center"/>
        <w:rPr>
          <w:rFonts w:hint="eastAsia" w:ascii="Times New Roman" w:hAnsi="Times New Roman" w:eastAsia="宋体" w:cs="Times New Roman"/>
          <w:b/>
          <w:kern w:val="44"/>
          <w:sz w:val="32"/>
          <w:szCs w:val="30"/>
          <w:lang w:val="en-US" w:eastAsia="zh-CN" w:bidi="ar-SA"/>
        </w:rPr>
      </w:pPr>
      <w:r>
        <w:rPr>
          <w:rFonts w:hint="eastAsia" w:ascii="Times New Roman" w:hAnsi="Times New Roman" w:eastAsia="宋体" w:cs="Times New Roman"/>
          <w:b/>
          <w:kern w:val="44"/>
          <w:sz w:val="32"/>
          <w:szCs w:val="30"/>
          <w:lang w:val="en-US" w:eastAsia="zh-CN" w:bidi="ar-SA"/>
        </w:rPr>
        <w:t>2区域环境质量</w:t>
      </w:r>
      <w:r>
        <w:rPr>
          <w:rFonts w:hint="eastAsia" w:eastAsia="宋体" w:cs="Times New Roman"/>
          <w:b/>
          <w:kern w:val="44"/>
          <w:sz w:val="32"/>
          <w:szCs w:val="30"/>
          <w:lang w:val="en-US" w:eastAsia="zh-CN" w:bidi="ar-SA"/>
        </w:rPr>
        <w:t>评价</w:t>
      </w:r>
      <w:r>
        <w:rPr>
          <w:rFonts w:hint="eastAsia" w:ascii="Times New Roman" w:hAnsi="Times New Roman" w:eastAsia="宋体" w:cs="Times New Roman"/>
          <w:b/>
          <w:kern w:val="44"/>
          <w:sz w:val="32"/>
          <w:szCs w:val="30"/>
          <w:lang w:val="en-US" w:eastAsia="zh-CN" w:bidi="ar-SA"/>
        </w:rPr>
        <w:t>标准</w:t>
      </w:r>
    </w:p>
    <w:p>
      <w:pPr>
        <w:pStyle w:val="2"/>
        <w:jc w:val="center"/>
        <w:rPr>
          <w:rFonts w:hint="eastAsia" w:ascii="Times New Roman" w:hAnsi="Times New Roman" w:eastAsia="宋体" w:cs="Times New Roman"/>
          <w:b/>
          <w:kern w:val="44"/>
          <w:sz w:val="32"/>
          <w:szCs w:val="30"/>
          <w:lang w:val="en-US" w:eastAsia="zh-CN" w:bidi="ar-SA"/>
        </w:rPr>
      </w:pPr>
    </w:p>
    <w:p>
      <w:pPr>
        <w:ind w:firstLine="480"/>
        <w:rPr>
          <w:rFonts w:cs="Times New Roman"/>
          <w:b/>
          <w:bCs/>
        </w:rPr>
      </w:pPr>
      <w:r>
        <w:rPr>
          <w:rFonts w:hint="eastAsia" w:cs="Times New Roman"/>
          <w:b/>
          <w:bCs/>
          <w:lang w:val="en-US" w:eastAsia="zh-CN"/>
        </w:rPr>
        <w:t>2.1、</w:t>
      </w:r>
      <w:r>
        <w:rPr>
          <w:rFonts w:cs="Times New Roman"/>
          <w:b/>
          <w:bCs/>
        </w:rPr>
        <w:t>大气环境质量标准</w:t>
      </w:r>
    </w:p>
    <w:p>
      <w:pPr>
        <w:ind w:firstLine="480"/>
        <w:rPr>
          <w:rFonts w:cs="Times New Roman"/>
        </w:rPr>
      </w:pPr>
      <w:r>
        <w:rPr>
          <w:rFonts w:cs="Times New Roman"/>
        </w:rPr>
        <w:t>项目所在区域环境功能区划类别为二类区，环境空气中污染物SO</w:t>
      </w:r>
      <w:r>
        <w:rPr>
          <w:rFonts w:cs="Times New Roman"/>
          <w:vertAlign w:val="subscript"/>
        </w:rPr>
        <w:t>2</w:t>
      </w:r>
      <w:r>
        <w:rPr>
          <w:rFonts w:cs="Times New Roman"/>
        </w:rPr>
        <w:t>、NO</w:t>
      </w:r>
      <w:r>
        <w:rPr>
          <w:rFonts w:cs="Times New Roman"/>
          <w:vertAlign w:val="subscript"/>
        </w:rPr>
        <w:t>2</w:t>
      </w:r>
      <w:r>
        <w:rPr>
          <w:rFonts w:cs="Times New Roman"/>
        </w:rPr>
        <w:t>、PM</w:t>
      </w:r>
      <w:r>
        <w:rPr>
          <w:rFonts w:cs="Times New Roman"/>
          <w:vertAlign w:val="subscript"/>
        </w:rPr>
        <w:t>10</w:t>
      </w:r>
      <w:r>
        <w:rPr>
          <w:rFonts w:cs="Times New Roman"/>
        </w:rPr>
        <w:t>、PM</w:t>
      </w:r>
      <w:r>
        <w:rPr>
          <w:rFonts w:cs="Times New Roman"/>
          <w:vertAlign w:val="subscript"/>
        </w:rPr>
        <w:t>2.5</w:t>
      </w:r>
      <w:r>
        <w:rPr>
          <w:rFonts w:cs="Times New Roman"/>
        </w:rPr>
        <w:t>、CO、O</w:t>
      </w:r>
      <w:r>
        <w:rPr>
          <w:rFonts w:cs="Times New Roman"/>
          <w:vertAlign w:val="subscript"/>
        </w:rPr>
        <w:t>3</w:t>
      </w:r>
      <w:r>
        <w:rPr>
          <w:rFonts w:cs="Times New Roman"/>
        </w:rPr>
        <w:t>、TSP执行《环境空气质量标准》（GB3095-2012）中的二级标准；苯、甲苯、二甲苯执行《环境影响评价技术导则 大气环境》（HJ2.2-2018）附录D其他污染物空气质量浓度参考限值，非甲烷总烃参照执行《大气污染物综合排放标准详解》中的标准。具体标准值见表</w:t>
      </w:r>
      <w:r>
        <w:rPr>
          <w:rFonts w:hint="eastAsia" w:cs="Times New Roman"/>
          <w:lang w:val="en-US" w:eastAsia="zh-CN"/>
        </w:rPr>
        <w:t>2.</w:t>
      </w:r>
      <w:r>
        <w:rPr>
          <w:rFonts w:cs="Times New Roman"/>
        </w:rPr>
        <w:t>1-1。</w:t>
      </w:r>
    </w:p>
    <w:p>
      <w:pPr>
        <w:spacing w:line="500" w:lineRule="exact"/>
        <w:ind w:firstLine="0" w:firstLineChars="0"/>
        <w:jc w:val="center"/>
        <w:rPr>
          <w:rFonts w:eastAsia="黑体" w:cs="Times New Roman"/>
        </w:rPr>
      </w:pPr>
      <w:r>
        <w:rPr>
          <w:rFonts w:eastAsia="黑体" w:cs="Times New Roman"/>
        </w:rPr>
        <w:t>表</w:t>
      </w:r>
      <w:r>
        <w:rPr>
          <w:rFonts w:hint="eastAsia" w:eastAsia="黑体" w:cs="Times New Roman"/>
          <w:lang w:val="en-US" w:eastAsia="zh-CN"/>
        </w:rPr>
        <w:t>2.</w:t>
      </w:r>
      <w:r>
        <w:rPr>
          <w:rFonts w:eastAsia="黑体" w:cs="Times New Roman"/>
        </w:rPr>
        <w:t>1-1  环境空气质量评价标准</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353"/>
        <w:gridCol w:w="2014"/>
        <w:gridCol w:w="1312"/>
        <w:gridCol w:w="2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restart"/>
            <w:vAlign w:val="center"/>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编号</w:t>
            </w:r>
          </w:p>
        </w:tc>
        <w:tc>
          <w:tcPr>
            <w:tcW w:w="2298" w:type="dxa"/>
            <w:vMerge w:val="restart"/>
            <w:vAlign w:val="center"/>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污染物名称</w:t>
            </w:r>
          </w:p>
        </w:tc>
        <w:tc>
          <w:tcPr>
            <w:tcW w:w="3248" w:type="dxa"/>
            <w:gridSpan w:val="2"/>
            <w:vAlign w:val="center"/>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环境质量标准</w:t>
            </w:r>
          </w:p>
        </w:tc>
        <w:tc>
          <w:tcPr>
            <w:tcW w:w="2802" w:type="dxa"/>
            <w:vMerge w:val="restart"/>
            <w:vAlign w:val="center"/>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采用标准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取值时间</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浓度限值</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w:t>
            </w:r>
          </w:p>
        </w:tc>
        <w:tc>
          <w:tcPr>
            <w:tcW w:w="2298"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r>
              <w:rPr>
                <w:rFonts w:ascii="Times New Roman" w:hAnsi="Times New Roman" w:cs="Times New Roman"/>
                <w:sz w:val="21"/>
              </w:rPr>
              <w:t>（μg/m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500</w:t>
            </w:r>
          </w:p>
        </w:tc>
        <w:tc>
          <w:tcPr>
            <w:tcW w:w="2802"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24小时平均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年平均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w:t>
            </w:r>
          </w:p>
        </w:tc>
        <w:tc>
          <w:tcPr>
            <w:tcW w:w="2298"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NO</w:t>
            </w:r>
            <w:r>
              <w:rPr>
                <w:rFonts w:ascii="Times New Roman" w:hAnsi="Times New Roman" w:cs="Times New Roman"/>
                <w:sz w:val="21"/>
                <w:vertAlign w:val="subscript"/>
              </w:rPr>
              <w:t>2</w:t>
            </w:r>
            <w:r>
              <w:rPr>
                <w:rFonts w:ascii="Times New Roman" w:hAnsi="Times New Roman" w:cs="Times New Roman"/>
                <w:sz w:val="21"/>
              </w:rPr>
              <w:t>（μg/m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24小时平均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80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年平均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40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w:t>
            </w:r>
          </w:p>
        </w:tc>
        <w:tc>
          <w:tcPr>
            <w:tcW w:w="2298"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CO（mg/m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24小时平均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4</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4</w:t>
            </w:r>
          </w:p>
        </w:tc>
        <w:tc>
          <w:tcPr>
            <w:tcW w:w="2298"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O</w:t>
            </w:r>
            <w:r>
              <w:rPr>
                <w:rFonts w:ascii="Times New Roman" w:hAnsi="Times New Roman" w:cs="Times New Roman"/>
                <w:sz w:val="21"/>
                <w:vertAlign w:val="subscript"/>
              </w:rPr>
              <w:t>3</w:t>
            </w:r>
            <w:r>
              <w:rPr>
                <w:rFonts w:ascii="Times New Roman" w:hAnsi="Times New Roman" w:cs="Times New Roman"/>
                <w:sz w:val="21"/>
              </w:rPr>
              <w:t>（μg/m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日最大8小时平均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160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w:t>
            </w:r>
          </w:p>
        </w:tc>
        <w:tc>
          <w:tcPr>
            <w:tcW w:w="2298"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2.5</w:t>
            </w:r>
            <w:r>
              <w:rPr>
                <w:rFonts w:ascii="Times New Roman" w:hAnsi="Times New Roman" w:cs="Times New Roman"/>
                <w:sz w:val="21"/>
              </w:rPr>
              <w:t>（μg/m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24小时平均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75</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年平均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35</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w:t>
            </w:r>
          </w:p>
        </w:tc>
        <w:tc>
          <w:tcPr>
            <w:tcW w:w="2298"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PM</w:t>
            </w:r>
            <w:r>
              <w:rPr>
                <w:rFonts w:ascii="Times New Roman" w:hAnsi="Times New Roman" w:cs="Times New Roman"/>
                <w:sz w:val="21"/>
                <w:vertAlign w:val="subscript"/>
              </w:rPr>
              <w:t>10</w:t>
            </w:r>
            <w:r>
              <w:rPr>
                <w:rFonts w:ascii="Times New Roman" w:hAnsi="Times New Roman" w:cs="Times New Roman"/>
                <w:sz w:val="21"/>
              </w:rPr>
              <w:t>（μg/m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24小时平均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年平均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70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7</w:t>
            </w:r>
          </w:p>
        </w:tc>
        <w:tc>
          <w:tcPr>
            <w:tcW w:w="2298"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TSP（μg/m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24小时平均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2298" w:type="dxa"/>
            <w:vMerge w:val="continue"/>
            <w:vAlign w:val="center"/>
          </w:tcPr>
          <w:p>
            <w:pPr>
              <w:widowControl/>
              <w:spacing w:line="240" w:lineRule="auto"/>
              <w:ind w:firstLine="0" w:firstLineChars="0"/>
              <w:jc w:val="center"/>
              <w:rPr>
                <w:rFonts w:ascii="Times New Roman" w:hAnsi="Times New Roman" w:cs="Times New Roman"/>
                <w:sz w:val="21"/>
              </w:rPr>
            </w:pP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年平均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8</w:t>
            </w:r>
          </w:p>
        </w:tc>
        <w:tc>
          <w:tcPr>
            <w:tcW w:w="2298"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苯（μg/m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110</w:t>
            </w:r>
          </w:p>
        </w:tc>
        <w:tc>
          <w:tcPr>
            <w:tcW w:w="2802" w:type="dxa"/>
            <w:vMerge w:val="restart"/>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《环境影响评价技术导则•大气环境》（HJ2.2－2018）附录D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9</w:t>
            </w:r>
          </w:p>
        </w:tc>
        <w:tc>
          <w:tcPr>
            <w:tcW w:w="2298"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甲苯（μg/m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c>
          <w:tcPr>
            <w:tcW w:w="2298"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二甲苯（μg/m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200</w:t>
            </w:r>
          </w:p>
        </w:tc>
        <w:tc>
          <w:tcPr>
            <w:tcW w:w="2802" w:type="dxa"/>
            <w:vMerge w:val="continue"/>
            <w:vAlign w:val="center"/>
          </w:tcPr>
          <w:p>
            <w:pPr>
              <w:widowControl/>
              <w:spacing w:line="240" w:lineRule="auto"/>
              <w:ind w:firstLine="0" w:firstLineChars="0"/>
              <w:jc w:val="center"/>
              <w:rPr>
                <w:rFonts w:ascii="Times New Roman" w:hAnsi="Times New Roman"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11</w:t>
            </w:r>
          </w:p>
        </w:tc>
        <w:tc>
          <w:tcPr>
            <w:tcW w:w="2298"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非甲烷总烃（mg/m</w:t>
            </w:r>
            <w:r>
              <w:rPr>
                <w:rFonts w:ascii="Times New Roman" w:hAnsi="Times New Roman" w:cs="Times New Roman"/>
                <w:sz w:val="21"/>
                <w:vertAlign w:val="superscript"/>
              </w:rPr>
              <w:t>3</w:t>
            </w:r>
            <w:r>
              <w:rPr>
                <w:rFonts w:ascii="Times New Roman" w:hAnsi="Times New Roman" w:cs="Times New Roman"/>
                <w:sz w:val="21"/>
              </w:rPr>
              <w:t>）</w:t>
            </w:r>
          </w:p>
        </w:tc>
        <w:tc>
          <w:tcPr>
            <w:tcW w:w="196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1小时平均</w:t>
            </w:r>
          </w:p>
        </w:tc>
        <w:tc>
          <w:tcPr>
            <w:tcW w:w="128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w:t>
            </w:r>
          </w:p>
        </w:tc>
        <w:tc>
          <w:tcPr>
            <w:tcW w:w="280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《大气污染物综合排放标准详解》</w:t>
            </w:r>
          </w:p>
        </w:tc>
      </w:tr>
    </w:tbl>
    <w:p>
      <w:pPr>
        <w:ind w:firstLine="480"/>
        <w:rPr>
          <w:rFonts w:cs="Times New Roman"/>
          <w:b/>
          <w:bCs/>
        </w:rPr>
      </w:pPr>
      <w:r>
        <w:rPr>
          <w:rFonts w:hint="eastAsia" w:cs="Times New Roman"/>
          <w:b/>
          <w:bCs/>
          <w:lang w:val="en-US" w:eastAsia="zh-CN"/>
        </w:rPr>
        <w:t>2.2、</w:t>
      </w:r>
      <w:r>
        <w:rPr>
          <w:rFonts w:cs="Times New Roman"/>
          <w:b/>
          <w:bCs/>
        </w:rPr>
        <w:t>地表水环境质量标准</w:t>
      </w:r>
    </w:p>
    <w:p>
      <w:pPr>
        <w:ind w:firstLine="480"/>
        <w:rPr>
          <w:rFonts w:cs="Times New Roman"/>
        </w:rPr>
      </w:pPr>
      <w:r>
        <w:rPr>
          <w:rFonts w:cs="Times New Roman"/>
        </w:rPr>
        <w:t>岱河、龙河水质执行《地表水环境质量标准》（GB3838－2002）中的</w:t>
      </w:r>
      <w:r>
        <w:rPr>
          <w:rFonts w:cs="Times New Roman"/>
        </w:rPr>
        <w:fldChar w:fldCharType="begin"/>
      </w:r>
      <w:r>
        <w:rPr>
          <w:rFonts w:cs="Times New Roman"/>
        </w:rPr>
        <w:instrText xml:space="preserve"> = 4 \* ROMAN </w:instrText>
      </w:r>
      <w:r>
        <w:rPr>
          <w:rFonts w:cs="Times New Roman"/>
        </w:rPr>
        <w:fldChar w:fldCharType="separate"/>
      </w:r>
      <w:r>
        <w:rPr>
          <w:rFonts w:cs="Times New Roman"/>
        </w:rPr>
        <w:t>IV</w:t>
      </w:r>
      <w:r>
        <w:rPr>
          <w:rFonts w:cs="Times New Roman"/>
        </w:rPr>
        <w:fldChar w:fldCharType="end"/>
      </w:r>
      <w:r>
        <w:rPr>
          <w:rFonts w:cs="Times New Roman"/>
        </w:rPr>
        <w:t>类标准；具体标准值见表</w:t>
      </w:r>
      <w:r>
        <w:rPr>
          <w:rFonts w:hint="eastAsia" w:cs="Times New Roman"/>
          <w:lang w:val="en-US" w:eastAsia="zh-CN"/>
        </w:rPr>
        <w:t>2.2</w:t>
      </w:r>
      <w:r>
        <w:rPr>
          <w:rFonts w:cs="Times New Roman"/>
        </w:rPr>
        <w:t>-</w:t>
      </w:r>
      <w:r>
        <w:rPr>
          <w:rFonts w:hint="eastAsia" w:cs="Times New Roman"/>
          <w:lang w:val="en-US" w:eastAsia="zh-CN"/>
        </w:rPr>
        <w:t>2</w:t>
      </w:r>
      <w:r>
        <w:rPr>
          <w:rFonts w:cs="Times New Roman"/>
        </w:rPr>
        <w:t>。</w:t>
      </w:r>
    </w:p>
    <w:p>
      <w:pPr>
        <w:spacing w:line="500" w:lineRule="exact"/>
        <w:ind w:firstLine="0" w:firstLineChars="0"/>
        <w:jc w:val="center"/>
        <w:rPr>
          <w:rFonts w:eastAsia="黑体" w:cs="Times New Roman"/>
        </w:rPr>
      </w:pPr>
      <w:r>
        <w:rPr>
          <w:rFonts w:eastAsia="黑体" w:cs="Times New Roman"/>
        </w:rPr>
        <w:t>表</w:t>
      </w:r>
      <w:r>
        <w:rPr>
          <w:rFonts w:hint="eastAsia" w:eastAsia="黑体" w:cs="Times New Roman"/>
          <w:lang w:val="en-US" w:eastAsia="zh-CN"/>
        </w:rPr>
        <w:t>2.2</w:t>
      </w:r>
      <w:r>
        <w:rPr>
          <w:rFonts w:eastAsia="黑体" w:cs="Times New Roman"/>
        </w:rPr>
        <w:t>-</w:t>
      </w:r>
      <w:r>
        <w:rPr>
          <w:rFonts w:hint="eastAsia" w:eastAsia="黑体" w:cs="Times New Roman"/>
          <w:lang w:val="en-US" w:eastAsia="zh-CN"/>
        </w:rPr>
        <w:t>2</w:t>
      </w:r>
      <w:r>
        <w:rPr>
          <w:rFonts w:eastAsia="黑体" w:cs="Times New Roman"/>
        </w:rPr>
        <w:t xml:space="preserve">  地表水环境质量标准 （单位：mg/L，pH无量纲）</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4218"/>
        <w:gridCol w:w="1082"/>
        <w:gridCol w:w="2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130" w:type="dxa"/>
            <w:vAlign w:val="center"/>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序号</w:t>
            </w:r>
          </w:p>
        </w:tc>
        <w:tc>
          <w:tcPr>
            <w:tcW w:w="5176" w:type="dxa"/>
            <w:gridSpan w:val="2"/>
            <w:vAlign w:val="center"/>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项目</w:t>
            </w:r>
          </w:p>
        </w:tc>
        <w:tc>
          <w:tcPr>
            <w:tcW w:w="2721" w:type="dxa"/>
            <w:vAlign w:val="center"/>
          </w:tcPr>
          <w:p>
            <w:pPr>
              <w:widowControl/>
              <w:spacing w:line="240" w:lineRule="auto"/>
              <w:ind w:firstLine="0" w:firstLineChars="0"/>
              <w:jc w:val="center"/>
              <w:rPr>
                <w:rFonts w:ascii="Times New Roman" w:hAnsi="Times New Roman" w:cs="Times New Roman"/>
                <w:b/>
                <w:sz w:val="21"/>
              </w:rPr>
            </w:pPr>
            <w:r>
              <w:rPr>
                <w:rFonts w:ascii="宋体" w:hAnsi="宋体" w:cs="宋体"/>
                <w:b/>
                <w:sz w:val="21"/>
              </w:rPr>
              <w:fldChar w:fldCharType="begin"/>
            </w:r>
            <w:r>
              <w:rPr>
                <w:rFonts w:ascii="宋体" w:hAnsi="宋体" w:cs="宋体"/>
                <w:b/>
                <w:sz w:val="21"/>
              </w:rPr>
              <w:instrText xml:space="preserve"> </w:instrText>
            </w:r>
            <w:r>
              <w:rPr>
                <w:rFonts w:hint="eastAsia" w:ascii="宋体" w:hAnsi="宋体" w:cs="宋体"/>
                <w:b/>
                <w:sz w:val="21"/>
              </w:rPr>
              <w:instrText xml:space="preserve">= 4 \* ROMAN</w:instrText>
            </w:r>
            <w:r>
              <w:rPr>
                <w:rFonts w:ascii="宋体" w:hAnsi="宋体" w:cs="宋体"/>
                <w:b/>
                <w:sz w:val="21"/>
              </w:rPr>
              <w:instrText xml:space="preserve"> </w:instrText>
            </w:r>
            <w:r>
              <w:rPr>
                <w:rFonts w:ascii="宋体" w:hAnsi="宋体" w:cs="宋体"/>
                <w:b/>
                <w:sz w:val="21"/>
              </w:rPr>
              <w:fldChar w:fldCharType="separate"/>
            </w:r>
            <w:r>
              <w:rPr>
                <w:rFonts w:ascii="宋体" w:hAnsi="宋体" w:cs="宋体"/>
                <w:b/>
                <w:sz w:val="21"/>
              </w:rPr>
              <w:t>IV</w:t>
            </w:r>
            <w:r>
              <w:rPr>
                <w:rFonts w:ascii="宋体" w:hAnsi="宋体" w:cs="宋体"/>
                <w:b/>
                <w:sz w:val="21"/>
              </w:rPr>
              <w:fldChar w:fldCharType="end"/>
            </w:r>
            <w:r>
              <w:rPr>
                <w:rFonts w:ascii="Times New Roman" w:hAnsi="Times New Roman" w:cs="Times New Roman"/>
                <w:b/>
                <w:sz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pH值(无量纲)</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30"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溶解氧</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化学需氧量（COD）</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4</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五日生化需氧量（BOD</w:t>
            </w:r>
            <w:r>
              <w:rPr>
                <w:rFonts w:ascii="Times New Roman" w:hAnsi="Times New Roman" w:cs="Times New Roman"/>
                <w:sz w:val="21"/>
                <w:vertAlign w:val="subscript"/>
              </w:rPr>
              <w:t>5</w:t>
            </w:r>
            <w:r>
              <w:rPr>
                <w:rFonts w:ascii="Times New Roman" w:hAnsi="Times New Roman" w:cs="Times New Roman"/>
                <w:sz w:val="21"/>
              </w:rPr>
              <w:t>）</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Calibri" w:hAnsi="Calibri" w:cs="Times New Roman"/>
                <w:sz w:val="21"/>
              </w:rPr>
            </w:pPr>
            <w:r>
              <w:rPr>
                <w:rFonts w:ascii="Times New Roman" w:hAnsi="Times New Roman" w:cs="Times New Roman"/>
                <w:sz w:val="21"/>
              </w:rPr>
              <w:t>5</w:t>
            </w:r>
          </w:p>
        </w:tc>
        <w:tc>
          <w:tcPr>
            <w:tcW w:w="4119" w:type="dxa"/>
            <w:vAlign w:val="center"/>
          </w:tcPr>
          <w:p>
            <w:pPr>
              <w:widowControl/>
              <w:spacing w:line="240" w:lineRule="auto"/>
              <w:ind w:firstLine="0" w:firstLineChars="0"/>
              <w:jc w:val="center"/>
              <w:rPr>
                <w:rFonts w:ascii="Calibri" w:hAnsi="Calibri" w:cs="Times New Roman"/>
                <w:sz w:val="21"/>
              </w:rPr>
            </w:pPr>
            <w:r>
              <w:rPr>
                <w:rFonts w:hint="eastAsia" w:ascii="Calibri" w:hAnsi="Calibri" w:cs="Times New Roman"/>
                <w:sz w:val="21"/>
              </w:rPr>
              <w:t>高锰酸盐指数</w:t>
            </w:r>
          </w:p>
        </w:tc>
        <w:tc>
          <w:tcPr>
            <w:tcW w:w="1057" w:type="dxa"/>
            <w:vAlign w:val="center"/>
          </w:tcPr>
          <w:p>
            <w:pPr>
              <w:widowControl/>
              <w:spacing w:line="240" w:lineRule="auto"/>
              <w:ind w:firstLine="0" w:firstLineChars="0"/>
              <w:jc w:val="center"/>
              <w:rPr>
                <w:rFonts w:ascii="Calibri" w:hAnsi="Calibri"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Calibri" w:hAnsi="Calibri" w:cs="Times New Roman"/>
                <w:sz w:val="21"/>
              </w:rPr>
            </w:pPr>
            <w:r>
              <w:rPr>
                <w:rFonts w:hint="eastAsia" w:ascii="Calibri" w:hAnsi="Calibri" w:cs="Times New Roman"/>
                <w:sz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氨氮(NH</w:t>
            </w:r>
            <w:r>
              <w:rPr>
                <w:rFonts w:ascii="Times New Roman" w:hAnsi="Times New Roman" w:cs="Times New Roman"/>
                <w:sz w:val="21"/>
                <w:vertAlign w:val="subscript"/>
              </w:rPr>
              <w:t>3</w:t>
            </w:r>
            <w:r>
              <w:rPr>
                <w:rFonts w:ascii="Times New Roman" w:hAnsi="Times New Roman" w:cs="Times New Roman"/>
                <w:sz w:val="21"/>
              </w:rPr>
              <w:t>-N)</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7</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总磷（以P计）</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0.3(湖、库0.1)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8</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挥发酚</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9</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石油类</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spacing w:line="240" w:lineRule="auto"/>
              <w:ind w:firstLine="0" w:firstLineChars="0"/>
              <w:jc w:val="center"/>
              <w:rPr>
                <w:rFonts w:ascii="Times New Roman" w:hAnsi="Times New Roman" w:cs="Times New Roman"/>
                <w:sz w:val="21"/>
              </w:rPr>
            </w:pPr>
            <w:r>
              <w:rPr>
                <w:rFonts w:hint="eastAsia" w:ascii="Times New Roman" w:hAnsi="Times New Roman" w:cs="Times New Roman"/>
                <w:sz w:val="21"/>
              </w:rPr>
              <w:t>10</w:t>
            </w:r>
          </w:p>
        </w:tc>
        <w:tc>
          <w:tcPr>
            <w:tcW w:w="4119"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阴离子表面活性剂</w:t>
            </w:r>
          </w:p>
        </w:tc>
        <w:tc>
          <w:tcPr>
            <w:tcW w:w="105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w:t>
            </w:r>
          </w:p>
        </w:tc>
        <w:tc>
          <w:tcPr>
            <w:tcW w:w="272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0.3</w:t>
            </w:r>
          </w:p>
        </w:tc>
      </w:tr>
    </w:tbl>
    <w:p>
      <w:pPr>
        <w:ind w:firstLine="480"/>
        <w:rPr>
          <w:rFonts w:cs="Times New Roman"/>
          <w:b/>
          <w:bCs/>
        </w:rPr>
      </w:pPr>
      <w:r>
        <w:rPr>
          <w:rFonts w:hint="eastAsia" w:cs="Times New Roman"/>
          <w:b/>
          <w:bCs/>
          <w:lang w:val="en-US" w:eastAsia="zh-CN"/>
        </w:rPr>
        <w:t>2.3、</w:t>
      </w:r>
      <w:r>
        <w:rPr>
          <w:rFonts w:cs="Times New Roman"/>
          <w:b/>
          <w:bCs/>
        </w:rPr>
        <w:t>声环境质量标准</w:t>
      </w:r>
    </w:p>
    <w:p>
      <w:pPr>
        <w:ind w:firstLine="480"/>
        <w:rPr>
          <w:rFonts w:cs="Times New Roman"/>
        </w:rPr>
      </w:pPr>
      <w:r>
        <w:rPr>
          <w:rFonts w:cs="Times New Roman"/>
        </w:rPr>
        <w:t>居住、商业、工业混杂区执行《声环境质量标准》（GB3096-2008）中2类标准；以工业生产、仓储物流为主要功能的区域执行《声环境质量标准》（GB3096-2008）中3类标准；城市主干路、次干路两侧一定距离之内(参考GB/T15190第8.3条规定)执行《声环境质量标准》(GB3096-2008)中4a类标准。详见表</w:t>
      </w:r>
      <w:r>
        <w:rPr>
          <w:rFonts w:hint="eastAsia" w:cs="Times New Roman"/>
          <w:lang w:val="en-US" w:eastAsia="zh-CN"/>
        </w:rPr>
        <w:t>2</w:t>
      </w:r>
      <w:r>
        <w:rPr>
          <w:rFonts w:cs="Times New Roman"/>
        </w:rPr>
        <w:t>.</w:t>
      </w:r>
      <w:r>
        <w:rPr>
          <w:rFonts w:hint="eastAsia" w:cs="Times New Roman"/>
          <w:lang w:val="en-US" w:eastAsia="zh-CN"/>
        </w:rPr>
        <w:t>3</w:t>
      </w:r>
      <w:r>
        <w:rPr>
          <w:rFonts w:cs="Times New Roman"/>
        </w:rPr>
        <w:t>-3。</w:t>
      </w:r>
    </w:p>
    <w:p>
      <w:pPr>
        <w:spacing w:line="500" w:lineRule="exact"/>
        <w:ind w:firstLine="0" w:firstLineChars="0"/>
        <w:jc w:val="center"/>
        <w:rPr>
          <w:rFonts w:eastAsia="黑体" w:cs="Times New Roman"/>
        </w:rPr>
      </w:pPr>
      <w:r>
        <w:rPr>
          <w:rFonts w:eastAsia="黑体" w:cs="Times New Roman"/>
        </w:rPr>
        <w:t>表</w:t>
      </w:r>
      <w:r>
        <w:rPr>
          <w:rFonts w:hint="eastAsia" w:eastAsia="黑体" w:cs="Times New Roman"/>
          <w:lang w:val="en-US" w:eastAsia="zh-CN"/>
        </w:rPr>
        <w:t>2</w:t>
      </w:r>
      <w:r>
        <w:rPr>
          <w:rFonts w:eastAsia="黑体" w:cs="Times New Roman"/>
        </w:rPr>
        <w:t>.</w:t>
      </w:r>
      <w:r>
        <w:rPr>
          <w:rFonts w:hint="eastAsia" w:eastAsia="黑体" w:cs="Times New Roman"/>
          <w:lang w:val="en-US" w:eastAsia="zh-CN"/>
        </w:rPr>
        <w:t>3</w:t>
      </w:r>
      <w:r>
        <w:rPr>
          <w:rFonts w:eastAsia="黑体" w:cs="Times New Roman"/>
        </w:rPr>
        <w:t>-3  声环境质量标准  单位：dB（A）</w:t>
      </w:r>
    </w:p>
    <w:tbl>
      <w:tblPr>
        <w:tblStyle w:val="11"/>
        <w:tblW w:w="90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5"/>
        <w:gridCol w:w="1652"/>
        <w:gridCol w:w="1652"/>
        <w:gridCol w:w="16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95" w:type="dxa"/>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范围</w:t>
            </w:r>
          </w:p>
        </w:tc>
        <w:tc>
          <w:tcPr>
            <w:tcW w:w="1652" w:type="dxa"/>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功能类别</w:t>
            </w:r>
          </w:p>
        </w:tc>
        <w:tc>
          <w:tcPr>
            <w:tcW w:w="1652" w:type="dxa"/>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昼间</w:t>
            </w:r>
          </w:p>
        </w:tc>
        <w:tc>
          <w:tcPr>
            <w:tcW w:w="1618" w:type="dxa"/>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095"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居住、商业、工业混杂区</w:t>
            </w:r>
          </w:p>
        </w:tc>
        <w:tc>
          <w:tcPr>
            <w:tcW w:w="1652"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2类</w:t>
            </w:r>
          </w:p>
        </w:tc>
        <w:tc>
          <w:tcPr>
            <w:tcW w:w="1652"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60</w:t>
            </w:r>
          </w:p>
        </w:tc>
        <w:tc>
          <w:tcPr>
            <w:tcW w:w="1618"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95"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以工业生产、仓储物流为主要功能的区域</w:t>
            </w:r>
          </w:p>
        </w:tc>
        <w:tc>
          <w:tcPr>
            <w:tcW w:w="1652"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3类</w:t>
            </w:r>
          </w:p>
        </w:tc>
        <w:tc>
          <w:tcPr>
            <w:tcW w:w="1652"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65</w:t>
            </w:r>
          </w:p>
        </w:tc>
        <w:tc>
          <w:tcPr>
            <w:tcW w:w="1618"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95"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道路交通干线两侧区域</w:t>
            </w:r>
          </w:p>
        </w:tc>
        <w:tc>
          <w:tcPr>
            <w:tcW w:w="1652"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4a类</w:t>
            </w:r>
          </w:p>
        </w:tc>
        <w:tc>
          <w:tcPr>
            <w:tcW w:w="1652"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70</w:t>
            </w:r>
          </w:p>
        </w:tc>
        <w:tc>
          <w:tcPr>
            <w:tcW w:w="1618" w:type="dxa"/>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55</w:t>
            </w:r>
          </w:p>
        </w:tc>
      </w:tr>
    </w:tbl>
    <w:p>
      <w:pPr>
        <w:ind w:firstLine="480"/>
        <w:rPr>
          <w:rFonts w:cs="Times New Roman"/>
          <w:b/>
          <w:bCs/>
        </w:rPr>
      </w:pPr>
      <w:r>
        <w:rPr>
          <w:rFonts w:hint="eastAsia" w:cs="Times New Roman"/>
          <w:b/>
          <w:bCs/>
          <w:lang w:val="en-US" w:eastAsia="zh-CN"/>
        </w:rPr>
        <w:t>2.4、</w:t>
      </w:r>
      <w:r>
        <w:rPr>
          <w:rFonts w:cs="Times New Roman"/>
          <w:b/>
          <w:bCs/>
        </w:rPr>
        <w:t>地下水环境质量标准</w:t>
      </w:r>
    </w:p>
    <w:p>
      <w:pPr>
        <w:ind w:firstLine="480"/>
        <w:rPr>
          <w:rFonts w:cs="Times New Roman"/>
        </w:rPr>
      </w:pPr>
      <w:r>
        <w:rPr>
          <w:rFonts w:cs="Times New Roman"/>
        </w:rPr>
        <w:t>评价区域地下水环境质量评价标准执行《地下水质量标准》（GB/T14848-2017）中</w:t>
      </w:r>
      <w:r>
        <w:rPr>
          <w:rFonts w:cs="Times New Roman"/>
        </w:rPr>
        <w:fldChar w:fldCharType="begin"/>
      </w:r>
      <w:r>
        <w:rPr>
          <w:rFonts w:cs="Times New Roman"/>
        </w:rPr>
        <w:instrText xml:space="preserve">= 3 \* ROMAN</w:instrText>
      </w:r>
      <w:r>
        <w:rPr>
          <w:rFonts w:cs="Times New Roman"/>
        </w:rPr>
        <w:fldChar w:fldCharType="separate"/>
      </w:r>
      <w:r>
        <w:rPr>
          <w:rFonts w:cs="Times New Roman"/>
        </w:rPr>
        <w:t>III</w:t>
      </w:r>
      <w:r>
        <w:rPr>
          <w:rFonts w:cs="Times New Roman"/>
        </w:rPr>
        <w:fldChar w:fldCharType="end"/>
      </w:r>
      <w:r>
        <w:rPr>
          <w:rFonts w:cs="Times New Roman"/>
        </w:rPr>
        <w:t>类标准，详见表</w:t>
      </w:r>
      <w:r>
        <w:rPr>
          <w:rFonts w:hint="eastAsia" w:cs="Times New Roman"/>
          <w:lang w:val="en-US" w:eastAsia="zh-CN"/>
        </w:rPr>
        <w:t>2</w:t>
      </w:r>
      <w:r>
        <w:rPr>
          <w:rFonts w:cs="Times New Roman"/>
        </w:rPr>
        <w:t>.4-4。</w:t>
      </w:r>
    </w:p>
    <w:p>
      <w:pPr>
        <w:spacing w:line="500" w:lineRule="exact"/>
        <w:ind w:firstLine="0" w:firstLineChars="0"/>
        <w:jc w:val="center"/>
        <w:rPr>
          <w:rFonts w:eastAsia="黑体" w:cs="Times New Roman"/>
        </w:rPr>
      </w:pPr>
      <w:r>
        <w:rPr>
          <w:rFonts w:eastAsia="黑体" w:cs="Times New Roman"/>
        </w:rPr>
        <w:t>表</w:t>
      </w:r>
      <w:r>
        <w:rPr>
          <w:rFonts w:hint="eastAsia" w:eastAsia="黑体" w:cs="Times New Roman"/>
          <w:lang w:val="en-US" w:eastAsia="zh-CN"/>
        </w:rPr>
        <w:t>2</w:t>
      </w:r>
      <w:r>
        <w:rPr>
          <w:rFonts w:eastAsia="黑体" w:cs="Times New Roman"/>
        </w:rPr>
        <w:t>.4-4  地下水环境质量标准（单位：mg/L，pH值无量纲）</w:t>
      </w:r>
    </w:p>
    <w:tbl>
      <w:tblPr>
        <w:tblStyle w:val="11"/>
        <w:tblW w:w="901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161"/>
        <w:gridCol w:w="1391"/>
        <w:gridCol w:w="1417"/>
        <w:gridCol w:w="1843"/>
        <w:gridCol w:w="13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1843" w:type="dxa"/>
            <w:vAlign w:val="center"/>
          </w:tcPr>
          <w:p>
            <w:pPr>
              <w:widowControl/>
              <w:spacing w:line="240" w:lineRule="auto"/>
              <w:ind w:firstLine="0" w:firstLineChars="0"/>
              <w:jc w:val="center"/>
              <w:rPr>
                <w:rFonts w:ascii="Times New Roman" w:hAnsi="Times New Roman" w:cs="Times New Roman"/>
                <w:b/>
                <w:sz w:val="21"/>
              </w:rPr>
            </w:pPr>
            <w:r>
              <w:rPr>
                <w:rFonts w:ascii="Times New Roman" w:hAnsi="Times New Roman" w:cs="Times New Roman"/>
                <w:b/>
                <w:sz w:val="21"/>
              </w:rPr>
              <w:t>项目/类别</w:t>
            </w:r>
          </w:p>
        </w:tc>
        <w:tc>
          <w:tcPr>
            <w:tcW w:w="1161" w:type="dxa"/>
            <w:vAlign w:val="center"/>
          </w:tcPr>
          <w:p>
            <w:pPr>
              <w:widowControl/>
              <w:spacing w:line="240" w:lineRule="auto"/>
              <w:ind w:firstLine="0" w:firstLineChars="0"/>
              <w:jc w:val="center"/>
              <w:rPr>
                <w:rFonts w:ascii="Times New Roman" w:hAnsi="Times New Roman" w:cs="Times New Roman"/>
                <w:b/>
                <w:sz w:val="21"/>
              </w:rPr>
            </w:pPr>
            <w:r>
              <w:rPr>
                <w:rFonts w:hint="eastAsia" w:ascii="宋体" w:hAnsi="宋体" w:cs="宋体"/>
                <w:b/>
                <w:sz w:val="21"/>
              </w:rPr>
              <w:t>Ⅰ</w:t>
            </w:r>
          </w:p>
        </w:tc>
        <w:tc>
          <w:tcPr>
            <w:tcW w:w="1391" w:type="dxa"/>
            <w:vAlign w:val="center"/>
          </w:tcPr>
          <w:p>
            <w:pPr>
              <w:widowControl/>
              <w:spacing w:line="240" w:lineRule="auto"/>
              <w:ind w:firstLine="0" w:firstLineChars="0"/>
              <w:jc w:val="center"/>
              <w:rPr>
                <w:rFonts w:ascii="Times New Roman" w:hAnsi="Times New Roman" w:cs="Times New Roman"/>
                <w:b/>
                <w:sz w:val="21"/>
              </w:rPr>
            </w:pPr>
            <w:r>
              <w:rPr>
                <w:rFonts w:hint="eastAsia" w:ascii="宋体" w:hAnsi="宋体" w:cs="宋体"/>
                <w:b/>
                <w:sz w:val="21"/>
              </w:rPr>
              <w:t>Ⅱ</w:t>
            </w:r>
          </w:p>
        </w:tc>
        <w:tc>
          <w:tcPr>
            <w:tcW w:w="1417" w:type="dxa"/>
            <w:vAlign w:val="center"/>
          </w:tcPr>
          <w:p>
            <w:pPr>
              <w:widowControl/>
              <w:spacing w:line="240" w:lineRule="auto"/>
              <w:ind w:firstLine="0" w:firstLineChars="0"/>
              <w:jc w:val="center"/>
              <w:rPr>
                <w:rFonts w:ascii="Times New Roman" w:hAnsi="Times New Roman" w:cs="Times New Roman"/>
                <w:b/>
                <w:sz w:val="21"/>
              </w:rPr>
            </w:pPr>
            <w:r>
              <w:rPr>
                <w:rFonts w:hint="eastAsia" w:ascii="宋体" w:hAnsi="宋体" w:cs="宋体"/>
                <w:b/>
                <w:sz w:val="21"/>
              </w:rPr>
              <w:t>Ⅲ</w:t>
            </w:r>
          </w:p>
        </w:tc>
        <w:tc>
          <w:tcPr>
            <w:tcW w:w="1843" w:type="dxa"/>
            <w:vAlign w:val="center"/>
          </w:tcPr>
          <w:p>
            <w:pPr>
              <w:widowControl/>
              <w:spacing w:line="240" w:lineRule="auto"/>
              <w:ind w:firstLine="0" w:firstLineChars="0"/>
              <w:jc w:val="center"/>
              <w:rPr>
                <w:rFonts w:ascii="Times New Roman" w:hAnsi="Times New Roman" w:cs="Times New Roman"/>
                <w:b/>
                <w:sz w:val="21"/>
              </w:rPr>
            </w:pPr>
            <w:r>
              <w:rPr>
                <w:rFonts w:hint="eastAsia" w:ascii="宋体" w:hAnsi="宋体" w:cs="宋体"/>
                <w:b/>
                <w:sz w:val="21"/>
              </w:rPr>
              <w:t>Ⅳ</w:t>
            </w:r>
          </w:p>
        </w:tc>
        <w:tc>
          <w:tcPr>
            <w:tcW w:w="1362" w:type="dxa"/>
            <w:vAlign w:val="center"/>
          </w:tcPr>
          <w:p>
            <w:pPr>
              <w:widowControl/>
              <w:spacing w:line="240" w:lineRule="auto"/>
              <w:ind w:firstLine="0" w:firstLineChars="0"/>
              <w:jc w:val="center"/>
              <w:rPr>
                <w:rFonts w:ascii="Times New Roman" w:hAnsi="Times New Roman" w:cs="Times New Roman"/>
                <w:b/>
                <w:sz w:val="21"/>
              </w:rPr>
            </w:pPr>
            <w:r>
              <w:rPr>
                <w:rFonts w:hint="eastAsia" w:ascii="宋体" w:hAnsi="宋体" w:cs="宋体"/>
                <w:b/>
                <w:sz w:val="21"/>
              </w:rPr>
              <w:t>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pH</w:t>
            </w:r>
          </w:p>
        </w:tc>
        <w:tc>
          <w:tcPr>
            <w:tcW w:w="3969" w:type="dxa"/>
            <w:gridSpan w:val="3"/>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6.5～8.5</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5.5～6.5，8.5～9</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总硬度</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≤450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≤650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＞650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硫酸盐</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≤250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≤350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溶解性总固体</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≤500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≤1000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≤2000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氨氮</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≤0.02</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≤0.50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硝酸盐</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氯化物</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≤50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≤250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≤350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氟化物</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铬（六价）</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≤0.005</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≤0.05</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铅</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≤0.005</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≤0.05</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汞</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≤0.0001</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≤0.001</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≤0.002</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砷</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≤0.001</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≤0.05</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镉</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≤0.0001</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≤0.005</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亚硝酸盐</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≤4.80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＞4.80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挥发性酚类（以苯酚计）</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≤0.001</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≤0.002</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氰化物</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≤0.001</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≤0.05</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耗氧量（COD</w:t>
            </w:r>
            <w:r>
              <w:rPr>
                <w:rFonts w:ascii="Times New Roman" w:hAnsi="Times New Roman" w:cs="Times New Roman"/>
                <w:sz w:val="21"/>
                <w:vertAlign w:val="subscript"/>
              </w:rPr>
              <w:t>Mn</w:t>
            </w:r>
            <w:r>
              <w:rPr>
                <w:rFonts w:ascii="Times New Roman" w:hAnsi="Times New Roman" w:cs="Times New Roman"/>
                <w:sz w:val="21"/>
              </w:rPr>
              <w:t>法）</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总大肠菌群（MPN/100mL）</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≤3.0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细菌总数（CFU/mL）</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≤100</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≤100</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≤100</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≤1000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铁</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≤0.2</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≤0.3</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锰</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≤0.05</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≤0.05</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阴离子合成洗涤剂</w:t>
            </w:r>
          </w:p>
        </w:tc>
        <w:tc>
          <w:tcPr>
            <w:tcW w:w="116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不得检出</w:t>
            </w:r>
          </w:p>
        </w:tc>
        <w:tc>
          <w:tcPr>
            <w:tcW w:w="1391"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≤0.1</w:t>
            </w:r>
          </w:p>
        </w:tc>
        <w:tc>
          <w:tcPr>
            <w:tcW w:w="1417"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≤0.3</w:t>
            </w:r>
          </w:p>
        </w:tc>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≤0.3</w:t>
            </w:r>
          </w:p>
        </w:tc>
        <w:tc>
          <w:tcPr>
            <w:tcW w:w="1362"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43" w:type="dxa"/>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标准来源</w:t>
            </w:r>
          </w:p>
        </w:tc>
        <w:tc>
          <w:tcPr>
            <w:tcW w:w="7174" w:type="dxa"/>
            <w:gridSpan w:val="5"/>
            <w:vAlign w:val="center"/>
          </w:tcPr>
          <w:p>
            <w:pPr>
              <w:widowControl/>
              <w:spacing w:line="240" w:lineRule="auto"/>
              <w:ind w:firstLine="0" w:firstLineChars="0"/>
              <w:jc w:val="center"/>
              <w:rPr>
                <w:rFonts w:ascii="Times New Roman" w:hAnsi="Times New Roman" w:cs="Times New Roman"/>
                <w:sz w:val="21"/>
              </w:rPr>
            </w:pPr>
            <w:r>
              <w:rPr>
                <w:rFonts w:ascii="Times New Roman" w:hAnsi="Times New Roman" w:cs="Times New Roman"/>
                <w:sz w:val="21"/>
              </w:rPr>
              <w:t>《地下水质量标准》（GB/T14848-2017）</w:t>
            </w:r>
          </w:p>
        </w:tc>
      </w:tr>
    </w:tbl>
    <w:p>
      <w:pPr>
        <w:ind w:firstLine="480"/>
        <w:rPr>
          <w:rFonts w:cs="Times New Roman"/>
          <w:b/>
          <w:bCs/>
        </w:rPr>
      </w:pPr>
      <w:r>
        <w:rPr>
          <w:rFonts w:hint="eastAsia" w:cs="Times New Roman"/>
          <w:b/>
          <w:bCs/>
          <w:lang w:val="en-US" w:eastAsia="zh-CN"/>
        </w:rPr>
        <w:t>2.5、</w:t>
      </w:r>
      <w:r>
        <w:rPr>
          <w:rFonts w:cs="Times New Roman"/>
          <w:b/>
          <w:bCs/>
        </w:rPr>
        <w:t>土壤环境质量标准</w:t>
      </w:r>
    </w:p>
    <w:p>
      <w:pPr>
        <w:ind w:firstLine="480"/>
        <w:rPr>
          <w:rFonts w:cs="Times New Roman"/>
        </w:rPr>
      </w:pPr>
      <w:r>
        <w:rPr>
          <w:rFonts w:cs="Times New Roman"/>
        </w:rPr>
        <w:t>评价区域建设用地土壤环境质量评价标准执行《土壤环境质量 建设用地土壤污染风险管控标准（试行）》（GB36600-2018）中风险筛选值相关标准限值，</w:t>
      </w:r>
      <w:r>
        <w:rPr>
          <w:rFonts w:hint="eastAsia" w:cs="Times New Roman"/>
        </w:rPr>
        <w:t>现状</w:t>
      </w:r>
      <w:r>
        <w:rPr>
          <w:rFonts w:cs="Times New Roman"/>
        </w:rPr>
        <w:t>农用地执行《土壤环境质量 农用地土壤污染风险管控标准（试行）》（GB15618-2018）中风险筛选值相关标准限值，详见表</w:t>
      </w:r>
      <w:r>
        <w:rPr>
          <w:rFonts w:hint="eastAsia" w:cs="Times New Roman"/>
          <w:lang w:val="en-US" w:eastAsia="zh-CN"/>
        </w:rPr>
        <w:t>2</w:t>
      </w:r>
      <w:r>
        <w:rPr>
          <w:rFonts w:cs="Times New Roman"/>
        </w:rPr>
        <w:t>.5-6。</w:t>
      </w:r>
    </w:p>
    <w:p>
      <w:pPr>
        <w:spacing w:line="500" w:lineRule="exact"/>
        <w:ind w:firstLine="0" w:firstLineChars="0"/>
        <w:jc w:val="center"/>
        <w:rPr>
          <w:rFonts w:eastAsia="黑体" w:cs="Times New Roman"/>
        </w:rPr>
      </w:pPr>
      <w:r>
        <w:rPr>
          <w:rFonts w:eastAsia="黑体" w:cs="Times New Roman"/>
        </w:rPr>
        <w:t>表</w:t>
      </w:r>
      <w:r>
        <w:rPr>
          <w:rFonts w:hint="eastAsia" w:eastAsia="黑体" w:cs="Times New Roman"/>
          <w:lang w:val="en-US" w:eastAsia="zh-CN"/>
        </w:rPr>
        <w:t>2</w:t>
      </w:r>
      <w:r>
        <w:rPr>
          <w:rFonts w:eastAsia="黑体" w:cs="Times New Roman"/>
        </w:rPr>
        <w:t>.5-</w:t>
      </w:r>
      <w:r>
        <w:rPr>
          <w:rFonts w:hint="eastAsia" w:eastAsia="黑体" w:cs="Times New Roman"/>
          <w:lang w:val="en-US" w:eastAsia="zh-CN"/>
        </w:rPr>
        <w:t>5</w:t>
      </w:r>
      <w:r>
        <w:rPr>
          <w:rFonts w:eastAsia="黑体" w:cs="Times New Roman"/>
        </w:rPr>
        <w:t xml:space="preserve"> 建设用地土壤评价标准（单位：mg/kg）</w:t>
      </w:r>
    </w:p>
    <w:tbl>
      <w:tblPr>
        <w:tblStyle w:val="10"/>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40"/>
        <w:gridCol w:w="1296"/>
        <w:gridCol w:w="1296"/>
        <w:gridCol w:w="1296"/>
        <w:gridCol w:w="1295"/>
        <w:gridCol w:w="1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pPr>
              <w:widowControl/>
              <w:spacing w:line="240" w:lineRule="auto"/>
              <w:ind w:firstLine="0" w:firstLineChars="0"/>
              <w:jc w:val="center"/>
              <w:rPr>
                <w:rFonts w:cs="Times New Roman"/>
                <w:b/>
                <w:bCs/>
                <w:sz w:val="21"/>
                <w:szCs w:val="21"/>
              </w:rPr>
            </w:pPr>
            <w:r>
              <w:rPr>
                <w:rFonts w:cs="Times New Roman"/>
                <w:b/>
                <w:bCs/>
                <w:sz w:val="21"/>
                <w:szCs w:val="21"/>
              </w:rPr>
              <w:t>序号</w:t>
            </w:r>
          </w:p>
        </w:tc>
        <w:tc>
          <w:tcPr>
            <w:tcW w:w="1740" w:type="dxa"/>
            <w:vMerge w:val="restart"/>
            <w:vAlign w:val="center"/>
          </w:tcPr>
          <w:p>
            <w:pPr>
              <w:widowControl/>
              <w:spacing w:line="240" w:lineRule="auto"/>
              <w:ind w:firstLine="0" w:firstLineChars="0"/>
              <w:jc w:val="center"/>
              <w:rPr>
                <w:rFonts w:cs="Times New Roman"/>
                <w:b/>
                <w:bCs/>
                <w:sz w:val="21"/>
                <w:szCs w:val="21"/>
              </w:rPr>
            </w:pPr>
            <w:r>
              <w:rPr>
                <w:rFonts w:cs="Times New Roman"/>
                <w:b/>
                <w:bCs/>
                <w:sz w:val="21"/>
                <w:szCs w:val="21"/>
              </w:rPr>
              <w:t>污染物项目</w:t>
            </w:r>
          </w:p>
        </w:tc>
        <w:tc>
          <w:tcPr>
            <w:tcW w:w="1296" w:type="dxa"/>
            <w:vMerge w:val="restart"/>
            <w:vAlign w:val="center"/>
          </w:tcPr>
          <w:p>
            <w:pPr>
              <w:widowControl/>
              <w:spacing w:line="240" w:lineRule="auto"/>
              <w:ind w:firstLine="0" w:firstLineChars="0"/>
              <w:jc w:val="center"/>
              <w:rPr>
                <w:rFonts w:cs="Times New Roman"/>
                <w:b/>
                <w:bCs/>
                <w:sz w:val="21"/>
                <w:szCs w:val="21"/>
              </w:rPr>
            </w:pPr>
            <w:r>
              <w:rPr>
                <w:rFonts w:cs="Times New Roman"/>
                <w:b/>
                <w:bCs/>
                <w:sz w:val="21"/>
                <w:szCs w:val="21"/>
              </w:rPr>
              <w:t>CAS编号</w:t>
            </w:r>
          </w:p>
        </w:tc>
        <w:tc>
          <w:tcPr>
            <w:tcW w:w="2592" w:type="dxa"/>
            <w:gridSpan w:val="2"/>
            <w:vAlign w:val="center"/>
          </w:tcPr>
          <w:p>
            <w:pPr>
              <w:widowControl/>
              <w:spacing w:line="240" w:lineRule="auto"/>
              <w:ind w:firstLine="0" w:firstLineChars="0"/>
              <w:jc w:val="center"/>
              <w:rPr>
                <w:rFonts w:cs="Times New Roman"/>
                <w:b/>
                <w:bCs/>
                <w:sz w:val="21"/>
                <w:szCs w:val="21"/>
              </w:rPr>
            </w:pPr>
            <w:r>
              <w:rPr>
                <w:rFonts w:cs="Times New Roman"/>
                <w:b/>
                <w:bCs/>
                <w:sz w:val="21"/>
                <w:szCs w:val="21"/>
              </w:rPr>
              <w:t>筛选值</w:t>
            </w:r>
          </w:p>
        </w:tc>
        <w:tc>
          <w:tcPr>
            <w:tcW w:w="2592" w:type="dxa"/>
            <w:gridSpan w:val="2"/>
            <w:vAlign w:val="center"/>
          </w:tcPr>
          <w:p>
            <w:pPr>
              <w:widowControl/>
              <w:spacing w:line="240" w:lineRule="auto"/>
              <w:ind w:firstLine="0" w:firstLineChars="0"/>
              <w:jc w:val="center"/>
              <w:rPr>
                <w:rFonts w:cs="Times New Roman"/>
                <w:b/>
                <w:bCs/>
                <w:sz w:val="21"/>
                <w:szCs w:val="21"/>
              </w:rPr>
            </w:pPr>
            <w:r>
              <w:rPr>
                <w:rFonts w:cs="Times New Roman"/>
                <w:b/>
                <w:bCs/>
                <w:sz w:val="21"/>
                <w:szCs w:val="21"/>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pPr>
              <w:widowControl/>
              <w:adjustRightInd/>
              <w:snapToGrid/>
              <w:spacing w:line="240" w:lineRule="auto"/>
              <w:ind w:firstLine="0" w:firstLineChars="0"/>
              <w:jc w:val="center"/>
              <w:rPr>
                <w:rFonts w:cs="Times New Roman"/>
                <w:b/>
                <w:bCs/>
                <w:spacing w:val="-2"/>
                <w:sz w:val="21"/>
                <w:szCs w:val="21"/>
              </w:rPr>
            </w:pPr>
          </w:p>
        </w:tc>
        <w:tc>
          <w:tcPr>
            <w:tcW w:w="1740" w:type="dxa"/>
            <w:vMerge w:val="continue"/>
            <w:vAlign w:val="center"/>
          </w:tcPr>
          <w:p>
            <w:pPr>
              <w:widowControl/>
              <w:adjustRightInd/>
              <w:snapToGrid/>
              <w:spacing w:line="240" w:lineRule="auto"/>
              <w:ind w:firstLine="0" w:firstLineChars="0"/>
              <w:jc w:val="center"/>
              <w:rPr>
                <w:rFonts w:cs="Times New Roman"/>
                <w:b/>
                <w:bCs/>
                <w:spacing w:val="-2"/>
                <w:sz w:val="21"/>
                <w:szCs w:val="21"/>
              </w:rPr>
            </w:pPr>
          </w:p>
        </w:tc>
        <w:tc>
          <w:tcPr>
            <w:tcW w:w="1296" w:type="dxa"/>
            <w:vMerge w:val="continue"/>
            <w:vAlign w:val="center"/>
          </w:tcPr>
          <w:p>
            <w:pPr>
              <w:widowControl/>
              <w:adjustRightInd/>
              <w:snapToGrid/>
              <w:spacing w:line="240" w:lineRule="auto"/>
              <w:ind w:firstLine="0" w:firstLineChars="0"/>
              <w:jc w:val="center"/>
              <w:rPr>
                <w:rFonts w:cs="Times New Roman"/>
                <w:b/>
                <w:bCs/>
                <w:spacing w:val="-2"/>
                <w:sz w:val="21"/>
                <w:szCs w:val="21"/>
              </w:rPr>
            </w:pPr>
          </w:p>
        </w:tc>
        <w:tc>
          <w:tcPr>
            <w:tcW w:w="1296" w:type="dxa"/>
            <w:vAlign w:val="center"/>
          </w:tcPr>
          <w:p>
            <w:pPr>
              <w:widowControl/>
              <w:spacing w:line="240" w:lineRule="auto"/>
              <w:ind w:firstLine="0" w:firstLineChars="0"/>
              <w:jc w:val="center"/>
              <w:rPr>
                <w:rFonts w:cs="Times New Roman"/>
                <w:b/>
                <w:bCs/>
                <w:sz w:val="21"/>
                <w:szCs w:val="21"/>
              </w:rPr>
            </w:pPr>
            <w:r>
              <w:rPr>
                <w:rFonts w:cs="Times New Roman"/>
                <w:b/>
                <w:bCs/>
                <w:sz w:val="21"/>
                <w:szCs w:val="21"/>
              </w:rPr>
              <w:t>第一类用地</w:t>
            </w:r>
          </w:p>
        </w:tc>
        <w:tc>
          <w:tcPr>
            <w:tcW w:w="1296" w:type="dxa"/>
            <w:vAlign w:val="center"/>
          </w:tcPr>
          <w:p>
            <w:pPr>
              <w:widowControl/>
              <w:spacing w:line="240" w:lineRule="auto"/>
              <w:ind w:firstLine="0" w:firstLineChars="0"/>
              <w:jc w:val="center"/>
              <w:rPr>
                <w:rFonts w:cs="Times New Roman"/>
                <w:b/>
                <w:bCs/>
                <w:sz w:val="21"/>
                <w:szCs w:val="21"/>
              </w:rPr>
            </w:pPr>
            <w:r>
              <w:rPr>
                <w:rFonts w:cs="Times New Roman"/>
                <w:b/>
                <w:bCs/>
                <w:sz w:val="21"/>
                <w:szCs w:val="21"/>
              </w:rPr>
              <w:t>第二类用地</w:t>
            </w:r>
          </w:p>
        </w:tc>
        <w:tc>
          <w:tcPr>
            <w:tcW w:w="1295" w:type="dxa"/>
            <w:vAlign w:val="center"/>
          </w:tcPr>
          <w:p>
            <w:pPr>
              <w:widowControl/>
              <w:spacing w:line="240" w:lineRule="auto"/>
              <w:ind w:firstLine="0" w:firstLineChars="0"/>
              <w:jc w:val="center"/>
              <w:rPr>
                <w:rFonts w:cs="Times New Roman"/>
                <w:b/>
                <w:bCs/>
                <w:sz w:val="21"/>
                <w:szCs w:val="21"/>
              </w:rPr>
            </w:pPr>
            <w:r>
              <w:rPr>
                <w:rFonts w:cs="Times New Roman"/>
                <w:b/>
                <w:bCs/>
                <w:sz w:val="21"/>
                <w:szCs w:val="21"/>
              </w:rPr>
              <w:t>第一类用地</w:t>
            </w:r>
          </w:p>
        </w:tc>
        <w:tc>
          <w:tcPr>
            <w:tcW w:w="1297" w:type="dxa"/>
            <w:vAlign w:val="center"/>
          </w:tcPr>
          <w:p>
            <w:pPr>
              <w:widowControl/>
              <w:spacing w:line="240" w:lineRule="auto"/>
              <w:ind w:firstLine="0" w:firstLineChars="0"/>
              <w:jc w:val="center"/>
              <w:rPr>
                <w:rFonts w:cs="Times New Roman"/>
                <w:b/>
                <w:bCs/>
                <w:sz w:val="21"/>
                <w:szCs w:val="21"/>
              </w:rPr>
            </w:pPr>
            <w:r>
              <w:rPr>
                <w:rFonts w:cs="Times New Roman"/>
                <w:b/>
                <w:bCs/>
                <w:sz w:val="21"/>
                <w:szCs w:val="21"/>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7"/>
            <w:vAlign w:val="center"/>
          </w:tcPr>
          <w:p>
            <w:pPr>
              <w:widowControl/>
              <w:spacing w:line="240" w:lineRule="auto"/>
              <w:ind w:firstLine="0" w:firstLineChars="0"/>
              <w:jc w:val="center"/>
              <w:rPr>
                <w:rFonts w:cs="Times New Roman"/>
                <w:sz w:val="21"/>
                <w:szCs w:val="21"/>
              </w:rPr>
            </w:pPr>
            <w:r>
              <w:rPr>
                <w:rFonts w:cs="Times New Roman"/>
                <w:sz w:val="21"/>
                <w:szCs w:val="21"/>
              </w:rPr>
              <w:t>重金属和和无机物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7440-38-2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120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镉</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7440-43-9</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47</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铬（六价）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18540-29-9</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3.0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5.7</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30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4</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铜</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7440-50-8</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2000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18000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8000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5</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铅</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7439-92-1</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400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800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800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6</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汞</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7439-97-6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8</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38</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33</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7</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镍</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7440-02-0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900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600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7"/>
            <w:vAlign w:val="center"/>
          </w:tcPr>
          <w:p>
            <w:pPr>
              <w:widowControl/>
              <w:spacing w:line="240" w:lineRule="auto"/>
              <w:ind w:firstLine="0" w:firstLineChars="0"/>
              <w:jc w:val="center"/>
              <w:rPr>
                <w:rFonts w:cs="Times New Roman"/>
                <w:sz w:val="21"/>
                <w:szCs w:val="21"/>
              </w:rPr>
            </w:pPr>
            <w:r>
              <w:rPr>
                <w:rFonts w:cs="Times New Roman"/>
                <w:sz w:val="21"/>
                <w:szCs w:val="21"/>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8</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四氯化碳</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56-23-5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0.9</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2.8</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9</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9</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氯仿</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67-66-3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0.9</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10</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氯甲烷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74-87-3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37</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21</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11</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1,1-二氯乙烷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75-34-3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20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12</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1,2-二氯乙烷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107-06-2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0.52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6</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13</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1,1-二氯乙烯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75-35-4</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66</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40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14</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顺-1,2-二氯乙烯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156-59-2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596</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反-1,2-二氯乙烯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156-60-5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54</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31</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16</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二氯甲烷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75-09-2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94</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616</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300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17</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1,2-二氯丙烯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78-87-5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18</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1,1,1,2-四氯乙烷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630-20-6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26</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19</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1,1,2,2-四氯乙烷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79-34-5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6.8</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14</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20</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四氯乙烯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127-18-4</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11</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53</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34</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21</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1,1,1-三氯乙烷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71-55-6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701</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840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840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22</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1,1,2-三氯乙烷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79-00-5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2.8</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23</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三氯乙烯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79-01-6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0.7</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2.8</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7</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24</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1,2,3-三氯丙烷</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96-18-4</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0.05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0.5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25</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氯乙烯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75-01-4</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0.12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0.43</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1.2</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26</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71-43-2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4</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10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27</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氯苯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108-90-7</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68</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270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28</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1,2-二氯苯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95-50-1</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560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560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560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29</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1,4-二氯苯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106-46-7</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56</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30</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乙苯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100-41-4</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28</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72</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31</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苯乙烯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100-42-5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1290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1290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1290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32</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甲苯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108-88-3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1200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1200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1200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33</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间二甲苯+对二甲苯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108-38-3、</w:t>
            </w:r>
          </w:p>
          <w:p>
            <w:pPr>
              <w:widowControl/>
              <w:spacing w:line="240" w:lineRule="auto"/>
              <w:ind w:firstLine="0" w:firstLineChars="0"/>
              <w:jc w:val="center"/>
              <w:rPr>
                <w:rFonts w:cs="Times New Roman"/>
                <w:sz w:val="21"/>
                <w:szCs w:val="21"/>
              </w:rPr>
            </w:pPr>
            <w:r>
              <w:rPr>
                <w:rFonts w:cs="Times New Roman"/>
                <w:sz w:val="21"/>
                <w:szCs w:val="21"/>
              </w:rPr>
              <w:t>106-42-3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163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570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34</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邻二甲苯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95-47-6</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222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640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640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7"/>
            <w:vAlign w:val="center"/>
          </w:tcPr>
          <w:p>
            <w:pPr>
              <w:widowControl/>
              <w:spacing w:line="240" w:lineRule="auto"/>
              <w:ind w:firstLine="0" w:firstLineChars="0"/>
              <w:jc w:val="center"/>
              <w:rPr>
                <w:rFonts w:cs="Times New Roman"/>
                <w:sz w:val="21"/>
                <w:szCs w:val="21"/>
              </w:rPr>
            </w:pPr>
            <w:r>
              <w:rPr>
                <w:rFonts w:cs="Times New Roman"/>
                <w:sz w:val="21"/>
                <w:szCs w:val="21"/>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35</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硝基苯</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98-95-3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34</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76</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190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36</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苯胺</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62-53-3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260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211</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37</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2-氯酚</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95-57-8</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250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2256</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38</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苯并[a]蒽</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56-55-3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39</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苯并[a]芘</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50-32-8</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0.55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40</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苯并[b]荧蒽</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205-99-2</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41</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苯并[k]荧蒽</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207-08-9</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151</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550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42</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䓛</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218-01-9</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490</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1293</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4900</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12900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43</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二苯并[a，h]蒽</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53-70-3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0.55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44</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茚并[1,2,3-cd]芘</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193-39-5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15</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55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widowControl/>
              <w:spacing w:line="240" w:lineRule="auto"/>
              <w:ind w:firstLine="0" w:firstLineChars="0"/>
              <w:jc w:val="center"/>
              <w:rPr>
                <w:rFonts w:cs="Times New Roman"/>
                <w:sz w:val="21"/>
                <w:szCs w:val="21"/>
              </w:rPr>
            </w:pPr>
            <w:r>
              <w:rPr>
                <w:rFonts w:cs="Times New Roman"/>
                <w:sz w:val="21"/>
                <w:szCs w:val="21"/>
              </w:rPr>
              <w:t>45</w:t>
            </w:r>
          </w:p>
        </w:tc>
        <w:tc>
          <w:tcPr>
            <w:tcW w:w="1740" w:type="dxa"/>
            <w:vAlign w:val="center"/>
          </w:tcPr>
          <w:p>
            <w:pPr>
              <w:widowControl/>
              <w:spacing w:line="240" w:lineRule="auto"/>
              <w:ind w:firstLine="0" w:firstLineChars="0"/>
              <w:jc w:val="center"/>
              <w:rPr>
                <w:rFonts w:cs="Times New Roman"/>
                <w:sz w:val="21"/>
                <w:szCs w:val="21"/>
              </w:rPr>
            </w:pPr>
            <w:r>
              <w:rPr>
                <w:rFonts w:cs="Times New Roman"/>
                <w:sz w:val="21"/>
                <w:szCs w:val="21"/>
              </w:rPr>
              <w:t>萘</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91-20-3</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25</w:t>
            </w:r>
          </w:p>
        </w:tc>
        <w:tc>
          <w:tcPr>
            <w:tcW w:w="1296" w:type="dxa"/>
            <w:vAlign w:val="center"/>
          </w:tcPr>
          <w:p>
            <w:pPr>
              <w:widowControl/>
              <w:spacing w:line="240" w:lineRule="auto"/>
              <w:ind w:firstLine="0" w:firstLineChars="0"/>
              <w:jc w:val="center"/>
              <w:rPr>
                <w:rFonts w:cs="Times New Roman"/>
                <w:sz w:val="21"/>
                <w:szCs w:val="21"/>
              </w:rPr>
            </w:pPr>
            <w:r>
              <w:rPr>
                <w:rFonts w:cs="Times New Roman"/>
                <w:sz w:val="21"/>
                <w:szCs w:val="21"/>
              </w:rPr>
              <w:t>70</w:t>
            </w:r>
          </w:p>
        </w:tc>
        <w:tc>
          <w:tcPr>
            <w:tcW w:w="1295" w:type="dxa"/>
            <w:vAlign w:val="center"/>
          </w:tcPr>
          <w:p>
            <w:pPr>
              <w:widowControl/>
              <w:spacing w:line="240" w:lineRule="auto"/>
              <w:ind w:firstLine="0" w:firstLineChars="0"/>
              <w:jc w:val="center"/>
              <w:rPr>
                <w:rFonts w:cs="Times New Roman"/>
                <w:sz w:val="21"/>
                <w:szCs w:val="21"/>
              </w:rPr>
            </w:pPr>
            <w:r>
              <w:rPr>
                <w:rFonts w:cs="Times New Roman"/>
                <w:sz w:val="21"/>
                <w:szCs w:val="21"/>
              </w:rPr>
              <w:t>255</w:t>
            </w:r>
          </w:p>
        </w:tc>
        <w:tc>
          <w:tcPr>
            <w:tcW w:w="1297" w:type="dxa"/>
            <w:vAlign w:val="center"/>
          </w:tcPr>
          <w:p>
            <w:pPr>
              <w:widowControl/>
              <w:spacing w:line="240" w:lineRule="auto"/>
              <w:ind w:firstLine="0" w:firstLineChars="0"/>
              <w:jc w:val="center"/>
              <w:rPr>
                <w:rFonts w:cs="Times New Roman"/>
                <w:sz w:val="21"/>
                <w:szCs w:val="21"/>
              </w:rPr>
            </w:pPr>
            <w:r>
              <w:rPr>
                <w:rFonts w:cs="Times New Roman"/>
                <w:sz w:val="21"/>
                <w:szCs w:val="21"/>
              </w:rPr>
              <w:t>700</w:t>
            </w:r>
          </w:p>
        </w:tc>
      </w:tr>
    </w:tbl>
    <w:p>
      <w:pPr>
        <w:spacing w:line="500" w:lineRule="exact"/>
        <w:ind w:firstLine="0" w:firstLineChars="0"/>
        <w:jc w:val="center"/>
        <w:rPr>
          <w:rFonts w:eastAsia="黑体" w:cs="Times New Roman"/>
        </w:rPr>
      </w:pPr>
      <w:r>
        <w:rPr>
          <w:rFonts w:eastAsia="黑体" w:cs="Times New Roman"/>
        </w:rPr>
        <w:t>表</w:t>
      </w:r>
      <w:r>
        <w:rPr>
          <w:rFonts w:hint="eastAsia" w:eastAsia="黑体" w:cs="Times New Roman"/>
          <w:lang w:val="en-US" w:eastAsia="zh-CN"/>
        </w:rPr>
        <w:t>2</w:t>
      </w:r>
      <w:r>
        <w:rPr>
          <w:rFonts w:eastAsia="黑体" w:cs="Times New Roman"/>
        </w:rPr>
        <w:t>.5-6  农用地土壤污染风险筛选值</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308"/>
        <w:gridCol w:w="1307"/>
        <w:gridCol w:w="1308"/>
        <w:gridCol w:w="1598"/>
        <w:gridCol w:w="1529"/>
        <w:gridCol w:w="1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53" w:type="dxa"/>
            <w:vMerge w:val="restart"/>
            <w:vAlign w:val="center"/>
          </w:tcPr>
          <w:p>
            <w:pPr>
              <w:widowControl/>
              <w:spacing w:line="240" w:lineRule="auto"/>
              <w:ind w:firstLine="0" w:firstLineChars="0"/>
              <w:jc w:val="center"/>
              <w:rPr>
                <w:rFonts w:cs="Times New Roman"/>
                <w:b/>
                <w:sz w:val="21"/>
                <w:szCs w:val="21"/>
              </w:rPr>
            </w:pPr>
            <w:r>
              <w:rPr>
                <w:rFonts w:cs="Times New Roman"/>
                <w:b/>
                <w:sz w:val="21"/>
                <w:szCs w:val="21"/>
              </w:rPr>
              <w:t>序号</w:t>
            </w:r>
          </w:p>
        </w:tc>
        <w:tc>
          <w:tcPr>
            <w:tcW w:w="2553" w:type="dxa"/>
            <w:gridSpan w:val="2"/>
            <w:vMerge w:val="restart"/>
            <w:vAlign w:val="center"/>
          </w:tcPr>
          <w:p>
            <w:pPr>
              <w:widowControl/>
              <w:spacing w:line="240" w:lineRule="auto"/>
              <w:ind w:firstLine="0" w:firstLineChars="0"/>
              <w:jc w:val="center"/>
              <w:rPr>
                <w:rFonts w:cs="Times New Roman"/>
                <w:b/>
                <w:sz w:val="21"/>
                <w:szCs w:val="21"/>
              </w:rPr>
            </w:pPr>
            <w:r>
              <w:rPr>
                <w:rFonts w:cs="Times New Roman"/>
                <w:b/>
                <w:sz w:val="21"/>
                <w:szCs w:val="21"/>
              </w:rPr>
              <w:t>污染物项目</w:t>
            </w:r>
          </w:p>
        </w:tc>
        <w:tc>
          <w:tcPr>
            <w:tcW w:w="5621" w:type="dxa"/>
            <w:gridSpan w:val="4"/>
            <w:vAlign w:val="center"/>
          </w:tcPr>
          <w:p>
            <w:pPr>
              <w:widowControl/>
              <w:spacing w:line="240" w:lineRule="auto"/>
              <w:ind w:firstLine="0" w:firstLineChars="0"/>
              <w:jc w:val="center"/>
              <w:rPr>
                <w:rFonts w:cs="Times New Roman"/>
                <w:b/>
                <w:sz w:val="21"/>
                <w:szCs w:val="21"/>
              </w:rPr>
            </w:pPr>
            <w:r>
              <w:rPr>
                <w:rFonts w:cs="Times New Roman"/>
                <w:b/>
                <w:sz w:val="21"/>
                <w:szCs w:val="21"/>
              </w:rPr>
              <w:t>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853" w:type="dxa"/>
            <w:vMerge w:val="continue"/>
            <w:vAlign w:val="center"/>
          </w:tcPr>
          <w:p>
            <w:pPr>
              <w:widowControl/>
              <w:spacing w:line="240" w:lineRule="auto"/>
              <w:ind w:firstLine="0" w:firstLineChars="0"/>
              <w:jc w:val="center"/>
              <w:rPr>
                <w:rFonts w:cs="Times New Roman"/>
                <w:b/>
                <w:sz w:val="21"/>
                <w:szCs w:val="21"/>
              </w:rPr>
            </w:pPr>
          </w:p>
        </w:tc>
        <w:tc>
          <w:tcPr>
            <w:tcW w:w="2553" w:type="dxa"/>
            <w:gridSpan w:val="2"/>
            <w:vMerge w:val="continue"/>
            <w:vAlign w:val="center"/>
          </w:tcPr>
          <w:p>
            <w:pPr>
              <w:widowControl/>
              <w:spacing w:line="240" w:lineRule="auto"/>
              <w:ind w:firstLine="0" w:firstLineChars="0"/>
              <w:jc w:val="center"/>
              <w:rPr>
                <w:rFonts w:cs="Times New Roman"/>
                <w:b/>
                <w:sz w:val="21"/>
                <w:szCs w:val="21"/>
              </w:rPr>
            </w:pPr>
          </w:p>
        </w:tc>
        <w:tc>
          <w:tcPr>
            <w:tcW w:w="1277" w:type="dxa"/>
            <w:vAlign w:val="center"/>
          </w:tcPr>
          <w:p>
            <w:pPr>
              <w:widowControl/>
              <w:spacing w:line="240" w:lineRule="auto"/>
              <w:ind w:firstLine="0" w:firstLineChars="0"/>
              <w:jc w:val="center"/>
              <w:rPr>
                <w:rFonts w:cs="Times New Roman"/>
                <w:b/>
                <w:sz w:val="21"/>
                <w:szCs w:val="21"/>
              </w:rPr>
            </w:pPr>
            <w:r>
              <w:rPr>
                <w:rFonts w:cs="Times New Roman"/>
                <w:b/>
                <w:sz w:val="21"/>
                <w:szCs w:val="21"/>
              </w:rPr>
              <w:t>pH≤5.5</w:t>
            </w:r>
          </w:p>
        </w:tc>
        <w:tc>
          <w:tcPr>
            <w:tcW w:w="1561" w:type="dxa"/>
            <w:vAlign w:val="center"/>
          </w:tcPr>
          <w:p>
            <w:pPr>
              <w:widowControl/>
              <w:spacing w:line="240" w:lineRule="auto"/>
              <w:ind w:firstLine="0" w:firstLineChars="0"/>
              <w:jc w:val="center"/>
              <w:rPr>
                <w:rFonts w:cs="Times New Roman"/>
                <w:b/>
                <w:sz w:val="21"/>
                <w:szCs w:val="21"/>
              </w:rPr>
            </w:pPr>
            <w:r>
              <w:rPr>
                <w:rFonts w:cs="Times New Roman"/>
                <w:b/>
                <w:sz w:val="21"/>
                <w:szCs w:val="21"/>
              </w:rPr>
              <w:t>5.5＜pH≤6.5</w:t>
            </w:r>
          </w:p>
        </w:tc>
        <w:tc>
          <w:tcPr>
            <w:tcW w:w="1493" w:type="dxa"/>
            <w:vAlign w:val="center"/>
          </w:tcPr>
          <w:p>
            <w:pPr>
              <w:widowControl/>
              <w:spacing w:line="240" w:lineRule="auto"/>
              <w:ind w:firstLine="0" w:firstLineChars="0"/>
              <w:jc w:val="center"/>
              <w:rPr>
                <w:rFonts w:cs="Times New Roman"/>
                <w:b/>
                <w:sz w:val="21"/>
                <w:szCs w:val="21"/>
              </w:rPr>
            </w:pPr>
            <w:r>
              <w:rPr>
                <w:rFonts w:cs="Times New Roman"/>
                <w:b/>
                <w:sz w:val="21"/>
                <w:szCs w:val="21"/>
              </w:rPr>
              <w:t>6.5＜pH≤7.5</w:t>
            </w:r>
          </w:p>
        </w:tc>
        <w:tc>
          <w:tcPr>
            <w:tcW w:w="1290" w:type="dxa"/>
            <w:vAlign w:val="center"/>
          </w:tcPr>
          <w:p>
            <w:pPr>
              <w:widowControl/>
              <w:spacing w:line="240" w:lineRule="auto"/>
              <w:ind w:firstLine="0" w:firstLineChars="0"/>
              <w:jc w:val="center"/>
              <w:rPr>
                <w:rFonts w:cs="Times New Roman"/>
                <w:b/>
                <w:sz w:val="21"/>
                <w:szCs w:val="21"/>
              </w:rPr>
            </w:pPr>
            <w:r>
              <w:rPr>
                <w:rFonts w:cs="Times New Roman"/>
                <w:b/>
                <w:sz w:val="21"/>
                <w:szCs w:val="21"/>
              </w:rPr>
              <w:t>pH＞7.5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1</w:t>
            </w:r>
          </w:p>
        </w:tc>
        <w:tc>
          <w:tcPr>
            <w:tcW w:w="1277"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镉</w:t>
            </w: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水田</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0.3</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0.4</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0.6</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pPr>
              <w:widowControl/>
              <w:spacing w:line="240" w:lineRule="auto"/>
              <w:ind w:firstLine="0" w:firstLineChars="0"/>
              <w:jc w:val="center"/>
              <w:rPr>
                <w:rFonts w:cs="Times New Roman"/>
                <w:sz w:val="21"/>
                <w:szCs w:val="21"/>
              </w:rPr>
            </w:pPr>
          </w:p>
        </w:tc>
        <w:tc>
          <w:tcPr>
            <w:tcW w:w="1277" w:type="dxa"/>
            <w:vMerge w:val="continue"/>
            <w:vAlign w:val="center"/>
          </w:tcPr>
          <w:p>
            <w:pPr>
              <w:widowControl/>
              <w:spacing w:line="240" w:lineRule="auto"/>
              <w:ind w:firstLine="0" w:firstLineChars="0"/>
              <w:jc w:val="center"/>
              <w:rPr>
                <w:rFonts w:cs="Times New Roman"/>
                <w:sz w:val="21"/>
                <w:szCs w:val="21"/>
              </w:rPr>
            </w:pP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其他</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0.3</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0.3</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0.3</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2</w:t>
            </w:r>
          </w:p>
        </w:tc>
        <w:tc>
          <w:tcPr>
            <w:tcW w:w="1277"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汞</w:t>
            </w: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水田</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0.5</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0.5</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0.6</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pPr>
              <w:widowControl/>
              <w:spacing w:line="240" w:lineRule="auto"/>
              <w:ind w:firstLine="0" w:firstLineChars="0"/>
              <w:jc w:val="center"/>
              <w:rPr>
                <w:rFonts w:cs="Times New Roman"/>
                <w:sz w:val="21"/>
                <w:szCs w:val="21"/>
              </w:rPr>
            </w:pPr>
          </w:p>
        </w:tc>
        <w:tc>
          <w:tcPr>
            <w:tcW w:w="1277" w:type="dxa"/>
            <w:vMerge w:val="continue"/>
            <w:vAlign w:val="center"/>
          </w:tcPr>
          <w:p>
            <w:pPr>
              <w:widowControl/>
              <w:spacing w:line="240" w:lineRule="auto"/>
              <w:ind w:firstLine="0" w:firstLineChars="0"/>
              <w:jc w:val="center"/>
              <w:rPr>
                <w:rFonts w:cs="Times New Roman"/>
                <w:sz w:val="21"/>
                <w:szCs w:val="21"/>
              </w:rPr>
            </w:pP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其他</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1.3</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1.8</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2.4</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3</w:t>
            </w:r>
          </w:p>
        </w:tc>
        <w:tc>
          <w:tcPr>
            <w:tcW w:w="1277"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砷</w:t>
            </w: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水田</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30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30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25</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pPr>
              <w:widowControl/>
              <w:spacing w:line="240" w:lineRule="auto"/>
              <w:ind w:firstLine="0" w:firstLineChars="0"/>
              <w:jc w:val="center"/>
              <w:rPr>
                <w:rFonts w:cs="Times New Roman"/>
                <w:sz w:val="21"/>
                <w:szCs w:val="21"/>
              </w:rPr>
            </w:pPr>
          </w:p>
        </w:tc>
        <w:tc>
          <w:tcPr>
            <w:tcW w:w="1277" w:type="dxa"/>
            <w:vMerge w:val="continue"/>
            <w:vAlign w:val="center"/>
          </w:tcPr>
          <w:p>
            <w:pPr>
              <w:widowControl/>
              <w:spacing w:line="240" w:lineRule="auto"/>
              <w:ind w:firstLine="0" w:firstLineChars="0"/>
              <w:jc w:val="center"/>
              <w:rPr>
                <w:rFonts w:cs="Times New Roman"/>
                <w:sz w:val="21"/>
                <w:szCs w:val="21"/>
              </w:rPr>
            </w:pP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其他</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40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40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30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4</w:t>
            </w:r>
          </w:p>
        </w:tc>
        <w:tc>
          <w:tcPr>
            <w:tcW w:w="1277"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铅</w:t>
            </w: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水田</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80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100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140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pPr>
              <w:widowControl/>
              <w:spacing w:line="240" w:lineRule="auto"/>
              <w:ind w:firstLine="0" w:firstLineChars="0"/>
              <w:jc w:val="center"/>
              <w:rPr>
                <w:rFonts w:cs="Times New Roman"/>
                <w:sz w:val="21"/>
                <w:szCs w:val="21"/>
              </w:rPr>
            </w:pPr>
          </w:p>
        </w:tc>
        <w:tc>
          <w:tcPr>
            <w:tcW w:w="1277" w:type="dxa"/>
            <w:vMerge w:val="continue"/>
            <w:vAlign w:val="center"/>
          </w:tcPr>
          <w:p>
            <w:pPr>
              <w:widowControl/>
              <w:spacing w:line="240" w:lineRule="auto"/>
              <w:ind w:firstLine="0" w:firstLineChars="0"/>
              <w:jc w:val="center"/>
              <w:rPr>
                <w:rFonts w:cs="Times New Roman"/>
                <w:sz w:val="21"/>
                <w:szCs w:val="21"/>
              </w:rPr>
            </w:pP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其他</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70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90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120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5</w:t>
            </w:r>
          </w:p>
        </w:tc>
        <w:tc>
          <w:tcPr>
            <w:tcW w:w="1277"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铬</w:t>
            </w: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水田</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250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250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300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pPr>
              <w:widowControl/>
              <w:spacing w:line="240" w:lineRule="auto"/>
              <w:ind w:firstLine="0" w:firstLineChars="0"/>
              <w:jc w:val="center"/>
              <w:rPr>
                <w:rFonts w:cs="Times New Roman"/>
                <w:sz w:val="21"/>
                <w:szCs w:val="21"/>
              </w:rPr>
            </w:pPr>
          </w:p>
        </w:tc>
        <w:tc>
          <w:tcPr>
            <w:tcW w:w="1277" w:type="dxa"/>
            <w:vMerge w:val="continue"/>
            <w:vAlign w:val="center"/>
          </w:tcPr>
          <w:p>
            <w:pPr>
              <w:widowControl/>
              <w:spacing w:line="240" w:lineRule="auto"/>
              <w:ind w:firstLine="0" w:firstLineChars="0"/>
              <w:jc w:val="center"/>
              <w:rPr>
                <w:rFonts w:cs="Times New Roman"/>
                <w:sz w:val="21"/>
                <w:szCs w:val="21"/>
              </w:rPr>
            </w:pP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其他</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150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150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6</w:t>
            </w:r>
          </w:p>
        </w:tc>
        <w:tc>
          <w:tcPr>
            <w:tcW w:w="1277"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铜</w:t>
            </w: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水田</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150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150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pPr>
              <w:widowControl/>
              <w:spacing w:line="240" w:lineRule="auto"/>
              <w:ind w:firstLine="0" w:firstLineChars="0"/>
              <w:jc w:val="center"/>
              <w:rPr>
                <w:rFonts w:cs="Times New Roman"/>
                <w:sz w:val="21"/>
                <w:szCs w:val="21"/>
              </w:rPr>
            </w:pPr>
          </w:p>
        </w:tc>
        <w:tc>
          <w:tcPr>
            <w:tcW w:w="1277" w:type="dxa"/>
            <w:vMerge w:val="continue"/>
            <w:vAlign w:val="center"/>
          </w:tcPr>
          <w:p>
            <w:pPr>
              <w:widowControl/>
              <w:spacing w:line="240" w:lineRule="auto"/>
              <w:ind w:firstLine="0" w:firstLineChars="0"/>
              <w:jc w:val="center"/>
              <w:rPr>
                <w:rFonts w:cs="Times New Roman"/>
                <w:sz w:val="21"/>
                <w:szCs w:val="21"/>
              </w:rPr>
            </w:pPr>
          </w:p>
        </w:tc>
        <w:tc>
          <w:tcPr>
            <w:tcW w:w="1276" w:type="dxa"/>
            <w:vAlign w:val="center"/>
          </w:tcPr>
          <w:p>
            <w:pPr>
              <w:widowControl/>
              <w:spacing w:line="240" w:lineRule="auto"/>
              <w:ind w:firstLine="0" w:firstLineChars="0"/>
              <w:jc w:val="center"/>
              <w:rPr>
                <w:rFonts w:cs="Times New Roman"/>
                <w:sz w:val="21"/>
                <w:szCs w:val="21"/>
              </w:rPr>
            </w:pPr>
            <w:r>
              <w:rPr>
                <w:rFonts w:cs="Times New Roman"/>
                <w:sz w:val="21"/>
                <w:szCs w:val="21"/>
              </w:rPr>
              <w:t>其他</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50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50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100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widowControl/>
              <w:spacing w:line="240" w:lineRule="auto"/>
              <w:ind w:firstLine="0" w:firstLineChars="0"/>
              <w:jc w:val="center"/>
              <w:rPr>
                <w:rFonts w:cs="Times New Roman"/>
                <w:sz w:val="21"/>
                <w:szCs w:val="21"/>
              </w:rPr>
            </w:pPr>
            <w:r>
              <w:rPr>
                <w:rFonts w:cs="Times New Roman"/>
                <w:sz w:val="21"/>
                <w:szCs w:val="21"/>
              </w:rPr>
              <w:t>7</w:t>
            </w:r>
          </w:p>
        </w:tc>
        <w:tc>
          <w:tcPr>
            <w:tcW w:w="2553" w:type="dxa"/>
            <w:gridSpan w:val="2"/>
            <w:vAlign w:val="center"/>
          </w:tcPr>
          <w:p>
            <w:pPr>
              <w:widowControl/>
              <w:spacing w:line="240" w:lineRule="auto"/>
              <w:ind w:firstLine="0" w:firstLineChars="0"/>
              <w:jc w:val="center"/>
              <w:rPr>
                <w:rFonts w:cs="Times New Roman"/>
                <w:sz w:val="21"/>
                <w:szCs w:val="21"/>
              </w:rPr>
            </w:pPr>
            <w:r>
              <w:rPr>
                <w:rFonts w:cs="Times New Roman"/>
                <w:sz w:val="21"/>
                <w:szCs w:val="21"/>
              </w:rPr>
              <w:t>镍</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60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70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100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pPr>
              <w:widowControl/>
              <w:spacing w:line="240" w:lineRule="auto"/>
              <w:ind w:firstLine="0" w:firstLineChars="0"/>
              <w:jc w:val="center"/>
              <w:rPr>
                <w:rFonts w:cs="Times New Roman"/>
                <w:sz w:val="21"/>
                <w:szCs w:val="21"/>
              </w:rPr>
            </w:pPr>
            <w:r>
              <w:rPr>
                <w:rFonts w:cs="Times New Roman"/>
                <w:sz w:val="21"/>
                <w:szCs w:val="21"/>
              </w:rPr>
              <w:t>8</w:t>
            </w:r>
          </w:p>
        </w:tc>
        <w:tc>
          <w:tcPr>
            <w:tcW w:w="2553" w:type="dxa"/>
            <w:gridSpan w:val="2"/>
            <w:vAlign w:val="center"/>
          </w:tcPr>
          <w:p>
            <w:pPr>
              <w:widowControl/>
              <w:spacing w:line="240" w:lineRule="auto"/>
              <w:ind w:firstLine="0" w:firstLineChars="0"/>
              <w:jc w:val="center"/>
              <w:rPr>
                <w:rFonts w:cs="Times New Roman"/>
                <w:sz w:val="21"/>
                <w:szCs w:val="21"/>
              </w:rPr>
            </w:pPr>
            <w:r>
              <w:rPr>
                <w:rFonts w:cs="Times New Roman"/>
                <w:sz w:val="21"/>
                <w:szCs w:val="21"/>
              </w:rPr>
              <w:t>锌</w:t>
            </w:r>
          </w:p>
        </w:tc>
        <w:tc>
          <w:tcPr>
            <w:tcW w:w="1277"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c>
          <w:tcPr>
            <w:tcW w:w="1561" w:type="dxa"/>
            <w:vAlign w:val="center"/>
          </w:tcPr>
          <w:p>
            <w:pPr>
              <w:widowControl/>
              <w:spacing w:line="240" w:lineRule="auto"/>
              <w:ind w:firstLine="0" w:firstLineChars="0"/>
              <w:jc w:val="center"/>
              <w:rPr>
                <w:rFonts w:cs="Times New Roman"/>
                <w:sz w:val="21"/>
                <w:szCs w:val="21"/>
              </w:rPr>
            </w:pPr>
            <w:r>
              <w:rPr>
                <w:rFonts w:cs="Times New Roman"/>
                <w:sz w:val="21"/>
                <w:szCs w:val="21"/>
              </w:rPr>
              <w:t>200</w:t>
            </w:r>
          </w:p>
        </w:tc>
        <w:tc>
          <w:tcPr>
            <w:tcW w:w="1493" w:type="dxa"/>
            <w:vAlign w:val="center"/>
          </w:tcPr>
          <w:p>
            <w:pPr>
              <w:widowControl/>
              <w:spacing w:line="240" w:lineRule="auto"/>
              <w:ind w:firstLine="0" w:firstLineChars="0"/>
              <w:jc w:val="center"/>
              <w:rPr>
                <w:rFonts w:cs="Times New Roman"/>
                <w:sz w:val="21"/>
                <w:szCs w:val="21"/>
              </w:rPr>
            </w:pPr>
            <w:r>
              <w:rPr>
                <w:rFonts w:cs="Times New Roman"/>
                <w:sz w:val="21"/>
                <w:szCs w:val="21"/>
              </w:rPr>
              <w:t>250</w:t>
            </w:r>
          </w:p>
        </w:tc>
        <w:tc>
          <w:tcPr>
            <w:tcW w:w="1290" w:type="dxa"/>
            <w:vAlign w:val="center"/>
          </w:tcPr>
          <w:p>
            <w:pPr>
              <w:widowControl/>
              <w:spacing w:line="240" w:lineRule="auto"/>
              <w:ind w:firstLine="0" w:firstLineChars="0"/>
              <w:jc w:val="center"/>
              <w:rPr>
                <w:rFonts w:cs="Times New Roman"/>
                <w:sz w:val="21"/>
                <w:szCs w:val="21"/>
              </w:rPr>
            </w:pPr>
            <w:r>
              <w:rPr>
                <w:rFonts w:cs="Times New Roman"/>
                <w:sz w:val="21"/>
                <w:szCs w:val="21"/>
              </w:rPr>
              <w:t>300</w:t>
            </w:r>
          </w:p>
        </w:tc>
      </w:tr>
    </w:tbl>
    <w:p>
      <w:pPr>
        <w:pStyle w:val="2"/>
        <w:rPr>
          <w:rFonts w:hint="default" w:eastAsia="宋体"/>
          <w:lang w:val="en-US" w:eastAsia="zh-CN"/>
        </w:rPr>
      </w:pPr>
    </w:p>
    <w:bookmarkEnd w:id="1"/>
    <w:p>
      <w:pPr>
        <w:pStyle w:val="3"/>
        <w:numPr>
          <w:ilvl w:val="0"/>
          <w:numId w:val="0"/>
        </w:numPr>
        <w:tabs>
          <w:tab w:val="clear" w:pos="567"/>
        </w:tabs>
        <w:spacing w:before="156" w:after="156"/>
        <w:ind w:leftChars="200"/>
        <w:jc w:val="center"/>
        <w:rPr>
          <w:rFonts w:hint="eastAsia"/>
          <w:lang w:val="en-US" w:eastAsia="zh-CN"/>
        </w:rPr>
      </w:pPr>
      <w:r>
        <w:rPr>
          <w:rFonts w:hint="eastAsia"/>
          <w:lang w:val="en-US" w:eastAsia="zh-CN"/>
        </w:rPr>
        <w:br w:type="page"/>
      </w:r>
    </w:p>
    <w:p>
      <w:pPr>
        <w:pStyle w:val="3"/>
        <w:numPr>
          <w:ilvl w:val="0"/>
          <w:numId w:val="0"/>
        </w:numPr>
        <w:tabs>
          <w:tab w:val="clear" w:pos="567"/>
        </w:tabs>
        <w:spacing w:before="156" w:after="156"/>
        <w:ind w:leftChars="200"/>
        <w:jc w:val="center"/>
        <w:rPr>
          <w:rFonts w:hint="eastAsia"/>
          <w:lang w:val="en-US" w:eastAsia="zh-CN"/>
        </w:rPr>
      </w:pPr>
      <w:r>
        <w:rPr>
          <w:rFonts w:hint="eastAsia"/>
          <w:lang w:val="en-US" w:eastAsia="zh-CN"/>
        </w:rPr>
        <w:t>3环境质量</w:t>
      </w:r>
      <w:bookmarkEnd w:id="0"/>
      <w:r>
        <w:rPr>
          <w:rFonts w:hint="eastAsia"/>
          <w:lang w:val="en-US" w:eastAsia="zh-CN"/>
        </w:rPr>
        <w:t>跟踪评价</w:t>
      </w:r>
    </w:p>
    <w:p>
      <w:pPr>
        <w:pStyle w:val="5"/>
        <w:numPr>
          <w:ilvl w:val="2"/>
          <w:numId w:val="0"/>
        </w:numPr>
        <w:tabs>
          <w:tab w:val="clear" w:pos="1417"/>
        </w:tabs>
        <w:spacing w:before="156"/>
        <w:ind w:leftChars="200"/>
        <w:rPr>
          <w:rFonts w:hint="eastAsia"/>
          <w:lang w:val="en-US" w:eastAsia="zh-CN"/>
        </w:rPr>
      </w:pPr>
      <w:r>
        <w:rPr>
          <w:rFonts w:hint="eastAsia"/>
          <w:lang w:val="en-US" w:eastAsia="zh-CN"/>
        </w:rPr>
        <w:t>3.1环境空气质量跟踪评价</w:t>
      </w:r>
    </w:p>
    <w:p>
      <w:pPr>
        <w:ind w:firstLine="560" w:firstLineChars="200"/>
        <w:jc w:val="left"/>
        <w:outlineLvl w:val="2"/>
        <w:rPr>
          <w:rFonts w:eastAsia="黑体" w:cs="Times New Roman"/>
          <w:sz w:val="28"/>
        </w:rPr>
      </w:pPr>
      <w:r>
        <w:rPr>
          <w:rFonts w:hint="eastAsia" w:eastAsia="黑体" w:cs="Times New Roman"/>
          <w:sz w:val="28"/>
          <w:lang w:val="en-US" w:eastAsia="zh-CN"/>
        </w:rPr>
        <w:t>3.1.1</w:t>
      </w:r>
      <w:r>
        <w:rPr>
          <w:rFonts w:eastAsia="黑体" w:cs="Times New Roman"/>
          <w:sz w:val="28"/>
        </w:rPr>
        <w:t>历史监测资料收集与分析</w:t>
      </w:r>
    </w:p>
    <w:p>
      <w:pPr>
        <w:widowControl/>
        <w:ind w:firstLine="480" w:firstLineChars="200"/>
        <w:jc w:val="left"/>
        <w:outlineLvl w:val="3"/>
        <w:rPr>
          <w:rFonts w:eastAsia="黑体" w:cs="Times New Roman"/>
          <w:lang w:bidi="ar"/>
        </w:rPr>
      </w:pPr>
      <w:r>
        <w:rPr>
          <w:rFonts w:hint="eastAsia" w:eastAsia="黑体" w:cs="Times New Roman"/>
          <w:lang w:val="en-US" w:eastAsia="zh-CN" w:bidi="ar"/>
        </w:rPr>
        <w:t>3.</w:t>
      </w:r>
      <w:r>
        <w:rPr>
          <w:rFonts w:eastAsia="黑体" w:cs="Times New Roman"/>
          <w:lang w:bidi="ar"/>
        </w:rPr>
        <w:t xml:space="preserve">1.1 </w:t>
      </w:r>
      <w:r>
        <w:rPr>
          <w:rFonts w:hint="eastAsia" w:eastAsia="黑体" w:cs="Times New Roman"/>
          <w:lang w:val="en-US" w:eastAsia="zh-CN" w:bidi="ar"/>
        </w:rPr>
        <w:t>.2</w:t>
      </w:r>
      <w:r>
        <w:rPr>
          <w:rFonts w:eastAsia="黑体" w:cs="Times New Roman"/>
          <w:lang w:bidi="ar"/>
        </w:rPr>
        <w:t>上一轮规划环评环境空气质量监测</w:t>
      </w:r>
    </w:p>
    <w:p>
      <w:pPr>
        <w:widowControl/>
        <w:ind w:firstLine="480"/>
        <w:rPr>
          <w:rFonts w:cs="Times New Roman"/>
        </w:rPr>
      </w:pPr>
      <w:r>
        <w:rPr>
          <w:rFonts w:cs="Times New Roman"/>
          <w:lang w:bidi="ar"/>
        </w:rPr>
        <w:t>上一轮规划环评中环境空气质量的监测，共设置了6个环境空气质量监测点位，监测时间为2010年8月10日~2010年8月16日</w:t>
      </w:r>
      <w:r>
        <w:rPr>
          <w:rFonts w:cs="Times New Roman"/>
          <w:szCs w:val="24"/>
          <w:lang w:bidi="ar"/>
        </w:rPr>
        <w:t>，选择</w:t>
      </w:r>
      <w:r>
        <w:rPr>
          <w:rFonts w:cs="Times New Roman"/>
          <w:kern w:val="0"/>
          <w:szCs w:val="24"/>
          <w:lang w:bidi="ar"/>
        </w:rPr>
        <w:t>监测项目包括TSP、PM</w:t>
      </w:r>
      <w:r>
        <w:rPr>
          <w:rFonts w:cs="Times New Roman"/>
          <w:kern w:val="0"/>
          <w:sz w:val="16"/>
          <w:szCs w:val="16"/>
          <w:lang w:bidi="ar"/>
        </w:rPr>
        <w:t>10</w:t>
      </w:r>
      <w:r>
        <w:rPr>
          <w:rFonts w:cs="Times New Roman"/>
          <w:kern w:val="0"/>
          <w:szCs w:val="24"/>
          <w:lang w:bidi="ar"/>
        </w:rPr>
        <w:t>、SO</w:t>
      </w:r>
      <w:r>
        <w:rPr>
          <w:rFonts w:cs="Times New Roman"/>
          <w:kern w:val="0"/>
          <w:sz w:val="16"/>
          <w:szCs w:val="16"/>
          <w:lang w:bidi="ar"/>
        </w:rPr>
        <w:t>2</w:t>
      </w:r>
      <w:r>
        <w:rPr>
          <w:rFonts w:cs="Times New Roman"/>
          <w:kern w:val="0"/>
          <w:szCs w:val="24"/>
          <w:lang w:bidi="ar"/>
        </w:rPr>
        <w:t>、NO</w:t>
      </w:r>
      <w:r>
        <w:rPr>
          <w:rFonts w:cs="Times New Roman"/>
          <w:kern w:val="0"/>
          <w:sz w:val="16"/>
          <w:szCs w:val="16"/>
          <w:lang w:bidi="ar"/>
        </w:rPr>
        <w:t>2</w:t>
      </w:r>
      <w:r>
        <w:rPr>
          <w:rFonts w:cs="Times New Roman"/>
          <w:kern w:val="0"/>
          <w:szCs w:val="24"/>
          <w:lang w:bidi="ar"/>
        </w:rPr>
        <w:t>、苯、甲苯、二甲苯，同步监测风向、风速、气温、气压等常规气象参数。</w:t>
      </w:r>
      <w:r>
        <w:rPr>
          <w:rFonts w:cs="Times New Roman"/>
          <w:lang w:bidi="ar"/>
        </w:rPr>
        <w:t>上一轮规划环评大气监测点位设置情况见表</w:t>
      </w:r>
      <w:r>
        <w:rPr>
          <w:rFonts w:hint="eastAsia" w:cs="Times New Roman"/>
          <w:lang w:val="en-US" w:eastAsia="zh-CN" w:bidi="ar"/>
        </w:rPr>
        <w:t>3.</w:t>
      </w:r>
      <w:r>
        <w:rPr>
          <w:rFonts w:cs="Times New Roman"/>
          <w:lang w:bidi="ar"/>
        </w:rPr>
        <w:t>1</w:t>
      </w:r>
      <w:r>
        <w:rPr>
          <w:rFonts w:hint="eastAsia" w:cs="Times New Roman"/>
          <w:lang w:val="en-US" w:eastAsia="zh-CN" w:bidi="ar"/>
        </w:rPr>
        <w:t>.1.2</w:t>
      </w:r>
      <w:r>
        <w:rPr>
          <w:rFonts w:cs="Times New Roman"/>
          <w:lang w:bidi="ar"/>
        </w:rPr>
        <w:t>-1，监测数据统计见表</w:t>
      </w:r>
      <w:r>
        <w:rPr>
          <w:rFonts w:hint="eastAsia" w:cs="Times New Roman"/>
          <w:lang w:val="en-US" w:eastAsia="zh-CN" w:bidi="ar"/>
        </w:rPr>
        <w:t>3.</w:t>
      </w:r>
      <w:r>
        <w:rPr>
          <w:rFonts w:cs="Times New Roman"/>
          <w:lang w:bidi="ar"/>
        </w:rPr>
        <w:t>1</w:t>
      </w:r>
      <w:r>
        <w:rPr>
          <w:rFonts w:hint="eastAsia" w:cs="Times New Roman"/>
          <w:lang w:val="en-US" w:eastAsia="zh-CN" w:bidi="ar"/>
        </w:rPr>
        <w:t>.1.2</w:t>
      </w:r>
      <w:r>
        <w:rPr>
          <w:rFonts w:cs="Times New Roman"/>
          <w:lang w:bidi="ar"/>
        </w:rPr>
        <w:t>-2。</w:t>
      </w:r>
    </w:p>
    <w:p>
      <w:pPr>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1</w:t>
      </w:r>
      <w:r>
        <w:rPr>
          <w:rFonts w:hint="eastAsia" w:eastAsia="黑体" w:cs="Times New Roman"/>
          <w:lang w:val="en-US" w:eastAsia="zh-CN" w:bidi="ar"/>
        </w:rPr>
        <w:t>.1.2</w:t>
      </w:r>
      <w:r>
        <w:rPr>
          <w:rFonts w:eastAsia="黑体" w:cs="Times New Roman"/>
          <w:lang w:bidi="ar"/>
        </w:rPr>
        <w:t>-1  上一轮规划环评大气监测布点及监测项目</w:t>
      </w:r>
    </w:p>
    <w:tbl>
      <w:tblPr>
        <w:tblStyle w:val="11"/>
        <w:tblW w:w="92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970"/>
        <w:gridCol w:w="1086"/>
        <w:gridCol w:w="1123"/>
        <w:gridCol w:w="1438"/>
        <w:gridCol w:w="25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6" w:type="dxa"/>
            <w:vAlign w:val="center"/>
          </w:tcPr>
          <w:p>
            <w:pPr>
              <w:spacing w:line="240" w:lineRule="auto"/>
              <w:ind w:firstLine="0" w:firstLineChars="0"/>
              <w:jc w:val="center"/>
              <w:rPr>
                <w:rFonts w:ascii="Times New Roman" w:hAnsi="Times New Roman" w:cs="Times New Roman"/>
                <w:b/>
                <w:bCs/>
                <w:sz w:val="21"/>
                <w:szCs w:val="18"/>
              </w:rPr>
            </w:pPr>
            <w:r>
              <w:rPr>
                <w:rFonts w:ascii="Times New Roman" w:hAnsi="Times New Roman" w:cs="Times New Roman"/>
                <w:b/>
                <w:bCs/>
                <w:sz w:val="21"/>
                <w:szCs w:val="18"/>
                <w:lang w:bidi="ar"/>
              </w:rPr>
              <w:t>点位编号</w:t>
            </w:r>
          </w:p>
        </w:tc>
        <w:tc>
          <w:tcPr>
            <w:tcW w:w="1970" w:type="dxa"/>
            <w:vAlign w:val="center"/>
          </w:tcPr>
          <w:p>
            <w:pPr>
              <w:spacing w:line="240" w:lineRule="auto"/>
              <w:ind w:firstLine="0" w:firstLineChars="0"/>
              <w:jc w:val="center"/>
              <w:rPr>
                <w:rFonts w:ascii="Times New Roman" w:hAnsi="Times New Roman" w:cs="Times New Roman"/>
                <w:b/>
                <w:bCs/>
                <w:sz w:val="21"/>
                <w:szCs w:val="18"/>
              </w:rPr>
            </w:pPr>
            <w:r>
              <w:rPr>
                <w:rFonts w:ascii="Times New Roman" w:hAnsi="Times New Roman" w:cs="Times New Roman"/>
                <w:b/>
                <w:bCs/>
                <w:sz w:val="21"/>
                <w:szCs w:val="18"/>
                <w:lang w:bidi="ar"/>
              </w:rPr>
              <w:t>测点名称</w:t>
            </w:r>
          </w:p>
        </w:tc>
        <w:tc>
          <w:tcPr>
            <w:tcW w:w="1086" w:type="dxa"/>
            <w:vAlign w:val="center"/>
          </w:tcPr>
          <w:p>
            <w:pPr>
              <w:spacing w:line="240" w:lineRule="auto"/>
              <w:ind w:firstLine="0" w:firstLineChars="0"/>
              <w:jc w:val="center"/>
              <w:rPr>
                <w:rFonts w:ascii="Times New Roman" w:hAnsi="Times New Roman" w:cs="Times New Roman"/>
                <w:b/>
                <w:bCs/>
                <w:sz w:val="21"/>
                <w:szCs w:val="18"/>
              </w:rPr>
            </w:pPr>
            <w:r>
              <w:rPr>
                <w:rFonts w:ascii="Times New Roman" w:hAnsi="Times New Roman" w:cs="Times New Roman"/>
                <w:b/>
                <w:bCs/>
                <w:sz w:val="21"/>
                <w:szCs w:val="18"/>
                <w:lang w:bidi="ar"/>
              </w:rPr>
              <w:t>功能</w:t>
            </w:r>
          </w:p>
        </w:tc>
        <w:tc>
          <w:tcPr>
            <w:tcW w:w="1123" w:type="dxa"/>
            <w:vAlign w:val="center"/>
          </w:tcPr>
          <w:p>
            <w:pPr>
              <w:spacing w:line="240" w:lineRule="auto"/>
              <w:ind w:firstLine="0" w:firstLineChars="0"/>
              <w:jc w:val="center"/>
              <w:rPr>
                <w:rFonts w:ascii="Times New Roman" w:hAnsi="Times New Roman" w:cs="Times New Roman"/>
                <w:b/>
                <w:bCs/>
                <w:sz w:val="21"/>
                <w:szCs w:val="18"/>
              </w:rPr>
            </w:pPr>
            <w:r>
              <w:rPr>
                <w:rFonts w:ascii="Times New Roman" w:hAnsi="Times New Roman" w:cs="Times New Roman"/>
                <w:b/>
                <w:bCs/>
                <w:sz w:val="21"/>
                <w:szCs w:val="18"/>
                <w:lang w:bidi="ar"/>
              </w:rPr>
              <w:t>方向</w:t>
            </w:r>
          </w:p>
        </w:tc>
        <w:tc>
          <w:tcPr>
            <w:tcW w:w="1438" w:type="dxa"/>
            <w:vAlign w:val="center"/>
          </w:tcPr>
          <w:p>
            <w:pPr>
              <w:spacing w:line="240" w:lineRule="auto"/>
              <w:ind w:firstLine="0" w:firstLineChars="0"/>
              <w:jc w:val="center"/>
              <w:rPr>
                <w:rFonts w:ascii="Times New Roman" w:hAnsi="Times New Roman" w:cs="Times New Roman"/>
                <w:b/>
                <w:bCs/>
                <w:sz w:val="21"/>
                <w:szCs w:val="18"/>
              </w:rPr>
            </w:pPr>
            <w:r>
              <w:rPr>
                <w:rFonts w:ascii="Times New Roman" w:hAnsi="Times New Roman" w:cs="Times New Roman"/>
                <w:b/>
                <w:bCs/>
                <w:sz w:val="21"/>
                <w:szCs w:val="18"/>
                <w:lang w:bidi="ar"/>
              </w:rPr>
              <w:t>距离（m）</w:t>
            </w:r>
          </w:p>
        </w:tc>
        <w:tc>
          <w:tcPr>
            <w:tcW w:w="2548" w:type="dxa"/>
            <w:vAlign w:val="center"/>
          </w:tcPr>
          <w:p>
            <w:pPr>
              <w:spacing w:line="240" w:lineRule="auto"/>
              <w:ind w:firstLine="0" w:firstLineChars="0"/>
              <w:jc w:val="center"/>
              <w:rPr>
                <w:rFonts w:ascii="Times New Roman" w:hAnsi="Times New Roman" w:cs="Times New Roman"/>
                <w:b/>
                <w:bCs/>
                <w:sz w:val="21"/>
                <w:szCs w:val="18"/>
              </w:rPr>
            </w:pPr>
            <w:r>
              <w:rPr>
                <w:rFonts w:ascii="Times New Roman" w:hAnsi="Times New Roman" w:cs="Times New Roman"/>
                <w:b/>
                <w:bCs/>
                <w:sz w:val="21"/>
                <w:szCs w:val="18"/>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6" w:type="dxa"/>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1#</w:t>
            </w:r>
          </w:p>
        </w:tc>
        <w:tc>
          <w:tcPr>
            <w:tcW w:w="1970"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纵楼村</w:t>
            </w:r>
          </w:p>
        </w:tc>
        <w:tc>
          <w:tcPr>
            <w:tcW w:w="1086" w:type="dxa"/>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对照点</w:t>
            </w:r>
          </w:p>
        </w:tc>
        <w:tc>
          <w:tcPr>
            <w:tcW w:w="1123" w:type="dxa"/>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NE</w:t>
            </w:r>
          </w:p>
        </w:tc>
        <w:tc>
          <w:tcPr>
            <w:tcW w:w="1438" w:type="dxa"/>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400</w:t>
            </w:r>
          </w:p>
        </w:tc>
        <w:tc>
          <w:tcPr>
            <w:tcW w:w="2548" w:type="dxa"/>
            <w:vMerge w:val="restart"/>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杜集经济开发区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6" w:type="dxa"/>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2#</w:t>
            </w:r>
          </w:p>
        </w:tc>
        <w:tc>
          <w:tcPr>
            <w:tcW w:w="1970"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南段庄</w:t>
            </w:r>
          </w:p>
        </w:tc>
        <w:tc>
          <w:tcPr>
            <w:tcW w:w="1086" w:type="dxa"/>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居民点</w:t>
            </w:r>
          </w:p>
        </w:tc>
        <w:tc>
          <w:tcPr>
            <w:tcW w:w="1123" w:type="dxa"/>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内部</w:t>
            </w:r>
          </w:p>
        </w:tc>
        <w:tc>
          <w:tcPr>
            <w:tcW w:w="1438" w:type="dxa"/>
            <w:vAlign w:val="center"/>
          </w:tcPr>
          <w:p>
            <w:pPr>
              <w:spacing w:line="240" w:lineRule="auto"/>
              <w:ind w:firstLine="0" w:firstLineChars="0"/>
              <w:jc w:val="center"/>
              <w:rPr>
                <w:rFonts w:ascii="Times New Roman" w:hAnsi="Times New Roman" w:cs="Times New Roman"/>
                <w:sz w:val="21"/>
                <w:szCs w:val="18"/>
              </w:rPr>
            </w:pPr>
            <w:r>
              <w:rPr>
                <w:rFonts w:ascii="Times New Roman" w:hAnsi="Times New Roman" w:cs="Times New Roman"/>
                <w:sz w:val="21"/>
                <w:szCs w:val="18"/>
                <w:lang w:bidi="ar"/>
              </w:rPr>
              <w:t>-</w:t>
            </w:r>
          </w:p>
        </w:tc>
        <w:tc>
          <w:tcPr>
            <w:tcW w:w="2548" w:type="dxa"/>
            <w:vMerge w:val="continue"/>
            <w:vAlign w:val="center"/>
          </w:tcPr>
          <w:p>
            <w:pPr>
              <w:spacing w:line="240" w:lineRule="auto"/>
              <w:ind w:firstLine="0" w:firstLineChars="0"/>
              <w:jc w:val="center"/>
              <w:rPr>
                <w:rFonts w:ascii="Times New Roman" w:hAnsi="Times New Roman" w:cs="Times New Roman"/>
                <w:sz w:val="21"/>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6"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3#</w:t>
            </w:r>
          </w:p>
        </w:tc>
        <w:tc>
          <w:tcPr>
            <w:tcW w:w="1970"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刘窑村</w:t>
            </w:r>
          </w:p>
        </w:tc>
        <w:tc>
          <w:tcPr>
            <w:tcW w:w="1086"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居民点</w:t>
            </w:r>
          </w:p>
        </w:tc>
        <w:tc>
          <w:tcPr>
            <w:tcW w:w="1123"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内部</w:t>
            </w:r>
          </w:p>
        </w:tc>
        <w:tc>
          <w:tcPr>
            <w:tcW w:w="1438"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w:t>
            </w:r>
          </w:p>
        </w:tc>
        <w:tc>
          <w:tcPr>
            <w:tcW w:w="2548" w:type="dxa"/>
            <w:vMerge w:val="continue"/>
            <w:vAlign w:val="center"/>
          </w:tcPr>
          <w:p>
            <w:pPr>
              <w:spacing w:line="240" w:lineRule="auto"/>
              <w:ind w:firstLine="0" w:firstLineChars="0"/>
              <w:jc w:val="center"/>
              <w:rPr>
                <w:rFonts w:ascii="Times New Roman" w:hAnsi="Times New Roman" w:cs="Times New Roman"/>
                <w:sz w:val="21"/>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6"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4#</w:t>
            </w:r>
          </w:p>
        </w:tc>
        <w:tc>
          <w:tcPr>
            <w:tcW w:w="1970"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滂汪小学</w:t>
            </w:r>
          </w:p>
        </w:tc>
        <w:tc>
          <w:tcPr>
            <w:tcW w:w="1086"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居民点</w:t>
            </w:r>
          </w:p>
        </w:tc>
        <w:tc>
          <w:tcPr>
            <w:tcW w:w="1123"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内部</w:t>
            </w:r>
          </w:p>
        </w:tc>
        <w:tc>
          <w:tcPr>
            <w:tcW w:w="1438"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w:t>
            </w:r>
          </w:p>
        </w:tc>
        <w:tc>
          <w:tcPr>
            <w:tcW w:w="2548" w:type="dxa"/>
            <w:vMerge w:val="continue"/>
            <w:vAlign w:val="center"/>
          </w:tcPr>
          <w:p>
            <w:pPr>
              <w:spacing w:line="240" w:lineRule="auto"/>
              <w:ind w:firstLine="0" w:firstLineChars="0"/>
              <w:jc w:val="center"/>
              <w:rPr>
                <w:rFonts w:ascii="Times New Roman" w:hAnsi="Times New Roman" w:cs="Times New Roman"/>
                <w:sz w:val="21"/>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6"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5#</w:t>
            </w:r>
          </w:p>
        </w:tc>
        <w:tc>
          <w:tcPr>
            <w:tcW w:w="1970"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徐里村</w:t>
            </w:r>
          </w:p>
        </w:tc>
        <w:tc>
          <w:tcPr>
            <w:tcW w:w="1086"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居民点</w:t>
            </w:r>
          </w:p>
        </w:tc>
        <w:tc>
          <w:tcPr>
            <w:tcW w:w="1123"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SW</w:t>
            </w:r>
          </w:p>
        </w:tc>
        <w:tc>
          <w:tcPr>
            <w:tcW w:w="1438"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2200</w:t>
            </w:r>
          </w:p>
        </w:tc>
        <w:tc>
          <w:tcPr>
            <w:tcW w:w="2548" w:type="dxa"/>
            <w:vMerge w:val="continue"/>
            <w:vAlign w:val="center"/>
          </w:tcPr>
          <w:p>
            <w:pPr>
              <w:spacing w:line="240" w:lineRule="auto"/>
              <w:ind w:firstLine="0" w:firstLineChars="0"/>
              <w:jc w:val="center"/>
              <w:rPr>
                <w:rFonts w:ascii="Times New Roman" w:hAnsi="Times New Roman" w:cs="Times New Roman"/>
                <w:sz w:val="21"/>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86"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6#</w:t>
            </w:r>
          </w:p>
        </w:tc>
        <w:tc>
          <w:tcPr>
            <w:tcW w:w="1970"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刘楼</w:t>
            </w:r>
          </w:p>
        </w:tc>
        <w:tc>
          <w:tcPr>
            <w:tcW w:w="1086"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居民点</w:t>
            </w:r>
          </w:p>
        </w:tc>
        <w:tc>
          <w:tcPr>
            <w:tcW w:w="1123"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E</w:t>
            </w:r>
          </w:p>
        </w:tc>
        <w:tc>
          <w:tcPr>
            <w:tcW w:w="1438" w:type="dxa"/>
            <w:vAlign w:val="center"/>
          </w:tcPr>
          <w:p>
            <w:pPr>
              <w:spacing w:line="240" w:lineRule="auto"/>
              <w:ind w:firstLine="0" w:firstLineChars="0"/>
              <w:jc w:val="center"/>
              <w:rPr>
                <w:rFonts w:ascii="Times New Roman" w:hAnsi="Times New Roman" w:cs="Times New Roman"/>
                <w:sz w:val="21"/>
                <w:szCs w:val="18"/>
                <w:lang w:bidi="ar"/>
              </w:rPr>
            </w:pPr>
            <w:r>
              <w:rPr>
                <w:rFonts w:ascii="Times New Roman" w:hAnsi="Times New Roman" w:cs="Times New Roman"/>
                <w:sz w:val="21"/>
                <w:szCs w:val="18"/>
                <w:lang w:bidi="ar"/>
              </w:rPr>
              <w:t>200</w:t>
            </w:r>
          </w:p>
        </w:tc>
        <w:tc>
          <w:tcPr>
            <w:tcW w:w="2548" w:type="dxa"/>
            <w:vMerge w:val="continue"/>
            <w:vAlign w:val="center"/>
          </w:tcPr>
          <w:p>
            <w:pPr>
              <w:spacing w:line="240" w:lineRule="auto"/>
              <w:ind w:firstLine="0" w:firstLineChars="0"/>
              <w:jc w:val="center"/>
              <w:rPr>
                <w:rFonts w:ascii="Times New Roman" w:hAnsi="Times New Roman" w:cs="Times New Roman"/>
                <w:sz w:val="21"/>
                <w:szCs w:val="18"/>
              </w:rPr>
            </w:pPr>
          </w:p>
        </w:tc>
      </w:tr>
    </w:tbl>
    <w:p>
      <w:pPr>
        <w:spacing w:before="120" w:line="500" w:lineRule="exact"/>
        <w:ind w:left="482" w:firstLine="0" w:firstLineChars="0"/>
        <w:jc w:val="center"/>
        <w:rPr>
          <w:rFonts w:cs="Times New Roman"/>
          <w:kern w:val="0"/>
          <w:szCs w:val="24"/>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1</w:t>
      </w:r>
      <w:r>
        <w:rPr>
          <w:rFonts w:hint="eastAsia" w:eastAsia="黑体" w:cs="Times New Roman"/>
          <w:lang w:val="en-US" w:eastAsia="zh-CN" w:bidi="ar"/>
        </w:rPr>
        <w:t>.1.2</w:t>
      </w:r>
      <w:r>
        <w:rPr>
          <w:rFonts w:eastAsia="黑体" w:cs="Times New Roman"/>
          <w:lang w:bidi="ar"/>
        </w:rPr>
        <w:t>-2  上一轮规划环评大气环境监测数据汇总</w:t>
      </w:r>
    </w:p>
    <w:tbl>
      <w:tblPr>
        <w:tblStyle w:val="1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377"/>
        <w:gridCol w:w="2624"/>
        <w:gridCol w:w="1754"/>
        <w:gridCol w:w="2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68" w:type="pct"/>
            <w:vMerge w:val="restart"/>
            <w:vAlign w:val="center"/>
          </w:tcPr>
          <w:p>
            <w:pPr>
              <w:spacing w:line="240" w:lineRule="auto"/>
              <w:ind w:firstLine="0" w:firstLineChars="0"/>
              <w:jc w:val="center"/>
              <w:rPr>
                <w:rFonts w:ascii="Times New Roman" w:hAnsi="Times New Roman" w:cs="Times New Roman"/>
                <w:b/>
                <w:bCs/>
                <w:kern w:val="0"/>
                <w:sz w:val="21"/>
              </w:rPr>
            </w:pPr>
            <w:r>
              <w:rPr>
                <w:rFonts w:ascii="Times New Roman" w:hAnsi="Times New Roman" w:cs="Times New Roman"/>
                <w:b/>
                <w:bCs/>
                <w:sz w:val="21"/>
                <w:lang w:bidi="ar"/>
              </w:rPr>
              <w:t>监测因子</w:t>
            </w:r>
          </w:p>
        </w:tc>
        <w:tc>
          <w:tcPr>
            <w:tcW w:w="745" w:type="pct"/>
            <w:vMerge w:val="restart"/>
            <w:vAlign w:val="center"/>
          </w:tcPr>
          <w:p>
            <w:pPr>
              <w:spacing w:line="240" w:lineRule="auto"/>
              <w:ind w:firstLine="0" w:firstLineChars="0"/>
              <w:jc w:val="center"/>
              <w:rPr>
                <w:rFonts w:ascii="Times New Roman" w:hAnsi="Times New Roman" w:cs="Times New Roman"/>
                <w:b/>
                <w:bCs/>
                <w:kern w:val="0"/>
                <w:sz w:val="21"/>
              </w:rPr>
            </w:pPr>
            <w:r>
              <w:rPr>
                <w:rFonts w:ascii="Times New Roman" w:hAnsi="Times New Roman" w:cs="Times New Roman"/>
                <w:b/>
                <w:bCs/>
                <w:sz w:val="21"/>
                <w:lang w:bidi="ar"/>
              </w:rPr>
              <w:t>监测点</w:t>
            </w:r>
          </w:p>
        </w:tc>
        <w:tc>
          <w:tcPr>
            <w:tcW w:w="3587" w:type="pct"/>
            <w:gridSpan w:val="3"/>
            <w:vAlign w:val="center"/>
          </w:tcPr>
          <w:p>
            <w:pPr>
              <w:spacing w:line="240" w:lineRule="auto"/>
              <w:ind w:firstLine="0" w:firstLineChars="0"/>
              <w:jc w:val="center"/>
              <w:rPr>
                <w:rFonts w:ascii="Times New Roman" w:hAnsi="Times New Roman" w:cs="Times New Roman"/>
                <w:b/>
                <w:bCs/>
                <w:kern w:val="0"/>
                <w:sz w:val="21"/>
              </w:rPr>
            </w:pPr>
            <w:r>
              <w:rPr>
                <w:rFonts w:ascii="Times New Roman" w:hAnsi="Times New Roman" w:cs="Times New Roman"/>
                <w:b/>
                <w:bCs/>
                <w:sz w:val="21"/>
                <w:lang w:bidi="ar"/>
              </w:rPr>
              <w:t>日均浓度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68" w:type="pct"/>
            <w:vMerge w:val="continue"/>
            <w:vAlign w:val="center"/>
          </w:tcPr>
          <w:p>
            <w:pPr>
              <w:spacing w:line="240" w:lineRule="auto"/>
              <w:ind w:firstLine="0" w:firstLineChars="0"/>
              <w:jc w:val="center"/>
              <w:rPr>
                <w:rFonts w:ascii="Times New Roman" w:hAnsi="Times New Roman" w:cs="Times New Roman"/>
                <w:b/>
                <w:bCs/>
                <w:sz w:val="21"/>
              </w:rPr>
            </w:pPr>
          </w:p>
        </w:tc>
        <w:tc>
          <w:tcPr>
            <w:tcW w:w="745" w:type="pct"/>
            <w:vMerge w:val="continue"/>
            <w:vAlign w:val="center"/>
          </w:tcPr>
          <w:p>
            <w:pPr>
              <w:spacing w:line="240" w:lineRule="auto"/>
              <w:ind w:firstLine="0" w:firstLineChars="0"/>
              <w:jc w:val="center"/>
              <w:rPr>
                <w:rFonts w:ascii="Times New Roman" w:hAnsi="Times New Roman" w:cs="Times New Roman"/>
                <w:b/>
                <w:bCs/>
                <w:sz w:val="21"/>
              </w:rPr>
            </w:pPr>
          </w:p>
        </w:tc>
        <w:tc>
          <w:tcPr>
            <w:tcW w:w="1420" w:type="pct"/>
            <w:vAlign w:val="center"/>
          </w:tcPr>
          <w:p>
            <w:pPr>
              <w:spacing w:line="240" w:lineRule="auto"/>
              <w:ind w:firstLine="0" w:firstLineChars="0"/>
              <w:jc w:val="center"/>
              <w:rPr>
                <w:rFonts w:ascii="Times New Roman" w:hAnsi="Times New Roman" w:cs="Times New Roman"/>
                <w:b/>
                <w:bCs/>
                <w:kern w:val="0"/>
                <w:sz w:val="21"/>
              </w:rPr>
            </w:pPr>
            <w:r>
              <w:rPr>
                <w:rFonts w:ascii="Times New Roman" w:hAnsi="Times New Roman" w:cs="Times New Roman"/>
                <w:b/>
                <w:bCs/>
                <w:sz w:val="21"/>
                <w:lang w:bidi="ar"/>
              </w:rPr>
              <w:t>浓度范围(μg/m</w:t>
            </w:r>
            <w:r>
              <w:rPr>
                <w:rFonts w:ascii="Times New Roman" w:hAnsi="Times New Roman" w:cs="Times New Roman"/>
                <w:b/>
                <w:bCs/>
                <w:sz w:val="21"/>
                <w:vertAlign w:val="superscript"/>
                <w:lang w:bidi="ar"/>
              </w:rPr>
              <w:t>3</w:t>
            </w:r>
            <w:r>
              <w:rPr>
                <w:rFonts w:ascii="Times New Roman" w:hAnsi="Times New Roman" w:cs="Times New Roman"/>
                <w:b/>
                <w:bCs/>
                <w:sz w:val="21"/>
                <w:lang w:bidi="ar"/>
              </w:rPr>
              <w:t>)</w:t>
            </w:r>
          </w:p>
        </w:tc>
        <w:tc>
          <w:tcPr>
            <w:tcW w:w="949" w:type="pct"/>
            <w:vAlign w:val="center"/>
          </w:tcPr>
          <w:p>
            <w:pPr>
              <w:spacing w:line="240" w:lineRule="auto"/>
              <w:ind w:firstLine="0" w:firstLineChars="0"/>
              <w:jc w:val="center"/>
              <w:rPr>
                <w:rFonts w:ascii="Times New Roman" w:hAnsi="Times New Roman" w:cs="Times New Roman"/>
                <w:b/>
                <w:bCs/>
                <w:kern w:val="0"/>
                <w:sz w:val="21"/>
              </w:rPr>
            </w:pPr>
            <w:r>
              <w:rPr>
                <w:rFonts w:ascii="Times New Roman" w:hAnsi="Times New Roman" w:cs="Times New Roman"/>
                <w:b/>
                <w:bCs/>
                <w:sz w:val="21"/>
                <w:lang w:bidi="ar"/>
              </w:rPr>
              <w:t>超标率(%)</w:t>
            </w:r>
          </w:p>
        </w:tc>
        <w:tc>
          <w:tcPr>
            <w:tcW w:w="1219" w:type="pct"/>
            <w:vAlign w:val="center"/>
          </w:tcPr>
          <w:p>
            <w:pPr>
              <w:spacing w:line="240" w:lineRule="auto"/>
              <w:ind w:firstLine="0" w:firstLineChars="0"/>
              <w:jc w:val="center"/>
              <w:rPr>
                <w:rFonts w:ascii="Times New Roman" w:hAnsi="Times New Roman" w:cs="Times New Roman"/>
                <w:b/>
                <w:bCs/>
                <w:kern w:val="0"/>
                <w:sz w:val="21"/>
              </w:rPr>
            </w:pPr>
            <w:r>
              <w:rPr>
                <w:rFonts w:ascii="Times New Roman" w:hAnsi="Times New Roman" w:cs="Times New Roman"/>
                <w:b/>
                <w:bCs/>
                <w:sz w:val="21"/>
                <w:lang w:bidi="ar"/>
              </w:rPr>
              <w:t>占标准份额(%)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68" w:type="pct"/>
            <w:vMerge w:val="restart"/>
            <w:vAlign w:val="center"/>
          </w:tcPr>
          <w:p>
            <w:pPr>
              <w:spacing w:line="240" w:lineRule="auto"/>
              <w:ind w:firstLine="0" w:firstLineChars="0"/>
              <w:jc w:val="center"/>
              <w:rPr>
                <w:rFonts w:ascii="Times New Roman" w:hAnsi="Times New Roman" w:cs="Times New Roman"/>
                <w:kern w:val="0"/>
                <w:sz w:val="21"/>
                <w:vertAlign w:val="subscript"/>
              </w:rPr>
            </w:pPr>
            <w:r>
              <w:rPr>
                <w:rFonts w:ascii="Times New Roman" w:hAnsi="Times New Roman" w:cs="Times New Roman"/>
                <w:sz w:val="21"/>
                <w:lang w:bidi="ar"/>
              </w:rPr>
              <w:t>SO</w:t>
            </w:r>
            <w:r>
              <w:rPr>
                <w:rFonts w:ascii="Times New Roman" w:hAnsi="Times New Roman" w:cs="Times New Roman"/>
                <w:sz w:val="21"/>
                <w:vertAlign w:val="subscript"/>
                <w:lang w:bidi="ar"/>
              </w:rPr>
              <w:t>2</w:t>
            </w: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47~58</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44~60</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48~56</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50~57</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5#</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48~59</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48~62</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668" w:type="pct"/>
            <w:vMerge w:val="restart"/>
            <w:vAlign w:val="center"/>
          </w:tcPr>
          <w:p>
            <w:pPr>
              <w:spacing w:line="240" w:lineRule="auto"/>
              <w:ind w:firstLine="0" w:firstLineChars="0"/>
              <w:jc w:val="center"/>
              <w:rPr>
                <w:rFonts w:ascii="Times New Roman" w:hAnsi="Times New Roman" w:cs="Times New Roman"/>
                <w:kern w:val="0"/>
                <w:sz w:val="21"/>
                <w:vertAlign w:val="subscript"/>
              </w:rPr>
            </w:pPr>
            <w:r>
              <w:rPr>
                <w:rFonts w:ascii="Times New Roman" w:hAnsi="Times New Roman" w:cs="Times New Roman"/>
                <w:sz w:val="21"/>
                <w:lang w:bidi="ar"/>
              </w:rPr>
              <w:t>NO</w:t>
            </w:r>
            <w:r>
              <w:rPr>
                <w:rFonts w:ascii="Times New Roman" w:hAnsi="Times New Roman" w:cs="Times New Roman"/>
                <w:sz w:val="21"/>
                <w:vertAlign w:val="subscript"/>
                <w:lang w:bidi="ar"/>
              </w:rPr>
              <w:t>2</w:t>
            </w: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24~30</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25~29</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21~27</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23~29</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5#</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24~29</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23~62</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77.5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68" w:type="pct"/>
            <w:vMerge w:val="restar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sz w:val="21"/>
                <w:lang w:bidi="ar"/>
              </w:rPr>
              <w:t>PM</w:t>
            </w:r>
            <w:r>
              <w:rPr>
                <w:rFonts w:ascii="Times New Roman" w:hAnsi="Times New Roman" w:cs="Times New Roman"/>
                <w:sz w:val="21"/>
                <w:vertAlign w:val="subscript"/>
                <w:lang w:bidi="ar"/>
              </w:rPr>
              <w:t>10</w:t>
            </w: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109~132</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111~132</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109~125</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111~125</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5#</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109~125</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107~132</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68" w:type="pct"/>
            <w:vMerge w:val="restar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sz w:val="21"/>
                <w:lang w:bidi="ar"/>
              </w:rPr>
              <w:t>TSP</w:t>
            </w: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243~267</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243~267</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232~267</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243~267</w:t>
            </w:r>
          </w:p>
        </w:tc>
        <w:tc>
          <w:tcPr>
            <w:tcW w:w="949" w:type="pc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5#</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243~267</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68" w:type="pct"/>
            <w:vMerge w:val="continue"/>
            <w:vAlign w:val="center"/>
          </w:tcPr>
          <w:p>
            <w:pPr>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243~267</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0</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89.0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68" w:type="pct"/>
            <w:vMerge w:val="restar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二甲苯</w:t>
            </w: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68" w:type="pct"/>
            <w:vMerge w:val="continue"/>
            <w:vAlign w:val="center"/>
          </w:tcPr>
          <w:p>
            <w:pPr>
              <w:spacing w:line="240" w:lineRule="auto"/>
              <w:ind w:firstLine="0" w:firstLineChars="0"/>
              <w:jc w:val="center"/>
              <w:rPr>
                <w:rFonts w:ascii="Times New Roman" w:hAnsi="Times New Roman" w:cs="Times New Roman"/>
                <w:sz w:val="21"/>
                <w:lang w:bidi="ar"/>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668" w:type="pct"/>
            <w:vMerge w:val="continue"/>
            <w:vAlign w:val="center"/>
          </w:tcPr>
          <w:p>
            <w:pPr>
              <w:spacing w:line="240" w:lineRule="auto"/>
              <w:ind w:firstLine="0" w:firstLineChars="0"/>
              <w:jc w:val="center"/>
              <w:rPr>
                <w:rFonts w:ascii="Times New Roman" w:hAnsi="Times New Roman" w:cs="Times New Roman"/>
                <w:sz w:val="21"/>
                <w:lang w:bidi="ar"/>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668" w:type="pct"/>
            <w:vMerge w:val="continue"/>
            <w:vAlign w:val="center"/>
          </w:tcPr>
          <w:p>
            <w:pPr>
              <w:spacing w:line="240" w:lineRule="auto"/>
              <w:ind w:firstLine="0" w:firstLineChars="0"/>
              <w:jc w:val="center"/>
              <w:rPr>
                <w:rFonts w:ascii="Times New Roman" w:hAnsi="Times New Roman" w:cs="Times New Roman"/>
                <w:sz w:val="21"/>
                <w:lang w:bidi="ar"/>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668" w:type="pct"/>
            <w:vMerge w:val="continue"/>
            <w:vAlign w:val="center"/>
          </w:tcPr>
          <w:p>
            <w:pPr>
              <w:spacing w:line="240" w:lineRule="auto"/>
              <w:ind w:firstLine="0" w:firstLineChars="0"/>
              <w:jc w:val="center"/>
              <w:rPr>
                <w:rFonts w:ascii="Times New Roman" w:hAnsi="Times New Roman" w:cs="Times New Roman"/>
                <w:sz w:val="21"/>
                <w:lang w:bidi="ar"/>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5#</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68" w:type="pct"/>
            <w:vMerge w:val="continue"/>
            <w:vAlign w:val="center"/>
          </w:tcPr>
          <w:p>
            <w:pPr>
              <w:spacing w:line="240" w:lineRule="auto"/>
              <w:ind w:firstLine="0" w:firstLineChars="0"/>
              <w:jc w:val="center"/>
              <w:rPr>
                <w:rFonts w:ascii="Times New Roman" w:hAnsi="Times New Roman" w:cs="Times New Roman"/>
                <w:sz w:val="21"/>
                <w:lang w:bidi="ar"/>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668" w:type="pct"/>
            <w:vMerge w:val="restart"/>
            <w:vAlign w:val="center"/>
          </w:tcPr>
          <w:p>
            <w:pPr>
              <w:spacing w:line="240" w:lineRule="auto"/>
              <w:ind w:firstLine="0" w:firstLineChars="0"/>
              <w:jc w:val="center"/>
              <w:rPr>
                <w:rFonts w:ascii="Times New Roman" w:hAnsi="Times New Roman" w:cs="Times New Roman"/>
                <w:sz w:val="21"/>
                <w:lang w:bidi="ar"/>
              </w:rPr>
            </w:pPr>
            <w:r>
              <w:rPr>
                <w:rFonts w:ascii="Times New Roman" w:hAnsi="Times New Roman" w:cs="Times New Roman"/>
                <w:sz w:val="21"/>
                <w:lang w:bidi="ar"/>
              </w:rPr>
              <w:t>苯</w:t>
            </w: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4#</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5#</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68" w:type="pct"/>
            <w:vMerge w:val="restart"/>
            <w:vAlign w:val="center"/>
          </w:tcPr>
          <w:p>
            <w:pPr>
              <w:widowControl/>
              <w:adjustRightInd/>
              <w:snapToGrid/>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甲苯</w:t>
            </w:r>
          </w:p>
        </w:tc>
        <w:tc>
          <w:tcPr>
            <w:tcW w:w="745" w:type="pct"/>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szCs w:val="21"/>
              </w:rPr>
            </w:pPr>
          </w:p>
        </w:tc>
        <w:tc>
          <w:tcPr>
            <w:tcW w:w="745" w:type="pct"/>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szCs w:val="21"/>
              </w:rPr>
            </w:pPr>
          </w:p>
        </w:tc>
        <w:tc>
          <w:tcPr>
            <w:tcW w:w="745" w:type="pct"/>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szCs w:val="21"/>
              </w:rPr>
            </w:pPr>
          </w:p>
        </w:tc>
        <w:tc>
          <w:tcPr>
            <w:tcW w:w="745" w:type="pct"/>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szCs w:val="21"/>
              </w:rPr>
            </w:pPr>
          </w:p>
        </w:tc>
        <w:tc>
          <w:tcPr>
            <w:tcW w:w="745" w:type="pct"/>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68" w:type="pct"/>
            <w:vMerge w:val="continue"/>
            <w:vAlign w:val="center"/>
          </w:tcPr>
          <w:p>
            <w:pPr>
              <w:widowControl/>
              <w:adjustRightInd/>
              <w:snapToGrid/>
              <w:spacing w:line="240" w:lineRule="auto"/>
              <w:ind w:firstLine="0" w:firstLineChars="0"/>
              <w:jc w:val="center"/>
              <w:rPr>
                <w:rFonts w:ascii="Times New Roman" w:hAnsi="Times New Roman" w:cs="Times New Roman"/>
                <w:sz w:val="21"/>
              </w:rPr>
            </w:pPr>
          </w:p>
        </w:tc>
        <w:tc>
          <w:tcPr>
            <w:tcW w:w="745"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1420"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未检出</w:t>
            </w:r>
          </w:p>
        </w:tc>
        <w:tc>
          <w:tcPr>
            <w:tcW w:w="94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c>
          <w:tcPr>
            <w:tcW w:w="1219" w:type="pct"/>
            <w:vAlign w:val="center"/>
          </w:tcPr>
          <w:p>
            <w:pPr>
              <w:spacing w:line="24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w:t>
            </w:r>
          </w:p>
        </w:tc>
      </w:tr>
    </w:tbl>
    <w:p>
      <w:pPr>
        <w:ind w:firstLine="480"/>
        <w:rPr>
          <w:rFonts w:cs="Times New Roman"/>
          <w:lang w:bidi="ar"/>
        </w:rPr>
      </w:pPr>
      <w:r>
        <w:rPr>
          <w:rFonts w:cs="Times New Roman"/>
          <w:lang w:bidi="ar"/>
        </w:rPr>
        <w:t>上一轮规划环评环境空气质量监测结果表明，各测点SO</w:t>
      </w:r>
      <w:r>
        <w:rPr>
          <w:rFonts w:cs="Times New Roman"/>
          <w:vertAlign w:val="subscript"/>
          <w:lang w:bidi="ar"/>
        </w:rPr>
        <w:t>2</w:t>
      </w:r>
      <w:r>
        <w:rPr>
          <w:rFonts w:cs="Times New Roman"/>
          <w:lang w:bidi="ar"/>
        </w:rPr>
        <w:t>、NO</w:t>
      </w:r>
      <w:r>
        <w:rPr>
          <w:rFonts w:cs="Times New Roman"/>
          <w:vertAlign w:val="subscript"/>
          <w:lang w:bidi="ar"/>
        </w:rPr>
        <w:t>2</w:t>
      </w:r>
      <w:r>
        <w:rPr>
          <w:rFonts w:cs="Times New Roman"/>
          <w:lang w:bidi="ar"/>
        </w:rPr>
        <w:t>、PM</w:t>
      </w:r>
      <w:r>
        <w:rPr>
          <w:rFonts w:cs="Times New Roman"/>
          <w:vertAlign w:val="subscript"/>
          <w:lang w:bidi="ar"/>
        </w:rPr>
        <w:t>10</w:t>
      </w:r>
      <w:r>
        <w:rPr>
          <w:rFonts w:cs="Times New Roman"/>
          <w:lang w:bidi="ar"/>
        </w:rPr>
        <w:t>和TSP日均浓度均未出现超标现象，SO</w:t>
      </w:r>
      <w:r>
        <w:rPr>
          <w:rFonts w:cs="Times New Roman"/>
          <w:vertAlign w:val="subscript"/>
          <w:lang w:bidi="ar"/>
        </w:rPr>
        <w:t>2</w:t>
      </w:r>
      <w:r>
        <w:rPr>
          <w:rFonts w:cs="Times New Roman"/>
          <w:lang w:bidi="ar"/>
        </w:rPr>
        <w:t>日均浓度最大占标率为40.0%，NO</w:t>
      </w:r>
      <w:r>
        <w:rPr>
          <w:rFonts w:cs="Times New Roman"/>
          <w:vertAlign w:val="subscript"/>
          <w:lang w:bidi="ar"/>
        </w:rPr>
        <w:t>2</w:t>
      </w:r>
      <w:r>
        <w:rPr>
          <w:rFonts w:cs="Times New Roman"/>
          <w:lang w:bidi="ar"/>
        </w:rPr>
        <w:t>日均浓度最大占标率为77.5%，PM</w:t>
      </w:r>
      <w:r>
        <w:rPr>
          <w:rFonts w:cs="Times New Roman"/>
          <w:vertAlign w:val="subscript"/>
          <w:lang w:bidi="ar"/>
        </w:rPr>
        <w:t>10</w:t>
      </w:r>
      <w:r>
        <w:rPr>
          <w:rFonts w:cs="Times New Roman"/>
          <w:lang w:bidi="ar"/>
        </w:rPr>
        <w:t>日均浓度最大占标率为88.0%，TSP日均浓度最大占标率为89.0%，</w:t>
      </w:r>
      <w:r>
        <w:rPr>
          <w:rFonts w:hint="eastAsia" w:cs="Times New Roman"/>
          <w:lang w:bidi="ar"/>
        </w:rPr>
        <w:t>苯</w:t>
      </w:r>
      <w:r>
        <w:rPr>
          <w:rFonts w:cs="Times New Roman"/>
          <w:lang w:bidi="ar"/>
        </w:rPr>
        <w:t>、甲苯及二甲苯均未检出，各监测点的污染物浓度均能满足《环境空气质量标准》（GB 3095-1996）中相应标准限值及</w:t>
      </w:r>
      <w:r>
        <w:rPr>
          <w:rFonts w:cs="Times New Roman"/>
        </w:rPr>
        <w:t>《</w:t>
      </w:r>
      <w:r>
        <w:rPr>
          <w:rFonts w:hint="eastAsia" w:cs="Times New Roman"/>
        </w:rPr>
        <w:t>工业企业卫生</w:t>
      </w:r>
      <w:r>
        <w:rPr>
          <w:rFonts w:cs="Times New Roman"/>
        </w:rPr>
        <w:t>设计标准》</w:t>
      </w:r>
      <w:r>
        <w:rPr>
          <w:rFonts w:hint="eastAsia" w:cs="Times New Roman"/>
        </w:rPr>
        <w:t>（TJ36-79）</w:t>
      </w:r>
      <w:r>
        <w:rPr>
          <w:rFonts w:cs="Times New Roman"/>
        </w:rPr>
        <w:t>中的标准限值要求。</w:t>
      </w:r>
      <w:r>
        <w:rPr>
          <w:rFonts w:cs="Times New Roman"/>
          <w:lang w:bidi="ar"/>
        </w:rPr>
        <w:t>评价区域大气环境质量较好，能够满足相应环境功能区要求。</w:t>
      </w:r>
    </w:p>
    <w:p>
      <w:pPr>
        <w:widowControl/>
        <w:ind w:firstLine="0" w:firstLineChars="0"/>
        <w:jc w:val="left"/>
        <w:outlineLvl w:val="3"/>
        <w:rPr>
          <w:rFonts w:eastAsia="黑体" w:cs="Times New Roman"/>
          <w:lang w:bidi="ar"/>
        </w:rPr>
      </w:pPr>
      <w:r>
        <w:rPr>
          <w:rFonts w:hint="eastAsia" w:eastAsia="黑体" w:cs="Times New Roman"/>
          <w:lang w:val="en-US" w:eastAsia="zh-CN" w:bidi="ar"/>
        </w:rPr>
        <w:t>3</w:t>
      </w:r>
      <w:r>
        <w:rPr>
          <w:rFonts w:eastAsia="黑体" w:cs="Times New Roman"/>
          <w:lang w:bidi="ar"/>
        </w:rPr>
        <w:t>.</w:t>
      </w:r>
      <w:r>
        <w:rPr>
          <w:rFonts w:hint="eastAsia" w:eastAsia="黑体" w:cs="Times New Roman"/>
          <w:lang w:val="en-US" w:eastAsia="zh-CN" w:bidi="ar"/>
        </w:rPr>
        <w:t>1</w:t>
      </w:r>
      <w:r>
        <w:rPr>
          <w:rFonts w:eastAsia="黑体" w:cs="Times New Roman"/>
          <w:lang w:bidi="ar"/>
        </w:rPr>
        <w:t>.1.</w:t>
      </w:r>
      <w:r>
        <w:rPr>
          <w:rFonts w:hint="eastAsia" w:eastAsia="黑体" w:cs="Times New Roman"/>
          <w:lang w:val="en-US" w:eastAsia="zh-CN" w:bidi="ar"/>
        </w:rPr>
        <w:t>3</w:t>
      </w:r>
      <w:r>
        <w:rPr>
          <w:rFonts w:eastAsia="黑体" w:cs="Times New Roman"/>
          <w:lang w:bidi="ar"/>
        </w:rPr>
        <w:t xml:space="preserve"> 历年数据变化趋势</w:t>
      </w:r>
    </w:p>
    <w:p>
      <w:pPr>
        <w:ind w:firstLine="480"/>
        <w:rPr>
          <w:rFonts w:cs="Times New Roman"/>
        </w:rPr>
      </w:pPr>
      <w:r>
        <w:rPr>
          <w:rFonts w:cs="Times New Roman"/>
          <w:lang w:bidi="ar"/>
        </w:rPr>
        <w:t>（1）</w:t>
      </w:r>
      <w:r>
        <w:rPr>
          <w:rFonts w:cs="Times New Roman"/>
          <w:bCs/>
          <w:lang w:bidi="ar"/>
        </w:rPr>
        <w:t>杜集经济开发区历年大气污染物年均变化趋势</w:t>
      </w:r>
    </w:p>
    <w:p>
      <w:pPr>
        <w:ind w:firstLine="480"/>
        <w:rPr>
          <w:rFonts w:cs="Times New Roman"/>
        </w:rPr>
      </w:pPr>
      <w:r>
        <w:rPr>
          <w:rFonts w:cs="Times New Roman"/>
          <w:lang w:bidi="ar"/>
        </w:rPr>
        <w:t>为了更好的反应区域内大气环境质量的变化趋势，本次引用2015年1月至2019年12月杜集区站点环境空气例行监测数据。</w:t>
      </w:r>
    </w:p>
    <w:p>
      <w:pPr>
        <w:ind w:firstLine="480"/>
        <w:rPr>
          <w:rFonts w:cs="Times New Roman"/>
          <w:lang w:bidi="ar"/>
        </w:rPr>
      </w:pPr>
      <w:r>
        <w:rPr>
          <w:rFonts w:cs="Times New Roman"/>
          <w:lang w:bidi="ar"/>
        </w:rPr>
        <w:t>根据杜集区站点环境空气例行监测数据，SO</w:t>
      </w:r>
      <w:r>
        <w:rPr>
          <w:rFonts w:cs="Times New Roman"/>
          <w:vertAlign w:val="subscript"/>
          <w:lang w:bidi="ar"/>
        </w:rPr>
        <w:t>2</w:t>
      </w:r>
      <w:r>
        <w:rPr>
          <w:rFonts w:cs="Times New Roman"/>
          <w:lang w:bidi="ar"/>
        </w:rPr>
        <w:t>、NO</w:t>
      </w:r>
      <w:r>
        <w:rPr>
          <w:rFonts w:cs="Times New Roman"/>
          <w:vertAlign w:val="subscript"/>
          <w:lang w:bidi="ar"/>
        </w:rPr>
        <w:t>2</w:t>
      </w:r>
      <w:r>
        <w:rPr>
          <w:rFonts w:cs="Times New Roman"/>
          <w:lang w:bidi="ar"/>
        </w:rPr>
        <w:t>、PM</w:t>
      </w:r>
      <w:r>
        <w:rPr>
          <w:rFonts w:cs="Times New Roman"/>
          <w:vertAlign w:val="subscript"/>
          <w:lang w:bidi="ar"/>
        </w:rPr>
        <w:t>10</w:t>
      </w:r>
      <w:r>
        <w:rPr>
          <w:rFonts w:cs="Times New Roman"/>
          <w:lang w:bidi="ar"/>
        </w:rPr>
        <w:t>、CO浓度年均值整体呈下降趋势，SO</w:t>
      </w:r>
      <w:r>
        <w:rPr>
          <w:rFonts w:cs="Times New Roman"/>
          <w:vertAlign w:val="subscript"/>
          <w:lang w:bidi="ar"/>
        </w:rPr>
        <w:t>2</w:t>
      </w:r>
      <w:r>
        <w:rPr>
          <w:rFonts w:cs="Times New Roman"/>
          <w:lang w:bidi="ar"/>
        </w:rPr>
        <w:t>、NO</w:t>
      </w:r>
      <w:r>
        <w:rPr>
          <w:rFonts w:cs="Times New Roman"/>
          <w:vertAlign w:val="subscript"/>
          <w:lang w:bidi="ar"/>
        </w:rPr>
        <w:t>2</w:t>
      </w:r>
      <w:r>
        <w:rPr>
          <w:rFonts w:cs="Times New Roman"/>
          <w:lang w:bidi="ar"/>
        </w:rPr>
        <w:t>、PM</w:t>
      </w:r>
      <w:r>
        <w:rPr>
          <w:rFonts w:cs="Times New Roman"/>
          <w:vertAlign w:val="subscript"/>
          <w:lang w:bidi="ar"/>
        </w:rPr>
        <w:t>10</w:t>
      </w:r>
      <w:r>
        <w:rPr>
          <w:rFonts w:cs="Times New Roman"/>
          <w:lang w:bidi="ar"/>
        </w:rPr>
        <w:t>在2018年有小幅回升趋势，整体涨幅不明显；O</w:t>
      </w:r>
      <w:r>
        <w:rPr>
          <w:rFonts w:cs="Times New Roman"/>
          <w:vertAlign w:val="subscript"/>
          <w:lang w:bidi="ar"/>
        </w:rPr>
        <w:t>3</w:t>
      </w:r>
      <w:r>
        <w:rPr>
          <w:rFonts w:cs="Times New Roman"/>
          <w:lang w:bidi="ar"/>
        </w:rPr>
        <w:t>年均值整体呈上升趋势。除PM</w:t>
      </w:r>
      <w:r>
        <w:rPr>
          <w:rFonts w:cs="Times New Roman"/>
          <w:vertAlign w:val="subscript"/>
          <w:lang w:bidi="ar"/>
        </w:rPr>
        <w:t>10</w:t>
      </w:r>
      <w:r>
        <w:rPr>
          <w:rFonts w:cs="Times New Roman"/>
          <w:lang w:bidi="ar"/>
        </w:rPr>
        <w:t>和PM</w:t>
      </w:r>
      <w:r>
        <w:rPr>
          <w:rFonts w:cs="Times New Roman"/>
          <w:vertAlign w:val="subscript"/>
          <w:lang w:bidi="ar"/>
        </w:rPr>
        <w:t>2.5</w:t>
      </w:r>
      <w:r>
        <w:rPr>
          <w:rFonts w:cs="Times New Roman"/>
          <w:lang w:bidi="ar"/>
        </w:rPr>
        <w:t>以外各指标均可满足《环境空气质量标准》（GB3095-2012）的二级标准，开发区内整体环境空气质量不符合开发区空气环境功能区划及环境目标要求。</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3.1</w:t>
      </w:r>
      <w:r>
        <w:rPr>
          <w:rFonts w:eastAsia="黑体" w:cs="Times New Roman"/>
          <w:lang w:bidi="ar"/>
        </w:rPr>
        <w:t>.</w:t>
      </w:r>
      <w:r>
        <w:rPr>
          <w:rFonts w:hint="eastAsia" w:eastAsia="黑体" w:cs="Times New Roman"/>
          <w:lang w:val="en-US" w:eastAsia="zh-CN" w:bidi="ar"/>
        </w:rPr>
        <w:t>1.3</w:t>
      </w:r>
      <w:r>
        <w:rPr>
          <w:rFonts w:eastAsia="黑体" w:cs="Times New Roman"/>
          <w:lang w:bidi="ar"/>
        </w:rPr>
        <w:t>-3  开发区历年大气污染物年均浓度值   单位：μg/m</w:t>
      </w:r>
      <w:r>
        <w:rPr>
          <w:rFonts w:eastAsia="黑体" w:cs="Times New Roman"/>
          <w:vertAlign w:val="superscript"/>
          <w:lang w:bidi="ar"/>
        </w:rPr>
        <w:t>3</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268"/>
        <w:gridCol w:w="1268"/>
        <w:gridCol w:w="1268"/>
        <w:gridCol w:w="1254"/>
        <w:gridCol w:w="1243"/>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17" w:type="pct"/>
            <w:tcBorders>
              <w:top w:val="single" w:color="auto" w:sz="12" w:space="0"/>
              <w:left w:val="nil"/>
              <w:bottom w:val="single" w:color="auto" w:sz="4" w:space="0"/>
              <w:right w:val="single" w:color="auto" w:sz="4" w:space="0"/>
              <w:tl2br w:val="single" w:color="auto" w:sz="4" w:space="0"/>
            </w:tcBorders>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项目</w:t>
            </w:r>
          </w:p>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年份</w:t>
            </w:r>
          </w:p>
        </w:tc>
        <w:tc>
          <w:tcPr>
            <w:tcW w:w="687"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SO</w:t>
            </w:r>
            <w:r>
              <w:rPr>
                <w:rFonts w:cs="Times New Roman"/>
                <w:b/>
                <w:kern w:val="0"/>
                <w:sz w:val="21"/>
                <w:szCs w:val="21"/>
                <w:vertAlign w:val="subscript"/>
                <w:lang w:bidi="ar"/>
              </w:rPr>
              <w:t>2</w:t>
            </w:r>
          </w:p>
        </w:tc>
        <w:tc>
          <w:tcPr>
            <w:tcW w:w="687"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NO</w:t>
            </w:r>
            <w:r>
              <w:rPr>
                <w:rFonts w:cs="Times New Roman"/>
                <w:b/>
                <w:kern w:val="0"/>
                <w:sz w:val="21"/>
                <w:szCs w:val="21"/>
                <w:vertAlign w:val="subscript"/>
                <w:lang w:bidi="ar"/>
              </w:rPr>
              <w:t>2</w:t>
            </w:r>
          </w:p>
        </w:tc>
        <w:tc>
          <w:tcPr>
            <w:tcW w:w="687"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PM</w:t>
            </w:r>
            <w:r>
              <w:rPr>
                <w:rFonts w:cs="Times New Roman"/>
                <w:b/>
                <w:kern w:val="0"/>
                <w:sz w:val="21"/>
                <w:szCs w:val="21"/>
                <w:vertAlign w:val="subscript"/>
                <w:lang w:bidi="ar"/>
              </w:rPr>
              <w:t>10</w:t>
            </w:r>
          </w:p>
        </w:tc>
        <w:tc>
          <w:tcPr>
            <w:tcW w:w="1245" w:type="dxa"/>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CO(mg/m</w:t>
            </w:r>
            <w:r>
              <w:rPr>
                <w:rFonts w:cs="Times New Roman"/>
                <w:b/>
                <w:kern w:val="0"/>
                <w:sz w:val="21"/>
                <w:szCs w:val="21"/>
                <w:vertAlign w:val="superscript"/>
                <w:lang w:bidi="ar"/>
              </w:rPr>
              <w:t>3</w:t>
            </w:r>
            <w:r>
              <w:rPr>
                <w:rFonts w:cs="Times New Roman"/>
                <w:b/>
                <w:kern w:val="0"/>
                <w:sz w:val="21"/>
                <w:szCs w:val="21"/>
                <w:lang w:bidi="ar"/>
              </w:rPr>
              <w:t>)</w:t>
            </w:r>
          </w:p>
        </w:tc>
        <w:tc>
          <w:tcPr>
            <w:tcW w:w="1245" w:type="dxa"/>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O</w:t>
            </w:r>
            <w:r>
              <w:rPr>
                <w:rFonts w:cs="Times New Roman"/>
                <w:b/>
                <w:kern w:val="0"/>
                <w:sz w:val="21"/>
                <w:szCs w:val="21"/>
                <w:vertAlign w:val="subscript"/>
                <w:lang w:bidi="ar"/>
              </w:rPr>
              <w:t>3</w:t>
            </w:r>
            <w:r>
              <w:rPr>
                <w:rFonts w:cs="Times New Roman"/>
                <w:b/>
                <w:kern w:val="0"/>
                <w:sz w:val="21"/>
                <w:szCs w:val="21"/>
                <w:lang w:bidi="ar"/>
              </w:rPr>
              <w:t>_8h</w:t>
            </w:r>
          </w:p>
        </w:tc>
        <w:tc>
          <w:tcPr>
            <w:tcW w:w="673" w:type="pct"/>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PM</w:t>
            </w:r>
            <w:r>
              <w:rPr>
                <w:rFonts w:cs="Times New Roman"/>
                <w:b/>
                <w:kern w:val="0"/>
                <w:sz w:val="21"/>
                <w:szCs w:val="21"/>
                <w:vertAlign w:val="subscript"/>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7" w:type="pc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2015年</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24.1</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36.6</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89.2</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1.4</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97.9</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7" w:type="pc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2016年</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13</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31.9</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81.6</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69.8</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7" w:type="pc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2017年</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10.8</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29.4</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88.3</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0.9</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89.2</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7"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2018年</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11.4</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31.5</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87.7</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0.6</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114.5</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7"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2019年</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10.2</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27.3</w:t>
            </w:r>
          </w:p>
        </w:tc>
        <w:tc>
          <w:tcPr>
            <w:tcW w:w="687" w:type="pct"/>
            <w:tcBorders>
              <w:top w:val="single" w:color="auto" w:sz="4" w:space="0"/>
              <w:left w:val="single" w:color="auto" w:sz="4" w:space="0"/>
              <w:bottom w:val="single" w:color="auto" w:sz="4" w:space="0"/>
              <w:right w:val="single" w:color="auto" w:sz="4" w:space="0"/>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87.3</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0.7</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112.2</w:t>
            </w:r>
          </w:p>
        </w:tc>
        <w:tc>
          <w:tcPr>
            <w:tcW w:w="673" w:type="pct"/>
            <w:tcBorders>
              <w:top w:val="single" w:color="auto" w:sz="4" w:space="0"/>
              <w:left w:val="single" w:color="auto" w:sz="4" w:space="0"/>
              <w:bottom w:val="single" w:color="auto" w:sz="4" w:space="0"/>
              <w:right w:val="nil"/>
            </w:tcBorders>
            <w:vAlign w:val="bottom"/>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7"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标准值</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60</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40</w:t>
            </w:r>
          </w:p>
        </w:tc>
        <w:tc>
          <w:tcPr>
            <w:tcW w:w="1271"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70</w:t>
            </w:r>
          </w:p>
        </w:tc>
        <w:tc>
          <w:tcPr>
            <w:tcW w:w="673"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4</w:t>
            </w:r>
          </w:p>
        </w:tc>
        <w:tc>
          <w:tcPr>
            <w:tcW w:w="673"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160</w:t>
            </w:r>
          </w:p>
        </w:tc>
        <w:tc>
          <w:tcPr>
            <w:tcW w:w="673"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35</w:t>
            </w:r>
          </w:p>
        </w:tc>
      </w:tr>
    </w:tbl>
    <w:p>
      <w:pPr>
        <w:ind w:firstLine="480"/>
        <w:rPr>
          <w:rFonts w:cs="Times New Roman"/>
          <w:lang w:bidi="ar"/>
        </w:rPr>
      </w:pPr>
      <w:r>
        <w:rPr>
          <w:rFonts w:cs="Times New Roman"/>
          <w:lang w:bidi="ar"/>
        </w:rPr>
        <w:t>（2）开发区近年各项污染物各月浓度变化趋势</w:t>
      </w:r>
    </w:p>
    <w:p>
      <w:pPr>
        <w:ind w:firstLine="480"/>
        <w:rPr>
          <w:rFonts w:cs="Times New Roman"/>
          <w:lang w:bidi="ar"/>
        </w:rPr>
      </w:pPr>
      <w:r>
        <w:rPr>
          <w:rFonts w:cs="Times New Roman"/>
          <w:lang w:bidi="ar"/>
        </w:rPr>
        <w:t>根据杜集区环境质量监测站点数据，从各年份各月SO</w:t>
      </w:r>
      <w:r>
        <w:rPr>
          <w:rFonts w:cs="Times New Roman"/>
          <w:vertAlign w:val="subscript"/>
          <w:lang w:bidi="ar"/>
        </w:rPr>
        <w:t>2</w:t>
      </w:r>
      <w:r>
        <w:rPr>
          <w:rFonts w:cs="Times New Roman"/>
          <w:lang w:bidi="ar"/>
        </w:rPr>
        <w:t>、NO</w:t>
      </w:r>
      <w:r>
        <w:rPr>
          <w:rFonts w:cs="Times New Roman"/>
          <w:vertAlign w:val="subscript"/>
          <w:lang w:bidi="ar"/>
        </w:rPr>
        <w:t>2</w:t>
      </w:r>
      <w:r>
        <w:rPr>
          <w:rFonts w:cs="Times New Roman"/>
          <w:lang w:bidi="ar"/>
        </w:rPr>
        <w:t>、PM</w:t>
      </w:r>
      <w:r>
        <w:rPr>
          <w:rFonts w:cs="Times New Roman"/>
          <w:vertAlign w:val="subscript"/>
          <w:lang w:bidi="ar"/>
        </w:rPr>
        <w:t>10</w:t>
      </w:r>
      <w:r>
        <w:rPr>
          <w:rFonts w:cs="Times New Roman"/>
          <w:lang w:bidi="ar"/>
        </w:rPr>
        <w:t>、CO、O</w:t>
      </w:r>
      <w:r>
        <w:rPr>
          <w:rFonts w:cs="Times New Roman"/>
          <w:vertAlign w:val="subscript"/>
          <w:lang w:bidi="ar"/>
        </w:rPr>
        <w:t>3</w:t>
      </w:r>
      <w:r>
        <w:rPr>
          <w:rFonts w:cs="Times New Roman"/>
          <w:lang w:bidi="ar"/>
        </w:rPr>
        <w:t>、PM</w:t>
      </w:r>
      <w:r>
        <w:rPr>
          <w:rFonts w:cs="Times New Roman"/>
          <w:vertAlign w:val="subscript"/>
          <w:lang w:bidi="ar"/>
        </w:rPr>
        <w:t>2.5</w:t>
      </w:r>
      <w:r>
        <w:rPr>
          <w:rFonts w:cs="Times New Roman"/>
          <w:lang w:bidi="ar"/>
        </w:rPr>
        <w:t>浓度变化趋势可以看出，各项污染物浓度在夏季明显低于冬季，其原因可能是夏季大气层对流运动较为频繁，区域气象条件对污染物扩散有利；供暖需求较低，区域SO</w:t>
      </w:r>
      <w:r>
        <w:rPr>
          <w:rFonts w:cs="Times New Roman"/>
          <w:vertAlign w:val="subscript"/>
          <w:lang w:bidi="ar"/>
        </w:rPr>
        <w:t>2</w:t>
      </w:r>
      <w:r>
        <w:rPr>
          <w:rFonts w:cs="Times New Roman"/>
          <w:lang w:bidi="ar"/>
        </w:rPr>
        <w:t>、NO</w:t>
      </w:r>
      <w:r>
        <w:rPr>
          <w:rFonts w:cs="Times New Roman"/>
          <w:vertAlign w:val="subscript"/>
          <w:lang w:bidi="ar"/>
        </w:rPr>
        <w:t>2</w:t>
      </w:r>
      <w:r>
        <w:rPr>
          <w:rFonts w:cs="Times New Roman"/>
          <w:lang w:bidi="ar"/>
        </w:rPr>
        <w:t>、PM</w:t>
      </w:r>
      <w:r>
        <w:rPr>
          <w:rFonts w:cs="Times New Roman"/>
          <w:vertAlign w:val="subscript"/>
          <w:lang w:bidi="ar"/>
        </w:rPr>
        <w:t>10</w:t>
      </w:r>
      <w:r>
        <w:rPr>
          <w:rFonts w:cs="Times New Roman"/>
          <w:lang w:bidi="ar"/>
        </w:rPr>
        <w:t>、CO、O</w:t>
      </w:r>
      <w:r>
        <w:rPr>
          <w:rFonts w:cs="Times New Roman"/>
          <w:vertAlign w:val="subscript"/>
          <w:lang w:bidi="ar"/>
        </w:rPr>
        <w:t>3</w:t>
      </w:r>
      <w:r>
        <w:rPr>
          <w:rFonts w:cs="Times New Roman"/>
          <w:lang w:bidi="ar"/>
        </w:rPr>
        <w:t>、PM</w:t>
      </w:r>
      <w:r>
        <w:rPr>
          <w:rFonts w:cs="Times New Roman"/>
          <w:vertAlign w:val="subscript"/>
          <w:lang w:bidi="ar"/>
        </w:rPr>
        <w:t>2.5</w:t>
      </w:r>
      <w:r>
        <w:rPr>
          <w:rFonts w:cs="Times New Roman"/>
          <w:lang w:bidi="ar"/>
        </w:rPr>
        <w:t>等污染物排放减少。</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w:t>
      </w:r>
      <w:r>
        <w:rPr>
          <w:rFonts w:hint="eastAsia" w:eastAsia="黑体" w:cs="Times New Roman"/>
          <w:lang w:val="en-US" w:eastAsia="zh-CN" w:bidi="ar"/>
        </w:rPr>
        <w:t>1</w:t>
      </w:r>
      <w:r>
        <w:rPr>
          <w:rFonts w:eastAsia="黑体" w:cs="Times New Roman"/>
          <w:lang w:bidi="ar"/>
        </w:rPr>
        <w:t>.</w:t>
      </w:r>
      <w:r>
        <w:rPr>
          <w:rFonts w:hint="eastAsia" w:eastAsia="黑体" w:cs="Times New Roman"/>
          <w:lang w:val="en-US" w:eastAsia="zh-CN" w:bidi="ar"/>
        </w:rPr>
        <w:t>2</w:t>
      </w:r>
      <w:r>
        <w:rPr>
          <w:rFonts w:eastAsia="黑体" w:cs="Times New Roman"/>
          <w:lang w:bidi="ar"/>
        </w:rPr>
        <w:t>-3  开发区历年大气污染物月均浓度值   单位：μg/m</w:t>
      </w:r>
      <w:r>
        <w:rPr>
          <w:rFonts w:eastAsia="黑体" w:cs="Times New Roman"/>
          <w:vertAlign w:val="superscript"/>
          <w:lang w:bidi="ar"/>
        </w:rPr>
        <w:t>3</w:t>
      </w:r>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948"/>
        <w:gridCol w:w="1262"/>
        <w:gridCol w:w="1264"/>
        <w:gridCol w:w="1264"/>
        <w:gridCol w:w="1288"/>
        <w:gridCol w:w="1238"/>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10" w:type="pct"/>
            <w:gridSpan w:val="2"/>
            <w:tcBorders>
              <w:top w:val="single" w:color="auto" w:sz="12" w:space="0"/>
              <w:left w:val="nil"/>
              <w:bottom w:val="single" w:color="auto" w:sz="4" w:space="0"/>
              <w:right w:val="single" w:color="auto" w:sz="4" w:space="0"/>
              <w:tl2br w:val="single" w:color="auto" w:sz="4" w:space="0"/>
            </w:tcBorders>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项目</w:t>
            </w:r>
          </w:p>
          <w:p>
            <w:pPr>
              <w:widowControl/>
              <w:spacing w:line="240" w:lineRule="auto"/>
              <w:ind w:firstLine="0" w:firstLineChars="0"/>
              <w:rPr>
                <w:rFonts w:cs="Times New Roman"/>
                <w:b/>
                <w:kern w:val="0"/>
                <w:sz w:val="21"/>
                <w:szCs w:val="21"/>
              </w:rPr>
            </w:pPr>
            <w:r>
              <w:rPr>
                <w:rFonts w:cs="Times New Roman"/>
                <w:b/>
                <w:kern w:val="0"/>
                <w:sz w:val="21"/>
                <w:szCs w:val="21"/>
                <w:lang w:bidi="ar"/>
              </w:rPr>
              <w:t>年份</w:t>
            </w:r>
          </w:p>
        </w:tc>
        <w:tc>
          <w:tcPr>
            <w:tcW w:w="683"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SO</w:t>
            </w:r>
            <w:r>
              <w:rPr>
                <w:rFonts w:cs="Times New Roman"/>
                <w:b/>
                <w:kern w:val="0"/>
                <w:sz w:val="21"/>
                <w:szCs w:val="21"/>
                <w:vertAlign w:val="subscript"/>
                <w:lang w:bidi="ar"/>
              </w:rPr>
              <w:t>2</w:t>
            </w:r>
          </w:p>
        </w:tc>
        <w:tc>
          <w:tcPr>
            <w:tcW w:w="684"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NO</w:t>
            </w:r>
            <w:r>
              <w:rPr>
                <w:rFonts w:cs="Times New Roman"/>
                <w:b/>
                <w:kern w:val="0"/>
                <w:sz w:val="21"/>
                <w:szCs w:val="21"/>
                <w:vertAlign w:val="subscript"/>
                <w:lang w:bidi="ar"/>
              </w:rPr>
              <w:t>2</w:t>
            </w:r>
          </w:p>
        </w:tc>
        <w:tc>
          <w:tcPr>
            <w:tcW w:w="684"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PM</w:t>
            </w:r>
            <w:r>
              <w:rPr>
                <w:rFonts w:cs="Times New Roman"/>
                <w:b/>
                <w:kern w:val="0"/>
                <w:sz w:val="21"/>
                <w:szCs w:val="21"/>
                <w:vertAlign w:val="subscript"/>
                <w:lang w:bidi="ar"/>
              </w:rPr>
              <w:t>10</w:t>
            </w:r>
          </w:p>
        </w:tc>
        <w:tc>
          <w:tcPr>
            <w:tcW w:w="697" w:type="pct"/>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CO(mg/m</w:t>
            </w:r>
            <w:r>
              <w:rPr>
                <w:rFonts w:cs="Times New Roman"/>
                <w:b/>
                <w:kern w:val="0"/>
                <w:sz w:val="21"/>
                <w:szCs w:val="21"/>
                <w:vertAlign w:val="superscript"/>
                <w:lang w:bidi="ar"/>
              </w:rPr>
              <w:t>3</w:t>
            </w:r>
            <w:r>
              <w:rPr>
                <w:rFonts w:cs="Times New Roman"/>
                <w:b/>
                <w:kern w:val="0"/>
                <w:sz w:val="21"/>
                <w:szCs w:val="21"/>
                <w:lang w:bidi="ar"/>
              </w:rPr>
              <w:t>)</w:t>
            </w:r>
          </w:p>
        </w:tc>
        <w:tc>
          <w:tcPr>
            <w:tcW w:w="670" w:type="pct"/>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O</w:t>
            </w:r>
            <w:r>
              <w:rPr>
                <w:rFonts w:cs="Times New Roman"/>
                <w:b/>
                <w:kern w:val="0"/>
                <w:sz w:val="21"/>
                <w:szCs w:val="21"/>
                <w:vertAlign w:val="subscript"/>
                <w:lang w:bidi="ar"/>
              </w:rPr>
              <w:t>3</w:t>
            </w:r>
            <w:r>
              <w:rPr>
                <w:rFonts w:cs="Times New Roman"/>
                <w:b/>
                <w:kern w:val="0"/>
                <w:sz w:val="21"/>
                <w:szCs w:val="21"/>
                <w:lang w:bidi="ar"/>
              </w:rPr>
              <w:t>_8h</w:t>
            </w:r>
          </w:p>
        </w:tc>
        <w:tc>
          <w:tcPr>
            <w:tcW w:w="670" w:type="pct"/>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PM</w:t>
            </w:r>
            <w:r>
              <w:rPr>
                <w:rFonts w:cs="Times New Roman"/>
                <w:b/>
                <w:kern w:val="0"/>
                <w:sz w:val="21"/>
                <w:szCs w:val="21"/>
                <w:vertAlign w:val="subscript"/>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97" w:type="pct"/>
            <w:vMerge w:val="restar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2015年</w:t>
            </w:r>
          </w:p>
        </w:tc>
        <w:tc>
          <w:tcPr>
            <w:tcW w:w="513" w:type="pc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28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52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119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48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spacing w:line="240" w:lineRule="auto"/>
              <w:ind w:firstLine="420"/>
              <w:jc w:val="center"/>
              <w:rPr>
                <w:rFonts w:cs="Times New Roman"/>
                <w:kern w:val="0"/>
                <w:sz w:val="21"/>
                <w:szCs w:val="21"/>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28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43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120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1.5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75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spacing w:line="240" w:lineRule="auto"/>
              <w:ind w:firstLine="420"/>
              <w:jc w:val="center"/>
              <w:rPr>
                <w:rFonts w:cs="Times New Roman"/>
                <w:kern w:val="0"/>
                <w:sz w:val="21"/>
                <w:szCs w:val="21"/>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36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80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2.2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87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continue"/>
            <w:tcBorders>
              <w:left w:val="nil"/>
              <w:right w:val="single" w:color="auto" w:sz="4" w:space="0"/>
            </w:tcBorders>
            <w:vAlign w:val="center"/>
          </w:tcPr>
          <w:p>
            <w:pPr>
              <w:spacing w:line="240" w:lineRule="auto"/>
              <w:ind w:firstLine="420"/>
              <w:jc w:val="center"/>
              <w:rPr>
                <w:rFonts w:cs="Times New Roman"/>
                <w:kern w:val="0"/>
                <w:sz w:val="21"/>
                <w:szCs w:val="21"/>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4月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36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90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2.4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121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25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90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123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6月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21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70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111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7月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15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25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63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0.9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119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24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65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133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9月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28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73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131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10月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47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115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124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46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78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51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56 </w:t>
            </w:r>
          </w:p>
        </w:tc>
        <w:tc>
          <w:tcPr>
            <w:tcW w:w="1265"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107 </w:t>
            </w:r>
          </w:p>
        </w:tc>
        <w:tc>
          <w:tcPr>
            <w:tcW w:w="128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1.6 </w:t>
            </w:r>
          </w:p>
        </w:tc>
        <w:tc>
          <w:tcPr>
            <w:tcW w:w="1239"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52 </w:t>
            </w:r>
          </w:p>
        </w:tc>
        <w:tc>
          <w:tcPr>
            <w:tcW w:w="1240" w:type="dxa"/>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restar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2016年</w:t>
            </w:r>
          </w:p>
        </w:tc>
        <w:tc>
          <w:tcPr>
            <w:tcW w:w="513" w:type="pc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111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29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35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92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29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95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4月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112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88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6月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36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141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15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43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9月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49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10月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47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43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95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130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restar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2017年</w:t>
            </w:r>
          </w:p>
        </w:tc>
        <w:tc>
          <w:tcPr>
            <w:tcW w:w="513" w:type="pct"/>
            <w:tcBorders>
              <w:top w:val="single" w:color="auto" w:sz="4" w:space="0"/>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120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15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45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120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117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4月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100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72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6月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64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7月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42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0.3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47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93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9月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51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103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10月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82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111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79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133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restar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2018年</w:t>
            </w: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35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124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94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38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85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113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4月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92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143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61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6月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60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188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7月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23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37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109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48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9月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88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10月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115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131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120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128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restar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2019年</w:t>
            </w: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15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142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0.9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59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118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3月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33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106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4月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85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109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5月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26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79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131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6月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59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170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7月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44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148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8月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39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9月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18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65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0.5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152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10月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86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104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11月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34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114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86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59.5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97" w:type="pct"/>
            <w:vMerge w:val="continue"/>
            <w:tcBorders>
              <w:left w:val="nil"/>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p>
        </w:tc>
        <w:tc>
          <w:tcPr>
            <w:tcW w:w="513" w:type="pct"/>
            <w:tcBorders>
              <w:left w:val="nil"/>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12月</w:t>
            </w:r>
          </w:p>
        </w:tc>
        <w:tc>
          <w:tcPr>
            <w:tcW w:w="68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12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39 </w:t>
            </w:r>
          </w:p>
        </w:tc>
        <w:tc>
          <w:tcPr>
            <w:tcW w:w="684"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110 </w:t>
            </w:r>
          </w:p>
        </w:tc>
        <w:tc>
          <w:tcPr>
            <w:tcW w:w="697"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0.8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67 </w:t>
            </w:r>
          </w:p>
        </w:tc>
        <w:tc>
          <w:tcPr>
            <w:tcW w:w="67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 xml:space="preserve">74.4 </w:t>
            </w:r>
          </w:p>
        </w:tc>
      </w:tr>
    </w:tbl>
    <w:p>
      <w:pPr>
        <w:ind w:firstLine="0" w:firstLineChars="0"/>
        <w:rPr>
          <w:rFonts w:cs="Times New Roman"/>
        </w:rPr>
      </w:pPr>
      <w:r>
        <w:rPr>
          <w:rFonts w:cs="Times New Roman"/>
        </w:rPr>
        <w:drawing>
          <wp:inline distT="0" distB="0" distL="114300" distR="114300">
            <wp:extent cx="5629275" cy="3362325"/>
            <wp:effectExtent l="0" t="0" r="9525" b="9525"/>
            <wp:docPr id="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8"/>
                    <pic:cNvPicPr>
                      <a:picLocks noChangeAspect="1"/>
                    </pic:cNvPicPr>
                  </pic:nvPicPr>
                  <pic:blipFill>
                    <a:blip r:embed="rId7"/>
                    <a:stretch>
                      <a:fillRect/>
                    </a:stretch>
                  </pic:blipFill>
                  <pic:spPr>
                    <a:xfrm>
                      <a:off x="0" y="0"/>
                      <a:ext cx="5632926" cy="3364384"/>
                    </a:xfrm>
                    <a:prstGeom prst="rect">
                      <a:avLst/>
                    </a:prstGeom>
                    <a:noFill/>
                    <a:ln>
                      <a:noFill/>
                    </a:ln>
                  </pic:spPr>
                </pic:pic>
              </a:graphicData>
            </a:graphic>
          </wp:inline>
        </w:drawing>
      </w:r>
    </w:p>
    <w:p>
      <w:pPr>
        <w:pStyle w:val="15"/>
        <w:spacing w:line="360" w:lineRule="auto"/>
        <w:rPr>
          <w:rFonts w:cs="Times New Roman"/>
        </w:rPr>
      </w:pPr>
      <w:r>
        <w:rPr>
          <w:rFonts w:cs="Times New Roman"/>
          <w:lang w:bidi="ar"/>
        </w:rPr>
        <w:t>图4.2.1-1  开发区历年常规污染物变化趋势图</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.2.2环境空气质量现状监测与分析</w:t>
      </w:r>
    </w:p>
    <w:p>
      <w:pPr>
        <w:ind w:firstLine="480"/>
        <w:rPr>
          <w:rFonts w:cs="Times New Roman"/>
        </w:rPr>
      </w:pPr>
      <w:r>
        <w:rPr>
          <w:rFonts w:cs="Times New Roman"/>
          <w:lang w:bidi="ar"/>
        </w:rPr>
        <w:t>（1）监测因子</w:t>
      </w:r>
    </w:p>
    <w:p>
      <w:pPr>
        <w:ind w:firstLine="480"/>
        <w:rPr>
          <w:rFonts w:cs="Times New Roman"/>
          <w:lang w:bidi="ar"/>
        </w:rPr>
      </w:pPr>
      <w:r>
        <w:rPr>
          <w:rFonts w:cs="Times New Roman"/>
          <w:szCs w:val="24"/>
          <w:lang w:bidi="ar"/>
        </w:rPr>
        <w:t>选择TSP、</w:t>
      </w:r>
      <w:r>
        <w:rPr>
          <w:rFonts w:cs="Times New Roman"/>
          <w:lang w:bidi="ar"/>
        </w:rPr>
        <w:t>苯、甲苯、二甲苯、非甲烷总烃</w:t>
      </w:r>
      <w:r>
        <w:rPr>
          <w:rFonts w:cs="Times New Roman"/>
          <w:szCs w:val="24"/>
          <w:lang w:bidi="ar"/>
        </w:rPr>
        <w:t>为现状监测项目；SO</w:t>
      </w:r>
      <w:r>
        <w:rPr>
          <w:rFonts w:cs="Times New Roman"/>
          <w:szCs w:val="24"/>
          <w:vertAlign w:val="subscript"/>
          <w:lang w:bidi="ar"/>
        </w:rPr>
        <w:t>2</w:t>
      </w:r>
      <w:r>
        <w:rPr>
          <w:rFonts w:cs="Times New Roman"/>
          <w:szCs w:val="24"/>
          <w:lang w:bidi="ar"/>
        </w:rPr>
        <w:t>、NO</w:t>
      </w:r>
      <w:r>
        <w:rPr>
          <w:rFonts w:cs="Times New Roman"/>
          <w:szCs w:val="24"/>
          <w:vertAlign w:val="subscript"/>
          <w:lang w:bidi="ar"/>
        </w:rPr>
        <w:t>2</w:t>
      </w:r>
      <w:r>
        <w:rPr>
          <w:rFonts w:cs="Times New Roman"/>
          <w:szCs w:val="24"/>
          <w:lang w:bidi="ar"/>
        </w:rPr>
        <w:t>、PM</w:t>
      </w:r>
      <w:r>
        <w:rPr>
          <w:rFonts w:cs="Times New Roman"/>
          <w:szCs w:val="24"/>
          <w:vertAlign w:val="subscript"/>
          <w:lang w:bidi="ar"/>
        </w:rPr>
        <w:t>2.5</w:t>
      </w:r>
      <w:r>
        <w:rPr>
          <w:rFonts w:cs="Times New Roman"/>
          <w:szCs w:val="24"/>
          <w:lang w:bidi="ar"/>
        </w:rPr>
        <w:t>、PM</w:t>
      </w:r>
      <w:r>
        <w:rPr>
          <w:rFonts w:cs="Times New Roman"/>
          <w:szCs w:val="24"/>
          <w:vertAlign w:val="subscript"/>
          <w:lang w:bidi="ar"/>
        </w:rPr>
        <w:t>10</w:t>
      </w:r>
      <w:r>
        <w:rPr>
          <w:rFonts w:cs="Times New Roman"/>
          <w:szCs w:val="24"/>
          <w:lang w:bidi="ar"/>
        </w:rPr>
        <w:t>、CO和O</w:t>
      </w:r>
      <w:r>
        <w:rPr>
          <w:rFonts w:cs="Times New Roman"/>
          <w:szCs w:val="24"/>
          <w:vertAlign w:val="subscript"/>
          <w:lang w:bidi="ar"/>
        </w:rPr>
        <w:t>3</w:t>
      </w:r>
      <w:r>
        <w:rPr>
          <w:rFonts w:cs="Times New Roman"/>
          <w:szCs w:val="24"/>
          <w:lang w:bidi="ar"/>
        </w:rPr>
        <w:t>引用淮北市环境空气监测站点的数据。。</w:t>
      </w:r>
    </w:p>
    <w:p>
      <w:pPr>
        <w:ind w:firstLine="480"/>
        <w:rPr>
          <w:rFonts w:cs="Times New Roman"/>
        </w:rPr>
      </w:pPr>
      <w:r>
        <w:rPr>
          <w:rFonts w:cs="Times New Roman"/>
          <w:lang w:bidi="ar"/>
        </w:rPr>
        <w:t>（2）监测点位</w:t>
      </w:r>
    </w:p>
    <w:p>
      <w:pPr>
        <w:ind w:firstLine="480"/>
        <w:rPr>
          <w:rFonts w:cs="Times New Roman"/>
        </w:rPr>
      </w:pPr>
      <w:r>
        <w:rPr>
          <w:rFonts w:cs="Times New Roman"/>
          <w:lang w:bidi="ar"/>
        </w:rPr>
        <w:t>参照开发区原环评布设环境空气监测点位，全区布设5个监测点，各监测点具体位置见表4.2.2-1和附图4.2.2-1。</w:t>
      </w:r>
    </w:p>
    <w:p>
      <w:pPr>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.2.2-1 开发区环境空气质量现状监测点布设一览表</w:t>
      </w:r>
    </w:p>
    <w:tbl>
      <w:tblPr>
        <w:tblStyle w:val="11"/>
        <w:tblW w:w="92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3324"/>
        <w:gridCol w:w="42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Align w:val="center"/>
          </w:tcPr>
          <w:p>
            <w:pPr>
              <w:spacing w:line="240" w:lineRule="auto"/>
              <w:ind w:firstLine="0" w:firstLineChars="0"/>
              <w:jc w:val="center"/>
              <w:rPr>
                <w:rFonts w:ascii="Times New Roman" w:hAnsi="Times New Roman" w:cs="Times New Roman"/>
                <w:b/>
                <w:kern w:val="0"/>
                <w:sz w:val="21"/>
                <w:szCs w:val="24"/>
              </w:rPr>
            </w:pPr>
            <w:r>
              <w:rPr>
                <w:rFonts w:ascii="Times New Roman" w:hAnsi="Times New Roman" w:cs="Times New Roman"/>
                <w:b/>
                <w:sz w:val="21"/>
                <w:szCs w:val="21"/>
                <w:lang w:bidi="ar"/>
              </w:rPr>
              <w:t>编号</w:t>
            </w:r>
          </w:p>
        </w:tc>
        <w:tc>
          <w:tcPr>
            <w:tcW w:w="3324" w:type="dxa"/>
            <w:vAlign w:val="center"/>
          </w:tcPr>
          <w:p>
            <w:pPr>
              <w:spacing w:line="240" w:lineRule="auto"/>
              <w:ind w:firstLine="0" w:firstLineChars="0"/>
              <w:jc w:val="center"/>
              <w:rPr>
                <w:rFonts w:ascii="Times New Roman" w:hAnsi="Times New Roman" w:cs="Times New Roman"/>
                <w:b/>
                <w:kern w:val="0"/>
                <w:sz w:val="21"/>
                <w:szCs w:val="24"/>
              </w:rPr>
            </w:pPr>
            <w:r>
              <w:rPr>
                <w:rFonts w:ascii="Times New Roman" w:hAnsi="Times New Roman" w:cs="Times New Roman"/>
                <w:b/>
                <w:sz w:val="21"/>
                <w:szCs w:val="21"/>
                <w:lang w:bidi="ar"/>
              </w:rPr>
              <w:t>点位名称</w:t>
            </w:r>
          </w:p>
        </w:tc>
        <w:tc>
          <w:tcPr>
            <w:tcW w:w="4282" w:type="dxa"/>
            <w:vAlign w:val="center"/>
          </w:tcPr>
          <w:p>
            <w:pPr>
              <w:spacing w:line="240" w:lineRule="auto"/>
              <w:ind w:firstLine="0" w:firstLineChars="0"/>
              <w:jc w:val="center"/>
              <w:rPr>
                <w:rFonts w:ascii="Times New Roman" w:hAnsi="Times New Roman" w:cs="Times New Roman"/>
                <w:b/>
                <w:kern w:val="0"/>
                <w:sz w:val="21"/>
                <w:szCs w:val="24"/>
              </w:rPr>
            </w:pPr>
            <w:r>
              <w:rPr>
                <w:rFonts w:ascii="Times New Roman" w:hAnsi="Times New Roman" w:cs="Times New Roman"/>
                <w:b/>
                <w:sz w:val="21"/>
                <w:szCs w:val="21"/>
                <w:lang w:bidi="ar"/>
              </w:rPr>
              <w:t>与上一轮规划环评监测点位关系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G1</w:t>
            </w:r>
          </w:p>
        </w:tc>
        <w:tc>
          <w:tcPr>
            <w:tcW w:w="3324" w:type="dxa"/>
            <w:vAlign w:val="center"/>
          </w:tcPr>
          <w:p>
            <w:pPr>
              <w:spacing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szCs w:val="21"/>
                <w:lang w:bidi="ar"/>
              </w:rPr>
              <w:t>纵楼村</w:t>
            </w:r>
          </w:p>
        </w:tc>
        <w:tc>
          <w:tcPr>
            <w:tcW w:w="4282"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645"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G2</w:t>
            </w:r>
          </w:p>
        </w:tc>
        <w:tc>
          <w:tcPr>
            <w:tcW w:w="3324" w:type="dxa"/>
            <w:vAlign w:val="center"/>
          </w:tcPr>
          <w:p>
            <w:pPr>
              <w:spacing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szCs w:val="21"/>
                <w:lang w:bidi="ar"/>
              </w:rPr>
              <w:t>南段庄</w:t>
            </w:r>
          </w:p>
        </w:tc>
        <w:tc>
          <w:tcPr>
            <w:tcW w:w="4282"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G3</w:t>
            </w:r>
          </w:p>
        </w:tc>
        <w:tc>
          <w:tcPr>
            <w:tcW w:w="3324" w:type="dxa"/>
            <w:vAlign w:val="center"/>
          </w:tcPr>
          <w:p>
            <w:pPr>
              <w:spacing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szCs w:val="21"/>
                <w:lang w:bidi="ar"/>
              </w:rPr>
              <w:t>刘窑村</w:t>
            </w:r>
          </w:p>
        </w:tc>
        <w:tc>
          <w:tcPr>
            <w:tcW w:w="4282"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G4</w:t>
            </w:r>
          </w:p>
        </w:tc>
        <w:tc>
          <w:tcPr>
            <w:tcW w:w="3324" w:type="dxa"/>
            <w:vAlign w:val="center"/>
          </w:tcPr>
          <w:p>
            <w:pPr>
              <w:spacing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szCs w:val="21"/>
                <w:lang w:bidi="ar"/>
              </w:rPr>
              <w:t>滂汪小学</w:t>
            </w:r>
          </w:p>
        </w:tc>
        <w:tc>
          <w:tcPr>
            <w:tcW w:w="4282"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5"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G5</w:t>
            </w:r>
          </w:p>
        </w:tc>
        <w:tc>
          <w:tcPr>
            <w:tcW w:w="3324" w:type="dxa"/>
            <w:vAlign w:val="center"/>
          </w:tcPr>
          <w:p>
            <w:pPr>
              <w:spacing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szCs w:val="21"/>
                <w:lang w:bidi="ar"/>
              </w:rPr>
              <w:t>徐里村</w:t>
            </w:r>
          </w:p>
        </w:tc>
        <w:tc>
          <w:tcPr>
            <w:tcW w:w="4282" w:type="dxa"/>
            <w:vAlign w:val="center"/>
          </w:tcPr>
          <w:p>
            <w:pPr>
              <w:spacing w:line="240" w:lineRule="auto"/>
              <w:ind w:firstLine="0" w:firstLineChars="0"/>
              <w:jc w:val="center"/>
              <w:rPr>
                <w:rFonts w:ascii="Times New Roman" w:hAnsi="Times New Roman" w:cs="Times New Roman"/>
                <w:kern w:val="0"/>
                <w:sz w:val="21"/>
                <w:szCs w:val="24"/>
              </w:rPr>
            </w:pPr>
            <w:r>
              <w:rPr>
                <w:rFonts w:ascii="Times New Roman" w:hAnsi="Times New Roman" w:cs="Times New Roman"/>
                <w:sz w:val="21"/>
                <w:szCs w:val="21"/>
                <w:lang w:bidi="ar"/>
              </w:rPr>
              <w:t>一致</w:t>
            </w:r>
          </w:p>
        </w:tc>
      </w:tr>
    </w:tbl>
    <w:p>
      <w:pPr>
        <w:ind w:firstLine="480"/>
        <w:rPr>
          <w:rFonts w:cs="Times New Roman"/>
        </w:rPr>
      </w:pPr>
      <w:r>
        <w:rPr>
          <w:rFonts w:cs="Times New Roman"/>
          <w:lang w:bidi="ar"/>
        </w:rPr>
        <w:t>（3）监测频次</w:t>
      </w:r>
    </w:p>
    <w:p>
      <w:pPr>
        <w:ind w:firstLine="480"/>
        <w:rPr>
          <w:rFonts w:cs="Times New Roman"/>
        </w:rPr>
      </w:pPr>
      <w:r>
        <w:rPr>
          <w:rFonts w:cs="Times New Roman"/>
          <w:lang w:bidi="ar"/>
        </w:rPr>
        <w:t>环境空气质量监测期为一期，连续监测7天。</w:t>
      </w:r>
    </w:p>
    <w:p>
      <w:pPr>
        <w:ind w:firstLine="480"/>
        <w:textAlignment w:val="center"/>
        <w:rPr>
          <w:rFonts w:cs="Times New Roman"/>
          <w:lang w:bidi="ar"/>
        </w:rPr>
      </w:pPr>
      <w:r>
        <w:rPr>
          <w:rFonts w:cs="Times New Roman"/>
          <w:lang w:bidi="ar"/>
        </w:rPr>
        <w:t>苯、甲苯、二甲苯、非甲烷总烃监测1h平均值，1小时平均浓度每小时至少有45分钟的采样时间，TSP监测24小时浓度。</w:t>
      </w:r>
    </w:p>
    <w:p>
      <w:pPr>
        <w:ind w:firstLine="480"/>
        <w:rPr>
          <w:rFonts w:cs="Times New Roman"/>
        </w:rPr>
      </w:pPr>
      <w:r>
        <w:rPr>
          <w:rFonts w:cs="Times New Roman"/>
          <w:lang w:bidi="ar"/>
        </w:rPr>
        <w:t>提供监测期间同时观测气温、气压、风向、风速等气象要素；同时提供监测方法、监测方法所对应的检出限和监测仪器对应的检出限。</w:t>
      </w:r>
    </w:p>
    <w:p>
      <w:pPr>
        <w:ind w:firstLine="480"/>
        <w:textAlignment w:val="center"/>
        <w:rPr>
          <w:rFonts w:cs="Times New Roman"/>
        </w:rPr>
      </w:pPr>
      <w:r>
        <w:rPr>
          <w:rFonts w:cs="Times New Roman"/>
          <w:lang w:bidi="ar"/>
        </w:rPr>
        <w:t>（4）监测方法：采样监测方法按《环境监测技术规范》大气部分要求进行，分析方法按《环境空气质量标准》（GB3095-2012）中推荐的方法进行。</w:t>
      </w:r>
    </w:p>
    <w:p>
      <w:pPr>
        <w:ind w:firstLine="480"/>
        <w:rPr>
          <w:rFonts w:cs="Times New Roman"/>
        </w:rPr>
      </w:pPr>
      <w:r>
        <w:rPr>
          <w:rFonts w:cs="Times New Roman"/>
          <w:lang w:bidi="ar"/>
        </w:rPr>
        <w:t>（5）评价标准</w:t>
      </w:r>
    </w:p>
    <w:p>
      <w:pPr>
        <w:ind w:firstLine="480"/>
        <w:rPr>
          <w:rFonts w:cs="Times New Roman"/>
        </w:rPr>
      </w:pPr>
      <w:r>
        <w:rPr>
          <w:rFonts w:cs="Times New Roman"/>
          <w:lang w:bidi="ar"/>
        </w:rPr>
        <w:t>本次评价全部点位的PM</w:t>
      </w:r>
      <w:r>
        <w:rPr>
          <w:rFonts w:cs="Times New Roman"/>
          <w:vertAlign w:val="subscript"/>
          <w:lang w:bidi="ar"/>
        </w:rPr>
        <w:t>10</w:t>
      </w:r>
      <w:r>
        <w:rPr>
          <w:rFonts w:cs="Times New Roman"/>
          <w:lang w:bidi="ar"/>
        </w:rPr>
        <w:t>、SO</w:t>
      </w:r>
      <w:r>
        <w:rPr>
          <w:rFonts w:cs="Times New Roman"/>
          <w:vertAlign w:val="subscript"/>
          <w:lang w:bidi="ar"/>
        </w:rPr>
        <w:t>2</w:t>
      </w:r>
      <w:r>
        <w:rPr>
          <w:rFonts w:cs="Times New Roman"/>
          <w:lang w:bidi="ar"/>
        </w:rPr>
        <w:t>、NO</w:t>
      </w:r>
      <w:r>
        <w:rPr>
          <w:rFonts w:cs="Times New Roman"/>
          <w:vertAlign w:val="subscript"/>
          <w:lang w:bidi="ar"/>
        </w:rPr>
        <w:t>2</w:t>
      </w:r>
      <w:r>
        <w:rPr>
          <w:rFonts w:cs="Times New Roman"/>
          <w:lang w:bidi="ar"/>
        </w:rPr>
        <w:t>、TSP执行《环境空气质量标准》（GB3095-2012）二级标准；</w:t>
      </w:r>
      <w:r>
        <w:rPr>
          <w:rFonts w:cs="Times New Roman"/>
          <w:kern w:val="0"/>
          <w:szCs w:val="24"/>
          <w:lang w:bidi="ar"/>
        </w:rPr>
        <w:t>苯、甲苯、</w:t>
      </w:r>
      <w:r>
        <w:rPr>
          <w:rFonts w:cs="Times New Roman"/>
          <w:lang w:bidi="ar"/>
        </w:rPr>
        <w:t>二甲苯参照执行《环境影响评价技术导则•大气环境》（HJ2.2－2018）附录D其他污染物空气质量浓度参考限值；</w:t>
      </w:r>
      <w:r>
        <w:rPr>
          <w:rFonts w:cs="Times New Roman"/>
        </w:rPr>
        <w:t>非甲烷总烃参照执行《大气污染物综合排放标准详解》中的标准</w:t>
      </w:r>
      <w:r>
        <w:rPr>
          <w:rFonts w:cs="Times New Roman"/>
          <w:lang w:bidi="ar"/>
        </w:rPr>
        <w:t>。</w:t>
      </w:r>
    </w:p>
    <w:p>
      <w:pPr>
        <w:ind w:firstLine="480"/>
        <w:rPr>
          <w:rFonts w:cs="Times New Roman"/>
        </w:rPr>
      </w:pPr>
      <w:r>
        <w:rPr>
          <w:rFonts w:cs="Times New Roman"/>
          <w:lang w:bidi="ar"/>
        </w:rPr>
        <w:t>（6）评价方法</w:t>
      </w:r>
    </w:p>
    <w:p>
      <w:pPr>
        <w:ind w:firstLine="480"/>
        <w:rPr>
          <w:rFonts w:cs="Times New Roman"/>
        </w:rPr>
      </w:pPr>
      <w:r>
        <w:rPr>
          <w:rFonts w:cs="Times New Roman"/>
          <w:lang w:bidi="ar"/>
        </w:rPr>
        <w:t>大气质量现状采用单项标准指数法，即：</w:t>
      </w:r>
    </w:p>
    <w:p>
      <w:pPr>
        <w:ind w:firstLine="480"/>
        <w:jc w:val="center"/>
        <w:rPr>
          <w:rFonts w:cs="Times New Roman"/>
        </w:rPr>
      </w:pPr>
      <w:r>
        <w:rPr>
          <w:rFonts w:cs="Times New Roman"/>
          <w:lang w:bidi="ar"/>
        </w:rPr>
        <w:t>I</w:t>
      </w:r>
      <w:r>
        <w:rPr>
          <w:rFonts w:cs="Times New Roman"/>
          <w:vertAlign w:val="subscript"/>
          <w:lang w:bidi="ar"/>
        </w:rPr>
        <w:t>ij</w:t>
      </w:r>
      <w:r>
        <w:rPr>
          <w:rFonts w:cs="Times New Roman"/>
          <w:lang w:bidi="ar"/>
        </w:rPr>
        <w:t>=C</w:t>
      </w:r>
      <w:r>
        <w:rPr>
          <w:rFonts w:cs="Times New Roman"/>
          <w:vertAlign w:val="subscript"/>
          <w:lang w:bidi="ar"/>
        </w:rPr>
        <w:t>ij</w:t>
      </w:r>
      <w:r>
        <w:rPr>
          <w:rFonts w:cs="Times New Roman"/>
          <w:lang w:bidi="ar"/>
        </w:rPr>
        <w:t>/C</w:t>
      </w:r>
      <w:r>
        <w:rPr>
          <w:rFonts w:cs="Times New Roman"/>
          <w:vertAlign w:val="subscript"/>
          <w:lang w:bidi="ar"/>
        </w:rPr>
        <w:t>sj</w:t>
      </w:r>
    </w:p>
    <w:p>
      <w:pPr>
        <w:ind w:firstLine="480"/>
        <w:rPr>
          <w:rFonts w:cs="Times New Roman"/>
        </w:rPr>
      </w:pPr>
      <w:r>
        <w:rPr>
          <w:rFonts w:cs="Times New Roman"/>
          <w:lang w:bidi="ar"/>
        </w:rPr>
        <w:t>式中：I</w:t>
      </w:r>
      <w:r>
        <w:rPr>
          <w:rFonts w:cs="Times New Roman"/>
          <w:vertAlign w:val="subscript"/>
          <w:lang w:bidi="ar"/>
        </w:rPr>
        <w:t>ij</w:t>
      </w:r>
      <w:r>
        <w:rPr>
          <w:rFonts w:cs="Times New Roman"/>
          <w:lang w:bidi="ar"/>
        </w:rPr>
        <w:t>：第i种污染物在第j点的标准指数；</w:t>
      </w:r>
    </w:p>
    <w:p>
      <w:pPr>
        <w:ind w:firstLine="1080" w:firstLineChars="450"/>
        <w:rPr>
          <w:rFonts w:cs="Times New Roman"/>
        </w:rPr>
      </w:pPr>
      <w:r>
        <w:rPr>
          <w:rFonts w:cs="Times New Roman"/>
          <w:lang w:bidi="ar"/>
        </w:rPr>
        <w:t>C</w:t>
      </w:r>
      <w:r>
        <w:rPr>
          <w:rFonts w:cs="Times New Roman"/>
          <w:vertAlign w:val="subscript"/>
          <w:lang w:bidi="ar"/>
        </w:rPr>
        <w:t>ij</w:t>
      </w:r>
      <w:r>
        <w:rPr>
          <w:rFonts w:cs="Times New Roman"/>
          <w:lang w:bidi="ar"/>
        </w:rPr>
        <w:t>：第i种污染物在第j点的监测平均值，mg/Nm</w:t>
      </w:r>
      <w:r>
        <w:rPr>
          <w:rFonts w:cs="Times New Roman"/>
          <w:vertAlign w:val="superscript"/>
          <w:lang w:bidi="ar"/>
        </w:rPr>
        <w:t>3</w:t>
      </w:r>
      <w:r>
        <w:rPr>
          <w:rFonts w:cs="Times New Roman"/>
          <w:lang w:bidi="ar"/>
        </w:rPr>
        <w:t>；</w:t>
      </w:r>
    </w:p>
    <w:p>
      <w:pPr>
        <w:ind w:firstLine="1080" w:firstLineChars="450"/>
        <w:rPr>
          <w:rFonts w:cs="Times New Roman"/>
        </w:rPr>
      </w:pPr>
      <w:r>
        <w:rPr>
          <w:rFonts w:cs="Times New Roman"/>
          <w:lang w:bidi="ar"/>
        </w:rPr>
        <w:t>C</w:t>
      </w:r>
      <w:r>
        <w:rPr>
          <w:rFonts w:cs="Times New Roman"/>
          <w:vertAlign w:val="subscript"/>
          <w:lang w:bidi="ar"/>
        </w:rPr>
        <w:t>Sj</w:t>
      </w:r>
      <w:r>
        <w:rPr>
          <w:rFonts w:cs="Times New Roman"/>
          <w:lang w:bidi="ar"/>
        </w:rPr>
        <w:t>：第i种污染物的评价标准，mg/Nm</w:t>
      </w:r>
      <w:r>
        <w:rPr>
          <w:rFonts w:cs="Times New Roman"/>
          <w:vertAlign w:val="superscript"/>
          <w:lang w:bidi="ar"/>
        </w:rPr>
        <w:t>3</w:t>
      </w:r>
      <w:r>
        <w:rPr>
          <w:rFonts w:cs="Times New Roman"/>
          <w:lang w:bidi="ar"/>
        </w:rPr>
        <w:t>。</w:t>
      </w:r>
    </w:p>
    <w:p>
      <w:pPr>
        <w:ind w:firstLine="480"/>
        <w:rPr>
          <w:rFonts w:cs="Times New Roman"/>
        </w:rPr>
      </w:pPr>
      <w:r>
        <w:rPr>
          <w:rFonts w:cs="Times New Roman"/>
          <w:lang w:bidi="ar"/>
        </w:rPr>
        <w:t>（7）监测及评价结果</w:t>
      </w:r>
    </w:p>
    <w:p>
      <w:pPr>
        <w:ind w:firstLine="480"/>
        <w:rPr>
          <w:rFonts w:cs="Times New Roman"/>
          <w:lang w:bidi="ar"/>
        </w:rPr>
      </w:pPr>
      <w:r>
        <w:rPr>
          <w:rFonts w:cs="Times New Roman"/>
          <w:lang w:bidi="ar"/>
        </w:rPr>
        <w:t>监测及评价结果见</w:t>
      </w:r>
      <w:r>
        <w:rPr>
          <w:rFonts w:hint="eastAsia" w:cs="Times New Roman"/>
          <w:lang w:val="en-US" w:eastAsia="zh-CN" w:bidi="ar"/>
        </w:rPr>
        <w:t>3</w:t>
      </w:r>
      <w:r>
        <w:rPr>
          <w:rFonts w:cs="Times New Roman"/>
          <w:lang w:bidi="ar"/>
        </w:rPr>
        <w:t>.2.2-2。</w:t>
      </w:r>
    </w:p>
    <w:p>
      <w:pPr>
        <w:spacing w:line="500" w:lineRule="exact"/>
        <w:ind w:firstLine="0" w:firstLineChars="0"/>
        <w:jc w:val="center"/>
        <w:rPr>
          <w:rFonts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.2.2-2  评价区大气环境现状监测及评价结果</w:t>
      </w:r>
    </w:p>
    <w:tbl>
      <w:tblPr>
        <w:tblStyle w:val="1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72"/>
        <w:gridCol w:w="1275"/>
        <w:gridCol w:w="1273"/>
        <w:gridCol w:w="1276"/>
        <w:gridCol w:w="1467"/>
        <w:gridCol w:w="1025"/>
        <w:gridCol w:w="13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89" w:type="pct"/>
            <w:vMerge w:val="restart"/>
            <w:vAlign w:val="center"/>
          </w:tcPr>
          <w:p>
            <w:pPr>
              <w:spacing w:line="240" w:lineRule="auto"/>
              <w:ind w:firstLine="0" w:firstLineChars="0"/>
              <w:jc w:val="center"/>
              <w:rPr>
                <w:rFonts w:cs="Times New Roman"/>
                <w:b/>
                <w:bCs/>
                <w:kern w:val="0"/>
                <w:sz w:val="21"/>
              </w:rPr>
            </w:pPr>
            <w:r>
              <w:rPr>
                <w:rFonts w:cs="Times New Roman"/>
                <w:b/>
                <w:bCs/>
                <w:sz w:val="21"/>
                <w:lang w:bidi="ar"/>
              </w:rPr>
              <w:t>监测因子</w:t>
            </w:r>
          </w:p>
        </w:tc>
        <w:tc>
          <w:tcPr>
            <w:tcW w:w="472" w:type="pct"/>
            <w:vMerge w:val="restart"/>
            <w:vAlign w:val="center"/>
          </w:tcPr>
          <w:p>
            <w:pPr>
              <w:spacing w:line="240" w:lineRule="auto"/>
              <w:ind w:firstLine="0" w:firstLineChars="0"/>
              <w:jc w:val="center"/>
              <w:rPr>
                <w:rFonts w:cs="Times New Roman"/>
                <w:b/>
                <w:bCs/>
                <w:kern w:val="0"/>
                <w:sz w:val="21"/>
              </w:rPr>
            </w:pPr>
            <w:r>
              <w:rPr>
                <w:rFonts w:cs="Times New Roman"/>
                <w:b/>
                <w:bCs/>
                <w:sz w:val="21"/>
                <w:lang w:bidi="ar"/>
              </w:rPr>
              <w:t>监测点</w:t>
            </w:r>
          </w:p>
        </w:tc>
        <w:tc>
          <w:tcPr>
            <w:tcW w:w="2070" w:type="pct"/>
            <w:gridSpan w:val="3"/>
            <w:vAlign w:val="center"/>
          </w:tcPr>
          <w:p>
            <w:pPr>
              <w:spacing w:line="240" w:lineRule="auto"/>
              <w:ind w:firstLine="0" w:firstLineChars="0"/>
              <w:jc w:val="center"/>
              <w:rPr>
                <w:rFonts w:cs="Times New Roman"/>
                <w:b/>
                <w:bCs/>
                <w:sz w:val="21"/>
                <w:lang w:bidi="ar"/>
              </w:rPr>
            </w:pPr>
            <w:r>
              <w:rPr>
                <w:rFonts w:cs="Times New Roman"/>
                <w:b/>
                <w:bCs/>
                <w:sz w:val="21"/>
                <w:lang w:bidi="ar"/>
              </w:rPr>
              <w:t>小时浓度</w:t>
            </w:r>
          </w:p>
        </w:tc>
        <w:tc>
          <w:tcPr>
            <w:tcW w:w="2069" w:type="pct"/>
            <w:gridSpan w:val="3"/>
            <w:vAlign w:val="center"/>
          </w:tcPr>
          <w:p>
            <w:pPr>
              <w:spacing w:line="240" w:lineRule="auto"/>
              <w:ind w:firstLine="0" w:firstLineChars="0"/>
              <w:jc w:val="center"/>
              <w:rPr>
                <w:rFonts w:cs="Times New Roman"/>
                <w:b/>
                <w:bCs/>
                <w:kern w:val="0"/>
                <w:sz w:val="21"/>
              </w:rPr>
            </w:pPr>
            <w:r>
              <w:rPr>
                <w:rFonts w:cs="Times New Roman"/>
                <w:b/>
                <w:bCs/>
                <w:sz w:val="21"/>
                <w:lang w:bidi="ar"/>
              </w:rPr>
              <w:t>日均浓度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89" w:type="pct"/>
            <w:vMerge w:val="continue"/>
            <w:vAlign w:val="center"/>
          </w:tcPr>
          <w:p>
            <w:pPr>
              <w:spacing w:line="240" w:lineRule="auto"/>
              <w:ind w:firstLine="0" w:firstLineChars="0"/>
              <w:jc w:val="center"/>
              <w:rPr>
                <w:rFonts w:cs="Times New Roman"/>
                <w:b/>
                <w:bCs/>
                <w:sz w:val="21"/>
              </w:rPr>
            </w:pPr>
          </w:p>
        </w:tc>
        <w:tc>
          <w:tcPr>
            <w:tcW w:w="472" w:type="pct"/>
            <w:vMerge w:val="continue"/>
            <w:vAlign w:val="center"/>
          </w:tcPr>
          <w:p>
            <w:pPr>
              <w:spacing w:line="240" w:lineRule="auto"/>
              <w:ind w:firstLine="0" w:firstLineChars="0"/>
              <w:jc w:val="center"/>
              <w:rPr>
                <w:rFonts w:cs="Times New Roman"/>
                <w:b/>
                <w:bCs/>
                <w:sz w:val="21"/>
              </w:rPr>
            </w:pPr>
          </w:p>
        </w:tc>
        <w:tc>
          <w:tcPr>
            <w:tcW w:w="690" w:type="pct"/>
            <w:vAlign w:val="center"/>
          </w:tcPr>
          <w:p>
            <w:pPr>
              <w:spacing w:line="240" w:lineRule="auto"/>
              <w:ind w:firstLine="0" w:firstLineChars="0"/>
              <w:jc w:val="center"/>
              <w:rPr>
                <w:rFonts w:cs="Times New Roman"/>
                <w:b/>
                <w:bCs/>
                <w:kern w:val="0"/>
                <w:sz w:val="21"/>
              </w:rPr>
            </w:pPr>
            <w:r>
              <w:rPr>
                <w:rFonts w:cs="Times New Roman"/>
                <w:b/>
                <w:bCs/>
                <w:sz w:val="21"/>
                <w:lang w:bidi="ar"/>
              </w:rPr>
              <w:t>浓度范围</w:t>
            </w:r>
          </w:p>
          <w:p>
            <w:pPr>
              <w:spacing w:line="240" w:lineRule="auto"/>
              <w:ind w:firstLine="0" w:firstLineChars="0"/>
              <w:jc w:val="center"/>
              <w:rPr>
                <w:rFonts w:cs="Times New Roman"/>
                <w:b/>
                <w:bCs/>
                <w:sz w:val="21"/>
              </w:rPr>
            </w:pPr>
            <w:r>
              <w:rPr>
                <w:rFonts w:cs="Times New Roman"/>
                <w:b/>
                <w:bCs/>
                <w:sz w:val="21"/>
                <w:lang w:bidi="ar"/>
              </w:rPr>
              <w:t>(μg/m</w:t>
            </w:r>
            <w:r>
              <w:rPr>
                <w:rFonts w:cs="Times New Roman"/>
                <w:b/>
                <w:bCs/>
                <w:sz w:val="21"/>
                <w:vertAlign w:val="superscript"/>
                <w:lang w:bidi="ar"/>
              </w:rPr>
              <w:t>3</w:t>
            </w:r>
            <w:r>
              <w:rPr>
                <w:rFonts w:cs="Times New Roman"/>
                <w:b/>
                <w:bCs/>
                <w:sz w:val="21"/>
                <w:lang w:bidi="ar"/>
              </w:rPr>
              <w:t>)</w:t>
            </w:r>
          </w:p>
        </w:tc>
        <w:tc>
          <w:tcPr>
            <w:tcW w:w="689" w:type="pct"/>
            <w:vAlign w:val="center"/>
          </w:tcPr>
          <w:p>
            <w:pPr>
              <w:spacing w:line="240" w:lineRule="auto"/>
              <w:ind w:firstLine="0" w:firstLineChars="0"/>
              <w:jc w:val="center"/>
              <w:rPr>
                <w:rFonts w:cs="Times New Roman"/>
                <w:b/>
                <w:bCs/>
                <w:sz w:val="21"/>
              </w:rPr>
            </w:pPr>
            <w:r>
              <w:rPr>
                <w:rFonts w:cs="Times New Roman"/>
                <w:b/>
                <w:bCs/>
                <w:sz w:val="21"/>
                <w:lang w:bidi="ar"/>
              </w:rPr>
              <w:t>超标率(%)</w:t>
            </w:r>
          </w:p>
        </w:tc>
        <w:tc>
          <w:tcPr>
            <w:tcW w:w="691" w:type="pct"/>
            <w:vAlign w:val="center"/>
          </w:tcPr>
          <w:p>
            <w:pPr>
              <w:spacing w:line="240" w:lineRule="auto"/>
              <w:ind w:firstLine="0" w:firstLineChars="0"/>
              <w:jc w:val="center"/>
              <w:rPr>
                <w:rFonts w:cs="Times New Roman"/>
                <w:b/>
                <w:bCs/>
                <w:kern w:val="0"/>
                <w:sz w:val="21"/>
              </w:rPr>
            </w:pPr>
            <w:r>
              <w:rPr>
                <w:rFonts w:cs="Times New Roman"/>
                <w:b/>
                <w:bCs/>
                <w:sz w:val="21"/>
                <w:lang w:bidi="ar"/>
              </w:rPr>
              <w:t>占标准份额</w:t>
            </w:r>
          </w:p>
          <w:p>
            <w:pPr>
              <w:spacing w:line="240" w:lineRule="auto"/>
              <w:ind w:firstLine="0" w:firstLineChars="0"/>
              <w:jc w:val="center"/>
              <w:rPr>
                <w:rFonts w:cs="Times New Roman"/>
                <w:b/>
                <w:bCs/>
                <w:sz w:val="21"/>
              </w:rPr>
            </w:pPr>
            <w:r>
              <w:rPr>
                <w:rFonts w:cs="Times New Roman"/>
                <w:b/>
                <w:bCs/>
                <w:sz w:val="21"/>
                <w:lang w:bidi="ar"/>
              </w:rPr>
              <w:t>(%)</w:t>
            </w:r>
          </w:p>
        </w:tc>
        <w:tc>
          <w:tcPr>
            <w:tcW w:w="794" w:type="pct"/>
            <w:vAlign w:val="center"/>
          </w:tcPr>
          <w:p>
            <w:pPr>
              <w:spacing w:line="240" w:lineRule="auto"/>
              <w:ind w:firstLine="0" w:firstLineChars="0"/>
              <w:jc w:val="center"/>
              <w:rPr>
                <w:rFonts w:cs="Times New Roman"/>
                <w:b/>
                <w:bCs/>
                <w:kern w:val="0"/>
                <w:sz w:val="21"/>
              </w:rPr>
            </w:pPr>
            <w:r>
              <w:rPr>
                <w:rFonts w:cs="Times New Roman"/>
                <w:b/>
                <w:bCs/>
                <w:sz w:val="21"/>
                <w:lang w:bidi="ar"/>
              </w:rPr>
              <w:t>浓度范围</w:t>
            </w:r>
          </w:p>
          <w:p>
            <w:pPr>
              <w:spacing w:line="240" w:lineRule="auto"/>
              <w:ind w:firstLine="0" w:firstLineChars="0"/>
              <w:jc w:val="center"/>
              <w:rPr>
                <w:rFonts w:cs="Times New Roman"/>
                <w:b/>
                <w:bCs/>
                <w:kern w:val="0"/>
                <w:sz w:val="21"/>
              </w:rPr>
            </w:pPr>
            <w:r>
              <w:rPr>
                <w:rFonts w:cs="Times New Roman"/>
                <w:b/>
                <w:bCs/>
                <w:sz w:val="21"/>
                <w:lang w:bidi="ar"/>
              </w:rPr>
              <w:t>(μg/m</w:t>
            </w:r>
            <w:r>
              <w:rPr>
                <w:rFonts w:cs="Times New Roman"/>
                <w:b/>
                <w:bCs/>
                <w:sz w:val="21"/>
                <w:vertAlign w:val="superscript"/>
                <w:lang w:bidi="ar"/>
              </w:rPr>
              <w:t>3</w:t>
            </w:r>
            <w:r>
              <w:rPr>
                <w:rFonts w:cs="Times New Roman"/>
                <w:b/>
                <w:bCs/>
                <w:sz w:val="21"/>
                <w:lang w:bidi="ar"/>
              </w:rPr>
              <w:t>)</w:t>
            </w:r>
          </w:p>
        </w:tc>
        <w:tc>
          <w:tcPr>
            <w:tcW w:w="555" w:type="pct"/>
            <w:vAlign w:val="center"/>
          </w:tcPr>
          <w:p>
            <w:pPr>
              <w:spacing w:line="240" w:lineRule="auto"/>
              <w:ind w:firstLine="0" w:firstLineChars="0"/>
              <w:jc w:val="center"/>
              <w:rPr>
                <w:rFonts w:cs="Times New Roman"/>
                <w:b/>
                <w:bCs/>
                <w:kern w:val="0"/>
                <w:sz w:val="21"/>
              </w:rPr>
            </w:pPr>
            <w:r>
              <w:rPr>
                <w:rFonts w:cs="Times New Roman"/>
                <w:b/>
                <w:bCs/>
                <w:sz w:val="21"/>
                <w:lang w:bidi="ar"/>
              </w:rPr>
              <w:t>超标率(%)</w:t>
            </w:r>
          </w:p>
        </w:tc>
        <w:tc>
          <w:tcPr>
            <w:tcW w:w="720" w:type="pct"/>
            <w:vAlign w:val="center"/>
          </w:tcPr>
          <w:p>
            <w:pPr>
              <w:spacing w:line="240" w:lineRule="auto"/>
              <w:ind w:firstLine="0" w:firstLineChars="0"/>
              <w:jc w:val="center"/>
              <w:rPr>
                <w:rFonts w:cs="Times New Roman"/>
                <w:b/>
                <w:bCs/>
                <w:kern w:val="0"/>
                <w:sz w:val="21"/>
              </w:rPr>
            </w:pPr>
            <w:r>
              <w:rPr>
                <w:rFonts w:cs="Times New Roman"/>
                <w:b/>
                <w:bCs/>
                <w:sz w:val="21"/>
                <w:lang w:bidi="ar"/>
              </w:rPr>
              <w:t>占标准份额</w:t>
            </w:r>
          </w:p>
          <w:p>
            <w:pPr>
              <w:spacing w:line="240" w:lineRule="auto"/>
              <w:ind w:firstLine="0" w:firstLineChars="0"/>
              <w:jc w:val="center"/>
              <w:rPr>
                <w:rFonts w:cs="Times New Roman"/>
                <w:b/>
                <w:bCs/>
                <w:kern w:val="0"/>
                <w:sz w:val="21"/>
              </w:rPr>
            </w:pPr>
            <w:r>
              <w:rPr>
                <w:rFonts w:cs="Times New Roman"/>
                <w:b/>
                <w:bCs/>
                <w:sz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restart"/>
            <w:vAlign w:val="center"/>
          </w:tcPr>
          <w:p>
            <w:pPr>
              <w:spacing w:line="240" w:lineRule="auto"/>
              <w:ind w:firstLine="0" w:firstLineChars="0"/>
              <w:jc w:val="center"/>
              <w:rPr>
                <w:rFonts w:cs="Times New Roman"/>
                <w:kern w:val="0"/>
                <w:sz w:val="21"/>
                <w:vertAlign w:val="subscript"/>
              </w:rPr>
            </w:pPr>
            <w:r>
              <w:rPr>
                <w:rFonts w:cs="Times New Roman"/>
                <w:sz w:val="21"/>
                <w:lang w:bidi="ar"/>
              </w:rPr>
              <w:t>SO</w:t>
            </w:r>
            <w:r>
              <w:rPr>
                <w:rFonts w:cs="Times New Roman"/>
                <w:sz w:val="21"/>
                <w:vertAlign w:val="subscript"/>
                <w:lang w:bidi="ar"/>
              </w:rPr>
              <w:t>2</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3~37</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24.7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3~37</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tcPr>
          <w:p>
            <w:pPr>
              <w:spacing w:line="240" w:lineRule="auto"/>
              <w:ind w:firstLine="0" w:firstLineChars="0"/>
              <w:jc w:val="center"/>
              <w:rPr>
                <w:rFonts w:cs="Times New Roman"/>
                <w:kern w:val="0"/>
                <w:sz w:val="21"/>
              </w:rPr>
            </w:pPr>
            <w:r>
              <w:rPr>
                <w:rFonts w:cs="Times New Roman"/>
                <w:kern w:val="0"/>
                <w:sz w:val="21"/>
              </w:rPr>
              <w:t>24.7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3~37</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tcPr>
          <w:p>
            <w:pPr>
              <w:spacing w:line="240" w:lineRule="auto"/>
              <w:ind w:firstLine="0" w:firstLineChars="0"/>
              <w:jc w:val="center"/>
              <w:rPr>
                <w:rFonts w:cs="Times New Roman"/>
                <w:kern w:val="0"/>
                <w:sz w:val="21"/>
              </w:rPr>
            </w:pPr>
            <w:r>
              <w:rPr>
                <w:rFonts w:cs="Times New Roman"/>
                <w:kern w:val="0"/>
                <w:sz w:val="21"/>
              </w:rPr>
              <w:t>24.7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3~37</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tcPr>
          <w:p>
            <w:pPr>
              <w:spacing w:line="240" w:lineRule="auto"/>
              <w:ind w:firstLine="0" w:firstLineChars="0"/>
              <w:jc w:val="center"/>
              <w:rPr>
                <w:rFonts w:cs="Times New Roman"/>
                <w:kern w:val="0"/>
                <w:sz w:val="21"/>
              </w:rPr>
            </w:pPr>
            <w:r>
              <w:rPr>
                <w:rFonts w:cs="Times New Roman"/>
                <w:kern w:val="0"/>
                <w:sz w:val="21"/>
              </w:rPr>
              <w:t>24.7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3~37</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tcPr>
          <w:p>
            <w:pPr>
              <w:spacing w:line="240" w:lineRule="auto"/>
              <w:ind w:firstLine="0" w:firstLineChars="0"/>
              <w:jc w:val="center"/>
              <w:rPr>
                <w:rFonts w:cs="Times New Roman"/>
                <w:kern w:val="0"/>
                <w:sz w:val="21"/>
              </w:rPr>
            </w:pPr>
            <w:r>
              <w:rPr>
                <w:rFonts w:cs="Times New Roman"/>
                <w:kern w:val="0"/>
                <w:sz w:val="21"/>
              </w:rPr>
              <w:t>24.7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restart"/>
            <w:vAlign w:val="center"/>
          </w:tcPr>
          <w:p>
            <w:pPr>
              <w:spacing w:line="240" w:lineRule="auto"/>
              <w:ind w:firstLine="0" w:firstLineChars="0"/>
              <w:jc w:val="center"/>
              <w:rPr>
                <w:rFonts w:cs="Times New Roman"/>
                <w:kern w:val="0"/>
                <w:sz w:val="21"/>
                <w:vertAlign w:val="subscript"/>
              </w:rPr>
            </w:pPr>
            <w:r>
              <w:rPr>
                <w:rFonts w:cs="Times New Roman"/>
                <w:sz w:val="21"/>
                <w:lang w:bidi="ar"/>
              </w:rPr>
              <w:t>NO</w:t>
            </w:r>
            <w:r>
              <w:rPr>
                <w:rFonts w:cs="Times New Roman"/>
                <w:sz w:val="21"/>
                <w:vertAlign w:val="subscript"/>
                <w:lang w:bidi="ar"/>
              </w:rPr>
              <w:t>2</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4~70</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4~70</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tcPr>
          <w:p>
            <w:pPr>
              <w:spacing w:line="240" w:lineRule="auto"/>
              <w:ind w:firstLine="0" w:firstLineChars="0"/>
              <w:jc w:val="center"/>
              <w:rPr>
                <w:rFonts w:cs="Times New Roman"/>
                <w:kern w:val="0"/>
                <w:sz w:val="21"/>
              </w:rPr>
            </w:pPr>
            <w:r>
              <w:rPr>
                <w:rFonts w:cs="Times New Roman"/>
                <w:kern w:val="0"/>
                <w:sz w:val="21"/>
              </w:rPr>
              <w:t>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4~70</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tcPr>
          <w:p>
            <w:pPr>
              <w:spacing w:line="240" w:lineRule="auto"/>
              <w:ind w:firstLine="0" w:firstLineChars="0"/>
              <w:jc w:val="center"/>
              <w:rPr>
                <w:rFonts w:cs="Times New Roman"/>
                <w:kern w:val="0"/>
                <w:sz w:val="21"/>
              </w:rPr>
            </w:pPr>
            <w:r>
              <w:rPr>
                <w:rFonts w:cs="Times New Roman"/>
                <w:kern w:val="0"/>
                <w:sz w:val="21"/>
              </w:rPr>
              <w:t>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4~70</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tcPr>
          <w:p>
            <w:pPr>
              <w:spacing w:line="240" w:lineRule="auto"/>
              <w:ind w:firstLine="0" w:firstLineChars="0"/>
              <w:jc w:val="center"/>
              <w:rPr>
                <w:rFonts w:cs="Times New Roman"/>
                <w:kern w:val="0"/>
                <w:sz w:val="21"/>
              </w:rPr>
            </w:pPr>
            <w:r>
              <w:rPr>
                <w:rFonts w:cs="Times New Roman"/>
                <w:kern w:val="0"/>
                <w:sz w:val="21"/>
              </w:rPr>
              <w:t>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4~70</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tcPr>
          <w:p>
            <w:pPr>
              <w:spacing w:line="240" w:lineRule="auto"/>
              <w:ind w:firstLine="0" w:firstLineChars="0"/>
              <w:jc w:val="center"/>
              <w:rPr>
                <w:rFonts w:cs="Times New Roman"/>
                <w:kern w:val="0"/>
                <w:sz w:val="21"/>
              </w:rPr>
            </w:pPr>
            <w:r>
              <w:rPr>
                <w:rFonts w:cs="Times New Roman"/>
                <w:kern w:val="0"/>
                <w:sz w:val="21"/>
              </w:rPr>
              <w:t>87.5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89" w:type="pct"/>
            <w:vMerge w:val="restart"/>
            <w:vAlign w:val="center"/>
          </w:tcPr>
          <w:p>
            <w:pPr>
              <w:spacing w:line="240" w:lineRule="auto"/>
              <w:ind w:firstLine="0" w:firstLineChars="0"/>
              <w:jc w:val="center"/>
              <w:rPr>
                <w:rFonts w:cs="Times New Roman"/>
                <w:sz w:val="21"/>
              </w:rPr>
            </w:pPr>
            <w:r>
              <w:rPr>
                <w:rFonts w:cs="Times New Roman"/>
                <w:sz w:val="21"/>
                <w:lang w:bidi="ar"/>
              </w:rPr>
              <w:t>PM</w:t>
            </w:r>
            <w:r>
              <w:rPr>
                <w:rFonts w:cs="Times New Roman"/>
                <w:sz w:val="21"/>
                <w:vertAlign w:val="subscript"/>
                <w:lang w:bidi="ar"/>
              </w:rPr>
              <w:t>2.5</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6~195</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23.3</w:t>
            </w:r>
          </w:p>
        </w:tc>
        <w:tc>
          <w:tcPr>
            <w:tcW w:w="720" w:type="pct"/>
          </w:tcPr>
          <w:p>
            <w:pPr>
              <w:spacing w:line="240" w:lineRule="auto"/>
              <w:ind w:firstLine="0" w:firstLineChars="0"/>
              <w:jc w:val="center"/>
              <w:rPr>
                <w:rFonts w:cs="Times New Roman"/>
                <w:kern w:val="0"/>
                <w:sz w:val="21"/>
              </w:rPr>
            </w:pPr>
            <w:r>
              <w:rPr>
                <w:rFonts w:cs="Times New Roman"/>
                <w:kern w:val="0"/>
                <w:sz w:val="21"/>
              </w:rPr>
              <w:t>260.0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389" w:type="pct"/>
            <w:vMerge w:val="continue"/>
            <w:vAlign w:val="center"/>
          </w:tcPr>
          <w:p>
            <w:pPr>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6~195</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23.3</w:t>
            </w:r>
          </w:p>
        </w:tc>
        <w:tc>
          <w:tcPr>
            <w:tcW w:w="720" w:type="pct"/>
          </w:tcPr>
          <w:p>
            <w:pPr>
              <w:spacing w:line="240" w:lineRule="auto"/>
              <w:ind w:firstLine="0" w:firstLineChars="0"/>
              <w:jc w:val="center"/>
              <w:rPr>
                <w:rFonts w:cs="Times New Roman"/>
                <w:kern w:val="0"/>
                <w:sz w:val="21"/>
              </w:rPr>
            </w:pPr>
            <w:r>
              <w:rPr>
                <w:rFonts w:cs="Times New Roman"/>
                <w:kern w:val="0"/>
                <w:sz w:val="21"/>
              </w:rPr>
              <w:t>260.0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389" w:type="pct"/>
            <w:vMerge w:val="continue"/>
            <w:vAlign w:val="center"/>
          </w:tcPr>
          <w:p>
            <w:pPr>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6~195</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23.3</w:t>
            </w:r>
          </w:p>
        </w:tc>
        <w:tc>
          <w:tcPr>
            <w:tcW w:w="720" w:type="pct"/>
          </w:tcPr>
          <w:p>
            <w:pPr>
              <w:spacing w:line="240" w:lineRule="auto"/>
              <w:ind w:firstLine="0" w:firstLineChars="0"/>
              <w:jc w:val="center"/>
              <w:rPr>
                <w:rFonts w:cs="Times New Roman"/>
                <w:kern w:val="0"/>
                <w:sz w:val="21"/>
              </w:rPr>
            </w:pPr>
            <w:r>
              <w:rPr>
                <w:rFonts w:cs="Times New Roman"/>
                <w:kern w:val="0"/>
                <w:sz w:val="21"/>
              </w:rPr>
              <w:t>260.0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89" w:type="pct"/>
            <w:vMerge w:val="continue"/>
            <w:vAlign w:val="center"/>
          </w:tcPr>
          <w:p>
            <w:pPr>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6~195</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23.3</w:t>
            </w:r>
          </w:p>
        </w:tc>
        <w:tc>
          <w:tcPr>
            <w:tcW w:w="720" w:type="pct"/>
          </w:tcPr>
          <w:p>
            <w:pPr>
              <w:spacing w:line="240" w:lineRule="auto"/>
              <w:ind w:firstLine="0" w:firstLineChars="0"/>
              <w:jc w:val="center"/>
              <w:rPr>
                <w:rFonts w:cs="Times New Roman"/>
                <w:kern w:val="0"/>
                <w:sz w:val="21"/>
              </w:rPr>
            </w:pPr>
            <w:r>
              <w:rPr>
                <w:rFonts w:cs="Times New Roman"/>
                <w:kern w:val="0"/>
                <w:sz w:val="21"/>
              </w:rPr>
              <w:t>260.0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89" w:type="pct"/>
            <w:vMerge w:val="continue"/>
            <w:vAlign w:val="center"/>
          </w:tcPr>
          <w:p>
            <w:pPr>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6~195</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23.3</w:t>
            </w:r>
          </w:p>
        </w:tc>
        <w:tc>
          <w:tcPr>
            <w:tcW w:w="720" w:type="pct"/>
          </w:tcPr>
          <w:p>
            <w:pPr>
              <w:spacing w:line="240" w:lineRule="auto"/>
              <w:ind w:firstLine="0" w:firstLineChars="0"/>
              <w:jc w:val="center"/>
              <w:rPr>
                <w:rFonts w:cs="Times New Roman"/>
                <w:kern w:val="0"/>
                <w:sz w:val="21"/>
              </w:rPr>
            </w:pPr>
            <w:r>
              <w:rPr>
                <w:rFonts w:cs="Times New Roman"/>
                <w:kern w:val="0"/>
                <w:sz w:val="21"/>
              </w:rPr>
              <w:t>260.0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389" w:type="pct"/>
            <w:vMerge w:val="restart"/>
            <w:vAlign w:val="center"/>
          </w:tcPr>
          <w:p>
            <w:pPr>
              <w:spacing w:line="240" w:lineRule="auto"/>
              <w:ind w:firstLine="0" w:firstLineChars="0"/>
              <w:jc w:val="center"/>
              <w:rPr>
                <w:rFonts w:cs="Times New Roman"/>
                <w:kern w:val="0"/>
                <w:sz w:val="21"/>
              </w:rPr>
            </w:pPr>
            <w:r>
              <w:rPr>
                <w:rFonts w:cs="Times New Roman"/>
                <w:sz w:val="21"/>
                <w:lang w:bidi="ar"/>
              </w:rPr>
              <w:t>PM</w:t>
            </w:r>
            <w:r>
              <w:rPr>
                <w:rFonts w:cs="Times New Roman"/>
                <w:sz w:val="21"/>
                <w:vertAlign w:val="subscript"/>
                <w:lang w:bidi="ar"/>
              </w:rPr>
              <w:t>10</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8~540</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12.9</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8~540</w:t>
            </w:r>
          </w:p>
        </w:tc>
        <w:tc>
          <w:tcPr>
            <w:tcW w:w="555" w:type="pct"/>
          </w:tcPr>
          <w:p>
            <w:pPr>
              <w:spacing w:line="240" w:lineRule="auto"/>
              <w:ind w:firstLine="0" w:firstLineChars="0"/>
              <w:jc w:val="center"/>
              <w:rPr>
                <w:rFonts w:cs="Times New Roman"/>
                <w:kern w:val="0"/>
                <w:sz w:val="21"/>
              </w:rPr>
            </w:pPr>
            <w:r>
              <w:rPr>
                <w:rFonts w:cs="Times New Roman"/>
                <w:kern w:val="0"/>
                <w:sz w:val="21"/>
              </w:rPr>
              <w:t>12.9</w:t>
            </w:r>
          </w:p>
        </w:tc>
        <w:tc>
          <w:tcPr>
            <w:tcW w:w="720" w:type="pct"/>
          </w:tcPr>
          <w:p>
            <w:pPr>
              <w:spacing w:line="240" w:lineRule="auto"/>
              <w:ind w:firstLine="0" w:firstLineChars="0"/>
              <w:jc w:val="center"/>
              <w:rPr>
                <w:rFonts w:cs="Times New Roman"/>
                <w:kern w:val="0"/>
                <w:sz w:val="21"/>
              </w:rPr>
            </w:pPr>
            <w:r>
              <w:rPr>
                <w:rFonts w:cs="Times New Roman"/>
                <w:kern w:val="0"/>
                <w:sz w:val="21"/>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8~540</w:t>
            </w:r>
          </w:p>
        </w:tc>
        <w:tc>
          <w:tcPr>
            <w:tcW w:w="555" w:type="pct"/>
          </w:tcPr>
          <w:p>
            <w:pPr>
              <w:spacing w:line="240" w:lineRule="auto"/>
              <w:ind w:firstLine="0" w:firstLineChars="0"/>
              <w:jc w:val="center"/>
              <w:rPr>
                <w:rFonts w:cs="Times New Roman"/>
                <w:kern w:val="0"/>
                <w:sz w:val="21"/>
              </w:rPr>
            </w:pPr>
            <w:r>
              <w:rPr>
                <w:rFonts w:cs="Times New Roman"/>
                <w:kern w:val="0"/>
                <w:sz w:val="21"/>
              </w:rPr>
              <w:t>12.9</w:t>
            </w:r>
          </w:p>
        </w:tc>
        <w:tc>
          <w:tcPr>
            <w:tcW w:w="720" w:type="pct"/>
          </w:tcPr>
          <w:p>
            <w:pPr>
              <w:spacing w:line="240" w:lineRule="auto"/>
              <w:ind w:firstLine="0" w:firstLineChars="0"/>
              <w:jc w:val="center"/>
              <w:rPr>
                <w:rFonts w:cs="Times New Roman"/>
                <w:kern w:val="0"/>
                <w:sz w:val="21"/>
              </w:rPr>
            </w:pPr>
            <w:r>
              <w:rPr>
                <w:rFonts w:cs="Times New Roman"/>
                <w:kern w:val="0"/>
                <w:sz w:val="21"/>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8~540</w:t>
            </w:r>
          </w:p>
        </w:tc>
        <w:tc>
          <w:tcPr>
            <w:tcW w:w="555" w:type="pct"/>
          </w:tcPr>
          <w:p>
            <w:pPr>
              <w:spacing w:line="240" w:lineRule="auto"/>
              <w:ind w:firstLine="0" w:firstLineChars="0"/>
              <w:jc w:val="center"/>
              <w:rPr>
                <w:rFonts w:cs="Times New Roman"/>
                <w:kern w:val="0"/>
                <w:sz w:val="21"/>
              </w:rPr>
            </w:pPr>
            <w:r>
              <w:rPr>
                <w:rFonts w:cs="Times New Roman"/>
                <w:kern w:val="0"/>
                <w:sz w:val="21"/>
              </w:rPr>
              <w:t>12.9</w:t>
            </w:r>
          </w:p>
        </w:tc>
        <w:tc>
          <w:tcPr>
            <w:tcW w:w="720" w:type="pct"/>
          </w:tcPr>
          <w:p>
            <w:pPr>
              <w:spacing w:line="240" w:lineRule="auto"/>
              <w:ind w:firstLine="0" w:firstLineChars="0"/>
              <w:jc w:val="center"/>
              <w:rPr>
                <w:rFonts w:cs="Times New Roman"/>
                <w:kern w:val="0"/>
                <w:sz w:val="21"/>
              </w:rPr>
            </w:pPr>
            <w:r>
              <w:rPr>
                <w:rFonts w:cs="Times New Roman"/>
                <w:kern w:val="0"/>
                <w:sz w:val="21"/>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continue"/>
            <w:vAlign w:val="center"/>
          </w:tcPr>
          <w:p>
            <w:pPr>
              <w:spacing w:line="240" w:lineRule="auto"/>
              <w:ind w:firstLine="0" w:firstLineChars="0"/>
              <w:jc w:val="center"/>
              <w:rPr>
                <w:rFonts w:cs="Times New Roman"/>
                <w:sz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tcPr>
          <w:p>
            <w:pPr>
              <w:spacing w:line="240" w:lineRule="auto"/>
              <w:ind w:firstLine="0" w:firstLineChars="0"/>
              <w:jc w:val="center"/>
              <w:rPr>
                <w:rFonts w:cs="Times New Roman"/>
                <w:kern w:val="0"/>
                <w:sz w:val="21"/>
              </w:rPr>
            </w:pPr>
            <w:r>
              <w:rPr>
                <w:rFonts w:cs="Times New Roman"/>
                <w:kern w:val="0"/>
                <w:sz w:val="21"/>
              </w:rPr>
              <w:t>/</w:t>
            </w:r>
          </w:p>
        </w:tc>
        <w:tc>
          <w:tcPr>
            <w:tcW w:w="689" w:type="pct"/>
          </w:tcPr>
          <w:p>
            <w:pPr>
              <w:spacing w:line="240" w:lineRule="auto"/>
              <w:ind w:firstLine="0" w:firstLineChars="0"/>
              <w:jc w:val="center"/>
              <w:rPr>
                <w:rFonts w:cs="Times New Roman"/>
                <w:kern w:val="0"/>
                <w:sz w:val="21"/>
              </w:rPr>
            </w:pPr>
            <w:r>
              <w:rPr>
                <w:rFonts w:cs="Times New Roman"/>
                <w:kern w:val="0"/>
                <w:sz w:val="21"/>
              </w:rPr>
              <w:t>/</w:t>
            </w:r>
          </w:p>
        </w:tc>
        <w:tc>
          <w:tcPr>
            <w:tcW w:w="691" w:type="pct"/>
          </w:tcPr>
          <w:p>
            <w:pPr>
              <w:spacing w:line="240" w:lineRule="auto"/>
              <w:ind w:firstLine="0" w:firstLineChars="0"/>
              <w:jc w:val="center"/>
              <w:rPr>
                <w:rFonts w:cs="Times New Roman"/>
                <w:kern w:val="0"/>
                <w:sz w:val="21"/>
              </w:rPr>
            </w:pPr>
            <w:r>
              <w:rPr>
                <w:rFonts w:cs="Times New Roman"/>
                <w:kern w:val="0"/>
                <w:sz w:val="21"/>
              </w:rPr>
              <w:t>/</w:t>
            </w:r>
          </w:p>
        </w:tc>
        <w:tc>
          <w:tcPr>
            <w:tcW w:w="794" w:type="pct"/>
          </w:tcPr>
          <w:p>
            <w:pPr>
              <w:spacing w:line="240" w:lineRule="auto"/>
              <w:ind w:firstLine="0" w:firstLineChars="0"/>
              <w:jc w:val="center"/>
              <w:rPr>
                <w:rFonts w:cs="Times New Roman"/>
                <w:kern w:val="0"/>
                <w:sz w:val="21"/>
              </w:rPr>
            </w:pPr>
            <w:r>
              <w:rPr>
                <w:rFonts w:cs="Times New Roman"/>
                <w:kern w:val="0"/>
                <w:sz w:val="21"/>
              </w:rPr>
              <w:t>8~540</w:t>
            </w:r>
          </w:p>
        </w:tc>
        <w:tc>
          <w:tcPr>
            <w:tcW w:w="555" w:type="pct"/>
          </w:tcPr>
          <w:p>
            <w:pPr>
              <w:spacing w:line="240" w:lineRule="auto"/>
              <w:ind w:firstLine="0" w:firstLineChars="0"/>
              <w:jc w:val="center"/>
              <w:rPr>
                <w:rFonts w:cs="Times New Roman"/>
                <w:kern w:val="0"/>
                <w:sz w:val="21"/>
              </w:rPr>
            </w:pPr>
            <w:r>
              <w:rPr>
                <w:rFonts w:cs="Times New Roman"/>
                <w:kern w:val="0"/>
                <w:sz w:val="21"/>
              </w:rPr>
              <w:t>12.9</w:t>
            </w:r>
          </w:p>
        </w:tc>
        <w:tc>
          <w:tcPr>
            <w:tcW w:w="720" w:type="pct"/>
          </w:tcPr>
          <w:p>
            <w:pPr>
              <w:spacing w:line="240" w:lineRule="auto"/>
              <w:ind w:firstLine="0" w:firstLineChars="0"/>
              <w:jc w:val="center"/>
              <w:rPr>
                <w:rFonts w:cs="Times New Roman"/>
                <w:kern w:val="0"/>
                <w:sz w:val="21"/>
              </w:rPr>
            </w:pPr>
            <w:r>
              <w:rPr>
                <w:rFonts w:cs="Times New Roman"/>
                <w:kern w:val="0"/>
                <w:sz w:val="21"/>
              </w:rPr>
              <w:t>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89" w:type="pct"/>
            <w:vMerge w:val="restart"/>
            <w:vAlign w:val="center"/>
          </w:tcPr>
          <w:p>
            <w:pPr>
              <w:widowControl/>
              <w:adjustRightInd/>
              <w:snapToGrid/>
              <w:spacing w:line="240" w:lineRule="auto"/>
              <w:ind w:firstLine="0" w:firstLineChars="0"/>
              <w:jc w:val="center"/>
              <w:rPr>
                <w:rFonts w:cs="Times New Roman"/>
                <w:sz w:val="21"/>
                <w:szCs w:val="21"/>
              </w:rPr>
            </w:pPr>
            <w:r>
              <w:rPr>
                <w:rFonts w:cs="Times New Roman"/>
                <w:szCs w:val="24"/>
                <w:lang w:bidi="ar"/>
              </w:rPr>
              <w:t>CO</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0.2~2</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89" w:type="pct"/>
            <w:vMerge w:val="continue"/>
            <w:vAlign w:val="center"/>
          </w:tcPr>
          <w:p>
            <w:pPr>
              <w:widowControl/>
              <w:adjustRightInd/>
              <w:snapToGrid/>
              <w:spacing w:line="240" w:lineRule="auto"/>
              <w:ind w:firstLine="0" w:firstLineChars="0"/>
              <w:jc w:val="center"/>
              <w:rPr>
                <w:rFonts w:cs="Times New Roman"/>
                <w:szCs w:val="24"/>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0.2~2</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89" w:type="pct"/>
            <w:vMerge w:val="continue"/>
            <w:vAlign w:val="center"/>
          </w:tcPr>
          <w:p>
            <w:pPr>
              <w:widowControl/>
              <w:adjustRightInd/>
              <w:snapToGrid/>
              <w:spacing w:line="240" w:lineRule="auto"/>
              <w:ind w:firstLine="0" w:firstLineChars="0"/>
              <w:jc w:val="center"/>
              <w:rPr>
                <w:rFonts w:cs="Times New Roman"/>
                <w:szCs w:val="24"/>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0.2~2</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389" w:type="pct"/>
            <w:vMerge w:val="continue"/>
            <w:vAlign w:val="center"/>
          </w:tcPr>
          <w:p>
            <w:pPr>
              <w:widowControl/>
              <w:adjustRightInd/>
              <w:snapToGrid/>
              <w:spacing w:line="240" w:lineRule="auto"/>
              <w:ind w:firstLine="0" w:firstLineChars="0"/>
              <w:jc w:val="center"/>
              <w:rPr>
                <w:rFonts w:cs="Times New Roman"/>
                <w:szCs w:val="24"/>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0.2~2</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389" w:type="pct"/>
            <w:vMerge w:val="continue"/>
            <w:vAlign w:val="center"/>
          </w:tcPr>
          <w:p>
            <w:pPr>
              <w:widowControl/>
              <w:adjustRightInd/>
              <w:snapToGrid/>
              <w:spacing w:line="240" w:lineRule="auto"/>
              <w:ind w:firstLine="0" w:firstLineChars="0"/>
              <w:jc w:val="center"/>
              <w:rPr>
                <w:rFonts w:cs="Times New Roman"/>
                <w:szCs w:val="24"/>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0.2~2</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89" w:type="pct"/>
            <w:vMerge w:val="restart"/>
            <w:vAlign w:val="center"/>
          </w:tcPr>
          <w:p>
            <w:pPr>
              <w:widowControl/>
              <w:adjustRightInd/>
              <w:snapToGrid/>
              <w:spacing w:line="240" w:lineRule="auto"/>
              <w:ind w:firstLine="0" w:firstLineChars="0"/>
              <w:jc w:val="center"/>
              <w:rPr>
                <w:rFonts w:cs="Times New Roman"/>
                <w:sz w:val="21"/>
              </w:rPr>
            </w:pPr>
            <w:r>
              <w:rPr>
                <w:rFonts w:cs="Times New Roman"/>
                <w:sz w:val="21"/>
                <w:szCs w:val="21"/>
                <w:lang w:bidi="ar"/>
              </w:rPr>
              <w:t>O</w:t>
            </w:r>
            <w:r>
              <w:rPr>
                <w:rFonts w:cs="Times New Roman"/>
                <w:sz w:val="21"/>
                <w:szCs w:val="21"/>
                <w:vertAlign w:val="subscript"/>
                <w:lang w:bidi="ar"/>
              </w:rPr>
              <w:t>3</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15~239</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17.8</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149.4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389" w:type="pct"/>
            <w:vMerge w:val="continue"/>
            <w:vAlign w:val="center"/>
          </w:tcPr>
          <w:p>
            <w:pPr>
              <w:widowControl/>
              <w:adjustRightInd/>
              <w:snapToGrid/>
              <w:spacing w:line="240" w:lineRule="auto"/>
              <w:ind w:firstLine="0" w:firstLineChars="0"/>
              <w:jc w:val="center"/>
              <w:rPr>
                <w:rFonts w:cs="Times New Roman"/>
                <w:sz w:val="21"/>
                <w:szCs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15~239</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17.8</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149.4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389" w:type="pct"/>
            <w:vMerge w:val="continue"/>
            <w:vAlign w:val="center"/>
          </w:tcPr>
          <w:p>
            <w:pPr>
              <w:widowControl/>
              <w:adjustRightInd/>
              <w:snapToGrid/>
              <w:spacing w:line="240" w:lineRule="auto"/>
              <w:ind w:firstLine="0" w:firstLineChars="0"/>
              <w:jc w:val="center"/>
              <w:rPr>
                <w:rFonts w:cs="Times New Roman"/>
                <w:sz w:val="21"/>
                <w:szCs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15~239</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17.8</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149.4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89" w:type="pct"/>
            <w:vMerge w:val="continue"/>
            <w:vAlign w:val="center"/>
          </w:tcPr>
          <w:p>
            <w:pPr>
              <w:widowControl/>
              <w:adjustRightInd/>
              <w:snapToGrid/>
              <w:spacing w:line="240" w:lineRule="auto"/>
              <w:ind w:firstLine="0" w:firstLineChars="0"/>
              <w:jc w:val="center"/>
              <w:rPr>
                <w:rFonts w:cs="Times New Roman"/>
                <w:sz w:val="21"/>
                <w:szCs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15~239</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17.8</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149.4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continue"/>
            <w:vAlign w:val="center"/>
          </w:tcPr>
          <w:p>
            <w:pPr>
              <w:widowControl/>
              <w:adjustRightInd/>
              <w:snapToGrid/>
              <w:spacing w:line="240" w:lineRule="auto"/>
              <w:ind w:firstLine="0" w:firstLineChars="0"/>
              <w:jc w:val="center"/>
              <w:rPr>
                <w:rFonts w:cs="Times New Roman"/>
                <w:sz w:val="21"/>
                <w:szCs w:val="21"/>
                <w:lang w:bidi="ar"/>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15~239</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17.8</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149.4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89" w:type="pct"/>
            <w:vMerge w:val="restart"/>
            <w:vAlign w:val="center"/>
          </w:tcPr>
          <w:p>
            <w:pPr>
              <w:widowControl/>
              <w:adjustRightInd/>
              <w:snapToGrid/>
              <w:spacing w:line="240" w:lineRule="auto"/>
              <w:ind w:firstLine="0" w:firstLineChars="0"/>
              <w:jc w:val="center"/>
              <w:rPr>
                <w:rFonts w:cs="Times New Roman"/>
                <w:sz w:val="21"/>
              </w:rPr>
            </w:pPr>
            <w:r>
              <w:rPr>
                <w:rFonts w:cs="Times New Roman"/>
                <w:sz w:val="21"/>
              </w:rPr>
              <w:t>TSP</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rPr>
            </w:pPr>
            <w:r>
              <w:rPr>
                <w:rFonts w:cs="Times New Roman"/>
                <w:kern w:val="0"/>
                <w:sz w:val="21"/>
              </w:rPr>
              <w:t>130~143</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47.7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126~158</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124~160</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133~159</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140~169</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56.3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389" w:type="pct"/>
            <w:vMerge w:val="restart"/>
            <w:vAlign w:val="center"/>
          </w:tcPr>
          <w:p>
            <w:pPr>
              <w:widowControl/>
              <w:adjustRightInd/>
              <w:snapToGrid/>
              <w:spacing w:line="240" w:lineRule="auto"/>
              <w:ind w:firstLine="0" w:firstLineChars="0"/>
              <w:jc w:val="center"/>
              <w:rPr>
                <w:rFonts w:cs="Times New Roman"/>
                <w:sz w:val="21"/>
              </w:rPr>
            </w:pPr>
            <w:r>
              <w:rPr>
                <w:rFonts w:cs="Times New Roman"/>
                <w:sz w:val="21"/>
              </w:rPr>
              <w:t>苯</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0.5</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0.5</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0.5</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0.5</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0.5</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389" w:type="pct"/>
            <w:vMerge w:val="restart"/>
            <w:vAlign w:val="center"/>
          </w:tcPr>
          <w:p>
            <w:pPr>
              <w:widowControl/>
              <w:adjustRightInd/>
              <w:snapToGrid/>
              <w:spacing w:line="240" w:lineRule="auto"/>
              <w:ind w:firstLine="0" w:firstLineChars="0"/>
              <w:jc w:val="center"/>
              <w:rPr>
                <w:rFonts w:cs="Times New Roman"/>
                <w:sz w:val="21"/>
              </w:rPr>
            </w:pPr>
            <w:r>
              <w:rPr>
                <w:rFonts w:cs="Times New Roman"/>
                <w:sz w:val="21"/>
              </w:rPr>
              <w:t>甲苯</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89" w:type="pct"/>
            <w:vMerge w:val="restart"/>
            <w:vAlign w:val="center"/>
          </w:tcPr>
          <w:p>
            <w:pPr>
              <w:widowControl/>
              <w:adjustRightInd/>
              <w:snapToGrid/>
              <w:spacing w:line="240" w:lineRule="auto"/>
              <w:ind w:firstLine="0" w:firstLineChars="0"/>
              <w:jc w:val="center"/>
              <w:rPr>
                <w:rFonts w:cs="Times New Roman"/>
                <w:sz w:val="21"/>
              </w:rPr>
            </w:pPr>
            <w:r>
              <w:rPr>
                <w:rFonts w:cs="Times New Roman"/>
                <w:sz w:val="21"/>
              </w:rPr>
              <w:t>二甲苯</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&lt;0.0005</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0.3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Merge w:val="restart"/>
            <w:vAlign w:val="center"/>
          </w:tcPr>
          <w:p>
            <w:pPr>
              <w:widowControl/>
              <w:adjustRightInd/>
              <w:snapToGrid/>
              <w:spacing w:line="240" w:lineRule="auto"/>
              <w:ind w:firstLine="0" w:firstLineChars="0"/>
              <w:jc w:val="center"/>
              <w:rPr>
                <w:rFonts w:cs="Times New Roman"/>
                <w:sz w:val="21"/>
              </w:rPr>
            </w:pPr>
            <w:r>
              <w:rPr>
                <w:rFonts w:cs="Times New Roman"/>
                <w:sz w:val="21"/>
              </w:rPr>
              <w:t>非甲烷总烃</w:t>
            </w: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1#</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0.62~1.38</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23.0</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2#</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0.77~1.90</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31.7</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3#</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0.66~1.40</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23.3</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4#</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0.69~1.24</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20.7</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389" w:type="pct"/>
            <w:vMerge w:val="continue"/>
            <w:vAlign w:val="center"/>
          </w:tcPr>
          <w:p>
            <w:pPr>
              <w:widowControl/>
              <w:adjustRightInd/>
              <w:snapToGrid/>
              <w:spacing w:line="240" w:lineRule="auto"/>
              <w:ind w:firstLine="0" w:firstLineChars="0"/>
              <w:jc w:val="center"/>
              <w:rPr>
                <w:rFonts w:cs="Times New Roman"/>
                <w:sz w:val="21"/>
              </w:rPr>
            </w:pPr>
          </w:p>
        </w:tc>
        <w:tc>
          <w:tcPr>
            <w:tcW w:w="472" w:type="pct"/>
            <w:vAlign w:val="center"/>
          </w:tcPr>
          <w:p>
            <w:pPr>
              <w:spacing w:line="240" w:lineRule="auto"/>
              <w:ind w:firstLine="0" w:firstLineChars="0"/>
              <w:jc w:val="center"/>
              <w:rPr>
                <w:rFonts w:cs="Times New Roman"/>
                <w:kern w:val="0"/>
                <w:sz w:val="21"/>
              </w:rPr>
            </w:pPr>
            <w:r>
              <w:rPr>
                <w:rFonts w:cs="Times New Roman"/>
                <w:kern w:val="0"/>
                <w:sz w:val="21"/>
              </w:rPr>
              <w:t>5#</w:t>
            </w:r>
          </w:p>
        </w:tc>
        <w:tc>
          <w:tcPr>
            <w:tcW w:w="690" w:type="pct"/>
            <w:vAlign w:val="center"/>
          </w:tcPr>
          <w:p>
            <w:pPr>
              <w:spacing w:line="240" w:lineRule="auto"/>
              <w:ind w:firstLine="0" w:firstLineChars="0"/>
              <w:jc w:val="center"/>
              <w:rPr>
                <w:rFonts w:cs="Times New Roman"/>
                <w:kern w:val="0"/>
                <w:sz w:val="21"/>
              </w:rPr>
            </w:pPr>
            <w:r>
              <w:rPr>
                <w:rFonts w:cs="Times New Roman"/>
                <w:kern w:val="0"/>
                <w:sz w:val="21"/>
              </w:rPr>
              <w:t>0.80~1.11</w:t>
            </w:r>
          </w:p>
        </w:tc>
        <w:tc>
          <w:tcPr>
            <w:tcW w:w="689" w:type="pct"/>
            <w:vAlign w:val="center"/>
          </w:tcPr>
          <w:p>
            <w:pPr>
              <w:spacing w:line="240" w:lineRule="auto"/>
              <w:ind w:firstLine="0" w:firstLineChars="0"/>
              <w:jc w:val="center"/>
              <w:rPr>
                <w:rFonts w:cs="Times New Roman"/>
                <w:kern w:val="0"/>
                <w:sz w:val="21"/>
              </w:rPr>
            </w:pPr>
            <w:r>
              <w:rPr>
                <w:rFonts w:cs="Times New Roman"/>
                <w:kern w:val="0"/>
                <w:sz w:val="21"/>
              </w:rPr>
              <w:t>0</w:t>
            </w:r>
          </w:p>
        </w:tc>
        <w:tc>
          <w:tcPr>
            <w:tcW w:w="691" w:type="pct"/>
            <w:vAlign w:val="center"/>
          </w:tcPr>
          <w:p>
            <w:pPr>
              <w:spacing w:line="240" w:lineRule="auto"/>
              <w:ind w:firstLine="0" w:firstLineChars="0"/>
              <w:jc w:val="center"/>
              <w:rPr>
                <w:rFonts w:cs="Times New Roman"/>
                <w:kern w:val="0"/>
                <w:sz w:val="21"/>
              </w:rPr>
            </w:pPr>
            <w:r>
              <w:rPr>
                <w:rFonts w:cs="Times New Roman"/>
                <w:kern w:val="0"/>
                <w:sz w:val="21"/>
              </w:rPr>
              <w:t>18.5</w:t>
            </w:r>
          </w:p>
        </w:tc>
        <w:tc>
          <w:tcPr>
            <w:tcW w:w="794"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555" w:type="pct"/>
            <w:vAlign w:val="center"/>
          </w:tcPr>
          <w:p>
            <w:pPr>
              <w:spacing w:line="240" w:lineRule="auto"/>
              <w:ind w:firstLine="0" w:firstLineChars="0"/>
              <w:jc w:val="center"/>
              <w:rPr>
                <w:rFonts w:cs="Times New Roman"/>
                <w:kern w:val="0"/>
                <w:sz w:val="21"/>
              </w:rPr>
            </w:pPr>
            <w:r>
              <w:rPr>
                <w:rFonts w:cs="Times New Roman"/>
                <w:kern w:val="0"/>
                <w:sz w:val="21"/>
              </w:rPr>
              <w:t>/</w:t>
            </w:r>
          </w:p>
        </w:tc>
        <w:tc>
          <w:tcPr>
            <w:tcW w:w="720" w:type="pct"/>
            <w:vAlign w:val="center"/>
          </w:tcPr>
          <w:p>
            <w:pPr>
              <w:spacing w:line="240" w:lineRule="auto"/>
              <w:ind w:firstLine="0" w:firstLineChars="0"/>
              <w:jc w:val="center"/>
              <w:rPr>
                <w:rFonts w:cs="Times New Roman"/>
                <w:kern w:val="0"/>
                <w:sz w:val="21"/>
              </w:rPr>
            </w:pPr>
            <w:r>
              <w:rPr>
                <w:rFonts w:cs="Times New Roman"/>
                <w:kern w:val="0"/>
                <w:sz w:val="21"/>
              </w:rPr>
              <w:t>/</w:t>
            </w:r>
          </w:p>
        </w:tc>
      </w:tr>
    </w:tbl>
    <w:p>
      <w:pPr>
        <w:ind w:firstLine="480"/>
        <w:rPr>
          <w:rFonts w:cs="Times New Roman"/>
        </w:rPr>
      </w:pPr>
      <w:r>
        <w:rPr>
          <w:rFonts w:cs="Times New Roman"/>
          <w:lang w:bidi="ar"/>
        </w:rPr>
        <w:t>根据现状监测结果可看出，SO</w:t>
      </w:r>
      <w:r>
        <w:rPr>
          <w:rFonts w:cs="Times New Roman"/>
          <w:vertAlign w:val="subscript"/>
          <w:lang w:bidi="ar"/>
        </w:rPr>
        <w:t>2</w:t>
      </w:r>
      <w:r>
        <w:rPr>
          <w:rFonts w:cs="Times New Roman"/>
          <w:lang w:bidi="ar"/>
        </w:rPr>
        <w:t>、NO</w:t>
      </w:r>
      <w:r>
        <w:rPr>
          <w:rFonts w:cs="Times New Roman"/>
          <w:vertAlign w:val="subscript"/>
          <w:lang w:bidi="ar"/>
        </w:rPr>
        <w:t>2</w:t>
      </w:r>
      <w:r>
        <w:rPr>
          <w:rFonts w:cs="Times New Roman"/>
          <w:lang w:bidi="ar"/>
        </w:rPr>
        <w:t>、CO和TSP日均浓度未出现超标现象，日均浓度最大占标率分别为24.7%、87.5%、50.0%、56.3%；PM</w:t>
      </w:r>
      <w:r>
        <w:rPr>
          <w:rFonts w:cs="Times New Roman"/>
          <w:vertAlign w:val="subscript"/>
          <w:lang w:bidi="ar"/>
        </w:rPr>
        <w:t>2.5</w:t>
      </w:r>
      <w:r>
        <w:rPr>
          <w:rFonts w:cs="Times New Roman"/>
          <w:lang w:bidi="ar"/>
        </w:rPr>
        <w:t>、PM</w:t>
      </w:r>
      <w:r>
        <w:rPr>
          <w:rFonts w:cs="Times New Roman"/>
          <w:vertAlign w:val="subscript"/>
          <w:lang w:bidi="ar"/>
        </w:rPr>
        <w:t>10</w:t>
      </w:r>
      <w:r>
        <w:rPr>
          <w:rFonts w:cs="Times New Roman"/>
          <w:lang w:bidi="ar"/>
        </w:rPr>
        <w:t>和O</w:t>
      </w:r>
      <w:r>
        <w:rPr>
          <w:rFonts w:cs="Times New Roman"/>
          <w:vertAlign w:val="subscript"/>
          <w:lang w:bidi="ar"/>
        </w:rPr>
        <w:t>3</w:t>
      </w:r>
      <w:r>
        <w:rPr>
          <w:rFonts w:cs="Times New Roman"/>
          <w:lang w:bidi="ar"/>
        </w:rPr>
        <w:t>日均浓度出现超标现象，日均浓度最大占标率分别为260.0%、360.0%和149.4%，不能满足《环境空气质量标准》（GB 3095-2012）中相应标准限值；苯、甲苯和二甲苯可满足《环境影响评价技术导则•大气环境》（HJ2.2－2018）附录D其他污染物空气质量浓度参考限值；非甲烷总烃小时浓度最大占标率为31.7%，可满足</w:t>
      </w:r>
      <w:r>
        <w:rPr>
          <w:rFonts w:cs="Times New Roman"/>
        </w:rPr>
        <w:t>《大气污染物综合排放标准详解》中的标准限值要求</w:t>
      </w:r>
      <w:r>
        <w:rPr>
          <w:rFonts w:cs="Times New Roman"/>
          <w:lang w:bidi="ar"/>
        </w:rPr>
        <w:t>。</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.2.3与上一轮规划环评大气环境质量对比分析</w:t>
      </w:r>
    </w:p>
    <w:p>
      <w:pPr>
        <w:ind w:firstLine="480"/>
        <w:rPr>
          <w:rFonts w:cs="Times New Roman"/>
          <w:lang w:bidi="ar"/>
        </w:rPr>
      </w:pPr>
      <w:r>
        <w:rPr>
          <w:rFonts w:cs="Times New Roman"/>
          <w:lang w:bidi="ar"/>
        </w:rPr>
        <w:t>在大气环境质量评价的基础上，对照上次区域环评的监测结果，分析现状与上次区域环评的环境质量变化情况，采用现状监测点位与上版规划环评监测定位对应测点监测因子标准指数进行对比，对比情况见表</w:t>
      </w:r>
      <w:r>
        <w:rPr>
          <w:rFonts w:hint="eastAsia" w:cs="Times New Roman"/>
          <w:lang w:val="en-US" w:eastAsia="zh-CN" w:bidi="ar"/>
        </w:rPr>
        <w:t>3</w:t>
      </w:r>
      <w:r>
        <w:rPr>
          <w:rFonts w:cs="Times New Roman"/>
          <w:lang w:bidi="ar"/>
        </w:rPr>
        <w:t>.2.3-1。</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.2.3-1  10年</w:t>
      </w:r>
      <w:r>
        <w:rPr>
          <w:rFonts w:hint="eastAsia" w:eastAsia="黑体" w:cs="Times New Roman"/>
          <w:lang w:bidi="ar"/>
        </w:rPr>
        <w:t>规划</w:t>
      </w:r>
      <w:r>
        <w:rPr>
          <w:rFonts w:eastAsia="黑体" w:cs="Times New Roman"/>
          <w:lang w:bidi="ar"/>
        </w:rPr>
        <w:t>环评及本次监测结果对比情况汇总   单位：</w:t>
      </w:r>
      <w:r>
        <w:rPr>
          <w:rFonts w:cs="Times New Roman"/>
          <w:kern w:val="0"/>
          <w:szCs w:val="24"/>
          <w:lang w:bidi="en-US"/>
        </w:rPr>
        <w:t>μg/m</w:t>
      </w:r>
      <w:r>
        <w:rPr>
          <w:rFonts w:cs="Times New Roman"/>
          <w:kern w:val="0"/>
          <w:szCs w:val="24"/>
          <w:vertAlign w:val="superscript"/>
          <w:lang w:bidi="en-US"/>
        </w:rPr>
        <w:t>3</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07"/>
        <w:gridCol w:w="1595"/>
        <w:gridCol w:w="1740"/>
        <w:gridCol w:w="1938"/>
        <w:gridCol w:w="1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restart"/>
            <w:vAlign w:val="center"/>
          </w:tcPr>
          <w:p>
            <w:pPr>
              <w:widowControl/>
              <w:spacing w:line="240" w:lineRule="auto"/>
              <w:ind w:firstLine="0" w:firstLineChars="0"/>
              <w:jc w:val="center"/>
              <w:rPr>
                <w:rFonts w:cs="Times New Roman"/>
                <w:b/>
                <w:sz w:val="21"/>
                <w:szCs w:val="21"/>
              </w:rPr>
            </w:pPr>
            <w:r>
              <w:rPr>
                <w:rFonts w:cs="Times New Roman"/>
                <w:b/>
                <w:sz w:val="21"/>
                <w:szCs w:val="21"/>
                <w:lang w:bidi="ar"/>
              </w:rPr>
              <w:t>项目</w:t>
            </w:r>
          </w:p>
        </w:tc>
        <w:tc>
          <w:tcPr>
            <w:tcW w:w="1669" w:type="dxa"/>
            <w:vMerge w:val="restart"/>
            <w:vAlign w:val="center"/>
          </w:tcPr>
          <w:p>
            <w:pPr>
              <w:widowControl/>
              <w:spacing w:line="240" w:lineRule="auto"/>
              <w:ind w:firstLine="0" w:firstLineChars="0"/>
              <w:jc w:val="center"/>
              <w:rPr>
                <w:rFonts w:cs="Times New Roman"/>
                <w:b/>
                <w:sz w:val="21"/>
                <w:szCs w:val="21"/>
              </w:rPr>
            </w:pPr>
            <w:r>
              <w:rPr>
                <w:rFonts w:cs="Times New Roman"/>
                <w:b/>
                <w:sz w:val="21"/>
                <w:szCs w:val="21"/>
                <w:lang w:bidi="ar"/>
              </w:rPr>
              <w:t>名称</w:t>
            </w:r>
          </w:p>
        </w:tc>
        <w:tc>
          <w:tcPr>
            <w:tcW w:w="3260" w:type="dxa"/>
            <w:gridSpan w:val="2"/>
            <w:vAlign w:val="center"/>
          </w:tcPr>
          <w:p>
            <w:pPr>
              <w:widowControl/>
              <w:spacing w:line="240" w:lineRule="auto"/>
              <w:ind w:firstLine="0" w:firstLineChars="0"/>
              <w:jc w:val="center"/>
              <w:rPr>
                <w:rFonts w:cs="Times New Roman"/>
                <w:b/>
                <w:sz w:val="21"/>
                <w:szCs w:val="21"/>
              </w:rPr>
            </w:pPr>
            <w:r>
              <w:rPr>
                <w:rFonts w:cs="Times New Roman"/>
                <w:b/>
                <w:sz w:val="21"/>
                <w:szCs w:val="21"/>
                <w:lang w:bidi="ar"/>
              </w:rPr>
              <w:t>小时浓度</w:t>
            </w:r>
          </w:p>
        </w:tc>
        <w:tc>
          <w:tcPr>
            <w:tcW w:w="3223" w:type="dxa"/>
            <w:gridSpan w:val="2"/>
            <w:vAlign w:val="center"/>
          </w:tcPr>
          <w:p>
            <w:pPr>
              <w:widowControl/>
              <w:spacing w:line="240" w:lineRule="auto"/>
              <w:ind w:firstLine="0" w:firstLineChars="0"/>
              <w:jc w:val="center"/>
              <w:rPr>
                <w:rFonts w:cs="Times New Roman"/>
                <w:b/>
                <w:sz w:val="21"/>
                <w:szCs w:val="21"/>
              </w:rPr>
            </w:pPr>
            <w:r>
              <w:rPr>
                <w:rFonts w:cs="Times New Roman"/>
                <w:b/>
                <w:sz w:val="21"/>
                <w:szCs w:val="21"/>
                <w:lang w:bidi="ar"/>
              </w:rPr>
              <w:t>日均浓度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Merge w:val="continue"/>
            <w:vAlign w:val="center"/>
          </w:tcPr>
          <w:p>
            <w:pPr>
              <w:widowControl/>
              <w:spacing w:line="240" w:lineRule="auto"/>
              <w:ind w:firstLine="420"/>
              <w:jc w:val="center"/>
              <w:rPr>
                <w:rFonts w:cs="Times New Roman"/>
                <w:sz w:val="21"/>
                <w:szCs w:val="21"/>
              </w:rPr>
            </w:pPr>
          </w:p>
        </w:tc>
        <w:tc>
          <w:tcPr>
            <w:tcW w:w="1559" w:type="dxa"/>
            <w:vAlign w:val="center"/>
          </w:tcPr>
          <w:p>
            <w:pPr>
              <w:widowControl/>
              <w:spacing w:line="240" w:lineRule="auto"/>
              <w:ind w:firstLine="0" w:firstLineChars="0"/>
              <w:jc w:val="center"/>
              <w:rPr>
                <w:rFonts w:cs="Times New Roman"/>
                <w:b/>
                <w:sz w:val="21"/>
                <w:szCs w:val="21"/>
              </w:rPr>
            </w:pPr>
            <w:r>
              <w:rPr>
                <w:rFonts w:cs="Times New Roman"/>
                <w:b/>
                <w:sz w:val="21"/>
                <w:szCs w:val="21"/>
                <w:lang w:bidi="ar"/>
              </w:rPr>
              <w:t>2010年</w:t>
            </w:r>
          </w:p>
          <w:p>
            <w:pPr>
              <w:widowControl/>
              <w:spacing w:line="240" w:lineRule="auto"/>
              <w:ind w:firstLine="0" w:firstLineChars="0"/>
              <w:jc w:val="center"/>
              <w:rPr>
                <w:rFonts w:cs="Times New Roman"/>
                <w:b/>
                <w:sz w:val="21"/>
                <w:szCs w:val="21"/>
              </w:rPr>
            </w:pPr>
            <w:r>
              <w:rPr>
                <w:rFonts w:cs="Times New Roman"/>
                <w:b/>
                <w:sz w:val="21"/>
                <w:szCs w:val="21"/>
                <w:lang w:bidi="ar"/>
              </w:rPr>
              <w:t>浓度最大值</w:t>
            </w:r>
          </w:p>
        </w:tc>
        <w:tc>
          <w:tcPr>
            <w:tcW w:w="1701" w:type="dxa"/>
            <w:vAlign w:val="center"/>
          </w:tcPr>
          <w:p>
            <w:pPr>
              <w:widowControl/>
              <w:spacing w:line="240" w:lineRule="auto"/>
              <w:ind w:firstLine="0" w:firstLineChars="0"/>
              <w:jc w:val="center"/>
              <w:rPr>
                <w:rFonts w:cs="Times New Roman"/>
                <w:b/>
                <w:sz w:val="21"/>
                <w:szCs w:val="21"/>
              </w:rPr>
            </w:pPr>
            <w:r>
              <w:rPr>
                <w:rFonts w:cs="Times New Roman"/>
                <w:b/>
                <w:sz w:val="21"/>
                <w:szCs w:val="21"/>
                <w:lang w:bidi="ar"/>
              </w:rPr>
              <w:t>2020年</w:t>
            </w:r>
          </w:p>
          <w:p>
            <w:pPr>
              <w:widowControl/>
              <w:spacing w:line="240" w:lineRule="auto"/>
              <w:ind w:firstLine="0" w:firstLineChars="0"/>
              <w:jc w:val="center"/>
              <w:rPr>
                <w:rFonts w:cs="Times New Roman"/>
                <w:b/>
                <w:sz w:val="21"/>
                <w:szCs w:val="21"/>
              </w:rPr>
            </w:pPr>
            <w:r>
              <w:rPr>
                <w:rFonts w:cs="Times New Roman"/>
                <w:b/>
                <w:sz w:val="21"/>
                <w:szCs w:val="21"/>
                <w:lang w:bidi="ar"/>
              </w:rPr>
              <w:t>浓度最大值</w:t>
            </w:r>
          </w:p>
        </w:tc>
        <w:tc>
          <w:tcPr>
            <w:tcW w:w="1895" w:type="dxa"/>
            <w:vAlign w:val="center"/>
          </w:tcPr>
          <w:p>
            <w:pPr>
              <w:widowControl/>
              <w:spacing w:line="240" w:lineRule="auto"/>
              <w:ind w:firstLine="0" w:firstLineChars="0"/>
              <w:jc w:val="center"/>
              <w:rPr>
                <w:rFonts w:cs="Times New Roman"/>
                <w:b/>
                <w:sz w:val="21"/>
                <w:szCs w:val="21"/>
              </w:rPr>
            </w:pPr>
            <w:r>
              <w:rPr>
                <w:rFonts w:cs="Times New Roman"/>
                <w:b/>
                <w:sz w:val="21"/>
                <w:szCs w:val="21"/>
                <w:lang w:bidi="ar"/>
              </w:rPr>
              <w:t>2010年</w:t>
            </w:r>
          </w:p>
          <w:p>
            <w:pPr>
              <w:widowControl/>
              <w:spacing w:line="240" w:lineRule="auto"/>
              <w:ind w:firstLine="0" w:firstLineChars="0"/>
              <w:jc w:val="center"/>
              <w:rPr>
                <w:rFonts w:cs="Times New Roman"/>
                <w:b/>
                <w:sz w:val="21"/>
                <w:szCs w:val="21"/>
              </w:rPr>
            </w:pPr>
            <w:r>
              <w:rPr>
                <w:rFonts w:cs="Times New Roman"/>
                <w:b/>
                <w:sz w:val="21"/>
                <w:szCs w:val="21"/>
                <w:lang w:bidi="ar"/>
              </w:rPr>
              <w:t>浓度最大值</w:t>
            </w:r>
          </w:p>
        </w:tc>
        <w:tc>
          <w:tcPr>
            <w:tcW w:w="1328" w:type="dxa"/>
            <w:vAlign w:val="center"/>
          </w:tcPr>
          <w:p>
            <w:pPr>
              <w:widowControl/>
              <w:spacing w:line="240" w:lineRule="auto"/>
              <w:ind w:firstLine="0" w:firstLineChars="0"/>
              <w:jc w:val="center"/>
              <w:rPr>
                <w:rFonts w:cs="Times New Roman"/>
                <w:b/>
                <w:sz w:val="21"/>
                <w:szCs w:val="21"/>
              </w:rPr>
            </w:pPr>
            <w:r>
              <w:rPr>
                <w:rFonts w:cs="Times New Roman"/>
                <w:b/>
                <w:sz w:val="21"/>
                <w:szCs w:val="21"/>
                <w:lang w:bidi="ar"/>
              </w:rPr>
              <w:t>2020年</w:t>
            </w:r>
          </w:p>
          <w:p>
            <w:pPr>
              <w:widowControl/>
              <w:spacing w:line="240" w:lineRule="auto"/>
              <w:ind w:firstLine="0" w:firstLineChars="0"/>
              <w:jc w:val="center"/>
              <w:rPr>
                <w:rFonts w:cs="Times New Roman"/>
                <w:b/>
                <w:sz w:val="21"/>
                <w:szCs w:val="21"/>
              </w:rPr>
            </w:pPr>
            <w:r>
              <w:rPr>
                <w:rFonts w:cs="Times New Roman"/>
                <w:b/>
                <w:sz w:val="21"/>
                <w:szCs w:val="21"/>
                <w:lang w:bidi="ar"/>
              </w:rPr>
              <w:t>浓度最大值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8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lang w:bidi="ar"/>
              </w:rPr>
              <w:t>TSP</w:t>
            </w:r>
          </w:p>
        </w:tc>
        <w:tc>
          <w:tcPr>
            <w:tcW w:w="1669" w:type="dxa"/>
            <w:vAlign w:val="center"/>
          </w:tcPr>
          <w:p>
            <w:pPr>
              <w:spacing w:line="240" w:lineRule="auto"/>
              <w:ind w:firstLine="0" w:firstLineChars="0"/>
              <w:jc w:val="center"/>
              <w:rPr>
                <w:rFonts w:cs="Times New Roman"/>
                <w:sz w:val="21"/>
                <w:szCs w:val="18"/>
              </w:rPr>
            </w:pPr>
            <w:r>
              <w:rPr>
                <w:rFonts w:cs="Times New Roman"/>
                <w:sz w:val="21"/>
                <w:szCs w:val="21"/>
                <w:lang w:bidi="ar"/>
              </w:rPr>
              <w:t>纵楼村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267</w:t>
            </w:r>
          </w:p>
        </w:tc>
        <w:tc>
          <w:tcPr>
            <w:tcW w:w="1328" w:type="dxa"/>
          </w:tcPr>
          <w:p>
            <w:pPr>
              <w:widowControl/>
              <w:spacing w:line="240" w:lineRule="auto"/>
              <w:ind w:firstLine="0" w:firstLineChars="0"/>
              <w:jc w:val="center"/>
              <w:rPr>
                <w:rFonts w:cs="Times New Roman"/>
                <w:sz w:val="21"/>
                <w:szCs w:val="21"/>
              </w:rPr>
            </w:pPr>
            <w:r>
              <w:rPr>
                <w:rFonts w:cs="Times New Roman"/>
                <w:sz w:val="21"/>
                <w:szCs w:val="21"/>
              </w:rPr>
              <w:t>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rPr>
            </w:pPr>
            <w:r>
              <w:rPr>
                <w:rFonts w:cs="Times New Roman"/>
                <w:sz w:val="21"/>
                <w:szCs w:val="21"/>
                <w:lang w:bidi="ar"/>
              </w:rPr>
              <w:t>南段庄</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267</w:t>
            </w:r>
          </w:p>
        </w:tc>
        <w:tc>
          <w:tcPr>
            <w:tcW w:w="1328" w:type="dxa"/>
          </w:tcPr>
          <w:p>
            <w:pPr>
              <w:widowControl/>
              <w:spacing w:line="240" w:lineRule="auto"/>
              <w:ind w:firstLine="0" w:firstLineChars="0"/>
              <w:jc w:val="center"/>
              <w:rPr>
                <w:rFonts w:cs="Times New Roman"/>
                <w:sz w:val="21"/>
                <w:szCs w:val="21"/>
              </w:rPr>
            </w:pPr>
            <w:r>
              <w:rPr>
                <w:rFonts w:cs="Times New Roman"/>
                <w:sz w:val="21"/>
                <w:szCs w:val="21"/>
              </w:rPr>
              <w:t>158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刘窑村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267</w:t>
            </w:r>
          </w:p>
        </w:tc>
        <w:tc>
          <w:tcPr>
            <w:tcW w:w="1328" w:type="dxa"/>
          </w:tcPr>
          <w:p>
            <w:pPr>
              <w:widowControl/>
              <w:spacing w:line="240" w:lineRule="auto"/>
              <w:ind w:firstLine="0" w:firstLineChars="0"/>
              <w:jc w:val="center"/>
              <w:rPr>
                <w:rFonts w:cs="Times New Roman"/>
                <w:sz w:val="21"/>
                <w:szCs w:val="21"/>
              </w:rPr>
            </w:pPr>
            <w:r>
              <w:rPr>
                <w:rFonts w:cs="Times New Roman"/>
                <w:sz w:val="21"/>
                <w:szCs w:val="21"/>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滂汪小学</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267</w:t>
            </w:r>
          </w:p>
        </w:tc>
        <w:tc>
          <w:tcPr>
            <w:tcW w:w="1328" w:type="dxa"/>
          </w:tcPr>
          <w:p>
            <w:pPr>
              <w:widowControl/>
              <w:spacing w:line="240" w:lineRule="auto"/>
              <w:ind w:firstLine="0" w:firstLineChars="0"/>
              <w:jc w:val="center"/>
              <w:rPr>
                <w:rFonts w:cs="Times New Roman"/>
                <w:sz w:val="21"/>
                <w:szCs w:val="21"/>
              </w:rPr>
            </w:pPr>
            <w:r>
              <w:rPr>
                <w:rFonts w:cs="Times New Roman"/>
                <w:sz w:val="21"/>
                <w:szCs w:val="21"/>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徐里村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267</w:t>
            </w:r>
          </w:p>
        </w:tc>
        <w:tc>
          <w:tcPr>
            <w:tcW w:w="1328" w:type="dxa"/>
          </w:tcPr>
          <w:p>
            <w:pPr>
              <w:widowControl/>
              <w:spacing w:line="240" w:lineRule="auto"/>
              <w:ind w:firstLine="0" w:firstLineChars="0"/>
              <w:jc w:val="center"/>
              <w:rPr>
                <w:rFonts w:cs="Times New Roman"/>
                <w:sz w:val="21"/>
                <w:szCs w:val="21"/>
              </w:rPr>
            </w:pPr>
            <w:r>
              <w:rPr>
                <w:rFonts w:cs="Times New Roman"/>
                <w:sz w:val="21"/>
                <w:szCs w:val="21"/>
              </w:rPr>
              <w:t>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8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二甲苯</w:t>
            </w:r>
          </w:p>
        </w:tc>
        <w:tc>
          <w:tcPr>
            <w:tcW w:w="1669" w:type="dxa"/>
            <w:vAlign w:val="center"/>
          </w:tcPr>
          <w:p>
            <w:pPr>
              <w:spacing w:line="240" w:lineRule="auto"/>
              <w:ind w:firstLine="0" w:firstLineChars="0"/>
              <w:jc w:val="center"/>
              <w:rPr>
                <w:rFonts w:cs="Times New Roman"/>
                <w:sz w:val="21"/>
                <w:szCs w:val="18"/>
              </w:rPr>
            </w:pPr>
            <w:r>
              <w:rPr>
                <w:rFonts w:cs="Times New Roman"/>
                <w:sz w:val="21"/>
                <w:szCs w:val="21"/>
                <w:lang w:bidi="ar"/>
              </w:rPr>
              <w:t>纵楼村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rPr>
            </w:pPr>
            <w:r>
              <w:rPr>
                <w:rFonts w:cs="Times New Roman"/>
                <w:sz w:val="21"/>
                <w:szCs w:val="21"/>
                <w:lang w:bidi="ar"/>
              </w:rPr>
              <w:t>南段庄</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刘窑村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滂汪小学</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徐里村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苯</w:t>
            </w:r>
          </w:p>
        </w:tc>
        <w:tc>
          <w:tcPr>
            <w:tcW w:w="1669" w:type="dxa"/>
            <w:vAlign w:val="center"/>
          </w:tcPr>
          <w:p>
            <w:pPr>
              <w:spacing w:line="240" w:lineRule="auto"/>
              <w:ind w:firstLine="0" w:firstLineChars="0"/>
              <w:jc w:val="center"/>
              <w:rPr>
                <w:rFonts w:cs="Times New Roman"/>
                <w:sz w:val="21"/>
                <w:szCs w:val="18"/>
              </w:rPr>
            </w:pPr>
            <w:r>
              <w:rPr>
                <w:rFonts w:cs="Times New Roman"/>
                <w:sz w:val="21"/>
                <w:szCs w:val="21"/>
                <w:lang w:bidi="ar"/>
              </w:rPr>
              <w:t>纵楼村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rPr>
            </w:pPr>
            <w:r>
              <w:rPr>
                <w:rFonts w:cs="Times New Roman"/>
                <w:sz w:val="21"/>
                <w:szCs w:val="21"/>
                <w:lang w:bidi="ar"/>
              </w:rPr>
              <w:t>南段庄</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刘窑村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滂汪小学</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18"/>
                <w:lang w:bidi="ar"/>
              </w:rPr>
            </w:pPr>
            <w:r>
              <w:rPr>
                <w:rFonts w:cs="Times New Roman"/>
                <w:sz w:val="21"/>
                <w:szCs w:val="21"/>
                <w:lang w:bidi="ar"/>
              </w:rPr>
              <w:t>徐里村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restart"/>
            <w:vAlign w:val="center"/>
          </w:tcPr>
          <w:p>
            <w:pPr>
              <w:widowControl/>
              <w:spacing w:line="240" w:lineRule="auto"/>
              <w:ind w:firstLine="0" w:firstLineChars="0"/>
              <w:jc w:val="center"/>
              <w:rPr>
                <w:rFonts w:cs="Times New Roman"/>
                <w:sz w:val="21"/>
                <w:szCs w:val="21"/>
              </w:rPr>
            </w:pPr>
            <w:r>
              <w:rPr>
                <w:rFonts w:cs="Times New Roman"/>
                <w:sz w:val="21"/>
                <w:szCs w:val="21"/>
              </w:rPr>
              <w:t>甲苯</w:t>
            </w:r>
          </w:p>
        </w:tc>
        <w:tc>
          <w:tcPr>
            <w:tcW w:w="1669"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纵楼村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南段庄</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刘窑村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滂汪小学</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3" w:type="dxa"/>
            <w:vMerge w:val="continue"/>
            <w:vAlign w:val="center"/>
          </w:tcPr>
          <w:p>
            <w:pPr>
              <w:widowControl/>
              <w:spacing w:line="240" w:lineRule="auto"/>
              <w:ind w:firstLine="420"/>
              <w:jc w:val="center"/>
              <w:rPr>
                <w:rFonts w:cs="Times New Roman"/>
                <w:sz w:val="21"/>
                <w:szCs w:val="21"/>
              </w:rPr>
            </w:pPr>
          </w:p>
        </w:tc>
        <w:tc>
          <w:tcPr>
            <w:tcW w:w="1669"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徐里村</w:t>
            </w:r>
          </w:p>
        </w:tc>
        <w:tc>
          <w:tcPr>
            <w:tcW w:w="1559" w:type="dxa"/>
            <w:vAlign w:val="center"/>
          </w:tcPr>
          <w:p>
            <w:pPr>
              <w:widowControl/>
              <w:spacing w:line="240" w:lineRule="auto"/>
              <w:ind w:firstLine="0" w:firstLineChars="0"/>
              <w:jc w:val="center"/>
              <w:rPr>
                <w:rFonts w:cs="Times New Roman"/>
                <w:sz w:val="21"/>
                <w:szCs w:val="21"/>
              </w:rPr>
            </w:pPr>
            <w:r>
              <w:rPr>
                <w:rFonts w:cs="Times New Roman"/>
                <w:sz w:val="21"/>
                <w:lang w:bidi="ar"/>
              </w:rPr>
              <w:t>未检出</w:t>
            </w:r>
          </w:p>
        </w:tc>
        <w:tc>
          <w:tcPr>
            <w:tcW w:w="1701" w:type="dxa"/>
            <w:vAlign w:val="center"/>
          </w:tcPr>
          <w:p>
            <w:pPr>
              <w:widowControl/>
              <w:spacing w:line="240" w:lineRule="auto"/>
              <w:ind w:firstLine="0" w:firstLineChars="0"/>
              <w:jc w:val="center"/>
              <w:rPr>
                <w:rFonts w:cs="Times New Roman"/>
                <w:sz w:val="21"/>
                <w:szCs w:val="21"/>
              </w:rPr>
            </w:pPr>
            <w:r>
              <w:rPr>
                <w:rFonts w:cs="Times New Roman"/>
                <w:sz w:val="21"/>
                <w:szCs w:val="21"/>
              </w:rPr>
              <w:t>&lt;0.0005</w:t>
            </w:r>
          </w:p>
        </w:tc>
        <w:tc>
          <w:tcPr>
            <w:tcW w:w="1895"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c>
          <w:tcPr>
            <w:tcW w:w="1328" w:type="dxa"/>
            <w:vAlign w:val="center"/>
          </w:tcPr>
          <w:p>
            <w:pPr>
              <w:widowControl/>
              <w:spacing w:line="240" w:lineRule="auto"/>
              <w:ind w:firstLine="0" w:firstLineChars="0"/>
              <w:jc w:val="center"/>
              <w:rPr>
                <w:rFonts w:cs="Times New Roman"/>
                <w:sz w:val="21"/>
                <w:szCs w:val="21"/>
              </w:rPr>
            </w:pPr>
            <w:r>
              <w:rPr>
                <w:rFonts w:cs="Times New Roman"/>
                <w:sz w:val="21"/>
                <w:szCs w:val="21"/>
              </w:rPr>
              <w:t>/</w:t>
            </w:r>
          </w:p>
        </w:tc>
      </w:tr>
    </w:tbl>
    <w:p>
      <w:pPr>
        <w:ind w:firstLine="480"/>
        <w:rPr>
          <w:rFonts w:cs="Times New Roman"/>
        </w:rPr>
      </w:pPr>
      <w:r>
        <w:rPr>
          <w:rFonts w:cs="Times New Roman"/>
          <w:lang w:bidi="ar"/>
        </w:rPr>
        <w:t>根据表</w:t>
      </w:r>
      <w:r>
        <w:rPr>
          <w:rFonts w:hint="eastAsia" w:cs="Times New Roman"/>
          <w:lang w:val="en-US" w:eastAsia="zh-CN" w:bidi="ar"/>
        </w:rPr>
        <w:t>3</w:t>
      </w:r>
      <w:r>
        <w:rPr>
          <w:rFonts w:cs="Times New Roman"/>
          <w:lang w:bidi="ar"/>
        </w:rPr>
        <w:t>.2.3-1，对比上一轮规划环评和本次评价各种大气污染物的浓度数据可知：</w:t>
      </w:r>
    </w:p>
    <w:p>
      <w:pPr>
        <w:pStyle w:val="16"/>
        <w:ind w:firstLine="480"/>
        <w:rPr>
          <w:rFonts w:ascii="Times New Roman" w:hAnsi="Times New Roman"/>
        </w:rPr>
      </w:pPr>
      <w:r>
        <w:rPr>
          <w:rFonts w:hint="eastAsia" w:ascii="宋体" w:hAnsi="宋体" w:cs="宋体"/>
          <w:lang w:bidi="ar"/>
        </w:rPr>
        <w:t>①</w:t>
      </w:r>
      <w:r>
        <w:rPr>
          <w:rFonts w:ascii="Times New Roman" w:hAnsi="Times New Roman"/>
          <w:lang w:bidi="ar"/>
        </w:rPr>
        <w:t>各监测点</w:t>
      </w:r>
      <w:r>
        <w:rPr>
          <w:rFonts w:ascii="Times New Roman" w:hAnsi="Times New Roman"/>
        </w:rPr>
        <w:t>TSP日均浓度相比于上一轮规划环评1小时评均浓度数据有所降低，下降幅度为36.7%~46.4%，TSP日均浓度能满足《环境空气质量标准》（GB3095-2012）二级标准要求；</w:t>
      </w:r>
    </w:p>
    <w:p>
      <w:pPr>
        <w:ind w:firstLine="480"/>
        <w:rPr>
          <w:rFonts w:cs="Times New Roman"/>
        </w:rPr>
      </w:pPr>
      <w:r>
        <w:rPr>
          <w:rFonts w:hint="eastAsia" w:ascii="宋体" w:hAnsi="宋体" w:cs="宋体"/>
          <w:lang w:eastAsia="ja-JP"/>
        </w:rPr>
        <w:t>②</w:t>
      </w:r>
      <w:r>
        <w:rPr>
          <w:rFonts w:cs="Times New Roman"/>
        </w:rPr>
        <w:t>二甲苯、苯和甲苯均未检出，与上一轮规划环评1小时</w:t>
      </w:r>
      <w:r>
        <w:rPr>
          <w:rFonts w:hint="eastAsia" w:cs="Times New Roman"/>
        </w:rPr>
        <w:t>平均</w:t>
      </w:r>
      <w:r>
        <w:rPr>
          <w:rFonts w:cs="Times New Roman"/>
        </w:rPr>
        <w:t>浓度数据相比无变化，均能够满足《环境空气质量标准》（GB3095-2012）二级标准要求；</w:t>
      </w:r>
    </w:p>
    <w:p>
      <w:pPr>
        <w:ind w:firstLine="480"/>
        <w:rPr>
          <w:rFonts w:cs="Times New Roman"/>
        </w:rPr>
      </w:pPr>
      <w:r>
        <w:rPr>
          <w:rFonts w:cs="Times New Roman"/>
        </w:rPr>
        <w:t>由以上可以得出，本次补充监测数据与原规划监测数据基本一致，说明区域开发利用未造成环境空气中特征因子的恶化</w:t>
      </w:r>
      <w:r>
        <w:rPr>
          <w:rFonts w:cs="Times New Roman"/>
          <w:lang w:bidi="ar"/>
        </w:rPr>
        <w:t>。</w:t>
      </w:r>
    </w:p>
    <w:p>
      <w:pPr>
        <w:ind w:firstLine="0" w:firstLineChars="0"/>
        <w:jc w:val="left"/>
        <w:outlineLvl w:val="1"/>
        <w:rPr>
          <w:rFonts w:eastAsia="黑体" w:cs="Times New Roman"/>
          <w:sz w:val="32"/>
        </w:rPr>
      </w:pPr>
      <w:bookmarkStart w:id="2" w:name="_Toc528616909"/>
      <w:bookmarkStart w:id="3" w:name="_Toc40103122"/>
      <w:r>
        <w:rPr>
          <w:rFonts w:hint="eastAsia" w:eastAsia="黑体" w:cs="Times New Roman"/>
          <w:sz w:val="32"/>
          <w:lang w:val="en-US" w:eastAsia="zh-CN"/>
        </w:rPr>
        <w:t>3</w:t>
      </w:r>
      <w:r>
        <w:rPr>
          <w:rFonts w:eastAsia="黑体" w:cs="Times New Roman"/>
          <w:sz w:val="32"/>
        </w:rPr>
        <w:t>.3地表水环境质量跟踪评价</w:t>
      </w:r>
      <w:bookmarkEnd w:id="2"/>
      <w:bookmarkEnd w:id="3"/>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.3.1历史监测资料收集与分析</w:t>
      </w:r>
    </w:p>
    <w:p>
      <w:pPr>
        <w:widowControl/>
        <w:ind w:firstLine="0" w:firstLineChars="0"/>
        <w:jc w:val="left"/>
        <w:outlineLvl w:val="3"/>
        <w:rPr>
          <w:rFonts w:eastAsia="黑体" w:cs="Times New Roman"/>
          <w:lang w:bidi="ar"/>
        </w:rPr>
      </w:pPr>
      <w:r>
        <w:rPr>
          <w:rFonts w:hint="eastAsia" w:eastAsia="黑体" w:cs="Times New Roman"/>
          <w:lang w:val="en-US" w:eastAsia="zh-CN" w:bidi="ar"/>
        </w:rPr>
        <w:t>3</w:t>
      </w:r>
      <w:r>
        <w:rPr>
          <w:rFonts w:eastAsia="黑体" w:cs="Times New Roman"/>
          <w:lang w:bidi="ar"/>
        </w:rPr>
        <w:t>.3.1.1 上一轮规划环评地表水环境质量</w:t>
      </w:r>
    </w:p>
    <w:p>
      <w:pPr>
        <w:ind w:firstLine="480"/>
        <w:rPr>
          <w:rFonts w:cs="Times New Roman"/>
          <w:lang w:bidi="ar"/>
        </w:rPr>
      </w:pPr>
      <w:r>
        <w:rPr>
          <w:rFonts w:cs="Times New Roman"/>
          <w:lang w:bidi="ar"/>
        </w:rPr>
        <w:t>上一轮规划环评中地表水环境质量的监测，共设置了11个监测断面，详见表</w:t>
      </w:r>
      <w:r>
        <w:rPr>
          <w:rFonts w:hint="eastAsia" w:cs="Times New Roman"/>
          <w:lang w:val="en-US" w:eastAsia="zh-CN" w:bidi="ar"/>
        </w:rPr>
        <w:t>3</w:t>
      </w:r>
      <w:r>
        <w:rPr>
          <w:rFonts w:cs="Times New Roman"/>
          <w:lang w:bidi="ar"/>
        </w:rPr>
        <w:t>.3.1-1。上一轮规划环评中地表水监测数据评价结果见表</w:t>
      </w:r>
      <w:r>
        <w:rPr>
          <w:rFonts w:hint="eastAsia" w:cs="Times New Roman"/>
          <w:lang w:val="en-US" w:eastAsia="zh-CN" w:bidi="ar"/>
        </w:rPr>
        <w:t>3</w:t>
      </w:r>
      <w:r>
        <w:rPr>
          <w:rFonts w:cs="Times New Roman"/>
          <w:lang w:bidi="ar"/>
        </w:rPr>
        <w:t>.3.1-2。</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.3.1-1  上一轮规划环评地表水环境质量监测断面位置</w:t>
      </w:r>
    </w:p>
    <w:tbl>
      <w:tblPr>
        <w:tblStyle w:val="1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361"/>
        <w:gridCol w:w="5516"/>
        <w:gridCol w:w="1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spacing w:line="240" w:lineRule="auto"/>
              <w:ind w:firstLine="0" w:firstLineChars="0"/>
              <w:jc w:val="center"/>
              <w:rPr>
                <w:rFonts w:cs="Times New Roman"/>
                <w:b/>
                <w:sz w:val="21"/>
                <w:szCs w:val="21"/>
              </w:rPr>
            </w:pPr>
            <w:r>
              <w:rPr>
                <w:rFonts w:cs="Times New Roman"/>
                <w:b/>
                <w:sz w:val="21"/>
                <w:szCs w:val="21"/>
                <w:lang w:bidi="ar"/>
              </w:rPr>
              <w:t>断面编号</w:t>
            </w:r>
          </w:p>
        </w:tc>
        <w:tc>
          <w:tcPr>
            <w:tcW w:w="737" w:type="pct"/>
            <w:vAlign w:val="center"/>
          </w:tcPr>
          <w:p>
            <w:pPr>
              <w:spacing w:line="240" w:lineRule="auto"/>
              <w:ind w:firstLine="0" w:firstLineChars="0"/>
              <w:jc w:val="center"/>
              <w:rPr>
                <w:rFonts w:cs="Times New Roman"/>
                <w:b/>
                <w:sz w:val="21"/>
                <w:szCs w:val="21"/>
                <w:lang w:bidi="ar"/>
              </w:rPr>
            </w:pPr>
            <w:r>
              <w:rPr>
                <w:rFonts w:cs="Times New Roman"/>
                <w:b/>
                <w:sz w:val="21"/>
                <w:szCs w:val="21"/>
                <w:lang w:bidi="ar"/>
              </w:rPr>
              <w:t>河流</w:t>
            </w:r>
          </w:p>
        </w:tc>
        <w:tc>
          <w:tcPr>
            <w:tcW w:w="2986" w:type="pct"/>
            <w:vAlign w:val="center"/>
          </w:tcPr>
          <w:p>
            <w:pPr>
              <w:spacing w:line="240" w:lineRule="auto"/>
              <w:ind w:firstLine="0" w:firstLineChars="0"/>
              <w:jc w:val="center"/>
              <w:rPr>
                <w:rFonts w:cs="Times New Roman"/>
                <w:b/>
                <w:sz w:val="21"/>
                <w:szCs w:val="21"/>
              </w:rPr>
            </w:pPr>
            <w:r>
              <w:rPr>
                <w:rFonts w:cs="Times New Roman"/>
                <w:b/>
                <w:sz w:val="21"/>
                <w:szCs w:val="21"/>
                <w:lang w:bidi="ar"/>
              </w:rPr>
              <w:t>断面位置</w:t>
            </w:r>
          </w:p>
        </w:tc>
        <w:tc>
          <w:tcPr>
            <w:tcW w:w="678" w:type="pct"/>
            <w:vAlign w:val="center"/>
          </w:tcPr>
          <w:p>
            <w:pPr>
              <w:spacing w:line="240" w:lineRule="auto"/>
              <w:ind w:firstLine="0" w:firstLineChars="0"/>
              <w:jc w:val="center"/>
              <w:rPr>
                <w:rFonts w:cs="Times New Roman"/>
                <w:b/>
                <w:sz w:val="21"/>
                <w:szCs w:val="21"/>
              </w:rPr>
            </w:pPr>
            <w:r>
              <w:rPr>
                <w:rFonts w:cs="Times New Roman"/>
                <w:b/>
                <w:sz w:val="21"/>
                <w:szCs w:val="21"/>
                <w:lang w:bidi="ar"/>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1#</w:t>
            </w:r>
          </w:p>
        </w:tc>
        <w:tc>
          <w:tcPr>
            <w:tcW w:w="737" w:type="pct"/>
            <w:vMerge w:val="restart"/>
            <w:vAlign w:val="center"/>
          </w:tcPr>
          <w:p>
            <w:pPr>
              <w:spacing w:line="240" w:lineRule="auto"/>
              <w:ind w:firstLine="0" w:firstLineChars="0"/>
              <w:jc w:val="center"/>
              <w:rPr>
                <w:rFonts w:cs="Times New Roman"/>
                <w:sz w:val="21"/>
                <w:szCs w:val="21"/>
                <w:lang w:bidi="ar"/>
              </w:rPr>
            </w:pPr>
            <w:r>
              <w:rPr>
                <w:rFonts w:cs="Times New Roman"/>
                <w:sz w:val="21"/>
                <w:szCs w:val="21"/>
                <w:lang w:bidi="ar"/>
              </w:rPr>
              <w:t>岱河</w:t>
            </w:r>
          </w:p>
        </w:tc>
        <w:tc>
          <w:tcPr>
            <w:tcW w:w="2986" w:type="pct"/>
            <w:vAlign w:val="center"/>
          </w:tcPr>
          <w:p>
            <w:pPr>
              <w:spacing w:line="240" w:lineRule="auto"/>
              <w:ind w:firstLine="0" w:firstLineChars="0"/>
              <w:jc w:val="center"/>
              <w:rPr>
                <w:rFonts w:cs="Times New Roman"/>
                <w:sz w:val="21"/>
                <w:szCs w:val="21"/>
              </w:rPr>
            </w:pPr>
            <w:r>
              <w:rPr>
                <w:rFonts w:cs="Times New Roman"/>
                <w:sz w:val="21"/>
                <w:szCs w:val="21"/>
                <w:lang w:bidi="ar"/>
              </w:rPr>
              <w:t>杜集经济开发区雨水排入口上游200m</w:t>
            </w:r>
          </w:p>
        </w:tc>
        <w:tc>
          <w:tcPr>
            <w:tcW w:w="678" w:type="pct"/>
            <w:vMerge w:val="restart"/>
            <w:vAlign w:val="center"/>
          </w:tcPr>
          <w:p>
            <w:pPr>
              <w:spacing w:line="240" w:lineRule="auto"/>
              <w:ind w:firstLine="0" w:firstLineChars="0"/>
              <w:jc w:val="center"/>
              <w:rPr>
                <w:rFonts w:cs="Times New Roman"/>
                <w:sz w:val="21"/>
                <w:szCs w:val="21"/>
              </w:rPr>
            </w:pPr>
            <w:r>
              <w:rPr>
                <w:rFonts w:cs="Times New Roman"/>
                <w:sz w:val="21"/>
                <w:szCs w:val="21"/>
                <w:lang w:bidi="ar"/>
              </w:rPr>
              <w:t>pH、高锰酸盐指数、溶解氧、COD</w:t>
            </w:r>
            <w:r>
              <w:rPr>
                <w:rFonts w:cs="Times New Roman"/>
                <w:sz w:val="21"/>
                <w:szCs w:val="21"/>
                <w:vertAlign w:val="subscript"/>
                <w:lang w:bidi="ar"/>
              </w:rPr>
              <w:t>Cr</w:t>
            </w:r>
            <w:r>
              <w:rPr>
                <w:rFonts w:cs="Times New Roman"/>
                <w:sz w:val="21"/>
                <w:szCs w:val="21"/>
                <w:lang w:bidi="ar"/>
              </w:rPr>
              <w:t>、BOD</w:t>
            </w:r>
            <w:r>
              <w:rPr>
                <w:rFonts w:cs="Times New Roman"/>
                <w:sz w:val="21"/>
                <w:szCs w:val="21"/>
                <w:vertAlign w:val="subscript"/>
                <w:lang w:bidi="ar"/>
              </w:rPr>
              <w:t>5</w:t>
            </w:r>
            <w:r>
              <w:rPr>
                <w:rFonts w:cs="Times New Roman"/>
                <w:sz w:val="21"/>
                <w:szCs w:val="21"/>
                <w:lang w:bidi="ar"/>
              </w:rPr>
              <w:t>、NH</w:t>
            </w:r>
            <w:r>
              <w:rPr>
                <w:rFonts w:cs="Times New Roman"/>
                <w:sz w:val="21"/>
                <w:szCs w:val="21"/>
                <w:vertAlign w:val="subscript"/>
                <w:lang w:bidi="ar"/>
              </w:rPr>
              <w:t>3</w:t>
            </w:r>
            <w:r>
              <w:rPr>
                <w:rFonts w:cs="Times New Roman"/>
                <w:sz w:val="21"/>
                <w:szCs w:val="21"/>
                <w:lang w:bidi="ar"/>
              </w:rPr>
              <w:t>-N、TP、石油类、硫化物、挥发酚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2#</w:t>
            </w:r>
          </w:p>
        </w:tc>
        <w:tc>
          <w:tcPr>
            <w:tcW w:w="737" w:type="pct"/>
            <w:vMerge w:val="continue"/>
            <w:vAlign w:val="center"/>
          </w:tcPr>
          <w:p>
            <w:pPr>
              <w:spacing w:line="240" w:lineRule="auto"/>
              <w:ind w:firstLine="0" w:firstLineChars="0"/>
              <w:jc w:val="center"/>
              <w:rPr>
                <w:rFonts w:cs="Times New Roman"/>
                <w:sz w:val="21"/>
                <w:szCs w:val="21"/>
                <w:lang w:bidi="ar"/>
              </w:rPr>
            </w:pPr>
          </w:p>
        </w:tc>
        <w:tc>
          <w:tcPr>
            <w:tcW w:w="2986" w:type="pct"/>
            <w:vAlign w:val="center"/>
          </w:tcPr>
          <w:p>
            <w:pPr>
              <w:spacing w:line="240" w:lineRule="auto"/>
              <w:ind w:firstLine="0" w:firstLineChars="0"/>
              <w:jc w:val="center"/>
              <w:rPr>
                <w:rFonts w:cs="Times New Roman"/>
                <w:sz w:val="21"/>
                <w:szCs w:val="21"/>
              </w:rPr>
            </w:pPr>
            <w:r>
              <w:rPr>
                <w:rFonts w:cs="Times New Roman"/>
                <w:sz w:val="21"/>
                <w:szCs w:val="21"/>
                <w:lang w:bidi="ar"/>
              </w:rPr>
              <w:t>杜集经济开发区雨水排入口下游500m</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3#</w:t>
            </w:r>
          </w:p>
        </w:tc>
        <w:tc>
          <w:tcPr>
            <w:tcW w:w="737" w:type="pct"/>
            <w:vMerge w:val="continue"/>
            <w:vAlign w:val="center"/>
          </w:tcPr>
          <w:p>
            <w:pPr>
              <w:spacing w:line="240" w:lineRule="auto"/>
              <w:ind w:firstLine="0" w:firstLineChars="0"/>
              <w:jc w:val="center"/>
              <w:rPr>
                <w:rFonts w:cs="Times New Roman"/>
                <w:sz w:val="21"/>
                <w:szCs w:val="21"/>
                <w:lang w:bidi="ar"/>
              </w:rPr>
            </w:pPr>
          </w:p>
        </w:tc>
        <w:tc>
          <w:tcPr>
            <w:tcW w:w="2986" w:type="pct"/>
            <w:vAlign w:val="center"/>
          </w:tcPr>
          <w:p>
            <w:pPr>
              <w:spacing w:line="240" w:lineRule="auto"/>
              <w:ind w:firstLine="0" w:firstLineChars="0"/>
              <w:jc w:val="center"/>
              <w:rPr>
                <w:rFonts w:cs="Times New Roman"/>
                <w:sz w:val="21"/>
                <w:szCs w:val="21"/>
              </w:rPr>
            </w:pPr>
            <w:r>
              <w:rPr>
                <w:rFonts w:cs="Times New Roman"/>
                <w:sz w:val="21"/>
                <w:szCs w:val="21"/>
                <w:lang w:bidi="ar"/>
              </w:rPr>
              <w:t>杜集经济开发区雨水排入口下游1000m</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4#</w:t>
            </w:r>
          </w:p>
        </w:tc>
        <w:tc>
          <w:tcPr>
            <w:tcW w:w="737" w:type="pct"/>
            <w:vMerge w:val="restart"/>
            <w:vAlign w:val="center"/>
          </w:tcPr>
          <w:p>
            <w:pPr>
              <w:spacing w:line="240" w:lineRule="auto"/>
              <w:ind w:firstLine="0" w:firstLineChars="0"/>
              <w:jc w:val="center"/>
              <w:rPr>
                <w:rFonts w:cs="Times New Roman"/>
                <w:sz w:val="21"/>
                <w:szCs w:val="21"/>
                <w:lang w:bidi="ar"/>
              </w:rPr>
            </w:pPr>
            <w:r>
              <w:rPr>
                <w:rFonts w:cs="Times New Roman"/>
                <w:sz w:val="21"/>
                <w:szCs w:val="21"/>
                <w:lang w:bidi="ar"/>
              </w:rPr>
              <w:t>龙河</w:t>
            </w:r>
          </w:p>
        </w:tc>
        <w:tc>
          <w:tcPr>
            <w:tcW w:w="29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龙湖污水处理厂排污口上游200m</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5#</w:t>
            </w:r>
          </w:p>
        </w:tc>
        <w:tc>
          <w:tcPr>
            <w:tcW w:w="737" w:type="pct"/>
            <w:vMerge w:val="continue"/>
            <w:vAlign w:val="center"/>
          </w:tcPr>
          <w:p>
            <w:pPr>
              <w:spacing w:line="240" w:lineRule="auto"/>
              <w:ind w:firstLine="0" w:firstLineChars="0"/>
              <w:jc w:val="center"/>
              <w:rPr>
                <w:rFonts w:cs="Times New Roman"/>
                <w:sz w:val="21"/>
                <w:szCs w:val="21"/>
                <w:lang w:bidi="ar"/>
              </w:rPr>
            </w:pPr>
          </w:p>
        </w:tc>
        <w:tc>
          <w:tcPr>
            <w:tcW w:w="29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龙湖污水处理厂排污口下游500m</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6#</w:t>
            </w:r>
          </w:p>
        </w:tc>
        <w:tc>
          <w:tcPr>
            <w:tcW w:w="737" w:type="pct"/>
            <w:vMerge w:val="continue"/>
            <w:vAlign w:val="center"/>
          </w:tcPr>
          <w:p>
            <w:pPr>
              <w:spacing w:line="240" w:lineRule="auto"/>
              <w:ind w:firstLine="0" w:firstLineChars="0"/>
              <w:jc w:val="center"/>
              <w:rPr>
                <w:rFonts w:cs="Times New Roman"/>
                <w:sz w:val="21"/>
                <w:szCs w:val="21"/>
                <w:lang w:bidi="ar"/>
              </w:rPr>
            </w:pPr>
          </w:p>
        </w:tc>
        <w:tc>
          <w:tcPr>
            <w:tcW w:w="29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龙湖污水处理厂排污口下游1000m</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7#</w:t>
            </w:r>
          </w:p>
        </w:tc>
        <w:tc>
          <w:tcPr>
            <w:tcW w:w="737" w:type="pct"/>
            <w:vMerge w:val="restart"/>
            <w:vAlign w:val="center"/>
          </w:tcPr>
          <w:p>
            <w:pPr>
              <w:spacing w:line="240" w:lineRule="auto"/>
              <w:ind w:firstLine="0" w:firstLineChars="0"/>
              <w:jc w:val="center"/>
              <w:rPr>
                <w:rFonts w:cs="Times New Roman"/>
                <w:sz w:val="21"/>
                <w:szCs w:val="21"/>
              </w:rPr>
            </w:pPr>
            <w:r>
              <w:rPr>
                <w:rFonts w:cs="Times New Roman"/>
                <w:sz w:val="21"/>
                <w:szCs w:val="21"/>
              </w:rPr>
              <w:t>龙湖污水处理厂收纳水体（龙岱河）</w:t>
            </w:r>
          </w:p>
        </w:tc>
        <w:tc>
          <w:tcPr>
            <w:tcW w:w="2986" w:type="pct"/>
            <w:vAlign w:val="center"/>
          </w:tcPr>
          <w:p>
            <w:pPr>
              <w:spacing w:line="240" w:lineRule="auto"/>
              <w:ind w:firstLine="0" w:firstLineChars="0"/>
              <w:jc w:val="center"/>
              <w:rPr>
                <w:rFonts w:cs="Times New Roman"/>
                <w:sz w:val="21"/>
                <w:szCs w:val="21"/>
              </w:rPr>
            </w:pPr>
            <w:r>
              <w:rPr>
                <w:rFonts w:cs="Times New Roman"/>
                <w:sz w:val="21"/>
                <w:szCs w:val="21"/>
                <w:lang w:bidi="ar"/>
              </w:rPr>
              <w:t>龙湖污水处理厂排污口下游5000m（龙河、岱河交汇处）</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8#</w:t>
            </w:r>
          </w:p>
        </w:tc>
        <w:tc>
          <w:tcPr>
            <w:tcW w:w="737" w:type="pct"/>
            <w:vMerge w:val="continue"/>
            <w:vAlign w:val="center"/>
          </w:tcPr>
          <w:p>
            <w:pPr>
              <w:spacing w:line="240" w:lineRule="auto"/>
              <w:ind w:firstLine="0" w:firstLineChars="0"/>
              <w:jc w:val="center"/>
              <w:rPr>
                <w:rFonts w:cs="Times New Roman"/>
                <w:sz w:val="21"/>
                <w:szCs w:val="21"/>
              </w:rPr>
            </w:pPr>
          </w:p>
        </w:tc>
        <w:tc>
          <w:tcPr>
            <w:tcW w:w="2986" w:type="pct"/>
            <w:vAlign w:val="center"/>
          </w:tcPr>
          <w:p>
            <w:pPr>
              <w:spacing w:line="240" w:lineRule="auto"/>
              <w:ind w:firstLine="0" w:firstLineChars="0"/>
              <w:jc w:val="center"/>
              <w:rPr>
                <w:rFonts w:cs="Times New Roman"/>
                <w:sz w:val="21"/>
                <w:szCs w:val="21"/>
              </w:rPr>
            </w:pPr>
            <w:r>
              <w:rPr>
                <w:rFonts w:cs="Times New Roman"/>
                <w:sz w:val="21"/>
                <w:szCs w:val="21"/>
                <w:lang w:bidi="ar"/>
              </w:rPr>
              <w:t>龙湖污水处理厂排污口下游10000m（向阳沟汇入处）</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9#</w:t>
            </w:r>
          </w:p>
        </w:tc>
        <w:tc>
          <w:tcPr>
            <w:tcW w:w="737" w:type="pct"/>
            <w:vMerge w:val="continue"/>
            <w:vAlign w:val="center"/>
          </w:tcPr>
          <w:p>
            <w:pPr>
              <w:spacing w:line="240" w:lineRule="auto"/>
              <w:ind w:firstLine="0" w:firstLineChars="0"/>
              <w:jc w:val="center"/>
              <w:rPr>
                <w:rFonts w:cs="Times New Roman"/>
                <w:sz w:val="21"/>
                <w:szCs w:val="21"/>
              </w:rPr>
            </w:pPr>
          </w:p>
        </w:tc>
        <w:tc>
          <w:tcPr>
            <w:tcW w:w="2986" w:type="pct"/>
            <w:vAlign w:val="center"/>
          </w:tcPr>
          <w:p>
            <w:pPr>
              <w:spacing w:line="240" w:lineRule="auto"/>
              <w:ind w:firstLine="0" w:firstLineChars="0"/>
              <w:jc w:val="center"/>
              <w:rPr>
                <w:rFonts w:cs="Times New Roman"/>
                <w:sz w:val="21"/>
                <w:szCs w:val="21"/>
              </w:rPr>
            </w:pPr>
            <w:r>
              <w:rPr>
                <w:rFonts w:cs="Times New Roman"/>
                <w:sz w:val="21"/>
                <w:szCs w:val="21"/>
                <w:lang w:bidi="ar"/>
              </w:rPr>
              <w:t>龙湖污水处理厂排污口下游16000m（青龙山闸下）</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10#</w:t>
            </w:r>
          </w:p>
        </w:tc>
        <w:tc>
          <w:tcPr>
            <w:tcW w:w="737" w:type="pct"/>
            <w:vMerge w:val="restart"/>
            <w:vAlign w:val="center"/>
          </w:tcPr>
          <w:p>
            <w:pPr>
              <w:spacing w:line="240" w:lineRule="auto"/>
              <w:ind w:firstLine="0" w:firstLineChars="0"/>
              <w:jc w:val="center"/>
              <w:rPr>
                <w:rFonts w:cs="Times New Roman"/>
                <w:sz w:val="21"/>
                <w:szCs w:val="21"/>
              </w:rPr>
            </w:pPr>
            <w:r>
              <w:rPr>
                <w:rFonts w:cs="Times New Roman"/>
                <w:sz w:val="21"/>
                <w:szCs w:val="21"/>
              </w:rPr>
              <w:t>龙湖污水处理厂收纳水体（萧睢新河）</w:t>
            </w:r>
          </w:p>
        </w:tc>
        <w:tc>
          <w:tcPr>
            <w:tcW w:w="2986" w:type="pct"/>
            <w:vAlign w:val="center"/>
          </w:tcPr>
          <w:p>
            <w:pPr>
              <w:spacing w:line="240" w:lineRule="auto"/>
              <w:ind w:firstLine="0" w:firstLineChars="0"/>
              <w:jc w:val="center"/>
              <w:rPr>
                <w:rFonts w:cs="Times New Roman"/>
                <w:sz w:val="21"/>
                <w:szCs w:val="21"/>
              </w:rPr>
            </w:pPr>
            <w:r>
              <w:rPr>
                <w:rFonts w:cs="Times New Roman"/>
                <w:sz w:val="21"/>
                <w:szCs w:val="21"/>
                <w:lang w:bidi="ar"/>
              </w:rPr>
              <w:t>龙湖污水处理厂排污口下游21000m（龙岱河汇入</w:t>
            </w:r>
            <w:r>
              <w:rPr>
                <w:rFonts w:cs="Times New Roman"/>
                <w:sz w:val="21"/>
                <w:szCs w:val="21"/>
              </w:rPr>
              <w:t>萧睢新河，陈路口处</w:t>
            </w:r>
            <w:r>
              <w:rPr>
                <w:rFonts w:cs="Times New Roman"/>
                <w:sz w:val="21"/>
                <w:szCs w:val="21"/>
                <w:lang w:bidi="ar"/>
              </w:rPr>
              <w:t>）</w:t>
            </w:r>
          </w:p>
        </w:tc>
        <w:tc>
          <w:tcPr>
            <w:tcW w:w="678" w:type="pct"/>
            <w:vMerge w:val="continue"/>
            <w:vAlign w:val="center"/>
          </w:tcPr>
          <w:p>
            <w:pPr>
              <w:spacing w:line="240" w:lineRule="auto"/>
              <w:ind w:firstLine="0" w:firstLineChars="0"/>
              <w:jc w:val="center"/>
              <w:rPr>
                <w:rFonts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pPr>
              <w:spacing w:line="240" w:lineRule="auto"/>
              <w:ind w:firstLine="0" w:firstLineChars="0"/>
              <w:jc w:val="center"/>
              <w:rPr>
                <w:rFonts w:cs="Times New Roman"/>
                <w:sz w:val="21"/>
                <w:szCs w:val="21"/>
              </w:rPr>
            </w:pPr>
            <w:r>
              <w:rPr>
                <w:rFonts w:cs="Times New Roman"/>
                <w:sz w:val="21"/>
                <w:szCs w:val="21"/>
              </w:rPr>
              <w:t>11#</w:t>
            </w:r>
          </w:p>
        </w:tc>
        <w:tc>
          <w:tcPr>
            <w:tcW w:w="737" w:type="pct"/>
            <w:vMerge w:val="continue"/>
            <w:vAlign w:val="center"/>
          </w:tcPr>
          <w:p>
            <w:pPr>
              <w:spacing w:line="240" w:lineRule="auto"/>
              <w:ind w:firstLine="0" w:firstLineChars="0"/>
              <w:jc w:val="center"/>
              <w:rPr>
                <w:rFonts w:cs="Times New Roman"/>
                <w:sz w:val="21"/>
                <w:szCs w:val="21"/>
              </w:rPr>
            </w:pPr>
          </w:p>
        </w:tc>
        <w:tc>
          <w:tcPr>
            <w:tcW w:w="2986" w:type="pct"/>
            <w:vAlign w:val="center"/>
          </w:tcPr>
          <w:p>
            <w:pPr>
              <w:spacing w:line="240" w:lineRule="auto"/>
              <w:ind w:firstLine="0" w:firstLineChars="0"/>
              <w:jc w:val="center"/>
              <w:rPr>
                <w:rFonts w:cs="Times New Roman"/>
                <w:sz w:val="21"/>
                <w:szCs w:val="21"/>
              </w:rPr>
            </w:pPr>
            <w:r>
              <w:rPr>
                <w:rFonts w:cs="Times New Roman"/>
                <w:sz w:val="21"/>
                <w:szCs w:val="21"/>
                <w:lang w:bidi="ar"/>
              </w:rPr>
              <w:t>龙湖污水处理厂排污口下游30000m</w:t>
            </w:r>
          </w:p>
        </w:tc>
        <w:tc>
          <w:tcPr>
            <w:tcW w:w="678" w:type="pct"/>
            <w:vMerge w:val="continue"/>
            <w:vAlign w:val="center"/>
          </w:tcPr>
          <w:p>
            <w:pPr>
              <w:spacing w:line="240" w:lineRule="auto"/>
              <w:ind w:firstLine="0" w:firstLineChars="0"/>
              <w:jc w:val="center"/>
              <w:rPr>
                <w:rFonts w:cs="Times New Roman"/>
                <w:sz w:val="21"/>
                <w:szCs w:val="21"/>
              </w:rPr>
            </w:pPr>
          </w:p>
        </w:tc>
      </w:tr>
    </w:tbl>
    <w:p>
      <w:pPr>
        <w:ind w:firstLine="480"/>
        <w:rPr>
          <w:rFonts w:cs="Times New Roman"/>
          <w:lang w:bidi="ar"/>
        </w:rPr>
        <w:sectPr>
          <w:footerReference r:id="rId3" w:type="default"/>
          <w:pgSz w:w="11907" w:h="16840"/>
          <w:pgMar w:top="1440" w:right="1440" w:bottom="1440" w:left="1440" w:header="851" w:footer="992" w:gutter="0"/>
          <w:pgNumType w:fmt="numberInDash"/>
          <w:cols w:space="720" w:num="1"/>
          <w:docGrid w:linePitch="326" w:charSpace="0"/>
        </w:sectPr>
      </w:pP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.3.1-2  上一轮规划环评地表水水质单因子评价结果一览表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580"/>
        <w:gridCol w:w="863"/>
        <w:gridCol w:w="1127"/>
        <w:gridCol w:w="1325"/>
        <w:gridCol w:w="1581"/>
        <w:gridCol w:w="1144"/>
        <w:gridCol w:w="1022"/>
        <w:gridCol w:w="1039"/>
        <w:gridCol w:w="1022"/>
        <w:gridCol w:w="1123"/>
        <w:gridCol w:w="10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noWrap/>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监测点位</w:t>
            </w:r>
          </w:p>
        </w:tc>
        <w:tc>
          <w:tcPr>
            <w:tcW w:w="559" w:type="pct"/>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采样时间</w:t>
            </w:r>
          </w:p>
        </w:tc>
        <w:tc>
          <w:tcPr>
            <w:tcW w:w="306"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pH</w:t>
            </w:r>
          </w:p>
        </w:tc>
        <w:tc>
          <w:tcPr>
            <w:tcW w:w="399"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溶解氧</w:t>
            </w:r>
          </w:p>
        </w:tc>
        <w:tc>
          <w:tcPr>
            <w:tcW w:w="469"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化学需氧量</w:t>
            </w:r>
          </w:p>
        </w:tc>
        <w:tc>
          <w:tcPr>
            <w:tcW w:w="559"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高锰酸盐指数</w:t>
            </w:r>
          </w:p>
        </w:tc>
        <w:tc>
          <w:tcPr>
            <w:tcW w:w="405"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BOD</w:t>
            </w:r>
            <w:r>
              <w:rPr>
                <w:rFonts w:cs="Times New Roman"/>
                <w:b/>
                <w:kern w:val="0"/>
                <w:sz w:val="21"/>
                <w:szCs w:val="21"/>
                <w:vertAlign w:val="subscript"/>
                <w:lang w:bidi="ar"/>
              </w:rPr>
              <w:t>5</w:t>
            </w:r>
          </w:p>
        </w:tc>
        <w:tc>
          <w:tcPr>
            <w:tcW w:w="362"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氨氮</w:t>
            </w:r>
          </w:p>
        </w:tc>
        <w:tc>
          <w:tcPr>
            <w:tcW w:w="368"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石油类</w:t>
            </w:r>
          </w:p>
        </w:tc>
        <w:tc>
          <w:tcPr>
            <w:tcW w:w="354"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挥发酚</w:t>
            </w:r>
          </w:p>
        </w:tc>
        <w:tc>
          <w:tcPr>
            <w:tcW w:w="389"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总磷</w:t>
            </w:r>
          </w:p>
        </w:tc>
        <w:tc>
          <w:tcPr>
            <w:tcW w:w="355" w:type="pct"/>
            <w:noWrap/>
            <w:vAlign w:val="center"/>
          </w:tcPr>
          <w:p>
            <w:pPr>
              <w:widowControl/>
              <w:spacing w:line="240" w:lineRule="auto"/>
              <w:ind w:firstLine="0" w:firstLineChars="0"/>
              <w:jc w:val="center"/>
              <w:rPr>
                <w:rFonts w:cs="Times New Roman"/>
                <w:b/>
                <w:kern w:val="0"/>
                <w:sz w:val="21"/>
                <w:szCs w:val="21"/>
                <w:lang w:bidi="ar"/>
              </w:rPr>
            </w:pPr>
            <w:r>
              <w:rPr>
                <w:rFonts w:cs="Times New Roman"/>
                <w:b/>
                <w:kern w:val="0"/>
                <w:sz w:val="21"/>
                <w:szCs w:val="21"/>
                <w:lang w:bidi="ar"/>
              </w:rPr>
              <w:t>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1#</w:t>
            </w: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8.04</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5.88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4.3</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3.74</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2.47</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0.0004</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0.69</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8.04</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5.88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19</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4.03</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2.45</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0.72</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5.88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3.89</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2.46</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0.71</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0.52</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0.41</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0.62</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0.65</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1.64</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0.04</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2.37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2#</w:t>
            </w: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7.95</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5.74</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3.44</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2.30</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0.0008</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0.61</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7.95</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5.84</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17</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4.3</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3.64</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2.27</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0.0008</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0.62</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5.79</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17.5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4.35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3.54</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2.29</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0.025</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0.0008</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0.62</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0.48</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0.42</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0.58</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0.59</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1.53</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0.05</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3#</w:t>
            </w: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7.90</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5.86</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19</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4.6</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4.07</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2.54</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0.71</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7.96</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5.86</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4.23</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2.49</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0.0007</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0.68</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5.86</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4.15</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2.52</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0.0007</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0.70</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0.38</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0.79</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1.87</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1.6</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0.70</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7.4</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0.37</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0.97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4#</w:t>
            </w: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7.70</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4.02</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57</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17</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4.15</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11.6</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0.25</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7.75</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4.02</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4.26</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10.5</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0.0038</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4.02</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56</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16</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4.21</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11.1</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0.0037</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0.26</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0.38</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0.79</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1.87</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1.6</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0.70</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7.4</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0.37</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0.97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spacing w:line="240" w:lineRule="auto"/>
              <w:ind w:firstLine="0" w:firstLineChars="0"/>
              <w:jc w:val="center"/>
              <w:rPr>
                <w:rFonts w:cs="Times New Roman"/>
                <w:sz w:val="21"/>
                <w:szCs w:val="21"/>
              </w:rPr>
            </w:pPr>
            <w:r>
              <w:rPr>
                <w:rFonts w:cs="Times New Roman"/>
                <w:sz w:val="21"/>
                <w:szCs w:val="21"/>
              </w:rPr>
              <w:t>5#</w:t>
            </w: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7.72</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3.89</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63</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16</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4.24</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12.5</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0.0038</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0.23</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7.75</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4.04</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64</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4.43</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12.6</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0.0034</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0.28</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3.96</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63.5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15.5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4.34</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12.6</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0.025</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0.26</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0.38</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0.80</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2.12</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1.6</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0.72</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8.4</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0.05</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0.87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spacing w:line="240" w:lineRule="auto"/>
              <w:ind w:firstLine="0" w:firstLineChars="0"/>
              <w:jc w:val="center"/>
              <w:rPr>
                <w:rFonts w:cs="Times New Roman"/>
                <w:sz w:val="21"/>
                <w:szCs w:val="21"/>
              </w:rPr>
            </w:pPr>
            <w:r>
              <w:rPr>
                <w:rFonts w:cs="Times New Roman"/>
                <w:sz w:val="21"/>
                <w:szCs w:val="21"/>
              </w:rPr>
              <w:t>6#</w:t>
            </w: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7.65</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3.95</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52</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12</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3.87</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10.8</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0.0039</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0.18</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7.68</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4.01</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57</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4.22</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11.7</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0.04</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0.0032</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0.15</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3.98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54.5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4.05</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11.3</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0.035</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0.34</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0.80</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1.82</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0.68</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7.53</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0.07</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spacing w:line="240" w:lineRule="auto"/>
              <w:ind w:firstLine="0" w:firstLineChars="0"/>
              <w:jc w:val="center"/>
              <w:rPr>
                <w:rFonts w:cs="Times New Roman"/>
                <w:sz w:val="21"/>
                <w:szCs w:val="21"/>
              </w:rPr>
            </w:pPr>
            <w:r>
              <w:rPr>
                <w:rFonts w:cs="Times New Roman"/>
                <w:sz w:val="21"/>
                <w:szCs w:val="21"/>
              </w:rPr>
              <w:t>7#</w:t>
            </w: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7.70</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5.08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33</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5.8</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2.54</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2.5</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0.0033</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0.21</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7.71</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5.03</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36</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6.2</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2.62</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2.4</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5.055</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34.5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6.0</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2.58</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2.45</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0.00345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0.24</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rPr>
            </w:pPr>
          </w:p>
          <w:p>
            <w:pPr>
              <w:spacing w:after="120" w:line="240" w:lineRule="auto"/>
              <w:ind w:firstLine="504"/>
              <w:rPr>
                <w:rFonts w:eastAsia="方正书宋简体" w:cs="Times New Roman"/>
                <w:w w:val="90"/>
                <w:sz w:val="28"/>
                <w:szCs w:val="28"/>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0.36</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0.43</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1.63</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0.8</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spacing w:line="240" w:lineRule="auto"/>
              <w:ind w:firstLine="0" w:firstLineChars="0"/>
              <w:jc w:val="center"/>
              <w:rPr>
                <w:rFonts w:cs="Times New Roman"/>
                <w:sz w:val="21"/>
                <w:szCs w:val="21"/>
              </w:rPr>
            </w:pPr>
            <w:r>
              <w:rPr>
                <w:rFonts w:cs="Times New Roman"/>
                <w:sz w:val="21"/>
                <w:szCs w:val="21"/>
              </w:rPr>
              <w:t>8#</w:t>
            </w: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7.70</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23</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5.2</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2.14</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2.2</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0.0033</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0.32</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7.71</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4.03</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26</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4.8</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2.16</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2.3</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1022" w:type="dxa"/>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0.0033</w:t>
            </w:r>
          </w:p>
        </w:tc>
        <w:tc>
          <w:tcPr>
            <w:tcW w:w="1123" w:type="dxa"/>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0.24</w:t>
            </w:r>
          </w:p>
        </w:tc>
        <w:tc>
          <w:tcPr>
            <w:tcW w:w="1026" w:type="dxa"/>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4.05</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24.5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5.0</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2.15</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2.25</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0.0033</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0.28</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0.36</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0.78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0.82</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0.36</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1.5</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0.93</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spacing w:line="240" w:lineRule="auto"/>
              <w:ind w:firstLine="0" w:firstLineChars="0"/>
              <w:jc w:val="center"/>
              <w:rPr>
                <w:rFonts w:cs="Times New Roman"/>
                <w:sz w:val="21"/>
                <w:szCs w:val="21"/>
              </w:rPr>
            </w:pPr>
            <w:r>
              <w:rPr>
                <w:rFonts w:cs="Times New Roman"/>
                <w:sz w:val="21"/>
                <w:szCs w:val="21"/>
              </w:rPr>
              <w:t>9#</w:t>
            </w: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7.81</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4.96</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3.6</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3.0</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2.1</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0.04</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0.003L</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0.178</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7.84</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4.23</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3.2</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3.2</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2.08</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0.003L</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0.15</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4.60</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14</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3.1</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2.09</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0.035</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0.003L</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0.16</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rPr>
            </w:pPr>
          </w:p>
          <w:p>
            <w:pPr>
              <w:spacing w:after="120" w:line="240" w:lineRule="auto"/>
              <w:ind w:firstLine="504"/>
              <w:rPr>
                <w:rFonts w:eastAsia="方正书宋简体" w:cs="Times New Roman"/>
                <w:w w:val="90"/>
                <w:sz w:val="28"/>
                <w:szCs w:val="28"/>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0.42</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0.67</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0.47</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0.34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0.52</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1.39</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0.07</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0.53</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69" w:type="pct"/>
            <w:vMerge w:val="restart"/>
            <w:noWrap/>
            <w:vAlign w:val="center"/>
          </w:tcPr>
          <w:p>
            <w:pPr>
              <w:spacing w:line="240" w:lineRule="auto"/>
              <w:ind w:firstLine="0" w:firstLineChars="0"/>
              <w:jc w:val="center"/>
              <w:rPr>
                <w:rFonts w:cs="Times New Roman"/>
                <w:sz w:val="21"/>
                <w:szCs w:val="21"/>
              </w:rPr>
            </w:pPr>
            <w:r>
              <w:rPr>
                <w:rFonts w:cs="Times New Roman"/>
                <w:sz w:val="21"/>
                <w:szCs w:val="21"/>
              </w:rPr>
              <w:t>10#</w:t>
            </w: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7.86</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8.1</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14</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3.6</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2.1</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0.02L</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0.13</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7.82</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7.8</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4.2</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3.7</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0.02L</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0.0004</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0.12</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4.3</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3.65</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2.05</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0.02L</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0.13</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0.41</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0.03</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0.43</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0.61</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1.37</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0.04</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0.43</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noWrap/>
            <w:vAlign w:val="center"/>
          </w:tcPr>
          <w:p>
            <w:pPr>
              <w:spacing w:line="240" w:lineRule="auto"/>
              <w:ind w:firstLine="0" w:firstLineChars="0"/>
              <w:jc w:val="center"/>
              <w:rPr>
                <w:rFonts w:cs="Times New Roman"/>
                <w:sz w:val="21"/>
                <w:szCs w:val="21"/>
              </w:rPr>
            </w:pPr>
            <w:r>
              <w:rPr>
                <w:rFonts w:cs="Times New Roman"/>
                <w:sz w:val="21"/>
                <w:szCs w:val="21"/>
              </w:rPr>
              <w:t>11#</w:t>
            </w: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8.7</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7.98</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8.2</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3.9</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3.3</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1.36</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0.02L</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sz w:val="21"/>
                <w:szCs w:val="21"/>
                <w:lang w:bidi="ar"/>
              </w:rPr>
              <w:t>8.8</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7.92</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8.4</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14</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4.1</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3.6</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1.32</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0.02L</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0.0005</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平均值</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8.3</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4.0</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3.5</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1.34</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0.02L</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0.0006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continue"/>
            <w:noWrap/>
            <w:vAlign w:val="center"/>
          </w:tcPr>
          <w:p>
            <w:pPr>
              <w:spacing w:line="240" w:lineRule="auto"/>
              <w:ind w:firstLine="0" w:firstLineChars="0"/>
              <w:jc w:val="center"/>
              <w:rPr>
                <w:rFonts w:cs="Times New Roman"/>
                <w:sz w:val="21"/>
                <w:szCs w:val="21"/>
              </w:rPr>
            </w:pPr>
          </w:p>
        </w:tc>
        <w:tc>
          <w:tcPr>
            <w:tcW w:w="559"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单因子指数</w:t>
            </w:r>
          </w:p>
        </w:tc>
        <w:tc>
          <w:tcPr>
            <w:tcW w:w="306"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0.46</w:t>
            </w:r>
          </w:p>
        </w:tc>
        <w:tc>
          <w:tcPr>
            <w:tcW w:w="39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w:t>
            </w:r>
          </w:p>
        </w:tc>
        <w:tc>
          <w:tcPr>
            <w:tcW w:w="46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0.45</w:t>
            </w:r>
          </w:p>
        </w:tc>
        <w:tc>
          <w:tcPr>
            <w:tcW w:w="55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w:t>
            </w:r>
          </w:p>
        </w:tc>
        <w:tc>
          <w:tcPr>
            <w:tcW w:w="40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0.58</w:t>
            </w:r>
          </w:p>
        </w:tc>
        <w:tc>
          <w:tcPr>
            <w:tcW w:w="362"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0.89</w:t>
            </w:r>
          </w:p>
        </w:tc>
        <w:tc>
          <w:tcPr>
            <w:tcW w:w="368"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0.04</w:t>
            </w:r>
          </w:p>
        </w:tc>
        <w:tc>
          <w:tcPr>
            <w:tcW w:w="354"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w:t>
            </w:r>
          </w:p>
        </w:tc>
        <w:tc>
          <w:tcPr>
            <w:tcW w:w="389"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0.27</w:t>
            </w:r>
          </w:p>
        </w:tc>
        <w:tc>
          <w:tcPr>
            <w:tcW w:w="355" w:type="pct"/>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0.19</w:t>
            </w:r>
          </w:p>
        </w:tc>
      </w:tr>
    </w:tbl>
    <w:p>
      <w:pPr>
        <w:ind w:firstLine="480"/>
        <w:rPr>
          <w:rFonts w:cs="Times New Roman"/>
          <w:lang w:bidi="ar"/>
        </w:rPr>
        <w:sectPr>
          <w:pgSz w:w="16840" w:h="11907" w:orient="landscape"/>
          <w:pgMar w:top="1440" w:right="1440" w:bottom="1440" w:left="1440" w:header="851" w:footer="992" w:gutter="0"/>
          <w:pgNumType w:fmt="numberInDash"/>
          <w:cols w:space="720" w:num="1"/>
          <w:docGrid w:linePitch="326" w:charSpace="0"/>
        </w:sectPr>
      </w:pPr>
    </w:p>
    <w:p>
      <w:pPr>
        <w:ind w:firstLine="480"/>
        <w:rPr>
          <w:rFonts w:cs="Times New Roman"/>
        </w:rPr>
      </w:pPr>
      <w:r>
        <w:rPr>
          <w:rFonts w:cs="Times New Roman"/>
          <w:lang w:bidi="ar"/>
        </w:rPr>
        <w:t>上一轮规划环评中地表水情况评价结论如下：</w:t>
      </w:r>
    </w:p>
    <w:p>
      <w:pPr>
        <w:ind w:firstLine="480"/>
        <w:rPr>
          <w:rFonts w:cs="Times New Roman"/>
          <w:lang w:bidi="ar"/>
        </w:rPr>
      </w:pPr>
      <w:r>
        <w:rPr>
          <w:rFonts w:cs="Times New Roman"/>
          <w:lang w:bidi="ar"/>
        </w:rPr>
        <w:t>区域内地表水环境质量较差，其中岱河3个监测断面中氨氮、总磷均超标；龙河3个断面中COD、高锰酸盐指数、氨氮均超标，氨氮最高超标倍数达8.4倍；龙岱河2个断面氨氮均超标，1个断面COD超标；萧睢新河2个断面氨氮超标。区域内地表水水质达不到《地表水环境质量标准》(GB3838-2002)中</w:t>
      </w:r>
      <w:r>
        <w:rPr>
          <w:rFonts w:hint="eastAsia" w:ascii="宋体" w:hAnsi="宋体" w:cs="宋体"/>
          <w:lang w:bidi="ar"/>
        </w:rPr>
        <w:t>Ⅳ</w:t>
      </w:r>
      <w:r>
        <w:rPr>
          <w:rFonts w:cs="Times New Roman"/>
          <w:lang w:bidi="ar"/>
        </w:rPr>
        <w:t>类水水质标准。</w:t>
      </w:r>
    </w:p>
    <w:p>
      <w:pPr>
        <w:widowControl/>
        <w:ind w:firstLine="0" w:firstLineChars="0"/>
        <w:jc w:val="left"/>
        <w:outlineLvl w:val="3"/>
        <w:rPr>
          <w:rFonts w:eastAsia="黑体" w:cs="Times New Roman"/>
          <w:lang w:bidi="ar"/>
        </w:rPr>
      </w:pPr>
      <w:r>
        <w:rPr>
          <w:rFonts w:hint="eastAsia" w:eastAsia="黑体" w:cs="Times New Roman"/>
          <w:lang w:val="en-US" w:eastAsia="zh-CN" w:bidi="ar"/>
        </w:rPr>
        <w:t>3</w:t>
      </w:r>
      <w:r>
        <w:rPr>
          <w:rFonts w:eastAsia="黑体" w:cs="Times New Roman"/>
          <w:lang w:bidi="ar"/>
        </w:rPr>
        <w:t>.3.1.2历年数据变化趋势</w:t>
      </w:r>
    </w:p>
    <w:p>
      <w:pPr>
        <w:ind w:firstLine="480"/>
        <w:rPr>
          <w:rFonts w:cs="Times New Roman"/>
        </w:rPr>
      </w:pPr>
      <w:r>
        <w:rPr>
          <w:rFonts w:cs="Times New Roman"/>
          <w:lang w:bidi="ar"/>
        </w:rPr>
        <w:t>为了更好的反应区域内地表水环境质量的变化趋势，本次引用龙河人民路龙河桥断面水质监测数据，数据来源于杜集区环境监测站。</w:t>
      </w:r>
      <w:r>
        <w:rPr>
          <w:rFonts w:hint="eastAsia" w:cs="Times New Roman"/>
          <w:lang w:bidi="ar"/>
        </w:rPr>
        <w:t>龙河</w:t>
      </w:r>
      <w:r>
        <w:rPr>
          <w:rFonts w:cs="Times New Roman"/>
          <w:lang w:bidi="ar"/>
        </w:rPr>
        <w:t>断面水质2017至2020年监测数据</w:t>
      </w:r>
      <w:r>
        <w:rPr>
          <w:rFonts w:hint="eastAsia" w:cs="Times New Roman"/>
          <w:lang w:bidi="ar"/>
        </w:rPr>
        <w:t>（2017年</w:t>
      </w:r>
      <w:r>
        <w:rPr>
          <w:rFonts w:cs="Times New Roman"/>
          <w:lang w:bidi="ar"/>
        </w:rPr>
        <w:t>至</w:t>
      </w:r>
      <w:r>
        <w:rPr>
          <w:rFonts w:hint="eastAsia" w:cs="Times New Roman"/>
          <w:lang w:bidi="ar"/>
        </w:rPr>
        <w:t>2018年</w:t>
      </w:r>
      <w:r>
        <w:rPr>
          <w:rFonts w:cs="Times New Roman"/>
          <w:lang w:bidi="ar"/>
        </w:rPr>
        <w:t>数据</w:t>
      </w:r>
      <w:r>
        <w:rPr>
          <w:rFonts w:hint="eastAsia" w:cs="Times New Roman"/>
          <w:lang w:bidi="ar"/>
        </w:rPr>
        <w:t>为</w:t>
      </w:r>
      <w:r>
        <w:rPr>
          <w:rFonts w:cs="Times New Roman"/>
          <w:lang w:bidi="ar"/>
        </w:rPr>
        <w:t>人民路龙河桥断面，</w:t>
      </w:r>
      <w:r>
        <w:rPr>
          <w:rFonts w:hint="eastAsia" w:cs="Times New Roman"/>
          <w:lang w:bidi="ar"/>
        </w:rPr>
        <w:t>2019年</w:t>
      </w:r>
      <w:r>
        <w:rPr>
          <w:rFonts w:cs="Times New Roman"/>
          <w:lang w:bidi="ar"/>
        </w:rPr>
        <w:t>至</w:t>
      </w:r>
      <w:r>
        <w:rPr>
          <w:rFonts w:hint="eastAsia" w:cs="Times New Roman"/>
          <w:lang w:bidi="ar"/>
        </w:rPr>
        <w:t>2020年</w:t>
      </w:r>
      <w:r>
        <w:rPr>
          <w:rFonts w:cs="Times New Roman"/>
          <w:lang w:bidi="ar"/>
        </w:rPr>
        <w:t>数据</w:t>
      </w:r>
      <w:r>
        <w:rPr>
          <w:rFonts w:hint="eastAsia" w:cs="Times New Roman"/>
          <w:lang w:bidi="ar"/>
        </w:rPr>
        <w:t>为龙河</w:t>
      </w:r>
      <w:r>
        <w:rPr>
          <w:rFonts w:cs="Times New Roman"/>
          <w:lang w:bidi="ar"/>
        </w:rPr>
        <w:t>龙湖涵闸下</w:t>
      </w:r>
      <w:r>
        <w:rPr>
          <w:rFonts w:hint="eastAsia" w:cs="Times New Roman"/>
          <w:lang w:bidi="ar"/>
        </w:rPr>
        <w:t>）</w:t>
      </w:r>
      <w:r>
        <w:rPr>
          <w:rFonts w:cs="Times New Roman"/>
          <w:lang w:bidi="ar"/>
        </w:rPr>
        <w:t>以及变化趋势见表</w:t>
      </w:r>
      <w:r>
        <w:rPr>
          <w:rFonts w:hint="eastAsia" w:cs="Times New Roman"/>
          <w:lang w:val="en-US" w:eastAsia="zh-CN" w:bidi="ar"/>
        </w:rPr>
        <w:t>3</w:t>
      </w:r>
      <w:r>
        <w:rPr>
          <w:rFonts w:cs="Times New Roman"/>
          <w:lang w:bidi="ar"/>
        </w:rPr>
        <w:t>.3.1-3和图</w:t>
      </w:r>
      <w:r>
        <w:rPr>
          <w:rFonts w:hint="eastAsia" w:cs="Times New Roman"/>
          <w:lang w:val="en-US" w:eastAsia="zh-CN" w:bidi="ar"/>
        </w:rPr>
        <w:t>3</w:t>
      </w:r>
      <w:r>
        <w:rPr>
          <w:rFonts w:cs="Times New Roman"/>
          <w:lang w:bidi="ar"/>
        </w:rPr>
        <w:t>.3.1-1~3，由表</w:t>
      </w:r>
      <w:r>
        <w:rPr>
          <w:rFonts w:hint="eastAsia" w:cs="Times New Roman"/>
          <w:lang w:val="en-US" w:eastAsia="zh-CN" w:bidi="ar"/>
        </w:rPr>
        <w:t>3</w:t>
      </w:r>
      <w:r>
        <w:rPr>
          <w:rFonts w:cs="Times New Roman"/>
          <w:lang w:bidi="ar"/>
        </w:rPr>
        <w:t>.3.1-3和图</w:t>
      </w:r>
      <w:r>
        <w:rPr>
          <w:rFonts w:hint="eastAsia" w:cs="Times New Roman"/>
          <w:lang w:val="en-US" w:eastAsia="zh-CN" w:bidi="ar"/>
        </w:rPr>
        <w:t>3</w:t>
      </w:r>
      <w:r>
        <w:rPr>
          <w:rFonts w:cs="Times New Roman"/>
          <w:lang w:bidi="ar"/>
        </w:rPr>
        <w:t>.3.1-1~3可知，</w:t>
      </w:r>
      <w:r>
        <w:rPr>
          <w:rFonts w:hint="eastAsia" w:cs="Times New Roman"/>
          <w:lang w:bidi="ar"/>
        </w:rPr>
        <w:t>龙河断面</w:t>
      </w:r>
      <w:r>
        <w:rPr>
          <w:rFonts w:cs="Times New Roman"/>
          <w:lang w:bidi="ar"/>
        </w:rPr>
        <w:t>pH一直趋于稳定</w:t>
      </w:r>
      <w:r>
        <w:rPr>
          <w:rFonts w:hint="eastAsia" w:cs="Times New Roman"/>
          <w:lang w:bidi="ar"/>
        </w:rPr>
        <w:t>；</w:t>
      </w:r>
      <w:r>
        <w:rPr>
          <w:rFonts w:cs="Times New Roman"/>
          <w:lang w:bidi="ar"/>
        </w:rPr>
        <w:t>氨氮</w:t>
      </w:r>
      <w:r>
        <w:rPr>
          <w:rFonts w:hint="eastAsia" w:cs="Times New Roman"/>
          <w:lang w:bidi="ar"/>
        </w:rPr>
        <w:t>随时间波动</w:t>
      </w:r>
      <w:r>
        <w:rPr>
          <w:rFonts w:cs="Times New Roman"/>
          <w:lang w:bidi="ar"/>
        </w:rPr>
        <w:t>较大，整体呈下降趋势；溶解氧浓度随时间上下起伏波动较大，</w:t>
      </w:r>
      <w:r>
        <w:rPr>
          <w:rFonts w:hint="eastAsia" w:cs="Times New Roman"/>
          <w:lang w:bidi="ar"/>
        </w:rPr>
        <w:t>整体</w:t>
      </w:r>
      <w:r>
        <w:rPr>
          <w:rFonts w:cs="Times New Roman"/>
          <w:lang w:bidi="ar"/>
        </w:rPr>
        <w:t>呈上升趋势；</w:t>
      </w:r>
      <w:r>
        <w:rPr>
          <w:rFonts w:hint="eastAsia" w:cs="Times New Roman"/>
          <w:lang w:bidi="ar"/>
        </w:rPr>
        <w:t>COD、</w:t>
      </w:r>
      <w:r>
        <w:rPr>
          <w:rFonts w:cs="Times New Roman"/>
          <w:lang w:bidi="ar"/>
        </w:rPr>
        <w:t>BOD</w:t>
      </w:r>
      <w:r>
        <w:rPr>
          <w:rFonts w:cs="Times New Roman"/>
          <w:vertAlign w:val="subscript"/>
          <w:lang w:bidi="ar"/>
        </w:rPr>
        <w:t>5</w:t>
      </w:r>
      <w:r>
        <w:rPr>
          <w:rFonts w:hint="eastAsia" w:cs="Times New Roman"/>
          <w:lang w:bidi="ar"/>
        </w:rPr>
        <w:t>整体下降</w:t>
      </w:r>
      <w:r>
        <w:rPr>
          <w:rFonts w:cs="Times New Roman"/>
          <w:lang w:bidi="ar"/>
        </w:rPr>
        <w:t>趋势，目前已可以稳定满足</w:t>
      </w:r>
      <w:r>
        <w:rPr>
          <w:rFonts w:cs="Times New Roman"/>
        </w:rPr>
        <w:t>《地表水环境质量标准》（GB3838－2002）中的</w:t>
      </w:r>
      <w:r>
        <w:rPr>
          <w:rFonts w:cs="Times New Roman"/>
        </w:rPr>
        <w:fldChar w:fldCharType="begin"/>
      </w:r>
      <w:r>
        <w:rPr>
          <w:rFonts w:cs="Times New Roman"/>
        </w:rPr>
        <w:instrText xml:space="preserve"> = 4 \* ROMAN </w:instrText>
      </w:r>
      <w:r>
        <w:rPr>
          <w:rFonts w:cs="Times New Roman"/>
        </w:rPr>
        <w:fldChar w:fldCharType="separate"/>
      </w:r>
      <w:r>
        <w:rPr>
          <w:rFonts w:cs="Times New Roman"/>
        </w:rPr>
        <w:t>IV</w:t>
      </w:r>
      <w:r>
        <w:rPr>
          <w:rFonts w:cs="Times New Roman"/>
        </w:rPr>
        <w:fldChar w:fldCharType="end"/>
      </w:r>
      <w:r>
        <w:rPr>
          <w:rFonts w:cs="Times New Roman"/>
        </w:rPr>
        <w:t>类标准</w:t>
      </w:r>
      <w:r>
        <w:rPr>
          <w:rFonts w:hint="eastAsia" w:cs="Times New Roman"/>
        </w:rPr>
        <w:t>要求</w:t>
      </w:r>
      <w:r>
        <w:rPr>
          <w:rFonts w:cs="Times New Roman"/>
          <w:lang w:bidi="ar"/>
        </w:rPr>
        <w:t>。</w:t>
      </w:r>
    </w:p>
    <w:p>
      <w:pPr>
        <w:spacing w:line="500" w:lineRule="exact"/>
        <w:ind w:firstLine="0" w:firstLineChars="0"/>
        <w:jc w:val="center"/>
        <w:rPr>
          <w:rFonts w:cs="Times New Roman"/>
          <w:kern w:val="0"/>
          <w:szCs w:val="24"/>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.3.1-3  龙河断面历年水质监测数据</w:t>
      </w:r>
      <w:r>
        <w:rPr>
          <w:rFonts w:cs="Times New Roman"/>
          <w:lang w:bidi="ar"/>
        </w:rPr>
        <w:t xml:space="preserve"> </w:t>
      </w:r>
      <w:r>
        <w:rPr>
          <w:rFonts w:eastAsia="黑体" w:cs="Times New Roman"/>
          <w:lang w:bidi="ar"/>
        </w:rPr>
        <w:t xml:space="preserve">  单位：mg/L，pH无量纲</w:t>
      </w:r>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140"/>
        <w:gridCol w:w="1201"/>
        <w:gridCol w:w="1241"/>
        <w:gridCol w:w="1159"/>
        <w:gridCol w:w="1258"/>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pct"/>
            <w:gridSpan w:val="2"/>
            <w:tcBorders>
              <w:top w:val="single" w:color="auto" w:sz="12" w:space="0"/>
              <w:left w:val="nil"/>
              <w:bottom w:val="single" w:color="auto" w:sz="4" w:space="0"/>
              <w:right w:val="single" w:color="auto" w:sz="4" w:space="0"/>
              <w:tl2br w:val="single" w:color="auto" w:sz="4" w:space="0"/>
            </w:tcBorders>
            <w:noWrap/>
            <w:vAlign w:val="center"/>
          </w:tcPr>
          <w:p>
            <w:pPr>
              <w:widowControl/>
              <w:spacing w:line="240" w:lineRule="auto"/>
              <w:ind w:firstLine="0" w:firstLineChars="0"/>
              <w:jc w:val="center"/>
              <w:rPr>
                <w:rFonts w:cs="Times New Roman"/>
                <w:b/>
                <w:kern w:val="0"/>
                <w:sz w:val="21"/>
                <w:szCs w:val="21"/>
              </w:rPr>
            </w:pPr>
            <w:r>
              <w:rPr>
                <w:rFonts w:cs="Times New Roman"/>
                <w:b/>
                <w:sz w:val="21"/>
                <w:szCs w:val="21"/>
                <w:lang w:bidi="ar"/>
              </w:rPr>
              <w:t xml:space="preserve">             污染因子</w:t>
            </w:r>
          </w:p>
          <w:p>
            <w:pPr>
              <w:widowControl/>
              <w:spacing w:line="240" w:lineRule="auto"/>
              <w:ind w:firstLine="0" w:firstLineChars="0"/>
              <w:rPr>
                <w:rFonts w:cs="Times New Roman"/>
                <w:b/>
                <w:sz w:val="21"/>
                <w:szCs w:val="21"/>
                <w:lang w:bidi="ar"/>
              </w:rPr>
            </w:pPr>
            <w:r>
              <w:rPr>
                <w:rFonts w:cs="Times New Roman"/>
                <w:b/>
                <w:sz w:val="21"/>
                <w:szCs w:val="21"/>
                <w:lang w:bidi="ar"/>
              </w:rPr>
              <w:t>时间</w:t>
            </w:r>
          </w:p>
        </w:tc>
        <w:tc>
          <w:tcPr>
            <w:tcW w:w="706" w:type="pct"/>
            <w:tcBorders>
              <w:top w:val="single" w:color="auto" w:sz="12"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b/>
                <w:kern w:val="0"/>
                <w:sz w:val="21"/>
                <w:szCs w:val="21"/>
              </w:rPr>
            </w:pPr>
            <w:r>
              <w:rPr>
                <w:rFonts w:cs="Times New Roman"/>
                <w:b/>
                <w:sz w:val="21"/>
                <w:szCs w:val="21"/>
                <w:lang w:bidi="ar"/>
              </w:rPr>
              <w:t>pH</w:t>
            </w:r>
          </w:p>
        </w:tc>
        <w:tc>
          <w:tcPr>
            <w:tcW w:w="729"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kern w:val="0"/>
                <w:sz w:val="21"/>
                <w:szCs w:val="21"/>
              </w:rPr>
            </w:pPr>
            <w:r>
              <w:rPr>
                <w:rFonts w:cs="Times New Roman"/>
                <w:b/>
                <w:sz w:val="21"/>
                <w:szCs w:val="21"/>
                <w:lang w:bidi="ar"/>
              </w:rPr>
              <w:t>溶解氧</w:t>
            </w:r>
          </w:p>
        </w:tc>
        <w:tc>
          <w:tcPr>
            <w:tcW w:w="681"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kern w:val="0"/>
                <w:sz w:val="21"/>
                <w:szCs w:val="21"/>
              </w:rPr>
            </w:pPr>
            <w:r>
              <w:rPr>
                <w:rFonts w:cs="Times New Roman"/>
                <w:b/>
                <w:sz w:val="21"/>
                <w:szCs w:val="21"/>
                <w:lang w:bidi="ar"/>
              </w:rPr>
              <w:t>COD</w:t>
            </w:r>
            <w:r>
              <w:rPr>
                <w:rFonts w:cs="Times New Roman"/>
                <w:b/>
                <w:sz w:val="21"/>
                <w:szCs w:val="21"/>
                <w:vertAlign w:val="subscript"/>
                <w:lang w:bidi="ar"/>
              </w:rPr>
              <w:t>Cr</w:t>
            </w:r>
          </w:p>
        </w:tc>
        <w:tc>
          <w:tcPr>
            <w:tcW w:w="739" w:type="pct"/>
            <w:tcBorders>
              <w:top w:val="single" w:color="auto" w:sz="12"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b/>
                <w:kern w:val="0"/>
                <w:sz w:val="21"/>
                <w:szCs w:val="21"/>
              </w:rPr>
            </w:pPr>
            <w:r>
              <w:rPr>
                <w:rFonts w:cs="Times New Roman"/>
                <w:b/>
                <w:sz w:val="21"/>
                <w:szCs w:val="21"/>
                <w:lang w:bidi="ar"/>
              </w:rPr>
              <w:t>BOD</w:t>
            </w:r>
            <w:r>
              <w:rPr>
                <w:rFonts w:cs="Times New Roman"/>
                <w:b/>
                <w:sz w:val="21"/>
                <w:szCs w:val="21"/>
                <w:vertAlign w:val="subscript"/>
                <w:lang w:bidi="ar"/>
              </w:rPr>
              <w:t>5</w:t>
            </w:r>
          </w:p>
        </w:tc>
        <w:tc>
          <w:tcPr>
            <w:tcW w:w="651" w:type="pct"/>
            <w:tcBorders>
              <w:top w:val="single" w:color="auto" w:sz="12"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b/>
                <w:kern w:val="0"/>
                <w:sz w:val="21"/>
                <w:szCs w:val="21"/>
              </w:rPr>
            </w:pPr>
            <w:r>
              <w:rPr>
                <w:rFonts w:cs="Times New Roman"/>
                <w:b/>
                <w:sz w:val="21"/>
                <w:szCs w:val="21"/>
                <w:lang w:bidi="ar"/>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restart"/>
            <w:tcBorders>
              <w:top w:val="single" w:color="auto" w:sz="4" w:space="0"/>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2017</w:t>
            </w: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7.90</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7.17</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16.1</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4.9</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rPr>
            </w:pPr>
            <w:r>
              <w:rPr>
                <w:rFonts w:cs="Times New Roman"/>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8.02</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6.76</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16.6</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4.9</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9.01</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24.0</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7.68</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7.67</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14.9</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6.2</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8.15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3.30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26.0</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4.3</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7.84</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4.50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38.5</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7.99</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4.94</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74.3</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16.4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7.65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2.24</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30.3</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4.7</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8.00</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4.35</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10.8</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7.87</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4.56</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20.4</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8.02</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5.59</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21.3</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6.8</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12月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8.12</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10.89</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23.4</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6.3</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restart"/>
            <w:tcBorders>
              <w:top w:val="single" w:color="auto" w:sz="4" w:space="0"/>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2018</w:t>
            </w: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8.06</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10.77</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20.7</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6.5</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7.96</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12.30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25.8</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5.9</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8.25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7.56</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24.6</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6.3</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8.18</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3.38</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rPr>
            </w:pPr>
            <w:r>
              <w:rPr>
                <w:rFonts w:hint="eastAsia" w:cs="Times New Roman"/>
                <w:color w:val="FF0000"/>
                <w:kern w:val="0"/>
                <w:sz w:val="21"/>
                <w:szCs w:val="21"/>
              </w:rPr>
              <w:t>38.7</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6.7</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8.40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18.3</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8.0</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7.91</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11.00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17.7</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6.5</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7.61</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8.60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23.1</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4.8</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8.51</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11.00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23.6</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4.9</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7.99</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2.99</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23.9</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7.88</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10.06</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17.5</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4.3</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restart"/>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2019</w:t>
            </w: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w:t>
            </w:r>
            <w:r>
              <w:rPr>
                <w:rFonts w:cs="Times New Roman"/>
                <w:kern w:val="0"/>
                <w:sz w:val="21"/>
                <w:szCs w:val="21"/>
              </w:rPr>
              <w:t>.11</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8.3</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26</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1.86</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8.18</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7.61</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24</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2.74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8.31</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21</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3.5</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8.13</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8.64</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21</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3.1</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5月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8.12</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8.25</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25</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3.3</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8.08</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8.20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23</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3.5</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7月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8.40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27</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4.3</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8月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8.30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25</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3.2</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8.08</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8.20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26</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3.5</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8.75</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22</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11月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8.13</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8.93</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19</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4.0</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12月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8.05</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9.20</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22</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4.0</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restart"/>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2020</w:t>
            </w: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8.02</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8.52</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22</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4.3</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8.18</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7.61</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24</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2.74</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8.02</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9.86</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22</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4.3</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4" w:type="pct"/>
            <w:vMerge w:val="continue"/>
            <w:tcBorders>
              <w:left w:val="nil"/>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p>
        </w:tc>
        <w:tc>
          <w:tcPr>
            <w:tcW w:w="670"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4月</w:t>
            </w:r>
          </w:p>
        </w:tc>
        <w:tc>
          <w:tcPr>
            <w:tcW w:w="706"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8.20</w:t>
            </w:r>
          </w:p>
        </w:tc>
        <w:tc>
          <w:tcPr>
            <w:tcW w:w="72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8.99</w:t>
            </w:r>
          </w:p>
        </w:tc>
        <w:tc>
          <w:tcPr>
            <w:tcW w:w="68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25</w:t>
            </w:r>
          </w:p>
        </w:tc>
        <w:tc>
          <w:tcPr>
            <w:tcW w:w="739" w:type="pct"/>
            <w:tcBorders>
              <w:top w:val="single" w:color="auto" w:sz="4" w:space="0"/>
              <w:left w:val="single" w:color="auto" w:sz="4" w:space="0"/>
              <w:bottom w:val="single" w:color="auto" w:sz="4"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4.5</w:t>
            </w:r>
          </w:p>
        </w:tc>
        <w:tc>
          <w:tcPr>
            <w:tcW w:w="651" w:type="pct"/>
            <w:tcBorders>
              <w:top w:val="single" w:color="auto" w:sz="4" w:space="0"/>
              <w:left w:val="single" w:color="auto" w:sz="4" w:space="0"/>
              <w:bottom w:val="single" w:color="auto" w:sz="4" w:space="0"/>
              <w:right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pct"/>
            <w:gridSpan w:val="2"/>
            <w:tcBorders>
              <w:top w:val="single" w:color="auto" w:sz="4" w:space="0"/>
              <w:left w:val="nil"/>
              <w:bottom w:val="single" w:color="auto" w:sz="12" w:space="0"/>
              <w:right w:val="single" w:color="auto" w:sz="4" w:space="0"/>
            </w:tcBorders>
            <w:noWrap/>
            <w:vAlign w:val="center"/>
          </w:tcPr>
          <w:p>
            <w:pPr>
              <w:widowControl/>
              <w:spacing w:line="240" w:lineRule="auto"/>
              <w:ind w:firstLine="0" w:firstLineChars="0"/>
              <w:jc w:val="center"/>
              <w:rPr>
                <w:rFonts w:cs="Times New Roman"/>
                <w:sz w:val="21"/>
                <w:szCs w:val="21"/>
                <w:lang w:bidi="ar"/>
              </w:rPr>
            </w:pPr>
            <w:r>
              <w:rPr>
                <w:rFonts w:cs="Times New Roman"/>
                <w:sz w:val="21"/>
                <w:szCs w:val="21"/>
                <w:lang w:bidi="ar"/>
              </w:rPr>
              <w:t>标准值</w:t>
            </w:r>
          </w:p>
        </w:tc>
        <w:tc>
          <w:tcPr>
            <w:tcW w:w="706" w:type="pct"/>
            <w:tcBorders>
              <w:top w:val="single" w:color="auto" w:sz="4" w:space="0"/>
              <w:left w:val="single" w:color="auto" w:sz="4" w:space="0"/>
              <w:bottom w:val="single" w:color="auto" w:sz="12"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6~9</w:t>
            </w:r>
          </w:p>
        </w:tc>
        <w:tc>
          <w:tcPr>
            <w:tcW w:w="729"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sz w:val="21"/>
              </w:rPr>
              <w:t>≥3</w:t>
            </w:r>
          </w:p>
        </w:tc>
        <w:tc>
          <w:tcPr>
            <w:tcW w:w="681"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kern w:val="0"/>
                <w:sz w:val="21"/>
                <w:szCs w:val="21"/>
              </w:rPr>
            </w:pPr>
            <w:r>
              <w:rPr>
                <w:rFonts w:cs="Times New Roman"/>
                <w:sz w:val="21"/>
              </w:rPr>
              <w:t>≤30</w:t>
            </w:r>
          </w:p>
        </w:tc>
        <w:tc>
          <w:tcPr>
            <w:tcW w:w="739" w:type="pct"/>
            <w:tcBorders>
              <w:top w:val="single" w:color="auto" w:sz="4" w:space="0"/>
              <w:left w:val="single" w:color="auto" w:sz="4" w:space="0"/>
              <w:bottom w:val="single" w:color="auto" w:sz="12" w:space="0"/>
              <w:right w:val="single" w:color="auto" w:sz="4" w:space="0"/>
            </w:tcBorders>
            <w:noWrap/>
            <w:vAlign w:val="center"/>
          </w:tcPr>
          <w:p>
            <w:pPr>
              <w:widowControl/>
              <w:spacing w:line="240" w:lineRule="auto"/>
              <w:ind w:firstLine="0" w:firstLineChars="0"/>
              <w:jc w:val="center"/>
              <w:rPr>
                <w:rFonts w:cs="Times New Roman"/>
                <w:kern w:val="0"/>
                <w:sz w:val="21"/>
                <w:szCs w:val="21"/>
              </w:rPr>
            </w:pPr>
            <w:r>
              <w:rPr>
                <w:rFonts w:cs="Times New Roman"/>
                <w:sz w:val="21"/>
              </w:rPr>
              <w:t>≤6</w:t>
            </w:r>
          </w:p>
        </w:tc>
        <w:tc>
          <w:tcPr>
            <w:tcW w:w="651" w:type="pct"/>
            <w:tcBorders>
              <w:top w:val="single" w:color="auto" w:sz="4" w:space="0"/>
              <w:left w:val="single" w:color="auto" w:sz="4" w:space="0"/>
              <w:bottom w:val="single" w:color="auto" w:sz="12" w:space="0"/>
              <w:right w:val="nil"/>
            </w:tcBorders>
            <w:noWrap/>
            <w:vAlign w:val="center"/>
          </w:tcPr>
          <w:p>
            <w:pPr>
              <w:widowControl/>
              <w:spacing w:line="240" w:lineRule="auto"/>
              <w:ind w:firstLine="0" w:firstLineChars="0"/>
              <w:jc w:val="center"/>
              <w:rPr>
                <w:rFonts w:cs="Times New Roman"/>
                <w:kern w:val="0"/>
                <w:sz w:val="21"/>
                <w:szCs w:val="21"/>
              </w:rPr>
            </w:pPr>
            <w:r>
              <w:rPr>
                <w:rFonts w:cs="Times New Roman"/>
                <w:sz w:val="21"/>
              </w:rPr>
              <w:t>≤1.5</w:t>
            </w:r>
          </w:p>
        </w:tc>
      </w:tr>
    </w:tbl>
    <w:p>
      <w:pPr>
        <w:ind w:firstLine="480"/>
        <w:jc w:val="center"/>
        <w:rPr>
          <w:rFonts w:cs="Times New Roman"/>
        </w:rPr>
      </w:pPr>
      <w:r>
        <w:drawing>
          <wp:inline distT="0" distB="0" distL="114300" distR="114300">
            <wp:extent cx="4467225" cy="2486025"/>
            <wp:effectExtent l="4445" t="4445" r="5080" b="5080"/>
            <wp:docPr id="1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ind w:firstLine="0" w:firstLineChars="0"/>
        <w:jc w:val="center"/>
        <w:rPr>
          <w:rFonts w:cs="Times New Roman"/>
          <w:kern w:val="0"/>
          <w:szCs w:val="24"/>
        </w:rPr>
      </w:pPr>
      <w:r>
        <w:rPr>
          <w:rFonts w:eastAsia="黑体" w:cs="Times New Roman"/>
          <w:lang w:bidi="ar"/>
        </w:rPr>
        <w:t>图</w:t>
      </w:r>
      <w:r>
        <w:rPr>
          <w:rFonts w:hint="eastAsia" w:eastAsia="黑体" w:cs="Times New Roman"/>
          <w:lang w:val="en-US" w:eastAsia="zh-CN" w:bidi="ar"/>
        </w:rPr>
        <w:t>3</w:t>
      </w:r>
      <w:r>
        <w:rPr>
          <w:rFonts w:eastAsia="黑体" w:cs="Times New Roman"/>
          <w:lang w:bidi="ar"/>
        </w:rPr>
        <w:t>.3.1-1  龙河断面历年pH、DO变化趋势图</w:t>
      </w:r>
    </w:p>
    <w:p>
      <w:pPr>
        <w:ind w:firstLine="480"/>
        <w:jc w:val="center"/>
        <w:rPr>
          <w:rFonts w:cs="Times New Roman"/>
        </w:rPr>
      </w:pPr>
      <w:r>
        <w:drawing>
          <wp:inline distT="0" distB="0" distL="114300" distR="114300">
            <wp:extent cx="4486275" cy="2676525"/>
            <wp:effectExtent l="4445" t="4445" r="5080" b="5080"/>
            <wp:docPr id="1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ind w:firstLine="0" w:firstLineChars="0"/>
        <w:jc w:val="center"/>
        <w:rPr>
          <w:rFonts w:cs="Times New Roman"/>
          <w:kern w:val="0"/>
          <w:szCs w:val="24"/>
        </w:rPr>
      </w:pPr>
      <w:r>
        <w:rPr>
          <w:rFonts w:eastAsia="黑体" w:cs="Times New Roman"/>
          <w:lang w:bidi="ar"/>
        </w:rPr>
        <w:t>图</w:t>
      </w:r>
      <w:r>
        <w:rPr>
          <w:rFonts w:hint="eastAsia" w:eastAsia="黑体" w:cs="Times New Roman"/>
          <w:lang w:val="en-US" w:eastAsia="zh-CN" w:bidi="ar"/>
        </w:rPr>
        <w:t>3</w:t>
      </w:r>
      <w:r>
        <w:rPr>
          <w:rFonts w:eastAsia="黑体" w:cs="Times New Roman"/>
          <w:lang w:bidi="ar"/>
        </w:rPr>
        <w:t>.3.1-2  龙河断面历年COD</w:t>
      </w:r>
      <w:r>
        <w:rPr>
          <w:rFonts w:eastAsia="黑体" w:cs="Times New Roman"/>
          <w:vertAlign w:val="subscript"/>
          <w:lang w:bidi="ar"/>
        </w:rPr>
        <w:t>Mn</w:t>
      </w:r>
      <w:r>
        <w:rPr>
          <w:rFonts w:eastAsia="黑体" w:cs="Times New Roman"/>
          <w:lang w:bidi="ar"/>
        </w:rPr>
        <w:t>、BOD</w:t>
      </w:r>
      <w:r>
        <w:rPr>
          <w:rFonts w:eastAsia="黑体" w:cs="Times New Roman"/>
          <w:vertAlign w:val="subscript"/>
          <w:lang w:bidi="ar"/>
        </w:rPr>
        <w:t>5</w:t>
      </w:r>
      <w:r>
        <w:rPr>
          <w:rFonts w:eastAsia="黑体" w:cs="Times New Roman"/>
          <w:lang w:bidi="ar"/>
        </w:rPr>
        <w:t>变化趋势图</w:t>
      </w:r>
    </w:p>
    <w:p>
      <w:pPr>
        <w:ind w:firstLine="480"/>
        <w:jc w:val="center"/>
        <w:rPr>
          <w:rFonts w:cs="Times New Roman"/>
        </w:rPr>
      </w:pPr>
      <w:r>
        <w:drawing>
          <wp:inline distT="0" distB="0" distL="114300" distR="114300">
            <wp:extent cx="4705350" cy="2647950"/>
            <wp:effectExtent l="4445" t="4445" r="14605" b="14605"/>
            <wp:docPr id="2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ind w:firstLine="0" w:firstLineChars="0"/>
        <w:jc w:val="center"/>
        <w:rPr>
          <w:rFonts w:cs="Times New Roman"/>
          <w:kern w:val="0"/>
          <w:szCs w:val="24"/>
        </w:rPr>
      </w:pPr>
      <w:r>
        <w:rPr>
          <w:rFonts w:eastAsia="黑体" w:cs="Times New Roman"/>
          <w:lang w:bidi="ar"/>
        </w:rPr>
        <w:t>图</w:t>
      </w:r>
      <w:r>
        <w:rPr>
          <w:rFonts w:hint="eastAsia" w:eastAsia="黑体" w:cs="Times New Roman"/>
          <w:lang w:val="en-US" w:eastAsia="zh-CN" w:bidi="ar"/>
        </w:rPr>
        <w:t>3</w:t>
      </w:r>
      <w:r>
        <w:rPr>
          <w:rFonts w:eastAsia="黑体" w:cs="Times New Roman"/>
          <w:lang w:bidi="ar"/>
        </w:rPr>
        <w:t>.3.1-3  龙河断面历年氨氮变化趋势图</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.3.2地表水环境质量现状监测与评价</w:t>
      </w:r>
    </w:p>
    <w:p>
      <w:pPr>
        <w:ind w:firstLine="480"/>
        <w:rPr>
          <w:rFonts w:cs="Times New Roman"/>
          <w:lang w:bidi="ar"/>
        </w:rPr>
      </w:pPr>
      <w:r>
        <w:rPr>
          <w:rFonts w:cs="Times New Roman"/>
          <w:lang w:bidi="ar"/>
        </w:rPr>
        <w:t>（1）监测点位</w:t>
      </w:r>
    </w:p>
    <w:p>
      <w:pPr>
        <w:ind w:firstLine="480"/>
        <w:rPr>
          <w:rFonts w:cs="Times New Roman"/>
          <w:lang w:bidi="ar"/>
        </w:rPr>
      </w:pPr>
      <w:r>
        <w:rPr>
          <w:rFonts w:cs="Times New Roman"/>
          <w:bCs/>
        </w:rPr>
        <w:t>为了解区域地表水环境质量现状，结合区域地表水体分布情况，本次评价在岱河和龙河上共布设4个监测断面</w:t>
      </w:r>
      <w:r>
        <w:rPr>
          <w:rFonts w:cs="Times New Roman"/>
          <w:lang w:bidi="ar"/>
        </w:rPr>
        <w:t>，W4监测断面</w:t>
      </w:r>
      <w:r>
        <w:rPr>
          <w:rFonts w:hint="eastAsia" w:cs="Times New Roman"/>
          <w:lang w:bidi="ar"/>
        </w:rPr>
        <w:t>取自淮北市</w:t>
      </w:r>
      <w:r>
        <w:rPr>
          <w:rFonts w:cs="Times New Roman"/>
          <w:lang w:bidi="ar"/>
        </w:rPr>
        <w:t>环境监测站龙河</w:t>
      </w:r>
      <w:r>
        <w:rPr>
          <w:rFonts w:hint="eastAsia" w:cs="Times New Roman"/>
          <w:lang w:bidi="ar"/>
        </w:rPr>
        <w:t>龙湖</w:t>
      </w:r>
      <w:r>
        <w:rPr>
          <w:rFonts w:cs="Times New Roman"/>
          <w:lang w:bidi="ar"/>
        </w:rPr>
        <w:t>涵闸下监测点。各监测点分布见表</w:t>
      </w:r>
      <w:r>
        <w:rPr>
          <w:rFonts w:hint="eastAsia" w:cs="Times New Roman"/>
          <w:lang w:val="en-US" w:eastAsia="zh-CN" w:bidi="ar"/>
        </w:rPr>
        <w:t>3</w:t>
      </w:r>
      <w:r>
        <w:rPr>
          <w:rFonts w:cs="Times New Roman"/>
          <w:lang w:bidi="ar"/>
        </w:rPr>
        <w:t>.3.2-1和附图</w:t>
      </w:r>
      <w:r>
        <w:rPr>
          <w:rFonts w:hint="eastAsia" w:cs="Times New Roman"/>
          <w:lang w:val="en-US" w:eastAsia="zh-CN" w:bidi="ar"/>
        </w:rPr>
        <w:t>3</w:t>
      </w:r>
      <w:r>
        <w:rPr>
          <w:rFonts w:cs="Times New Roman"/>
          <w:lang w:bidi="ar"/>
        </w:rPr>
        <w:t>.3.2-1。</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.3.2-1   地表水现状监测断面布设一览表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203"/>
        <w:gridCol w:w="3209"/>
        <w:gridCol w:w="3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Align w:val="center"/>
          </w:tcPr>
          <w:p>
            <w:pPr>
              <w:overflowPunct w:val="0"/>
              <w:spacing w:line="240" w:lineRule="auto"/>
              <w:ind w:firstLine="0" w:firstLineChars="0"/>
              <w:jc w:val="center"/>
              <w:textAlignment w:val="baseline"/>
              <w:rPr>
                <w:rFonts w:cs="Times New Roman"/>
                <w:b/>
                <w:sz w:val="21"/>
                <w:szCs w:val="21"/>
              </w:rPr>
            </w:pPr>
            <w:r>
              <w:rPr>
                <w:rFonts w:cs="Times New Roman"/>
                <w:b/>
                <w:sz w:val="21"/>
                <w:szCs w:val="21"/>
                <w:lang w:bidi="ar"/>
              </w:rPr>
              <w:t>河流</w:t>
            </w:r>
          </w:p>
        </w:tc>
        <w:tc>
          <w:tcPr>
            <w:tcW w:w="1275" w:type="dxa"/>
            <w:vAlign w:val="center"/>
          </w:tcPr>
          <w:p>
            <w:pPr>
              <w:overflowPunct w:val="0"/>
              <w:spacing w:line="240" w:lineRule="auto"/>
              <w:ind w:firstLine="0" w:firstLineChars="0"/>
              <w:jc w:val="center"/>
              <w:textAlignment w:val="baseline"/>
              <w:rPr>
                <w:rFonts w:cs="Times New Roman"/>
                <w:b/>
                <w:sz w:val="21"/>
                <w:szCs w:val="21"/>
              </w:rPr>
            </w:pPr>
            <w:r>
              <w:rPr>
                <w:rFonts w:cs="Times New Roman"/>
                <w:b/>
                <w:sz w:val="21"/>
                <w:szCs w:val="21"/>
                <w:lang w:bidi="ar"/>
              </w:rPr>
              <w:t>断面编号</w:t>
            </w:r>
          </w:p>
        </w:tc>
        <w:tc>
          <w:tcPr>
            <w:tcW w:w="3402" w:type="dxa"/>
            <w:vAlign w:val="center"/>
          </w:tcPr>
          <w:p>
            <w:pPr>
              <w:overflowPunct w:val="0"/>
              <w:spacing w:line="240" w:lineRule="auto"/>
              <w:ind w:firstLine="0" w:firstLineChars="0"/>
              <w:jc w:val="center"/>
              <w:textAlignment w:val="baseline"/>
              <w:rPr>
                <w:rFonts w:cs="Times New Roman"/>
                <w:b/>
                <w:sz w:val="21"/>
                <w:szCs w:val="21"/>
              </w:rPr>
            </w:pPr>
            <w:r>
              <w:rPr>
                <w:rFonts w:cs="Times New Roman"/>
                <w:b/>
                <w:sz w:val="21"/>
                <w:szCs w:val="21"/>
                <w:lang w:bidi="ar"/>
              </w:rPr>
              <w:t>断面(点)位置</w:t>
            </w:r>
          </w:p>
        </w:tc>
        <w:tc>
          <w:tcPr>
            <w:tcW w:w="3357" w:type="dxa"/>
            <w:vAlign w:val="center"/>
          </w:tcPr>
          <w:p>
            <w:pPr>
              <w:overflowPunct w:val="0"/>
              <w:spacing w:line="240" w:lineRule="auto"/>
              <w:ind w:firstLine="0" w:firstLineChars="0"/>
              <w:jc w:val="center"/>
              <w:textAlignment w:val="baseline"/>
              <w:rPr>
                <w:rFonts w:cs="Times New Roman"/>
                <w:b/>
                <w:sz w:val="21"/>
                <w:szCs w:val="21"/>
              </w:rPr>
            </w:pPr>
            <w:r>
              <w:rPr>
                <w:rFonts w:cs="Times New Roman"/>
                <w:b/>
                <w:sz w:val="21"/>
                <w:szCs w:val="21"/>
                <w:lang w:bidi="ar"/>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93" w:type="dxa"/>
            <w:vMerge w:val="restart"/>
            <w:vAlign w:val="center"/>
          </w:tcPr>
          <w:p>
            <w:pPr>
              <w:overflowPunct w:val="0"/>
              <w:spacing w:line="240" w:lineRule="auto"/>
              <w:ind w:firstLine="0" w:firstLineChars="0"/>
              <w:jc w:val="center"/>
              <w:textAlignment w:val="baseline"/>
              <w:rPr>
                <w:rFonts w:cs="Times New Roman"/>
                <w:sz w:val="21"/>
                <w:szCs w:val="21"/>
              </w:rPr>
            </w:pPr>
            <w:r>
              <w:rPr>
                <w:rFonts w:cs="Times New Roman"/>
                <w:sz w:val="21"/>
                <w:szCs w:val="21"/>
              </w:rPr>
              <w:t>岱河</w:t>
            </w:r>
          </w:p>
        </w:tc>
        <w:tc>
          <w:tcPr>
            <w:tcW w:w="1275" w:type="dxa"/>
            <w:vAlign w:val="center"/>
          </w:tcPr>
          <w:p>
            <w:pPr>
              <w:overflowPunct w:val="0"/>
              <w:spacing w:line="240" w:lineRule="auto"/>
              <w:ind w:firstLine="0" w:firstLineChars="0"/>
              <w:jc w:val="center"/>
              <w:textAlignment w:val="baseline"/>
              <w:rPr>
                <w:rFonts w:cs="Times New Roman"/>
                <w:sz w:val="21"/>
                <w:szCs w:val="21"/>
              </w:rPr>
            </w:pPr>
            <w:r>
              <w:rPr>
                <w:rFonts w:cs="Times New Roman"/>
                <w:sz w:val="21"/>
                <w:szCs w:val="21"/>
                <w:lang w:bidi="ar"/>
              </w:rPr>
              <w:t>W1</w:t>
            </w:r>
          </w:p>
        </w:tc>
        <w:tc>
          <w:tcPr>
            <w:tcW w:w="3402" w:type="dxa"/>
            <w:vAlign w:val="center"/>
          </w:tcPr>
          <w:p>
            <w:pPr>
              <w:overflowPunct w:val="0"/>
              <w:spacing w:line="240" w:lineRule="auto"/>
              <w:ind w:firstLine="0" w:firstLineChars="0"/>
              <w:jc w:val="center"/>
              <w:textAlignment w:val="baseline"/>
              <w:rPr>
                <w:rFonts w:cs="Times New Roman"/>
                <w:sz w:val="21"/>
                <w:szCs w:val="21"/>
              </w:rPr>
            </w:pPr>
            <w:r>
              <w:rPr>
                <w:rFonts w:cs="Times New Roman"/>
                <w:sz w:val="21"/>
                <w:szCs w:val="21"/>
              </w:rPr>
              <w:t>萧淮公路与滨河路交口断面</w:t>
            </w:r>
          </w:p>
        </w:tc>
        <w:tc>
          <w:tcPr>
            <w:tcW w:w="3357" w:type="dxa"/>
            <w:vMerge w:val="restart"/>
            <w:vAlign w:val="center"/>
          </w:tcPr>
          <w:p>
            <w:pPr>
              <w:overflowPunct w:val="0"/>
              <w:spacing w:line="240" w:lineRule="auto"/>
              <w:ind w:firstLine="0" w:firstLineChars="0"/>
              <w:jc w:val="center"/>
              <w:textAlignment w:val="baseline"/>
              <w:rPr>
                <w:rFonts w:cs="Times New Roman"/>
                <w:sz w:val="21"/>
                <w:szCs w:val="21"/>
              </w:rPr>
            </w:pPr>
            <w:r>
              <w:rPr>
                <w:rFonts w:cs="Times New Roman"/>
                <w:sz w:val="21"/>
                <w:szCs w:val="21"/>
                <w:lang w:bidi="ar"/>
              </w:rPr>
              <w:t>pH、DO、COD、BOD</w:t>
            </w:r>
            <w:r>
              <w:rPr>
                <w:rFonts w:cs="Times New Roman"/>
                <w:sz w:val="21"/>
                <w:szCs w:val="21"/>
                <w:vertAlign w:val="subscript"/>
                <w:lang w:bidi="ar"/>
              </w:rPr>
              <w:t>5</w:t>
            </w:r>
            <w:r>
              <w:rPr>
                <w:rFonts w:cs="Times New Roman"/>
                <w:sz w:val="21"/>
                <w:szCs w:val="21"/>
                <w:lang w:bidi="ar"/>
              </w:rPr>
              <w:t>、NH</w:t>
            </w:r>
            <w:r>
              <w:rPr>
                <w:rFonts w:cs="Times New Roman"/>
                <w:sz w:val="21"/>
                <w:szCs w:val="21"/>
                <w:vertAlign w:val="subscript"/>
                <w:lang w:bidi="ar"/>
              </w:rPr>
              <w:t>3</w:t>
            </w:r>
            <w:r>
              <w:rPr>
                <w:rFonts w:cs="Times New Roman"/>
                <w:sz w:val="21"/>
                <w:szCs w:val="21"/>
                <w:lang w:bidi="ar"/>
              </w:rPr>
              <w:t>-N、总磷、石油类、挥发酚、阴离子表面活性剂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993" w:type="dxa"/>
            <w:vMerge w:val="continue"/>
            <w:vAlign w:val="center"/>
          </w:tcPr>
          <w:p>
            <w:pPr>
              <w:spacing w:line="240" w:lineRule="auto"/>
              <w:ind w:firstLine="420"/>
              <w:jc w:val="center"/>
              <w:rPr>
                <w:rFonts w:cs="Times New Roman"/>
                <w:sz w:val="21"/>
              </w:rPr>
            </w:pPr>
          </w:p>
        </w:tc>
        <w:tc>
          <w:tcPr>
            <w:tcW w:w="1275" w:type="dxa"/>
            <w:vAlign w:val="center"/>
          </w:tcPr>
          <w:p>
            <w:pPr>
              <w:overflowPunct w:val="0"/>
              <w:spacing w:line="240" w:lineRule="auto"/>
              <w:ind w:firstLine="0" w:firstLineChars="0"/>
              <w:jc w:val="center"/>
              <w:textAlignment w:val="baseline"/>
              <w:rPr>
                <w:rFonts w:cs="Times New Roman"/>
                <w:sz w:val="21"/>
                <w:szCs w:val="21"/>
              </w:rPr>
            </w:pPr>
            <w:r>
              <w:rPr>
                <w:rFonts w:cs="Times New Roman"/>
                <w:sz w:val="21"/>
                <w:szCs w:val="21"/>
                <w:lang w:bidi="ar"/>
              </w:rPr>
              <w:t>W2</w:t>
            </w:r>
          </w:p>
        </w:tc>
        <w:tc>
          <w:tcPr>
            <w:tcW w:w="3402" w:type="dxa"/>
            <w:vAlign w:val="center"/>
          </w:tcPr>
          <w:p>
            <w:pPr>
              <w:overflowPunct w:val="0"/>
              <w:spacing w:line="240" w:lineRule="auto"/>
              <w:ind w:firstLine="0" w:firstLineChars="0"/>
              <w:jc w:val="center"/>
              <w:textAlignment w:val="baseline"/>
              <w:rPr>
                <w:rFonts w:cs="Times New Roman"/>
                <w:sz w:val="21"/>
                <w:szCs w:val="21"/>
              </w:rPr>
            </w:pPr>
            <w:r>
              <w:rPr>
                <w:rFonts w:cs="Times New Roman"/>
                <w:sz w:val="21"/>
                <w:szCs w:val="21"/>
              </w:rPr>
              <w:t>北外环路断面</w:t>
            </w:r>
          </w:p>
        </w:tc>
        <w:tc>
          <w:tcPr>
            <w:tcW w:w="3357" w:type="dxa"/>
            <w:vMerge w:val="continue"/>
            <w:vAlign w:val="center"/>
          </w:tcPr>
          <w:p>
            <w:pPr>
              <w:spacing w:line="240" w:lineRule="auto"/>
              <w:ind w:firstLine="42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3" w:type="dxa"/>
            <w:vMerge w:val="continue"/>
            <w:vAlign w:val="center"/>
          </w:tcPr>
          <w:p>
            <w:pPr>
              <w:overflowPunct w:val="0"/>
              <w:spacing w:line="240" w:lineRule="auto"/>
              <w:ind w:firstLine="0" w:firstLineChars="0"/>
              <w:jc w:val="center"/>
              <w:textAlignment w:val="baseline"/>
              <w:rPr>
                <w:rFonts w:cs="Times New Roman"/>
                <w:sz w:val="21"/>
                <w:szCs w:val="21"/>
              </w:rPr>
            </w:pPr>
          </w:p>
        </w:tc>
        <w:tc>
          <w:tcPr>
            <w:tcW w:w="1275" w:type="dxa"/>
            <w:vAlign w:val="center"/>
          </w:tcPr>
          <w:p>
            <w:pPr>
              <w:overflowPunct w:val="0"/>
              <w:spacing w:line="240" w:lineRule="auto"/>
              <w:ind w:firstLine="0" w:firstLineChars="0"/>
              <w:jc w:val="center"/>
              <w:textAlignment w:val="baseline"/>
              <w:rPr>
                <w:rFonts w:cs="Times New Roman"/>
                <w:sz w:val="21"/>
                <w:szCs w:val="21"/>
              </w:rPr>
            </w:pPr>
            <w:r>
              <w:rPr>
                <w:rFonts w:cs="Times New Roman"/>
                <w:sz w:val="21"/>
                <w:szCs w:val="21"/>
                <w:lang w:bidi="ar"/>
              </w:rPr>
              <w:t>W3</w:t>
            </w:r>
          </w:p>
        </w:tc>
        <w:tc>
          <w:tcPr>
            <w:tcW w:w="3402" w:type="dxa"/>
            <w:vAlign w:val="center"/>
          </w:tcPr>
          <w:p>
            <w:pPr>
              <w:overflowPunct w:val="0"/>
              <w:spacing w:line="240" w:lineRule="auto"/>
              <w:ind w:firstLine="0" w:firstLineChars="0"/>
              <w:jc w:val="center"/>
              <w:textAlignment w:val="baseline"/>
              <w:rPr>
                <w:rFonts w:cs="Times New Roman"/>
                <w:sz w:val="21"/>
                <w:szCs w:val="21"/>
              </w:rPr>
            </w:pPr>
            <w:r>
              <w:rPr>
                <w:rFonts w:cs="Times New Roman"/>
                <w:sz w:val="21"/>
                <w:szCs w:val="21"/>
              </w:rPr>
              <w:t>近新民路断面</w:t>
            </w:r>
          </w:p>
        </w:tc>
        <w:tc>
          <w:tcPr>
            <w:tcW w:w="3357" w:type="dxa"/>
            <w:vMerge w:val="continue"/>
            <w:vAlign w:val="center"/>
          </w:tcPr>
          <w:p>
            <w:pPr>
              <w:spacing w:line="240" w:lineRule="auto"/>
              <w:ind w:firstLine="420"/>
              <w:jc w:val="center"/>
              <w:rPr>
                <w:rFonts w:cs="Times New Roman"/>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993" w:type="dxa"/>
            <w:vAlign w:val="center"/>
          </w:tcPr>
          <w:p>
            <w:pPr>
              <w:overflowPunct w:val="0"/>
              <w:spacing w:line="240" w:lineRule="auto"/>
              <w:ind w:firstLine="0" w:firstLineChars="0"/>
              <w:jc w:val="center"/>
              <w:textAlignment w:val="baseline"/>
              <w:rPr>
                <w:rFonts w:cs="Times New Roman"/>
                <w:color w:val="FF0000"/>
                <w:sz w:val="21"/>
                <w:szCs w:val="21"/>
              </w:rPr>
            </w:pPr>
            <w:r>
              <w:rPr>
                <w:rFonts w:cs="Times New Roman"/>
                <w:color w:val="FF0000"/>
                <w:sz w:val="21"/>
                <w:szCs w:val="21"/>
              </w:rPr>
              <w:t>龙河</w:t>
            </w:r>
          </w:p>
        </w:tc>
        <w:tc>
          <w:tcPr>
            <w:tcW w:w="1275" w:type="dxa"/>
            <w:vAlign w:val="center"/>
          </w:tcPr>
          <w:p>
            <w:pPr>
              <w:overflowPunct w:val="0"/>
              <w:spacing w:line="240" w:lineRule="auto"/>
              <w:ind w:firstLine="0" w:firstLineChars="0"/>
              <w:jc w:val="center"/>
              <w:textAlignment w:val="baseline"/>
              <w:rPr>
                <w:rFonts w:cs="Times New Roman"/>
                <w:color w:val="FF0000"/>
                <w:sz w:val="21"/>
                <w:szCs w:val="21"/>
              </w:rPr>
            </w:pPr>
            <w:r>
              <w:rPr>
                <w:rFonts w:cs="Times New Roman"/>
                <w:color w:val="FF0000"/>
                <w:sz w:val="21"/>
                <w:szCs w:val="21"/>
              </w:rPr>
              <w:t>W4</w:t>
            </w:r>
          </w:p>
        </w:tc>
        <w:tc>
          <w:tcPr>
            <w:tcW w:w="3402" w:type="dxa"/>
            <w:vAlign w:val="center"/>
          </w:tcPr>
          <w:p>
            <w:pPr>
              <w:overflowPunct w:val="0"/>
              <w:spacing w:line="240" w:lineRule="auto"/>
              <w:ind w:firstLine="0" w:firstLineChars="0"/>
              <w:jc w:val="center"/>
              <w:textAlignment w:val="baseline"/>
              <w:rPr>
                <w:rFonts w:cs="Times New Roman"/>
                <w:color w:val="FF0000"/>
                <w:sz w:val="21"/>
                <w:szCs w:val="21"/>
              </w:rPr>
            </w:pPr>
            <w:r>
              <w:rPr>
                <w:rFonts w:hint="eastAsia" w:cs="Times New Roman"/>
                <w:color w:val="FF0000"/>
                <w:sz w:val="21"/>
                <w:szCs w:val="21"/>
              </w:rPr>
              <w:t>龙河</w:t>
            </w:r>
            <w:r>
              <w:rPr>
                <w:rFonts w:cs="Times New Roman"/>
                <w:color w:val="FF0000"/>
                <w:sz w:val="21"/>
                <w:szCs w:val="21"/>
              </w:rPr>
              <w:t>龙湖涵闸下</w:t>
            </w:r>
          </w:p>
        </w:tc>
        <w:tc>
          <w:tcPr>
            <w:tcW w:w="3357" w:type="dxa"/>
            <w:vMerge w:val="continue"/>
            <w:vAlign w:val="center"/>
          </w:tcPr>
          <w:p>
            <w:pPr>
              <w:overflowPunct w:val="0"/>
              <w:spacing w:line="240" w:lineRule="auto"/>
              <w:ind w:firstLine="0" w:firstLineChars="0"/>
              <w:jc w:val="center"/>
              <w:textAlignment w:val="baseline"/>
              <w:rPr>
                <w:rFonts w:cs="Times New Roman"/>
                <w:sz w:val="21"/>
                <w:szCs w:val="21"/>
              </w:rPr>
            </w:pPr>
          </w:p>
        </w:tc>
      </w:tr>
    </w:tbl>
    <w:p>
      <w:pPr>
        <w:ind w:firstLine="480"/>
        <w:rPr>
          <w:rFonts w:cs="Times New Roman"/>
          <w:lang w:bidi="ar"/>
        </w:rPr>
      </w:pPr>
      <w:r>
        <w:rPr>
          <w:rFonts w:cs="Times New Roman"/>
          <w:lang w:bidi="ar"/>
        </w:rPr>
        <w:t>（2）监测时间及频次：W1~W3监测日期为2020年3月03日～05日；W4监测时间为2020</w:t>
      </w:r>
      <w:r>
        <w:rPr>
          <w:rFonts w:hint="eastAsia" w:cs="Times New Roman"/>
          <w:lang w:bidi="ar"/>
        </w:rPr>
        <w:t>年</w:t>
      </w:r>
      <w:r>
        <w:rPr>
          <w:rFonts w:cs="Times New Roman"/>
          <w:lang w:bidi="ar"/>
        </w:rPr>
        <w:t>1</w:t>
      </w:r>
      <w:r>
        <w:rPr>
          <w:rFonts w:hint="eastAsia" w:cs="Times New Roman"/>
          <w:lang w:bidi="ar"/>
        </w:rPr>
        <w:t>月</w:t>
      </w:r>
      <w:r>
        <w:rPr>
          <w:rFonts w:cs="Times New Roman"/>
          <w:lang w:bidi="ar"/>
        </w:rPr>
        <w:t>至</w:t>
      </w:r>
      <w:r>
        <w:rPr>
          <w:rFonts w:hint="eastAsia" w:cs="Times New Roman"/>
          <w:lang w:bidi="ar"/>
        </w:rPr>
        <w:t>2020年4月</w:t>
      </w:r>
      <w:r>
        <w:rPr>
          <w:rFonts w:cs="Times New Roman"/>
          <w:lang w:bidi="ar"/>
        </w:rPr>
        <w:t>，</w:t>
      </w:r>
      <w:r>
        <w:rPr>
          <w:rFonts w:cs="Times New Roman"/>
        </w:rPr>
        <w:t>每天分析采样1次</w:t>
      </w:r>
      <w:r>
        <w:rPr>
          <w:rFonts w:cs="Times New Roman"/>
          <w:lang w:bidi="ar"/>
        </w:rPr>
        <w:t>。</w:t>
      </w:r>
    </w:p>
    <w:p>
      <w:pPr>
        <w:ind w:firstLine="480"/>
        <w:rPr>
          <w:rFonts w:cs="Times New Roman"/>
          <w:lang w:bidi="ar"/>
        </w:rPr>
      </w:pPr>
      <w:r>
        <w:rPr>
          <w:rFonts w:cs="Times New Roman"/>
          <w:lang w:bidi="ar"/>
        </w:rPr>
        <w:t>（3）采样及分析方法：</w:t>
      </w:r>
      <w:r>
        <w:rPr>
          <w:rFonts w:cs="Times New Roman"/>
        </w:rPr>
        <w:t>采样方法按照《地表水和污水监测技术规范》(HJ/T91-2002)的有关规定执行。分析方法按照(GB3838-2002)《地表水环境质量标准》中规定的标准分析方法进行水质分析。</w:t>
      </w:r>
    </w:p>
    <w:p>
      <w:pPr>
        <w:ind w:firstLine="480"/>
        <w:rPr>
          <w:rFonts w:cs="Times New Roman"/>
          <w:lang w:bidi="ar"/>
        </w:rPr>
      </w:pPr>
      <w:r>
        <w:rPr>
          <w:rFonts w:cs="Times New Roman"/>
          <w:lang w:bidi="ar"/>
        </w:rPr>
        <w:t>（4）评价标准</w:t>
      </w:r>
    </w:p>
    <w:p>
      <w:pPr>
        <w:ind w:left="480" w:leftChars="200" w:firstLine="0" w:firstLineChars="0"/>
        <w:rPr>
          <w:rFonts w:cs="Times New Roman"/>
          <w:lang w:bidi="ar"/>
        </w:rPr>
      </w:pPr>
      <w:r>
        <w:rPr>
          <w:rFonts w:cs="Times New Roman"/>
          <w:lang w:bidi="ar"/>
        </w:rPr>
        <w:t>岱河和龙河水质均执行《地表水环境质量标准》（GB3838-2002）中的</w:t>
      </w:r>
      <w:r>
        <w:rPr>
          <w:rFonts w:hint="eastAsia" w:ascii="宋体" w:hAnsi="宋体" w:cs="宋体"/>
          <w:lang w:bidi="ar"/>
        </w:rPr>
        <w:t>Ⅳ</w:t>
      </w:r>
      <w:r>
        <w:rPr>
          <w:rFonts w:cs="Times New Roman"/>
          <w:lang w:bidi="ar"/>
        </w:rPr>
        <w:t>类标准。</w:t>
      </w:r>
    </w:p>
    <w:p>
      <w:pPr>
        <w:ind w:left="480" w:leftChars="200" w:firstLine="0" w:firstLineChars="0"/>
        <w:rPr>
          <w:rFonts w:cs="Times New Roman"/>
        </w:rPr>
      </w:pPr>
      <w:r>
        <w:rPr>
          <w:rFonts w:cs="Times New Roman"/>
          <w:lang w:bidi="ar"/>
        </w:rPr>
        <w:t>（5）评价方法</w:t>
      </w:r>
    </w:p>
    <w:p>
      <w:pPr>
        <w:ind w:firstLine="480"/>
        <w:rPr>
          <w:rFonts w:cs="Times New Roman"/>
        </w:rPr>
      </w:pPr>
      <w:r>
        <w:rPr>
          <w:rFonts w:cs="Times New Roman"/>
          <w:lang w:bidi="ar"/>
        </w:rPr>
        <w:t>采用单项水质参数评价模式，在各项水质参数评价中，对某一水质参数的现状浓度采用多次监测的平均浓度值。</w:t>
      </w:r>
    </w:p>
    <w:p>
      <w:pPr>
        <w:ind w:firstLine="480"/>
        <w:rPr>
          <w:rFonts w:cs="Times New Roman"/>
        </w:rPr>
      </w:pPr>
      <w:r>
        <w:rPr>
          <w:rFonts w:cs="Times New Roman"/>
          <w:lang w:bidi="ar"/>
        </w:rPr>
        <w:t>对《地表水环境质量标准》（GB3838-2002）中规定的一般因子污染指数计算公式为：</w:t>
      </w:r>
    </w:p>
    <w:p>
      <w:pPr>
        <w:spacing w:line="500" w:lineRule="exact"/>
        <w:ind w:firstLine="0" w:firstLineChars="0"/>
        <w:jc w:val="center"/>
        <w:rPr>
          <w:rFonts w:cs="Times New Roman"/>
        </w:rPr>
      </w:pPr>
      <w:r>
        <w:rPr>
          <w:rFonts w:cs="Times New Roman"/>
          <w:lang w:bidi="ar"/>
        </w:rPr>
        <w:t>S</w:t>
      </w:r>
      <w:r>
        <w:rPr>
          <w:rFonts w:cs="Times New Roman"/>
          <w:vertAlign w:val="subscript"/>
          <w:lang w:bidi="ar"/>
        </w:rPr>
        <w:t>ij</w:t>
      </w:r>
      <w:r>
        <w:rPr>
          <w:rFonts w:cs="Times New Roman"/>
          <w:lang w:bidi="ar"/>
        </w:rPr>
        <w:t>=C</w:t>
      </w:r>
      <w:r>
        <w:rPr>
          <w:rFonts w:cs="Times New Roman"/>
          <w:vertAlign w:val="subscript"/>
          <w:lang w:bidi="ar"/>
        </w:rPr>
        <w:t>ij</w:t>
      </w:r>
      <w:r>
        <w:rPr>
          <w:rFonts w:cs="Times New Roman"/>
          <w:lang w:bidi="ar"/>
        </w:rPr>
        <w:t>/C</w:t>
      </w:r>
      <w:r>
        <w:rPr>
          <w:rFonts w:cs="Times New Roman"/>
          <w:vertAlign w:val="subscript"/>
          <w:lang w:bidi="ar"/>
        </w:rPr>
        <w:t>sj</w:t>
      </w:r>
    </w:p>
    <w:p>
      <w:pPr>
        <w:ind w:firstLine="480"/>
        <w:rPr>
          <w:rFonts w:cs="Times New Roman"/>
        </w:rPr>
      </w:pPr>
      <w:r>
        <w:rPr>
          <w:rFonts w:cs="Times New Roman"/>
          <w:lang w:bidi="ar"/>
        </w:rPr>
        <w:t>式中：S</w:t>
      </w:r>
      <w:r>
        <w:rPr>
          <w:rFonts w:cs="Times New Roman"/>
          <w:vertAlign w:val="subscript"/>
          <w:lang w:bidi="ar"/>
        </w:rPr>
        <w:t>ij</w:t>
      </w:r>
      <w:r>
        <w:rPr>
          <w:rFonts w:cs="Times New Roman"/>
          <w:lang w:bidi="ar"/>
        </w:rPr>
        <w:t>：第i种污染物在第j点的标准指数；</w:t>
      </w:r>
    </w:p>
    <w:p>
      <w:pPr>
        <w:ind w:firstLine="480"/>
        <w:rPr>
          <w:rFonts w:cs="Times New Roman"/>
        </w:rPr>
      </w:pPr>
      <w:r>
        <w:rPr>
          <w:rFonts w:cs="Times New Roman"/>
          <w:lang w:bidi="ar"/>
        </w:rPr>
        <w:t xml:space="preserve">      C</w:t>
      </w:r>
      <w:r>
        <w:rPr>
          <w:rFonts w:cs="Times New Roman"/>
          <w:vertAlign w:val="subscript"/>
          <w:lang w:bidi="ar"/>
        </w:rPr>
        <w:t>ij</w:t>
      </w:r>
      <w:r>
        <w:rPr>
          <w:rFonts w:cs="Times New Roman"/>
          <w:lang w:bidi="ar"/>
        </w:rPr>
        <w:t>：第i种污染物在第j点的监测平均浓度值，mg/L；</w:t>
      </w:r>
    </w:p>
    <w:p>
      <w:pPr>
        <w:ind w:firstLine="480"/>
        <w:rPr>
          <w:rFonts w:cs="Times New Roman"/>
        </w:rPr>
      </w:pPr>
      <w:r>
        <w:rPr>
          <w:rFonts w:cs="Times New Roman"/>
          <w:lang w:bidi="ar"/>
        </w:rPr>
        <w:t xml:space="preserve">      C</w:t>
      </w:r>
      <w:r>
        <w:rPr>
          <w:rFonts w:cs="Times New Roman"/>
          <w:vertAlign w:val="subscript"/>
          <w:lang w:bidi="ar"/>
        </w:rPr>
        <w:t>Sj</w:t>
      </w:r>
      <w:r>
        <w:rPr>
          <w:rFonts w:cs="Times New Roman"/>
          <w:lang w:bidi="ar"/>
        </w:rPr>
        <w:t>：第i种污染物的地表水水质标准值，mg/L；</w:t>
      </w:r>
    </w:p>
    <w:p>
      <w:pPr>
        <w:ind w:firstLine="480"/>
        <w:rPr>
          <w:rFonts w:cs="Times New Roman"/>
        </w:rPr>
      </w:pPr>
      <w:r>
        <w:rPr>
          <w:rFonts w:cs="Times New Roman"/>
          <w:lang w:bidi="ar"/>
        </w:rPr>
        <w:t>其中pH为：</w:t>
      </w:r>
    </w:p>
    <w:p>
      <w:pPr>
        <w:spacing w:line="240" w:lineRule="auto"/>
        <w:ind w:firstLine="480"/>
        <w:jc w:val="center"/>
        <w:rPr>
          <w:rFonts w:cs="Times New Roman"/>
        </w:rPr>
      </w:pPr>
      <w:r>
        <w:rPr>
          <w:rFonts w:cs="Times New Roman"/>
          <w:position w:val="-30"/>
        </w:rPr>
        <w:drawing>
          <wp:inline distT="0" distB="0" distL="114300" distR="114300">
            <wp:extent cx="2628900" cy="466725"/>
            <wp:effectExtent l="0" t="0" r="0" b="8255"/>
            <wp:docPr id="739"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157"/>
                    <pic:cNvPicPr>
                      <a:picLocks noChangeAspect="1"/>
                    </pic:cNvPicPr>
                  </pic:nvPicPr>
                  <pic:blipFill>
                    <a:blip r:embed="rId11"/>
                    <a:stretch>
                      <a:fillRect/>
                    </a:stretch>
                  </pic:blipFill>
                  <pic:spPr>
                    <a:xfrm>
                      <a:off x="0" y="0"/>
                      <a:ext cx="2628900" cy="466725"/>
                    </a:xfrm>
                    <a:prstGeom prst="rect">
                      <a:avLst/>
                    </a:prstGeom>
                    <a:noFill/>
                    <a:ln>
                      <a:noFill/>
                    </a:ln>
                  </pic:spPr>
                </pic:pic>
              </a:graphicData>
            </a:graphic>
          </wp:inline>
        </w:drawing>
      </w:r>
    </w:p>
    <w:p>
      <w:pPr>
        <w:spacing w:line="240" w:lineRule="auto"/>
        <w:ind w:firstLine="480"/>
        <w:jc w:val="center"/>
        <w:rPr>
          <w:rFonts w:cs="Times New Roman"/>
        </w:rPr>
      </w:pPr>
      <w:r>
        <w:rPr>
          <w:rFonts w:cs="Times New Roman"/>
          <w:position w:val="-30"/>
        </w:rPr>
        <w:drawing>
          <wp:inline distT="0" distB="0" distL="114300" distR="114300">
            <wp:extent cx="2466975" cy="466725"/>
            <wp:effectExtent l="0" t="0" r="0" b="8255"/>
            <wp:docPr id="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6"/>
                    <pic:cNvPicPr>
                      <a:picLocks noChangeAspect="1"/>
                    </pic:cNvPicPr>
                  </pic:nvPicPr>
                  <pic:blipFill>
                    <a:blip r:embed="rId12"/>
                    <a:stretch>
                      <a:fillRect/>
                    </a:stretch>
                  </pic:blipFill>
                  <pic:spPr>
                    <a:xfrm>
                      <a:off x="0" y="0"/>
                      <a:ext cx="2466975" cy="466725"/>
                    </a:xfrm>
                    <a:prstGeom prst="rect">
                      <a:avLst/>
                    </a:prstGeom>
                    <a:noFill/>
                    <a:ln>
                      <a:noFill/>
                    </a:ln>
                  </pic:spPr>
                </pic:pic>
              </a:graphicData>
            </a:graphic>
          </wp:inline>
        </w:drawing>
      </w:r>
    </w:p>
    <w:p>
      <w:pPr>
        <w:ind w:firstLine="480"/>
        <w:rPr>
          <w:rFonts w:cs="Times New Roman"/>
        </w:rPr>
      </w:pPr>
      <w:r>
        <w:rPr>
          <w:rFonts w:cs="Times New Roman"/>
          <w:lang w:bidi="ar"/>
        </w:rPr>
        <w:t>式中：S</w:t>
      </w:r>
      <w:r>
        <w:rPr>
          <w:rFonts w:cs="Times New Roman"/>
          <w:vertAlign w:val="subscript"/>
          <w:lang w:bidi="ar"/>
        </w:rPr>
        <w:t>pHj</w:t>
      </w:r>
      <w:r>
        <w:rPr>
          <w:rFonts w:cs="Times New Roman"/>
          <w:lang w:bidi="ar"/>
        </w:rPr>
        <w:t>：为水质参数pH在j点的标准指数；</w:t>
      </w:r>
    </w:p>
    <w:p>
      <w:pPr>
        <w:ind w:firstLine="480"/>
        <w:rPr>
          <w:rFonts w:cs="Times New Roman"/>
        </w:rPr>
      </w:pPr>
      <w:r>
        <w:rPr>
          <w:rFonts w:cs="Times New Roman"/>
          <w:lang w:bidi="ar"/>
        </w:rPr>
        <w:t xml:space="preserve">      pH</w:t>
      </w:r>
      <w:r>
        <w:rPr>
          <w:rFonts w:cs="Times New Roman"/>
          <w:vertAlign w:val="subscript"/>
          <w:lang w:bidi="ar"/>
        </w:rPr>
        <w:t>j</w:t>
      </w:r>
      <w:r>
        <w:rPr>
          <w:rFonts w:cs="Times New Roman"/>
          <w:lang w:bidi="ar"/>
        </w:rPr>
        <w:t>：为j点的pH值；</w:t>
      </w:r>
    </w:p>
    <w:p>
      <w:pPr>
        <w:ind w:firstLine="480"/>
        <w:rPr>
          <w:rFonts w:cs="Times New Roman"/>
        </w:rPr>
      </w:pPr>
      <w:r>
        <w:rPr>
          <w:rFonts w:cs="Times New Roman"/>
          <w:lang w:bidi="ar"/>
        </w:rPr>
        <w:t xml:space="preserve">      pH</w:t>
      </w:r>
      <w:r>
        <w:rPr>
          <w:rFonts w:cs="Times New Roman"/>
          <w:vertAlign w:val="subscript"/>
          <w:lang w:bidi="ar"/>
        </w:rPr>
        <w:t>su</w:t>
      </w:r>
      <w:r>
        <w:rPr>
          <w:rFonts w:cs="Times New Roman"/>
          <w:lang w:bidi="ar"/>
        </w:rPr>
        <w:t>：为地表水水质标准中规定的pH值上限；</w:t>
      </w:r>
    </w:p>
    <w:p>
      <w:pPr>
        <w:ind w:firstLine="480"/>
        <w:rPr>
          <w:rFonts w:cs="Times New Roman"/>
        </w:rPr>
      </w:pPr>
      <w:r>
        <w:rPr>
          <w:rFonts w:cs="Times New Roman"/>
          <w:lang w:bidi="ar"/>
        </w:rPr>
        <w:t xml:space="preserve">      pH</w:t>
      </w:r>
      <w:r>
        <w:rPr>
          <w:rFonts w:cs="Times New Roman"/>
          <w:vertAlign w:val="subscript"/>
          <w:lang w:bidi="ar"/>
        </w:rPr>
        <w:t>sd</w:t>
      </w:r>
      <w:r>
        <w:rPr>
          <w:rFonts w:cs="Times New Roman"/>
          <w:lang w:bidi="ar"/>
        </w:rPr>
        <w:t>：为地表水水质标准中规定的pH值下限；</w:t>
      </w:r>
    </w:p>
    <w:p>
      <w:pPr>
        <w:spacing w:line="240" w:lineRule="auto"/>
        <w:ind w:firstLine="480"/>
        <w:rPr>
          <w:rFonts w:cs="Times New Roman"/>
        </w:rPr>
      </w:pPr>
      <w:r>
        <w:rPr>
          <w:rFonts w:cs="Times New Roman"/>
          <w:lang w:bidi="ar"/>
        </w:rPr>
        <w:t>溶解氧为：</w:t>
      </w:r>
      <w:r>
        <w:rPr>
          <w:rFonts w:cs="Times New Roman"/>
          <w:position w:val="-36"/>
        </w:rPr>
        <w:drawing>
          <wp:inline distT="0" distB="0" distL="114300" distR="114300">
            <wp:extent cx="2571750" cy="533400"/>
            <wp:effectExtent l="0" t="0" r="0" b="0"/>
            <wp:docPr id="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5"/>
                    <pic:cNvPicPr>
                      <a:picLocks noChangeAspect="1"/>
                    </pic:cNvPicPr>
                  </pic:nvPicPr>
                  <pic:blipFill>
                    <a:blip r:embed="rId13"/>
                    <a:stretch>
                      <a:fillRect/>
                    </a:stretch>
                  </pic:blipFill>
                  <pic:spPr>
                    <a:xfrm>
                      <a:off x="0" y="0"/>
                      <a:ext cx="2571750" cy="533400"/>
                    </a:xfrm>
                    <a:prstGeom prst="rect">
                      <a:avLst/>
                    </a:prstGeom>
                    <a:noFill/>
                    <a:ln>
                      <a:noFill/>
                    </a:ln>
                  </pic:spPr>
                </pic:pic>
              </a:graphicData>
            </a:graphic>
          </wp:inline>
        </w:drawing>
      </w:r>
    </w:p>
    <w:p>
      <w:pPr>
        <w:spacing w:line="240" w:lineRule="auto"/>
        <w:ind w:firstLine="1920" w:firstLineChars="800"/>
        <w:jc w:val="left"/>
        <w:rPr>
          <w:rFonts w:cs="Times New Roman"/>
        </w:rPr>
      </w:pPr>
      <w:r>
        <w:rPr>
          <w:rFonts w:cs="Times New Roman"/>
          <w:position w:val="-30"/>
        </w:rPr>
        <w:drawing>
          <wp:inline distT="0" distB="0" distL="114300" distR="114300">
            <wp:extent cx="2562225" cy="466725"/>
            <wp:effectExtent l="0" t="0" r="9525" b="8255"/>
            <wp:docPr id="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4"/>
                    <pic:cNvPicPr>
                      <a:picLocks noChangeAspect="1"/>
                    </pic:cNvPicPr>
                  </pic:nvPicPr>
                  <pic:blipFill>
                    <a:blip r:embed="rId14"/>
                    <a:stretch>
                      <a:fillRect/>
                    </a:stretch>
                  </pic:blipFill>
                  <pic:spPr>
                    <a:xfrm>
                      <a:off x="0" y="0"/>
                      <a:ext cx="2562225" cy="466725"/>
                    </a:xfrm>
                    <a:prstGeom prst="rect">
                      <a:avLst/>
                    </a:prstGeom>
                    <a:noFill/>
                    <a:ln>
                      <a:noFill/>
                    </a:ln>
                  </pic:spPr>
                </pic:pic>
              </a:graphicData>
            </a:graphic>
          </wp:inline>
        </w:drawing>
      </w:r>
    </w:p>
    <w:p>
      <w:pPr>
        <w:ind w:firstLine="480"/>
        <w:rPr>
          <w:rFonts w:cs="Times New Roman"/>
        </w:rPr>
      </w:pPr>
      <w:r>
        <w:rPr>
          <w:rFonts w:cs="Times New Roman"/>
          <w:lang w:bidi="ar"/>
        </w:rPr>
        <w:t>式中：S</w:t>
      </w:r>
      <w:r>
        <w:rPr>
          <w:rFonts w:cs="Times New Roman"/>
          <w:vertAlign w:val="subscript"/>
          <w:lang w:bidi="ar"/>
        </w:rPr>
        <w:t>DO,j</w:t>
      </w:r>
      <w:r>
        <w:rPr>
          <w:rFonts w:cs="Times New Roman"/>
          <w:lang w:bidi="ar"/>
        </w:rPr>
        <w:t>是溶解氧的标准指数；</w:t>
      </w:r>
    </w:p>
    <w:p>
      <w:pPr>
        <w:ind w:firstLine="480"/>
        <w:rPr>
          <w:rFonts w:cs="Times New Roman"/>
        </w:rPr>
      </w:pPr>
      <w:r>
        <w:rPr>
          <w:rFonts w:cs="Times New Roman"/>
          <w:lang w:bidi="ar"/>
        </w:rPr>
        <w:t xml:space="preserve">      DO</w:t>
      </w:r>
      <w:r>
        <w:rPr>
          <w:rFonts w:cs="Times New Roman"/>
          <w:vertAlign w:val="subscript"/>
          <w:lang w:bidi="ar"/>
        </w:rPr>
        <w:t>f</w:t>
      </w:r>
      <w:r>
        <w:rPr>
          <w:rFonts w:cs="Times New Roman"/>
          <w:lang w:bidi="ar"/>
        </w:rPr>
        <w:t>为某水温、气压下饱和溶解氧的溶度，单位mg/L；</w:t>
      </w:r>
    </w:p>
    <w:p>
      <w:pPr>
        <w:ind w:firstLine="480"/>
        <w:rPr>
          <w:rFonts w:cs="Times New Roman"/>
        </w:rPr>
      </w:pPr>
      <w:r>
        <w:rPr>
          <w:rFonts w:cs="Times New Roman"/>
          <w:lang w:bidi="ar"/>
        </w:rPr>
        <w:t xml:space="preserve">      DO</w:t>
      </w:r>
      <w:r>
        <w:rPr>
          <w:rFonts w:cs="Times New Roman"/>
          <w:vertAlign w:val="subscript"/>
          <w:lang w:bidi="ar"/>
        </w:rPr>
        <w:t>j</w:t>
      </w:r>
      <w:r>
        <w:rPr>
          <w:rFonts w:cs="Times New Roman"/>
          <w:lang w:bidi="ar"/>
        </w:rPr>
        <w:t>为溶解氧实测值，单位mg/L；</w:t>
      </w:r>
    </w:p>
    <w:p>
      <w:pPr>
        <w:ind w:firstLine="480"/>
        <w:rPr>
          <w:rFonts w:cs="Times New Roman"/>
        </w:rPr>
      </w:pPr>
      <w:r>
        <w:rPr>
          <w:rFonts w:cs="Times New Roman"/>
          <w:lang w:bidi="ar"/>
        </w:rPr>
        <w:t xml:space="preserve">      DO</w:t>
      </w:r>
      <w:r>
        <w:rPr>
          <w:rFonts w:cs="Times New Roman"/>
          <w:vertAlign w:val="subscript"/>
          <w:lang w:bidi="ar"/>
        </w:rPr>
        <w:t>s</w:t>
      </w:r>
      <w:r>
        <w:rPr>
          <w:rFonts w:cs="Times New Roman"/>
          <w:lang w:bidi="ar"/>
        </w:rPr>
        <w:t>为溶解氧评价标准值，单位mg/L。</w:t>
      </w:r>
    </w:p>
    <w:p>
      <w:pPr>
        <w:ind w:firstLine="480"/>
        <w:rPr>
          <w:rFonts w:cs="Times New Roman"/>
        </w:rPr>
      </w:pPr>
      <w:r>
        <w:rPr>
          <w:rFonts w:cs="Times New Roman"/>
          <w:lang w:bidi="ar"/>
        </w:rPr>
        <w:t>（6）评价结果</w:t>
      </w:r>
    </w:p>
    <w:p>
      <w:pPr>
        <w:ind w:firstLine="480"/>
        <w:rPr>
          <w:rFonts w:cs="Times New Roman"/>
        </w:rPr>
      </w:pPr>
      <w:r>
        <w:rPr>
          <w:rFonts w:cs="Times New Roman"/>
          <w:lang w:bidi="ar"/>
        </w:rPr>
        <w:t>地表水监测结果及评价结果见表</w:t>
      </w:r>
      <w:r>
        <w:rPr>
          <w:rFonts w:hint="eastAsia" w:cs="Times New Roman"/>
          <w:lang w:val="en-US" w:eastAsia="zh-CN" w:bidi="ar"/>
        </w:rPr>
        <w:t>3</w:t>
      </w:r>
      <w:r>
        <w:rPr>
          <w:rFonts w:cs="Times New Roman"/>
          <w:lang w:bidi="ar"/>
        </w:rPr>
        <w:t>.3.2-2。</w:t>
      </w:r>
    </w:p>
    <w:p>
      <w:pPr>
        <w:ind w:firstLine="480"/>
        <w:rPr>
          <w:rFonts w:cs="Times New Roman"/>
          <w:lang w:bidi="ar"/>
        </w:rPr>
      </w:pPr>
      <w:r>
        <w:rPr>
          <w:rFonts w:cs="Times New Roman"/>
          <w:lang w:bidi="ar"/>
        </w:rPr>
        <w:t>根据监测结果，各条河流水质状况分述如下：</w:t>
      </w:r>
    </w:p>
    <w:p>
      <w:pPr>
        <w:ind w:firstLine="480"/>
        <w:rPr>
          <w:rFonts w:cs="Times New Roman"/>
          <w:lang w:bidi="ar"/>
        </w:rPr>
      </w:pPr>
      <w:r>
        <w:rPr>
          <w:rFonts w:cs="Times New Roman"/>
          <w:lang w:bidi="ar"/>
        </w:rPr>
        <w:t>由结果分析可知，监测期间，岱河</w:t>
      </w:r>
      <w:r>
        <w:rPr>
          <w:rFonts w:hint="eastAsia" w:cs="Times New Roman"/>
          <w:lang w:bidi="ar"/>
        </w:rPr>
        <w:t>、</w:t>
      </w:r>
      <w:r>
        <w:rPr>
          <w:rFonts w:cs="Times New Roman"/>
          <w:lang w:bidi="ar"/>
        </w:rPr>
        <w:t>龙河各水质断面各监测因子</w:t>
      </w:r>
      <w:r>
        <w:rPr>
          <w:rFonts w:hint="eastAsia" w:cs="Times New Roman"/>
          <w:lang w:bidi="ar"/>
        </w:rPr>
        <w:t>均可满足</w:t>
      </w:r>
      <w:r>
        <w:rPr>
          <w:rFonts w:cs="Times New Roman"/>
          <w:lang w:bidi="ar"/>
        </w:rPr>
        <w:t>《地表水环境质量标准》（GB3838-2002）中</w:t>
      </w:r>
      <w:r>
        <w:rPr>
          <w:rFonts w:hint="eastAsia" w:ascii="宋体" w:hAnsi="宋体" w:cs="宋体"/>
          <w:lang w:bidi="ar"/>
        </w:rPr>
        <w:t>Ⅳ</w:t>
      </w:r>
      <w:r>
        <w:rPr>
          <w:rFonts w:cs="Times New Roman"/>
          <w:lang w:bidi="ar"/>
        </w:rPr>
        <w:t>类标准要求。</w:t>
      </w:r>
    </w:p>
    <w:p>
      <w:pPr>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.3.2-2  岱河环境质量现状监测结果（单位：mg/L，pH无量纲）</w:t>
      </w:r>
    </w:p>
    <w:tbl>
      <w:tblPr>
        <w:tblStyle w:val="1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19"/>
        <w:gridCol w:w="2069"/>
        <w:gridCol w:w="1636"/>
        <w:gridCol w:w="1636"/>
        <w:gridCol w:w="1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795" w:type="pct"/>
            <w:vAlign w:val="center"/>
          </w:tcPr>
          <w:p>
            <w:pPr>
              <w:adjustRightInd/>
              <w:snapToGrid/>
              <w:spacing w:line="240" w:lineRule="auto"/>
              <w:ind w:firstLine="0" w:firstLineChars="0"/>
              <w:jc w:val="center"/>
              <w:rPr>
                <w:rFonts w:cs="Times New Roman"/>
                <w:b/>
                <w:kern w:val="24"/>
                <w:sz w:val="21"/>
                <w:szCs w:val="18"/>
              </w:rPr>
            </w:pPr>
            <w:r>
              <w:rPr>
                <w:rFonts w:cs="Times New Roman"/>
                <w:b/>
                <w:kern w:val="24"/>
                <w:sz w:val="21"/>
                <w:szCs w:val="18"/>
              </w:rPr>
              <w:t>监测时间</w:t>
            </w:r>
          </w:p>
        </w:tc>
        <w:tc>
          <w:tcPr>
            <w:tcW w:w="1247" w:type="pct"/>
            <w:vAlign w:val="center"/>
          </w:tcPr>
          <w:p>
            <w:pPr>
              <w:adjustRightInd/>
              <w:snapToGrid/>
              <w:spacing w:line="240" w:lineRule="auto"/>
              <w:ind w:firstLine="0" w:firstLineChars="0"/>
              <w:jc w:val="center"/>
              <w:rPr>
                <w:rFonts w:cs="Times New Roman"/>
                <w:b/>
                <w:kern w:val="24"/>
                <w:sz w:val="21"/>
                <w:szCs w:val="18"/>
              </w:rPr>
            </w:pPr>
            <w:r>
              <w:rPr>
                <w:rFonts w:cs="Times New Roman"/>
                <w:b/>
                <w:kern w:val="24"/>
                <w:sz w:val="21"/>
                <w:szCs w:val="18"/>
              </w:rPr>
              <w:t>监测因子</w:t>
            </w:r>
          </w:p>
        </w:tc>
        <w:tc>
          <w:tcPr>
            <w:tcW w:w="986" w:type="pct"/>
            <w:vAlign w:val="center"/>
          </w:tcPr>
          <w:p>
            <w:pPr>
              <w:adjustRightInd/>
              <w:snapToGrid/>
              <w:spacing w:line="240" w:lineRule="auto"/>
              <w:ind w:firstLine="0" w:firstLineChars="0"/>
              <w:jc w:val="center"/>
              <w:rPr>
                <w:rFonts w:cs="Times New Roman"/>
                <w:b/>
                <w:kern w:val="24"/>
                <w:sz w:val="21"/>
                <w:szCs w:val="18"/>
              </w:rPr>
            </w:pPr>
            <w:r>
              <w:rPr>
                <w:rFonts w:cs="Times New Roman"/>
                <w:b/>
                <w:kern w:val="24"/>
                <w:sz w:val="21"/>
                <w:szCs w:val="18"/>
              </w:rPr>
              <w:t>1#</w:t>
            </w:r>
          </w:p>
        </w:tc>
        <w:tc>
          <w:tcPr>
            <w:tcW w:w="986" w:type="pct"/>
            <w:vAlign w:val="center"/>
          </w:tcPr>
          <w:p>
            <w:pPr>
              <w:adjustRightInd/>
              <w:snapToGrid/>
              <w:spacing w:line="240" w:lineRule="auto"/>
              <w:ind w:firstLine="0" w:firstLineChars="0"/>
              <w:jc w:val="center"/>
              <w:rPr>
                <w:rFonts w:cs="Times New Roman"/>
                <w:b/>
                <w:kern w:val="24"/>
                <w:sz w:val="21"/>
                <w:szCs w:val="18"/>
              </w:rPr>
            </w:pPr>
            <w:r>
              <w:rPr>
                <w:rFonts w:cs="Times New Roman"/>
                <w:b/>
                <w:kern w:val="24"/>
                <w:sz w:val="21"/>
                <w:szCs w:val="18"/>
              </w:rPr>
              <w:t>2#</w:t>
            </w:r>
          </w:p>
        </w:tc>
        <w:tc>
          <w:tcPr>
            <w:tcW w:w="986" w:type="pct"/>
            <w:vAlign w:val="center"/>
          </w:tcPr>
          <w:p>
            <w:pPr>
              <w:adjustRightInd/>
              <w:snapToGrid/>
              <w:spacing w:line="240" w:lineRule="auto"/>
              <w:ind w:firstLine="0" w:firstLineChars="0"/>
              <w:jc w:val="center"/>
              <w:rPr>
                <w:rFonts w:cs="Times New Roman"/>
                <w:b/>
                <w:kern w:val="24"/>
                <w:sz w:val="21"/>
                <w:szCs w:val="18"/>
              </w:rPr>
            </w:pPr>
            <w:r>
              <w:rPr>
                <w:rFonts w:cs="Times New Roman"/>
                <w:b/>
                <w:kern w:val="24"/>
                <w:sz w:val="21"/>
                <w:szCs w:val="18"/>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795" w:type="pct"/>
            <w:vMerge w:val="restar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2020.03.03</w:t>
            </w: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pH</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溶解氧</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5.2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6.3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化学需氧量</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18.7</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16.3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五日生化需氧量</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5"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氨氮</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0.328</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0.089</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总磷</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0.18</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0.06</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石油类</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挥发酚</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&lt;0.0003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7"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阴离子表面活性剂</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3" w:hRule="atLeast"/>
          <w:jc w:val="center"/>
        </w:trPr>
        <w:tc>
          <w:tcPr>
            <w:tcW w:w="795" w:type="pct"/>
            <w:vMerge w:val="restar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2020.03.04</w:t>
            </w: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pH</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溶解氧</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5.2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6.3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化学需氧量</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18.1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17.2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五日生化需氧量</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2.4</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氨氮</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0.242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0.186</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总磷</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0.16</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0.06</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石油类</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挥发酚</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0.0003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&lt;0.0003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阴离子表面活性剂</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795" w:type="pct"/>
            <w:vMerge w:val="restar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2020.03.05</w:t>
            </w: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pH</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7.6</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7"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溶解氧</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5.2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6.2</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化学需氧量</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18.7</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18.1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五日生化需氧量</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2.5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氨氮</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0.328</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0.138</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3"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总磷</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0.18</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石油类</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挥发酚</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0.0004</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&lt;0.0003</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9" w:hRule="atLeast"/>
          <w:jc w:val="center"/>
        </w:trPr>
        <w:tc>
          <w:tcPr>
            <w:tcW w:w="795"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247"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阴离子表面活性剂</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c>
          <w:tcPr>
            <w:tcW w:w="986"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&lt;0.05</w:t>
            </w:r>
          </w:p>
        </w:tc>
      </w:tr>
    </w:tbl>
    <w:p>
      <w:pPr>
        <w:spacing w:line="500" w:lineRule="exact"/>
        <w:ind w:firstLine="0" w:firstLineChars="0"/>
        <w:jc w:val="center"/>
        <w:rPr>
          <w:rFonts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.3.2-3  龙河断面水质现状监测结果（单位：mg/L，pH无量纲）</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06"/>
        <w:gridCol w:w="1728"/>
        <w:gridCol w:w="1368"/>
        <w:gridCol w:w="1366"/>
        <w:gridCol w:w="1366"/>
        <w:gridCol w:w="13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666" w:type="pct"/>
            <w:vAlign w:val="center"/>
          </w:tcPr>
          <w:p>
            <w:pPr>
              <w:adjustRightInd/>
              <w:snapToGrid/>
              <w:spacing w:line="240" w:lineRule="auto"/>
              <w:ind w:firstLine="0" w:firstLineChars="0"/>
              <w:jc w:val="center"/>
              <w:rPr>
                <w:rFonts w:cs="Times New Roman"/>
                <w:b/>
                <w:kern w:val="24"/>
                <w:sz w:val="21"/>
                <w:szCs w:val="18"/>
              </w:rPr>
            </w:pPr>
            <w:r>
              <w:rPr>
                <w:rFonts w:hint="eastAsia" w:cs="Times New Roman"/>
                <w:b/>
                <w:kern w:val="24"/>
                <w:sz w:val="21"/>
                <w:szCs w:val="18"/>
              </w:rPr>
              <w:t>断面</w:t>
            </w:r>
          </w:p>
        </w:tc>
        <w:tc>
          <w:tcPr>
            <w:tcW w:w="1041" w:type="pct"/>
            <w:vAlign w:val="center"/>
          </w:tcPr>
          <w:p>
            <w:pPr>
              <w:adjustRightInd/>
              <w:snapToGrid/>
              <w:spacing w:line="240" w:lineRule="auto"/>
              <w:ind w:firstLine="0" w:firstLineChars="0"/>
              <w:jc w:val="center"/>
              <w:rPr>
                <w:rFonts w:cs="Times New Roman"/>
                <w:b/>
                <w:kern w:val="24"/>
                <w:sz w:val="21"/>
                <w:szCs w:val="18"/>
              </w:rPr>
            </w:pPr>
            <w:r>
              <w:rPr>
                <w:rFonts w:cs="Times New Roman"/>
                <w:b/>
                <w:kern w:val="24"/>
                <w:sz w:val="21"/>
                <w:szCs w:val="18"/>
              </w:rPr>
              <w:t>监测因子</w:t>
            </w:r>
          </w:p>
        </w:tc>
        <w:tc>
          <w:tcPr>
            <w:tcW w:w="824" w:type="pct"/>
            <w:vAlign w:val="center"/>
          </w:tcPr>
          <w:p>
            <w:pPr>
              <w:adjustRightInd/>
              <w:snapToGrid/>
              <w:spacing w:line="240" w:lineRule="auto"/>
              <w:ind w:firstLine="0" w:firstLineChars="0"/>
              <w:jc w:val="center"/>
              <w:rPr>
                <w:rFonts w:cs="Times New Roman"/>
                <w:b/>
                <w:kern w:val="24"/>
                <w:sz w:val="21"/>
                <w:szCs w:val="18"/>
              </w:rPr>
            </w:pPr>
            <w:r>
              <w:rPr>
                <w:rFonts w:hint="eastAsia" w:cs="Times New Roman"/>
                <w:b/>
                <w:kern w:val="24"/>
                <w:sz w:val="21"/>
                <w:szCs w:val="18"/>
              </w:rPr>
              <w:t>2020.1</w:t>
            </w:r>
          </w:p>
        </w:tc>
        <w:tc>
          <w:tcPr>
            <w:tcW w:w="823" w:type="pct"/>
            <w:vAlign w:val="center"/>
          </w:tcPr>
          <w:p>
            <w:pPr>
              <w:adjustRightInd/>
              <w:snapToGrid/>
              <w:spacing w:line="240" w:lineRule="auto"/>
              <w:ind w:firstLine="0" w:firstLineChars="0"/>
              <w:jc w:val="center"/>
              <w:rPr>
                <w:rFonts w:cs="Times New Roman"/>
                <w:b/>
                <w:kern w:val="24"/>
                <w:sz w:val="21"/>
                <w:szCs w:val="18"/>
              </w:rPr>
            </w:pPr>
            <w:r>
              <w:rPr>
                <w:rFonts w:hint="eastAsia" w:cs="Times New Roman"/>
                <w:b/>
                <w:kern w:val="24"/>
                <w:sz w:val="21"/>
                <w:szCs w:val="18"/>
              </w:rPr>
              <w:t>2020.</w:t>
            </w:r>
            <w:r>
              <w:rPr>
                <w:rFonts w:cs="Times New Roman"/>
                <w:b/>
                <w:kern w:val="24"/>
                <w:sz w:val="21"/>
                <w:szCs w:val="18"/>
              </w:rPr>
              <w:t>2</w:t>
            </w:r>
          </w:p>
        </w:tc>
        <w:tc>
          <w:tcPr>
            <w:tcW w:w="823" w:type="pct"/>
            <w:vAlign w:val="center"/>
          </w:tcPr>
          <w:p>
            <w:pPr>
              <w:adjustRightInd/>
              <w:snapToGrid/>
              <w:spacing w:line="240" w:lineRule="auto"/>
              <w:ind w:firstLine="0" w:firstLineChars="0"/>
              <w:jc w:val="center"/>
              <w:rPr>
                <w:rFonts w:cs="Times New Roman"/>
                <w:b/>
                <w:kern w:val="24"/>
                <w:sz w:val="21"/>
                <w:szCs w:val="18"/>
              </w:rPr>
            </w:pPr>
            <w:r>
              <w:rPr>
                <w:rFonts w:hint="eastAsia" w:cs="Times New Roman"/>
                <w:b/>
                <w:kern w:val="24"/>
                <w:sz w:val="21"/>
                <w:szCs w:val="18"/>
              </w:rPr>
              <w:t>2020.</w:t>
            </w:r>
            <w:r>
              <w:rPr>
                <w:rFonts w:cs="Times New Roman"/>
                <w:b/>
                <w:kern w:val="24"/>
                <w:sz w:val="21"/>
                <w:szCs w:val="18"/>
              </w:rPr>
              <w:t>3</w:t>
            </w:r>
          </w:p>
        </w:tc>
        <w:tc>
          <w:tcPr>
            <w:tcW w:w="823" w:type="pct"/>
            <w:vAlign w:val="center"/>
          </w:tcPr>
          <w:p>
            <w:pPr>
              <w:adjustRightInd/>
              <w:snapToGrid/>
              <w:spacing w:line="240" w:lineRule="auto"/>
              <w:ind w:firstLine="0" w:firstLineChars="0"/>
              <w:jc w:val="center"/>
              <w:rPr>
                <w:rFonts w:cs="Times New Roman"/>
                <w:b/>
                <w:kern w:val="24"/>
                <w:sz w:val="21"/>
                <w:szCs w:val="18"/>
              </w:rPr>
            </w:pPr>
            <w:r>
              <w:rPr>
                <w:rFonts w:hint="eastAsia" w:cs="Times New Roman"/>
                <w:b/>
                <w:kern w:val="24"/>
                <w:sz w:val="21"/>
                <w:szCs w:val="18"/>
              </w:rPr>
              <w:t>2020.</w:t>
            </w:r>
            <w:r>
              <w:rPr>
                <w:rFonts w:cs="Times New Roman"/>
                <w:b/>
                <w:kern w:val="24"/>
                <w:sz w:val="21"/>
                <w:szCs w:val="18"/>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66" w:type="pct"/>
            <w:vMerge w:val="restart"/>
            <w:vAlign w:val="center"/>
          </w:tcPr>
          <w:p>
            <w:pPr>
              <w:adjustRightInd/>
              <w:snapToGrid/>
              <w:spacing w:line="240" w:lineRule="auto"/>
              <w:ind w:firstLine="0" w:firstLineChars="0"/>
              <w:jc w:val="center"/>
              <w:rPr>
                <w:rFonts w:cs="Times New Roman"/>
                <w:kern w:val="24"/>
                <w:sz w:val="21"/>
                <w:szCs w:val="18"/>
              </w:rPr>
            </w:pPr>
            <w:r>
              <w:rPr>
                <w:rFonts w:hint="eastAsia" w:cs="Times New Roman"/>
                <w:color w:val="FF0000"/>
                <w:sz w:val="21"/>
                <w:szCs w:val="21"/>
              </w:rPr>
              <w:t>龙河</w:t>
            </w:r>
            <w:r>
              <w:rPr>
                <w:rFonts w:cs="Times New Roman"/>
                <w:color w:val="FF0000"/>
                <w:sz w:val="21"/>
                <w:szCs w:val="21"/>
              </w:rPr>
              <w:t>龙湖涵闸下</w:t>
            </w: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pH</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8.02</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8.18</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8.02</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8.20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6"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溶解氧</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8.52</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7.61</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9.86</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8.99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化学需氧量</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22</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24</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22</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高锰酸盐</w:t>
            </w:r>
            <w:r>
              <w:rPr>
                <w:rFonts w:cs="Times New Roman"/>
                <w:kern w:val="24"/>
                <w:sz w:val="21"/>
                <w:szCs w:val="18"/>
              </w:rPr>
              <w:t>指数</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6.3</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6.5</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6.4</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五日生化需氧量</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4.3</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2.74</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4.3</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5"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氨氮</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0.15</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0.331</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0.24</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总磷</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0.08</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0.13</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0.06</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石油类</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0.01L</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0.01L</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0.01L</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0.01L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挥发酚</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0.0005</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0.0003L</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0.0003L</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0.0003L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cs="Times New Roman"/>
                <w:kern w:val="24"/>
                <w:sz w:val="21"/>
                <w:szCs w:val="18"/>
              </w:rPr>
              <w:t>阴离子表面活性剂</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0.08</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0.06</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0.05</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w:t>
            </w:r>
            <w:r>
              <w:rPr>
                <w:rFonts w:cs="Times New Roman"/>
                <w:kern w:val="24"/>
                <w:sz w:val="21"/>
                <w:szCs w:val="18"/>
              </w:rPr>
              <w:t>.</w:t>
            </w:r>
            <w:r>
              <w:rPr>
                <w:rFonts w:hint="eastAsia" w:cs="Times New Roman"/>
                <w:kern w:val="24"/>
                <w:sz w:val="21"/>
                <w:szCs w:val="18"/>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666" w:type="pct"/>
            <w:vMerge w:val="continue"/>
            <w:vAlign w:val="center"/>
          </w:tcPr>
          <w:p>
            <w:pPr>
              <w:adjustRightInd/>
              <w:snapToGrid/>
              <w:spacing w:line="240" w:lineRule="auto"/>
              <w:ind w:firstLine="0" w:firstLineChars="0"/>
              <w:jc w:val="center"/>
              <w:rPr>
                <w:rFonts w:cs="Times New Roman"/>
                <w:b/>
                <w:kern w:val="24"/>
                <w:sz w:val="21"/>
                <w:szCs w:val="18"/>
              </w:rPr>
            </w:pPr>
          </w:p>
        </w:tc>
        <w:tc>
          <w:tcPr>
            <w:tcW w:w="1041"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硫化物</w:t>
            </w:r>
          </w:p>
        </w:tc>
        <w:tc>
          <w:tcPr>
            <w:tcW w:w="824"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0.075</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0.005</w:t>
            </w:r>
            <w:r>
              <w:rPr>
                <w:rFonts w:cs="Times New Roman"/>
                <w:kern w:val="24"/>
                <w:sz w:val="21"/>
                <w:szCs w:val="18"/>
              </w:rPr>
              <w:t>L</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0.006</w:t>
            </w:r>
          </w:p>
        </w:tc>
        <w:tc>
          <w:tcPr>
            <w:tcW w:w="823" w:type="pct"/>
            <w:vAlign w:val="center"/>
          </w:tcPr>
          <w:p>
            <w:pPr>
              <w:adjustRightInd/>
              <w:snapToGrid/>
              <w:spacing w:line="240" w:lineRule="auto"/>
              <w:ind w:firstLine="0" w:firstLineChars="0"/>
              <w:jc w:val="center"/>
              <w:rPr>
                <w:rFonts w:cs="Times New Roman"/>
                <w:kern w:val="24"/>
                <w:sz w:val="21"/>
                <w:szCs w:val="18"/>
              </w:rPr>
            </w:pPr>
            <w:r>
              <w:rPr>
                <w:rFonts w:hint="eastAsia" w:cs="Times New Roman"/>
                <w:kern w:val="24"/>
                <w:sz w:val="21"/>
                <w:szCs w:val="18"/>
              </w:rPr>
              <w:t>0.013</w:t>
            </w:r>
          </w:p>
        </w:tc>
      </w:tr>
    </w:tbl>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.3.3与上一轮规划环评地表水环境质量对比分析</w:t>
      </w:r>
    </w:p>
    <w:p>
      <w:pPr>
        <w:ind w:firstLine="480"/>
        <w:rPr>
          <w:rFonts w:cs="Times New Roman"/>
        </w:rPr>
      </w:pPr>
      <w:r>
        <w:rPr>
          <w:rFonts w:cs="Times New Roman"/>
          <w:lang w:bidi="ar"/>
        </w:rPr>
        <w:t>通过地表水环境质量现状监测，对比上一轮规划环评的历史监测数据，分析近几年区域开发、项目建设对地表水的影响，同时考察期间环境治理成效。</w:t>
      </w:r>
    </w:p>
    <w:p>
      <w:pPr>
        <w:ind w:firstLine="480"/>
        <w:rPr>
          <w:rFonts w:cs="Times New Roman"/>
        </w:rPr>
      </w:pPr>
      <w:r>
        <w:rPr>
          <w:rFonts w:cs="Times New Roman"/>
          <w:lang w:bidi="ar"/>
        </w:rPr>
        <w:t>各水体2010年及2020年前后两次监测主要指标的污染指数对比情况见表4.3.3-1。</w:t>
      </w:r>
    </w:p>
    <w:p>
      <w:pPr>
        <w:spacing w:line="500" w:lineRule="exact"/>
        <w:ind w:firstLine="0" w:firstLineChars="0"/>
        <w:jc w:val="center"/>
        <w:rPr>
          <w:rFonts w:eastAsia="黑体" w:cs="Times New Roman"/>
        </w:rPr>
      </w:pPr>
      <w:r>
        <w:rPr>
          <w:rFonts w:eastAsia="黑体" w:cs="Times New Roman"/>
          <w:lang w:bidi="ar"/>
        </w:rPr>
        <w:t>表4.3.3-1  各水体2010年及2020年前后两次监测</w:t>
      </w:r>
      <w:r>
        <w:rPr>
          <w:rFonts w:hint="eastAsia" w:eastAsia="黑体" w:cs="Times New Roman"/>
          <w:lang w:bidi="ar"/>
        </w:rPr>
        <w:t>平均值</w:t>
      </w:r>
      <w:r>
        <w:rPr>
          <w:rFonts w:eastAsia="黑体" w:cs="Times New Roman"/>
          <w:lang w:bidi="ar"/>
        </w:rPr>
        <w:t>对比</w:t>
      </w:r>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636"/>
        <w:gridCol w:w="960"/>
        <w:gridCol w:w="637"/>
        <w:gridCol w:w="693"/>
        <w:gridCol w:w="647"/>
        <w:gridCol w:w="740"/>
        <w:gridCol w:w="689"/>
        <w:gridCol w:w="702"/>
        <w:gridCol w:w="795"/>
        <w:gridCol w:w="631"/>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pct"/>
            <w:gridSpan w:val="2"/>
            <w:tcBorders>
              <w:top w:val="single" w:color="auto" w:sz="12" w:space="0"/>
              <w:left w:val="nil"/>
              <w:bottom w:val="single" w:color="auto" w:sz="4" w:space="0"/>
              <w:right w:val="single" w:color="auto" w:sz="4" w:space="0"/>
              <w:tl2br w:val="single" w:color="auto" w:sz="4" w:space="0"/>
            </w:tcBorders>
            <w:vAlign w:val="center"/>
          </w:tcPr>
          <w:p>
            <w:pPr>
              <w:widowControl/>
              <w:spacing w:line="240" w:lineRule="auto"/>
              <w:ind w:firstLine="0" w:firstLineChars="0"/>
              <w:jc w:val="center"/>
              <w:rPr>
                <w:rFonts w:cs="Times New Roman"/>
                <w:b/>
                <w:color w:val="FF0000"/>
                <w:kern w:val="0"/>
                <w:sz w:val="18"/>
                <w:szCs w:val="18"/>
                <w:lang w:bidi="en-US"/>
              </w:rPr>
            </w:pPr>
            <w:r>
              <w:rPr>
                <w:rFonts w:cs="Times New Roman"/>
                <w:b/>
                <w:color w:val="FF0000"/>
                <w:kern w:val="0"/>
                <w:sz w:val="18"/>
                <w:szCs w:val="18"/>
                <w:lang w:bidi="en-US"/>
              </w:rPr>
              <w:t xml:space="preserve"> 平均污染指数</w:t>
            </w:r>
          </w:p>
          <w:p>
            <w:pPr>
              <w:widowControl/>
              <w:spacing w:line="240" w:lineRule="auto"/>
              <w:ind w:firstLine="0" w:firstLineChars="0"/>
              <w:rPr>
                <w:rFonts w:cs="Times New Roman"/>
                <w:b/>
                <w:color w:val="FF0000"/>
                <w:kern w:val="0"/>
                <w:sz w:val="18"/>
                <w:szCs w:val="18"/>
                <w:lang w:bidi="en-US"/>
              </w:rPr>
            </w:pPr>
          </w:p>
          <w:p>
            <w:pPr>
              <w:widowControl/>
              <w:spacing w:line="240" w:lineRule="auto"/>
              <w:ind w:firstLine="0" w:firstLineChars="0"/>
              <w:rPr>
                <w:rFonts w:cs="Times New Roman"/>
                <w:b/>
                <w:color w:val="FF0000"/>
                <w:kern w:val="0"/>
                <w:sz w:val="18"/>
                <w:szCs w:val="18"/>
                <w:lang w:bidi="en-US"/>
              </w:rPr>
            </w:pPr>
            <w:r>
              <w:rPr>
                <w:rFonts w:cs="Times New Roman"/>
                <w:b/>
                <w:color w:val="FF0000"/>
                <w:kern w:val="0"/>
                <w:sz w:val="18"/>
                <w:szCs w:val="18"/>
                <w:lang w:bidi="en-US"/>
              </w:rPr>
              <w:t>河流</w:t>
            </w:r>
          </w:p>
        </w:tc>
        <w:tc>
          <w:tcPr>
            <w:tcW w:w="371"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color w:val="FF0000"/>
                <w:kern w:val="0"/>
                <w:sz w:val="18"/>
                <w:szCs w:val="18"/>
                <w:lang w:bidi="en-US"/>
              </w:rPr>
            </w:pPr>
            <w:r>
              <w:rPr>
                <w:rFonts w:cs="Times New Roman"/>
                <w:b/>
                <w:color w:val="FF0000"/>
                <w:kern w:val="0"/>
                <w:sz w:val="21"/>
                <w:szCs w:val="21"/>
                <w:lang w:bidi="ar"/>
              </w:rPr>
              <w:t>pH</w:t>
            </w:r>
          </w:p>
        </w:tc>
        <w:tc>
          <w:tcPr>
            <w:tcW w:w="407"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color w:val="FF0000"/>
                <w:kern w:val="0"/>
                <w:sz w:val="18"/>
                <w:szCs w:val="18"/>
                <w:lang w:bidi="en-US"/>
              </w:rPr>
            </w:pPr>
            <w:r>
              <w:rPr>
                <w:rFonts w:cs="Times New Roman"/>
                <w:b/>
                <w:color w:val="FF0000"/>
                <w:kern w:val="0"/>
                <w:sz w:val="21"/>
                <w:szCs w:val="21"/>
                <w:lang w:bidi="ar"/>
              </w:rPr>
              <w:t>溶解氧</w:t>
            </w:r>
          </w:p>
        </w:tc>
        <w:tc>
          <w:tcPr>
            <w:tcW w:w="440"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color w:val="FF0000"/>
                <w:kern w:val="0"/>
                <w:sz w:val="18"/>
                <w:szCs w:val="18"/>
                <w:lang w:bidi="en-US"/>
              </w:rPr>
            </w:pPr>
            <w:r>
              <w:rPr>
                <w:rFonts w:cs="Times New Roman"/>
                <w:b/>
                <w:color w:val="FF0000"/>
                <w:kern w:val="0"/>
                <w:sz w:val="21"/>
                <w:szCs w:val="21"/>
                <w:lang w:bidi="ar"/>
              </w:rPr>
              <w:t>化学需氧量</w:t>
            </w:r>
          </w:p>
        </w:tc>
        <w:tc>
          <w:tcPr>
            <w:tcW w:w="413"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color w:val="FF0000"/>
                <w:kern w:val="0"/>
                <w:sz w:val="18"/>
                <w:szCs w:val="18"/>
                <w:lang w:bidi="en-US"/>
              </w:rPr>
            </w:pPr>
            <w:r>
              <w:rPr>
                <w:rFonts w:cs="Times New Roman"/>
                <w:b/>
                <w:color w:val="FF0000"/>
                <w:kern w:val="0"/>
                <w:sz w:val="21"/>
                <w:szCs w:val="21"/>
                <w:lang w:bidi="ar"/>
              </w:rPr>
              <w:t>高锰酸盐指数</w:t>
            </w:r>
          </w:p>
        </w:tc>
        <w:tc>
          <w:tcPr>
            <w:tcW w:w="420"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color w:val="FF0000"/>
                <w:kern w:val="0"/>
                <w:sz w:val="18"/>
                <w:szCs w:val="18"/>
                <w:lang w:bidi="en-US"/>
              </w:rPr>
            </w:pPr>
            <w:r>
              <w:rPr>
                <w:rFonts w:cs="Times New Roman"/>
                <w:b/>
                <w:color w:val="FF0000"/>
                <w:kern w:val="0"/>
                <w:sz w:val="21"/>
                <w:szCs w:val="21"/>
                <w:lang w:bidi="ar"/>
              </w:rPr>
              <w:t>BOD</w:t>
            </w:r>
            <w:r>
              <w:rPr>
                <w:rFonts w:cs="Times New Roman"/>
                <w:b/>
                <w:color w:val="FF0000"/>
                <w:kern w:val="0"/>
                <w:sz w:val="21"/>
                <w:szCs w:val="21"/>
                <w:vertAlign w:val="subscript"/>
                <w:lang w:bidi="ar"/>
              </w:rPr>
              <w:t>5</w:t>
            </w:r>
          </w:p>
        </w:tc>
        <w:tc>
          <w:tcPr>
            <w:tcW w:w="427"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color w:val="FF0000"/>
                <w:kern w:val="0"/>
                <w:sz w:val="18"/>
                <w:szCs w:val="18"/>
                <w:lang w:bidi="en-US"/>
              </w:rPr>
            </w:pPr>
            <w:r>
              <w:rPr>
                <w:rFonts w:cs="Times New Roman"/>
                <w:b/>
                <w:color w:val="FF0000"/>
                <w:kern w:val="0"/>
                <w:sz w:val="21"/>
                <w:szCs w:val="21"/>
                <w:lang w:bidi="ar"/>
              </w:rPr>
              <w:t>氨氮</w:t>
            </w:r>
          </w:p>
        </w:tc>
        <w:tc>
          <w:tcPr>
            <w:tcW w:w="428" w:type="pct"/>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b/>
                <w:color w:val="FF0000"/>
                <w:sz w:val="18"/>
                <w:szCs w:val="18"/>
              </w:rPr>
            </w:pPr>
            <w:r>
              <w:rPr>
                <w:rFonts w:cs="Times New Roman"/>
                <w:b/>
                <w:color w:val="FF0000"/>
                <w:kern w:val="0"/>
                <w:sz w:val="21"/>
                <w:szCs w:val="21"/>
                <w:lang w:bidi="ar"/>
              </w:rPr>
              <w:t>石油类</w:t>
            </w:r>
          </w:p>
        </w:tc>
        <w:tc>
          <w:tcPr>
            <w:tcW w:w="440" w:type="pct"/>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color w:val="FF0000"/>
                <w:sz w:val="18"/>
                <w:szCs w:val="18"/>
              </w:rPr>
            </w:pPr>
            <w:r>
              <w:rPr>
                <w:rFonts w:cs="Times New Roman"/>
                <w:b/>
                <w:color w:val="FF0000"/>
                <w:kern w:val="0"/>
                <w:sz w:val="21"/>
                <w:szCs w:val="21"/>
                <w:lang w:bidi="ar"/>
              </w:rPr>
              <w:t>挥发酚</w:t>
            </w:r>
          </w:p>
        </w:tc>
        <w:tc>
          <w:tcPr>
            <w:tcW w:w="428" w:type="pct"/>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bCs/>
                <w:color w:val="FF0000"/>
                <w:kern w:val="0"/>
                <w:sz w:val="21"/>
                <w:szCs w:val="21"/>
              </w:rPr>
            </w:pPr>
            <w:r>
              <w:rPr>
                <w:rFonts w:cs="Times New Roman"/>
                <w:b/>
                <w:color w:val="FF0000"/>
                <w:kern w:val="0"/>
                <w:sz w:val="21"/>
                <w:szCs w:val="21"/>
                <w:lang w:bidi="ar"/>
              </w:rPr>
              <w:t>总磷</w:t>
            </w:r>
          </w:p>
        </w:tc>
        <w:tc>
          <w:tcPr>
            <w:tcW w:w="428" w:type="pct"/>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b/>
                <w:bCs/>
                <w:color w:val="FF0000"/>
                <w:kern w:val="0"/>
                <w:sz w:val="21"/>
                <w:szCs w:val="21"/>
              </w:rPr>
            </w:pPr>
            <w:r>
              <w:rPr>
                <w:rFonts w:cs="Times New Roman"/>
                <w:b/>
                <w:color w:val="FF0000"/>
                <w:kern w:val="0"/>
                <w:sz w:val="21"/>
                <w:szCs w:val="21"/>
                <w:lang w:bidi="ar"/>
              </w:rPr>
              <w:t>硫化物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岱河</w:t>
            </w:r>
          </w:p>
        </w:tc>
        <w:tc>
          <w:tcPr>
            <w:tcW w:w="35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2010</w:t>
            </w:r>
          </w:p>
        </w:tc>
        <w:tc>
          <w:tcPr>
            <w:tcW w:w="37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8.7~8.8</w:t>
            </w:r>
          </w:p>
        </w:tc>
        <w:tc>
          <w:tcPr>
            <w:tcW w:w="40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5.84</w:t>
            </w:r>
          </w:p>
        </w:tc>
        <w:tc>
          <w:tcPr>
            <w:tcW w:w="4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18.2</w:t>
            </w:r>
          </w:p>
        </w:tc>
        <w:tc>
          <w:tcPr>
            <w:tcW w:w="4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4.4</w:t>
            </w:r>
          </w:p>
        </w:tc>
        <w:tc>
          <w:tcPr>
            <w:tcW w:w="42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3.9</w:t>
            </w:r>
          </w:p>
        </w:tc>
        <w:tc>
          <w:tcPr>
            <w:tcW w:w="42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2.42</w:t>
            </w:r>
          </w:p>
        </w:tc>
        <w:tc>
          <w:tcPr>
            <w:tcW w:w="42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0.03</w:t>
            </w:r>
          </w:p>
        </w:tc>
        <w:tc>
          <w:tcPr>
            <w:tcW w:w="44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0.0006</w:t>
            </w:r>
          </w:p>
        </w:tc>
        <w:tc>
          <w:tcPr>
            <w:tcW w:w="428"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0.77</w:t>
            </w:r>
          </w:p>
        </w:tc>
        <w:tc>
          <w:tcPr>
            <w:tcW w:w="428"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tcBorders>
              <w:top w:val="single" w:color="auto" w:sz="4" w:space="0"/>
              <w:left w:val="nil"/>
              <w:bottom w:val="single" w:color="auto" w:sz="4" w:space="0"/>
              <w:right w:val="single" w:color="auto" w:sz="4" w:space="0"/>
            </w:tcBorders>
            <w:vAlign w:val="center"/>
          </w:tcPr>
          <w:p>
            <w:pPr>
              <w:spacing w:line="240" w:lineRule="auto"/>
              <w:ind w:firstLine="420"/>
              <w:rPr>
                <w:rFonts w:cs="Times New Roman"/>
                <w:color w:val="FF0000"/>
                <w:sz w:val="21"/>
                <w:szCs w:val="21"/>
              </w:rPr>
            </w:pPr>
          </w:p>
        </w:tc>
        <w:tc>
          <w:tcPr>
            <w:tcW w:w="35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2020</w:t>
            </w:r>
          </w:p>
        </w:tc>
        <w:tc>
          <w:tcPr>
            <w:tcW w:w="37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7.2</w:t>
            </w:r>
            <w:r>
              <w:rPr>
                <w:rFonts w:cs="Times New Roman"/>
                <w:color w:val="FF0000"/>
                <w:kern w:val="0"/>
                <w:sz w:val="21"/>
                <w:szCs w:val="21"/>
                <w:lang w:bidi="en-US"/>
              </w:rPr>
              <w:t>~7.7</w:t>
            </w:r>
          </w:p>
        </w:tc>
        <w:tc>
          <w:tcPr>
            <w:tcW w:w="40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6.05</w:t>
            </w:r>
          </w:p>
        </w:tc>
        <w:tc>
          <w:tcPr>
            <w:tcW w:w="4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16.9</w:t>
            </w:r>
          </w:p>
        </w:tc>
        <w:tc>
          <w:tcPr>
            <w:tcW w:w="4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w:t>
            </w:r>
          </w:p>
        </w:tc>
        <w:tc>
          <w:tcPr>
            <w:tcW w:w="42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2.3</w:t>
            </w:r>
          </w:p>
        </w:tc>
        <w:tc>
          <w:tcPr>
            <w:tcW w:w="427" w:type="pct"/>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ind w:firstLine="0" w:firstLineChars="0"/>
              <w:jc w:val="center"/>
              <w:rPr>
                <w:rFonts w:cs="Times New Roman"/>
                <w:color w:val="FF0000"/>
                <w:kern w:val="24"/>
                <w:sz w:val="21"/>
                <w:szCs w:val="18"/>
              </w:rPr>
            </w:pPr>
            <w:r>
              <w:rPr>
                <w:rFonts w:cs="Times New Roman"/>
                <w:color w:val="FF0000"/>
                <w:kern w:val="24"/>
                <w:sz w:val="21"/>
                <w:szCs w:val="18"/>
              </w:rPr>
              <w:t>0.1</w:t>
            </w:r>
          </w:p>
        </w:tc>
        <w:tc>
          <w:tcPr>
            <w:tcW w:w="42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24"/>
                <w:sz w:val="21"/>
                <w:szCs w:val="18"/>
              </w:rPr>
              <w:t>&lt;0.01</w:t>
            </w:r>
          </w:p>
        </w:tc>
        <w:tc>
          <w:tcPr>
            <w:tcW w:w="44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24"/>
                <w:sz w:val="21"/>
                <w:szCs w:val="18"/>
              </w:rPr>
              <w:t>&lt;0.01</w:t>
            </w:r>
          </w:p>
        </w:tc>
        <w:tc>
          <w:tcPr>
            <w:tcW w:w="428"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0.09</w:t>
            </w:r>
          </w:p>
        </w:tc>
        <w:tc>
          <w:tcPr>
            <w:tcW w:w="428"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tcBorders>
              <w:top w:val="single" w:color="auto" w:sz="4" w:space="0"/>
              <w:left w:val="nil"/>
              <w:right w:val="single" w:color="auto" w:sz="4" w:space="0"/>
            </w:tcBorders>
            <w:vAlign w:val="center"/>
          </w:tcPr>
          <w:p>
            <w:pPr>
              <w:spacing w:line="240" w:lineRule="auto"/>
              <w:ind w:firstLine="0" w:firstLineChars="0"/>
              <w:jc w:val="center"/>
              <w:rPr>
                <w:rFonts w:cs="Times New Roman"/>
                <w:color w:val="FF0000"/>
                <w:sz w:val="21"/>
                <w:szCs w:val="21"/>
              </w:rPr>
            </w:pPr>
            <w:r>
              <w:rPr>
                <w:rFonts w:cs="Times New Roman"/>
                <w:color w:val="FF0000"/>
                <w:kern w:val="0"/>
                <w:sz w:val="21"/>
                <w:szCs w:val="21"/>
                <w:lang w:bidi="en-US"/>
              </w:rPr>
              <w:t>龙河</w:t>
            </w:r>
          </w:p>
        </w:tc>
        <w:tc>
          <w:tcPr>
            <w:tcW w:w="359"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2010</w:t>
            </w:r>
          </w:p>
        </w:tc>
        <w:tc>
          <w:tcPr>
            <w:tcW w:w="371"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8.7~8.8</w:t>
            </w:r>
          </w:p>
        </w:tc>
        <w:tc>
          <w:tcPr>
            <w:tcW w:w="40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3.99</w:t>
            </w:r>
          </w:p>
        </w:tc>
        <w:tc>
          <w:tcPr>
            <w:tcW w:w="44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58</w:t>
            </w:r>
          </w:p>
        </w:tc>
        <w:tc>
          <w:tcPr>
            <w:tcW w:w="413"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14.3</w:t>
            </w:r>
          </w:p>
        </w:tc>
        <w:tc>
          <w:tcPr>
            <w:tcW w:w="420"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4.2</w:t>
            </w:r>
          </w:p>
        </w:tc>
        <w:tc>
          <w:tcPr>
            <w:tcW w:w="427"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11.67</w:t>
            </w:r>
          </w:p>
        </w:tc>
        <w:tc>
          <w:tcPr>
            <w:tcW w:w="428" w:type="pct"/>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0.04</w:t>
            </w:r>
          </w:p>
        </w:tc>
        <w:tc>
          <w:tcPr>
            <w:tcW w:w="440"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0.0036</w:t>
            </w:r>
          </w:p>
        </w:tc>
        <w:tc>
          <w:tcPr>
            <w:tcW w:w="428"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0.23</w:t>
            </w:r>
          </w:p>
        </w:tc>
        <w:tc>
          <w:tcPr>
            <w:tcW w:w="428" w:type="pct"/>
            <w:tcBorders>
              <w:top w:val="single" w:color="auto" w:sz="4" w:space="0"/>
              <w:left w:val="single" w:color="auto" w:sz="4" w:space="0"/>
              <w:bottom w:val="single" w:color="auto" w:sz="4"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tcBorders>
              <w:left w:val="nil"/>
              <w:bottom w:val="single" w:color="auto" w:sz="12" w:space="0"/>
              <w:right w:val="single" w:color="auto" w:sz="4" w:space="0"/>
            </w:tcBorders>
            <w:vAlign w:val="center"/>
          </w:tcPr>
          <w:p>
            <w:pPr>
              <w:spacing w:line="240" w:lineRule="auto"/>
              <w:ind w:firstLine="420"/>
              <w:rPr>
                <w:rFonts w:cs="Times New Roman"/>
                <w:color w:val="FF0000"/>
                <w:sz w:val="21"/>
                <w:szCs w:val="21"/>
              </w:rPr>
            </w:pPr>
          </w:p>
        </w:tc>
        <w:tc>
          <w:tcPr>
            <w:tcW w:w="359"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0"/>
                <w:sz w:val="21"/>
                <w:szCs w:val="21"/>
                <w:lang w:bidi="en-US"/>
              </w:rPr>
              <w:t>2020</w:t>
            </w:r>
          </w:p>
        </w:tc>
        <w:tc>
          <w:tcPr>
            <w:tcW w:w="371"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8.02</w:t>
            </w:r>
            <w:r>
              <w:rPr>
                <w:rFonts w:cs="Times New Roman"/>
                <w:color w:val="FF0000"/>
                <w:kern w:val="0"/>
                <w:sz w:val="21"/>
                <w:szCs w:val="21"/>
                <w:lang w:bidi="en-US"/>
              </w:rPr>
              <w:t>~8.2</w:t>
            </w:r>
          </w:p>
        </w:tc>
        <w:tc>
          <w:tcPr>
            <w:tcW w:w="407"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8.75</w:t>
            </w:r>
          </w:p>
        </w:tc>
        <w:tc>
          <w:tcPr>
            <w:tcW w:w="440"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23.3</w:t>
            </w:r>
          </w:p>
        </w:tc>
        <w:tc>
          <w:tcPr>
            <w:tcW w:w="413"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6.6</w:t>
            </w:r>
          </w:p>
        </w:tc>
        <w:tc>
          <w:tcPr>
            <w:tcW w:w="420"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4.0</w:t>
            </w:r>
          </w:p>
        </w:tc>
        <w:tc>
          <w:tcPr>
            <w:tcW w:w="427"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0.225</w:t>
            </w:r>
          </w:p>
        </w:tc>
        <w:tc>
          <w:tcPr>
            <w:tcW w:w="428" w:type="pct"/>
            <w:tcBorders>
              <w:top w:val="single" w:color="auto" w:sz="4" w:space="0"/>
              <w:left w:val="single" w:color="auto" w:sz="4" w:space="0"/>
              <w:bottom w:val="single" w:color="auto" w:sz="12" w:space="0"/>
              <w:right w:val="single" w:color="auto" w:sz="4" w:space="0"/>
            </w:tcBorders>
            <w:vAlign w:val="center"/>
          </w:tcPr>
          <w:p>
            <w:pPr>
              <w:widowControl/>
              <w:spacing w:line="240" w:lineRule="auto"/>
              <w:ind w:firstLine="0" w:firstLineChars="0"/>
              <w:jc w:val="center"/>
              <w:rPr>
                <w:rFonts w:cs="Times New Roman"/>
                <w:color w:val="FF0000"/>
                <w:kern w:val="0"/>
                <w:sz w:val="21"/>
                <w:szCs w:val="21"/>
                <w:lang w:bidi="en-US"/>
              </w:rPr>
            </w:pPr>
            <w:r>
              <w:rPr>
                <w:rFonts w:cs="Times New Roman"/>
                <w:color w:val="FF0000"/>
                <w:kern w:val="24"/>
                <w:sz w:val="21"/>
                <w:szCs w:val="18"/>
              </w:rPr>
              <w:t>&lt;0.01</w:t>
            </w:r>
          </w:p>
        </w:tc>
        <w:tc>
          <w:tcPr>
            <w:tcW w:w="440" w:type="pct"/>
            <w:tcBorders>
              <w:top w:val="single" w:color="auto" w:sz="4" w:space="0"/>
              <w:left w:val="single" w:color="auto" w:sz="4" w:space="0"/>
              <w:bottom w:val="single" w:color="auto" w:sz="12"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0.0002</w:t>
            </w:r>
          </w:p>
        </w:tc>
        <w:tc>
          <w:tcPr>
            <w:tcW w:w="428" w:type="pct"/>
            <w:tcBorders>
              <w:top w:val="single" w:color="auto" w:sz="4" w:space="0"/>
              <w:left w:val="single" w:color="auto" w:sz="4" w:space="0"/>
              <w:bottom w:val="single" w:color="auto" w:sz="12"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0.08</w:t>
            </w:r>
          </w:p>
        </w:tc>
        <w:tc>
          <w:tcPr>
            <w:tcW w:w="428" w:type="pct"/>
            <w:tcBorders>
              <w:top w:val="single" w:color="auto" w:sz="4" w:space="0"/>
              <w:left w:val="single" w:color="auto" w:sz="4" w:space="0"/>
              <w:bottom w:val="single" w:color="auto" w:sz="12" w:space="0"/>
              <w:right w:val="nil"/>
            </w:tcBorders>
            <w:vAlign w:val="center"/>
          </w:tcPr>
          <w:p>
            <w:pPr>
              <w:widowControl/>
              <w:spacing w:line="240" w:lineRule="auto"/>
              <w:ind w:firstLine="0" w:firstLineChars="0"/>
              <w:jc w:val="center"/>
              <w:rPr>
                <w:rFonts w:cs="Times New Roman"/>
                <w:color w:val="FF0000"/>
                <w:kern w:val="0"/>
                <w:sz w:val="21"/>
                <w:szCs w:val="21"/>
                <w:lang w:bidi="en-US"/>
              </w:rPr>
            </w:pPr>
            <w:r>
              <w:rPr>
                <w:rFonts w:hint="eastAsia" w:cs="Times New Roman"/>
                <w:color w:val="FF0000"/>
                <w:kern w:val="0"/>
                <w:sz w:val="21"/>
                <w:szCs w:val="21"/>
                <w:lang w:bidi="en-US"/>
              </w:rPr>
              <w:t>0.031</w:t>
            </w:r>
          </w:p>
        </w:tc>
      </w:tr>
    </w:tbl>
    <w:p>
      <w:pPr>
        <w:ind w:firstLine="480"/>
        <w:rPr>
          <w:rFonts w:cs="Times New Roman"/>
          <w:color w:val="FF0000"/>
        </w:rPr>
      </w:pPr>
      <w:r>
        <w:rPr>
          <w:rFonts w:cs="Times New Roman"/>
          <w:color w:val="FF0000"/>
          <w:lang w:bidi="ar"/>
        </w:rPr>
        <w:t>由表</w:t>
      </w:r>
      <w:r>
        <w:rPr>
          <w:rFonts w:hint="eastAsia" w:cs="Times New Roman"/>
          <w:color w:val="FF0000"/>
          <w:lang w:val="en-US" w:eastAsia="zh-CN" w:bidi="ar"/>
        </w:rPr>
        <w:t>3</w:t>
      </w:r>
      <w:r>
        <w:rPr>
          <w:rFonts w:cs="Times New Roman"/>
          <w:color w:val="FF0000"/>
          <w:lang w:bidi="ar"/>
        </w:rPr>
        <w:t>.3.3-1可知，与2010年相比，岱河水质指标</w:t>
      </w:r>
      <w:r>
        <w:rPr>
          <w:rFonts w:hint="eastAsia" w:cs="Times New Roman"/>
          <w:color w:val="FF0000"/>
          <w:lang w:bidi="ar"/>
        </w:rPr>
        <w:t>COD、</w:t>
      </w:r>
      <w:r>
        <w:rPr>
          <w:rFonts w:cs="Times New Roman"/>
          <w:color w:val="FF0000"/>
          <w:lang w:bidi="en-US"/>
        </w:rPr>
        <w:t>BOD</w:t>
      </w:r>
      <w:r>
        <w:rPr>
          <w:rFonts w:cs="Times New Roman"/>
          <w:color w:val="FF0000"/>
          <w:vertAlign w:val="subscript"/>
          <w:lang w:bidi="en-US"/>
        </w:rPr>
        <w:t>5</w:t>
      </w:r>
      <w:r>
        <w:rPr>
          <w:rFonts w:cs="Times New Roman"/>
          <w:color w:val="FF0000"/>
          <w:lang w:bidi="en-US"/>
        </w:rPr>
        <w:t>、氨氮、</w:t>
      </w:r>
      <w:r>
        <w:rPr>
          <w:rFonts w:hint="eastAsia" w:cs="Times New Roman"/>
          <w:color w:val="FF0000"/>
          <w:lang w:bidi="en-US"/>
        </w:rPr>
        <w:t>石油类</w:t>
      </w:r>
      <w:r>
        <w:rPr>
          <w:rFonts w:cs="Times New Roman"/>
          <w:color w:val="FF0000"/>
          <w:lang w:bidi="en-US"/>
        </w:rPr>
        <w:t>、挥发酚、总磷</w:t>
      </w:r>
      <w:r>
        <w:rPr>
          <w:rFonts w:hint="eastAsia" w:cs="Times New Roman"/>
          <w:color w:val="FF0000"/>
          <w:lang w:bidi="ar"/>
        </w:rPr>
        <w:t>均有一定程度降低，</w:t>
      </w:r>
      <w:r>
        <w:rPr>
          <w:rFonts w:cs="Times New Roman"/>
          <w:color w:val="FF0000"/>
          <w:lang w:bidi="ar"/>
        </w:rPr>
        <w:t>岱河水质目前可满足</w:t>
      </w:r>
      <w:r>
        <w:rPr>
          <w:rFonts w:hint="eastAsia" w:cs="Times New Roman"/>
          <w:color w:val="FF0000"/>
          <w:lang w:bidi="ar"/>
        </w:rPr>
        <w:t>《</w:t>
      </w:r>
      <w:r>
        <w:rPr>
          <w:rFonts w:cs="Times New Roman"/>
        </w:rPr>
        <w:t>地表水环境质量标准》（GB3838－2002）</w:t>
      </w:r>
      <w:r>
        <w:rPr>
          <w:rFonts w:hint="eastAsia" w:cs="Times New Roman"/>
        </w:rPr>
        <w:t>中</w:t>
      </w:r>
      <w:r>
        <w:rPr>
          <w:rFonts w:cs="Times New Roman"/>
        </w:rPr>
        <w:t>的</w:t>
      </w:r>
      <w:r>
        <w:rPr>
          <w:rFonts w:cs="Times New Roman"/>
        </w:rPr>
        <w:fldChar w:fldCharType="begin"/>
      </w:r>
      <w:r>
        <w:rPr>
          <w:rFonts w:cs="Times New Roman"/>
        </w:rPr>
        <w:instrText xml:space="preserve"> = 4 \* ROMAN </w:instrText>
      </w:r>
      <w:r>
        <w:rPr>
          <w:rFonts w:cs="Times New Roman"/>
        </w:rPr>
        <w:fldChar w:fldCharType="separate"/>
      </w:r>
      <w:r>
        <w:rPr>
          <w:rFonts w:cs="Times New Roman"/>
        </w:rPr>
        <w:t>IV</w:t>
      </w:r>
      <w:r>
        <w:rPr>
          <w:rFonts w:cs="Times New Roman"/>
        </w:rPr>
        <w:fldChar w:fldCharType="end"/>
      </w:r>
      <w:r>
        <w:rPr>
          <w:rFonts w:cs="Times New Roman"/>
        </w:rPr>
        <w:t>类标准</w:t>
      </w:r>
      <w:r>
        <w:rPr>
          <w:rFonts w:hint="eastAsia" w:cs="Times New Roman"/>
        </w:rPr>
        <w:t>要求</w:t>
      </w:r>
      <w:r>
        <w:rPr>
          <w:rFonts w:hint="eastAsia" w:cs="Times New Roman"/>
          <w:color w:val="FF0000"/>
          <w:lang w:bidi="ar"/>
        </w:rPr>
        <w:t>。</w:t>
      </w:r>
      <w:r>
        <w:rPr>
          <w:rFonts w:cs="Times New Roman"/>
          <w:color w:val="FF0000"/>
          <w:lang w:bidi="ar"/>
        </w:rPr>
        <w:t>与2010年相比，龙河水质指标</w:t>
      </w:r>
      <w:r>
        <w:rPr>
          <w:rFonts w:hint="eastAsia" w:cs="Times New Roman"/>
          <w:color w:val="FF0000"/>
          <w:lang w:bidi="ar"/>
        </w:rPr>
        <w:t>均有一定程度</w:t>
      </w:r>
      <w:r>
        <w:rPr>
          <w:rFonts w:cs="Times New Roman"/>
          <w:color w:val="FF0000"/>
          <w:lang w:bidi="ar"/>
        </w:rPr>
        <w:t>降低，对照</w:t>
      </w:r>
      <w:r>
        <w:rPr>
          <w:rFonts w:hint="eastAsia" w:cs="Times New Roman"/>
          <w:color w:val="FF0000"/>
          <w:lang w:bidi="ar"/>
        </w:rPr>
        <w:t>《</w:t>
      </w:r>
      <w:r>
        <w:rPr>
          <w:rFonts w:cs="Times New Roman"/>
        </w:rPr>
        <w:t>地表水环境质量标准》（GB3838－2002）</w:t>
      </w:r>
      <w:r>
        <w:rPr>
          <w:rFonts w:hint="eastAsia" w:cs="Times New Roman"/>
        </w:rPr>
        <w:t>，</w:t>
      </w:r>
      <w:r>
        <w:rPr>
          <w:rFonts w:cs="Times New Roman"/>
        </w:rPr>
        <w:t>龙河目前水质可满足</w:t>
      </w:r>
      <w:r>
        <w:rPr>
          <w:rFonts w:hint="eastAsia" w:cs="Times New Roman"/>
          <w:color w:val="FF0000"/>
          <w:lang w:bidi="ar"/>
        </w:rPr>
        <w:t>《</w:t>
      </w:r>
      <w:r>
        <w:rPr>
          <w:rFonts w:cs="Times New Roman"/>
        </w:rPr>
        <w:t>地表水环境质量标准》（GB3838－2002）</w:t>
      </w:r>
      <w:r>
        <w:rPr>
          <w:rFonts w:hint="eastAsia" w:cs="Times New Roman"/>
        </w:rPr>
        <w:t>中</w:t>
      </w:r>
      <w:r>
        <w:rPr>
          <w:rFonts w:cs="Times New Roman"/>
        </w:rPr>
        <w:t>的</w:t>
      </w:r>
      <w:r>
        <w:rPr>
          <w:rFonts w:cs="Times New Roman"/>
        </w:rPr>
        <w:fldChar w:fldCharType="begin"/>
      </w:r>
      <w:r>
        <w:rPr>
          <w:rFonts w:cs="Times New Roman"/>
        </w:rPr>
        <w:instrText xml:space="preserve"> = 4 \* ROMAN </w:instrText>
      </w:r>
      <w:r>
        <w:rPr>
          <w:rFonts w:cs="Times New Roman"/>
        </w:rPr>
        <w:fldChar w:fldCharType="separate"/>
      </w:r>
      <w:r>
        <w:rPr>
          <w:rFonts w:cs="Times New Roman"/>
        </w:rPr>
        <w:t>IV</w:t>
      </w:r>
      <w:r>
        <w:rPr>
          <w:rFonts w:cs="Times New Roman"/>
        </w:rPr>
        <w:fldChar w:fldCharType="end"/>
      </w:r>
      <w:r>
        <w:rPr>
          <w:rFonts w:cs="Times New Roman"/>
        </w:rPr>
        <w:t>类标准</w:t>
      </w:r>
      <w:r>
        <w:rPr>
          <w:rFonts w:hint="eastAsia" w:cs="Times New Roman"/>
        </w:rPr>
        <w:t>要求</w:t>
      </w:r>
      <w:r>
        <w:rPr>
          <w:rFonts w:cs="Times New Roman"/>
          <w:color w:val="FF0000"/>
          <w:lang w:bidi="ar"/>
        </w:rPr>
        <w:t>。</w:t>
      </w:r>
    </w:p>
    <w:p>
      <w:pPr>
        <w:ind w:firstLine="480"/>
        <w:rPr>
          <w:rFonts w:cs="Times New Roman"/>
          <w:lang w:bidi="ar"/>
        </w:rPr>
      </w:pPr>
      <w:r>
        <w:rPr>
          <w:rFonts w:cs="Times New Roman"/>
          <w:lang w:bidi="ar"/>
        </w:rPr>
        <w:t>根据</w:t>
      </w:r>
      <w:r>
        <w:rPr>
          <w:rFonts w:cs="Times New Roman"/>
        </w:rPr>
        <w:t>上一轮</w:t>
      </w:r>
      <w:r>
        <w:rPr>
          <w:rFonts w:cs="Times New Roman"/>
          <w:lang w:bidi="ar"/>
        </w:rPr>
        <w:t>规划环评环境保护规划目标：各水环境满足相应《地表水环境质量标准》（GB3838-2002）要求，区域内工业废水和生活污水集中排放至龙湖污水处理厂。目前，开发区内主要地表水体岱河</w:t>
      </w:r>
      <w:r>
        <w:rPr>
          <w:rFonts w:hint="eastAsia" w:cs="Times New Roman"/>
          <w:lang w:bidi="ar"/>
        </w:rPr>
        <w:t>及</w:t>
      </w:r>
      <w:r>
        <w:rPr>
          <w:rFonts w:cs="Times New Roman"/>
          <w:lang w:bidi="ar"/>
        </w:rPr>
        <w:t>纳污水体龙河均能满足《地表水环境质量标准》（GB3838-2002）中的</w:t>
      </w:r>
      <w:r>
        <w:rPr>
          <w:rFonts w:hint="eastAsia" w:ascii="宋体" w:hAnsi="宋体" w:cs="宋体"/>
          <w:lang w:bidi="ar"/>
        </w:rPr>
        <w:t>Ⅳ</w:t>
      </w:r>
      <w:r>
        <w:rPr>
          <w:rFonts w:cs="Times New Roman"/>
          <w:lang w:bidi="ar"/>
        </w:rPr>
        <w:t>类标准。</w:t>
      </w:r>
    </w:p>
    <w:p>
      <w:pPr>
        <w:ind w:firstLine="480"/>
        <w:rPr>
          <w:rFonts w:cs="Times New Roman"/>
          <w:lang w:bidi="ar"/>
        </w:rPr>
      </w:pPr>
      <w:r>
        <w:rPr>
          <w:rFonts w:cs="Times New Roman"/>
          <w:lang w:bidi="ar"/>
        </w:rPr>
        <w:t>为保证区域内地表水体水质稳定达标，要求开发区在保证区内企业工业废水接管率达到100%要求的基础上，应加快推进开发区及周边居民生活污水的削减计划，完善管网铺设；同时做好废水排放监管工作，避免河流水质恶化。</w:t>
      </w:r>
    </w:p>
    <w:p>
      <w:pPr>
        <w:ind w:firstLine="0" w:firstLineChars="0"/>
        <w:jc w:val="left"/>
        <w:outlineLvl w:val="1"/>
        <w:rPr>
          <w:rFonts w:eastAsia="黑体" w:cs="Times New Roman"/>
          <w:sz w:val="32"/>
        </w:rPr>
      </w:pPr>
      <w:bookmarkStart w:id="4" w:name="_Toc40103123"/>
      <w:r>
        <w:rPr>
          <w:rFonts w:hint="eastAsia" w:eastAsia="黑体" w:cs="Times New Roman"/>
          <w:sz w:val="32"/>
          <w:lang w:val="en-US" w:eastAsia="zh-CN"/>
        </w:rPr>
        <w:t>3</w:t>
      </w:r>
      <w:r>
        <w:rPr>
          <w:rFonts w:eastAsia="黑体" w:cs="Times New Roman"/>
          <w:sz w:val="32"/>
        </w:rPr>
        <w:t>.4声环境质量跟踪评价</w:t>
      </w:r>
      <w:bookmarkEnd w:id="4"/>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.4.1声环境历史监测资料</w:t>
      </w:r>
    </w:p>
    <w:p>
      <w:pPr>
        <w:ind w:firstLine="480"/>
        <w:rPr>
          <w:rFonts w:cs="Times New Roman"/>
        </w:rPr>
      </w:pPr>
      <w:r>
        <w:rPr>
          <w:rFonts w:cs="Times New Roman"/>
          <w:lang w:bidi="ar"/>
        </w:rPr>
        <w:t>声环境历史监测数据为上一轮规划环评中的监测数据。上一轮规划环评声环境质量现状评价参考网格法设点，每1000m×1000m处设1个噪声监测点（测点避让道路、企业固定源），同时兼顾功能分区及内部声环境敏感点，网格布点一共布设9个测点，同时，在贯穿开发区的萧淮路上设置一个监测断面，监测断面在萧淮路靠近开发区内居住区边缘10m、35m、80m和120m处各布设一个交通噪声监测点位，共4个监测点位。监测时间为</w:t>
      </w:r>
      <w:r>
        <w:rPr>
          <w:rFonts w:cs="Times New Roman"/>
          <w:szCs w:val="24"/>
          <w:lang w:bidi="ar"/>
        </w:rPr>
        <w:t>2010年8月5日~6日，</w:t>
      </w:r>
      <w:r>
        <w:rPr>
          <w:rFonts w:cs="Times New Roman"/>
          <w:lang w:bidi="ar"/>
        </w:rPr>
        <w:t>监测数据统计见表</w:t>
      </w:r>
      <w:r>
        <w:rPr>
          <w:rFonts w:hint="eastAsia" w:cs="Times New Roman"/>
          <w:lang w:val="en-US" w:eastAsia="zh-CN" w:bidi="ar"/>
        </w:rPr>
        <w:t>3</w:t>
      </w:r>
      <w:r>
        <w:rPr>
          <w:rFonts w:cs="Times New Roman"/>
          <w:lang w:bidi="ar"/>
        </w:rPr>
        <w:t>.4.1-1。</w:t>
      </w:r>
    </w:p>
    <w:p>
      <w:pPr>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.4.1-1  噪声监测结果（dB(A)）</w:t>
      </w:r>
    </w:p>
    <w:tbl>
      <w:tblPr>
        <w:tblStyle w:val="1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850"/>
        <w:gridCol w:w="1855"/>
        <w:gridCol w:w="1850"/>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Merge w:val="restart"/>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 xml:space="preserve">监测点     </w:t>
            </w:r>
          </w:p>
        </w:tc>
        <w:tc>
          <w:tcPr>
            <w:tcW w:w="2175" w:type="pct"/>
            <w:gridSpan w:val="2"/>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2010年8月5日</w:t>
            </w:r>
          </w:p>
        </w:tc>
        <w:tc>
          <w:tcPr>
            <w:tcW w:w="2172" w:type="pct"/>
            <w:gridSpan w:val="2"/>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2010年8月6日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Merge w:val="continue"/>
            <w:vAlign w:val="center"/>
          </w:tcPr>
          <w:p>
            <w:pPr>
              <w:spacing w:line="240" w:lineRule="auto"/>
              <w:ind w:firstLine="0" w:firstLineChars="0"/>
              <w:jc w:val="center"/>
              <w:rPr>
                <w:rFonts w:cs="Times New Roman"/>
                <w:b/>
                <w:snapToGrid w:val="0"/>
                <w:sz w:val="21"/>
                <w:szCs w:val="21"/>
              </w:rPr>
            </w:pPr>
          </w:p>
        </w:tc>
        <w:tc>
          <w:tcPr>
            <w:tcW w:w="1086" w:type="pct"/>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昼间</w:t>
            </w:r>
          </w:p>
        </w:tc>
        <w:tc>
          <w:tcPr>
            <w:tcW w:w="1088" w:type="pct"/>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夜间</w:t>
            </w:r>
          </w:p>
        </w:tc>
        <w:tc>
          <w:tcPr>
            <w:tcW w:w="1086" w:type="pct"/>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昼间</w:t>
            </w:r>
          </w:p>
        </w:tc>
        <w:tc>
          <w:tcPr>
            <w:tcW w:w="1086" w:type="pct"/>
            <w:vAlign w:val="center"/>
          </w:tcPr>
          <w:p>
            <w:pPr>
              <w:widowControl/>
              <w:spacing w:line="240" w:lineRule="auto"/>
              <w:ind w:firstLine="0" w:firstLineChars="0"/>
              <w:jc w:val="center"/>
              <w:rPr>
                <w:rFonts w:cs="Times New Roman"/>
                <w:b/>
                <w:kern w:val="0"/>
                <w:sz w:val="21"/>
                <w:szCs w:val="21"/>
              </w:rPr>
            </w:pPr>
            <w:r>
              <w:rPr>
                <w:rFonts w:cs="Times New Roman"/>
                <w:b/>
                <w:kern w:val="0"/>
                <w:sz w:val="21"/>
                <w:szCs w:val="21"/>
                <w:lang w:bidi="ar"/>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1#</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49.3</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46.8</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48.3</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2#</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49.3</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45.2</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48.6</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3#</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54.8</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50.0</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55.5</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4#</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48.7</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44.5</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49.0</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5#</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48.2</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45.2</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49.0</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6#</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57.4</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49.6</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57.8</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7#</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48.5</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44.8</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48.4</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8#</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48.9</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45.7</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48.2</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9#</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48.3</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44.3</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47.5</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10#</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62.1</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49.8</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63.8</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rPr>
            </w:pPr>
            <w:r>
              <w:rPr>
                <w:rFonts w:cs="Times New Roman"/>
                <w:kern w:val="0"/>
                <w:sz w:val="21"/>
                <w:szCs w:val="21"/>
                <w:lang w:bidi="ar"/>
              </w:rPr>
              <w:t>11#</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58.3</w:t>
            </w:r>
          </w:p>
        </w:tc>
        <w:tc>
          <w:tcPr>
            <w:tcW w:w="1088" w:type="pct"/>
            <w:vAlign w:val="center"/>
          </w:tcPr>
          <w:p>
            <w:pPr>
              <w:spacing w:line="240" w:lineRule="auto"/>
              <w:ind w:firstLine="0" w:firstLineChars="0"/>
              <w:jc w:val="center"/>
              <w:rPr>
                <w:rFonts w:cs="Times New Roman"/>
                <w:sz w:val="21"/>
                <w:szCs w:val="21"/>
              </w:rPr>
            </w:pPr>
            <w:r>
              <w:rPr>
                <w:rFonts w:cs="Times New Roman"/>
                <w:sz w:val="21"/>
                <w:szCs w:val="21"/>
              </w:rPr>
              <w:t>49.2</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59.1</w:t>
            </w:r>
          </w:p>
        </w:tc>
        <w:tc>
          <w:tcPr>
            <w:tcW w:w="1086" w:type="pct"/>
            <w:vAlign w:val="center"/>
          </w:tcPr>
          <w:p>
            <w:pPr>
              <w:spacing w:line="240" w:lineRule="auto"/>
              <w:ind w:firstLine="0" w:firstLineChars="0"/>
              <w:jc w:val="center"/>
              <w:rPr>
                <w:rFonts w:cs="Times New Roman"/>
                <w:sz w:val="21"/>
                <w:szCs w:val="21"/>
              </w:rPr>
            </w:pPr>
            <w:r>
              <w:rPr>
                <w:rFonts w:cs="Times New Roman"/>
                <w:sz w:val="21"/>
                <w:szCs w:val="21"/>
              </w:rPr>
              <w:t>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51"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12#</w:t>
            </w:r>
          </w:p>
        </w:tc>
        <w:tc>
          <w:tcPr>
            <w:tcW w:w="10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54.5</w:t>
            </w:r>
          </w:p>
        </w:tc>
        <w:tc>
          <w:tcPr>
            <w:tcW w:w="1088"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48.9</w:t>
            </w:r>
          </w:p>
        </w:tc>
        <w:tc>
          <w:tcPr>
            <w:tcW w:w="10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55.6</w:t>
            </w:r>
          </w:p>
        </w:tc>
        <w:tc>
          <w:tcPr>
            <w:tcW w:w="10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51" w:type="pct"/>
            <w:vAlign w:val="center"/>
          </w:tcPr>
          <w:p>
            <w:pPr>
              <w:widowControl/>
              <w:spacing w:line="240" w:lineRule="auto"/>
              <w:ind w:firstLine="0" w:firstLineChars="0"/>
              <w:jc w:val="center"/>
              <w:rPr>
                <w:rFonts w:cs="Times New Roman"/>
                <w:kern w:val="0"/>
                <w:sz w:val="21"/>
                <w:szCs w:val="21"/>
                <w:lang w:bidi="ar"/>
              </w:rPr>
            </w:pPr>
            <w:r>
              <w:rPr>
                <w:rFonts w:cs="Times New Roman"/>
                <w:kern w:val="0"/>
                <w:sz w:val="21"/>
                <w:szCs w:val="21"/>
                <w:lang w:bidi="ar"/>
              </w:rPr>
              <w:t>13#</w:t>
            </w:r>
          </w:p>
        </w:tc>
        <w:tc>
          <w:tcPr>
            <w:tcW w:w="10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50.9</w:t>
            </w:r>
          </w:p>
        </w:tc>
        <w:tc>
          <w:tcPr>
            <w:tcW w:w="1088"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48.6</w:t>
            </w:r>
          </w:p>
        </w:tc>
        <w:tc>
          <w:tcPr>
            <w:tcW w:w="10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51.1</w:t>
            </w:r>
          </w:p>
        </w:tc>
        <w:tc>
          <w:tcPr>
            <w:tcW w:w="1086"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48.3</w:t>
            </w:r>
          </w:p>
        </w:tc>
      </w:tr>
    </w:tbl>
    <w:p>
      <w:pPr>
        <w:ind w:firstLine="480"/>
        <w:rPr>
          <w:rFonts w:cs="Times New Roman"/>
          <w:szCs w:val="24"/>
        </w:rPr>
      </w:pPr>
      <w:r>
        <w:rPr>
          <w:rFonts w:cs="Times New Roman"/>
          <w:lang w:bidi="ar"/>
        </w:rPr>
        <w:t>上一轮规划环评监测结果表明，开发区昼夜间噪声值能满足《声环境质量标准》（GB3096-2008）中2类标准，</w:t>
      </w:r>
      <w:r>
        <w:rPr>
          <w:rFonts w:cs="Times New Roman"/>
          <w:szCs w:val="24"/>
          <w:lang w:bidi="ar"/>
        </w:rPr>
        <w:t>萧淮路昼夜间噪声亦能够满足《声环境质量标准》(GB3096-2008)中4a类标准要求。</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.4.2声环境质量现状监测与评价</w:t>
      </w:r>
    </w:p>
    <w:p>
      <w:pPr>
        <w:ind w:firstLine="480"/>
        <w:rPr>
          <w:rFonts w:cs="Times New Roman"/>
          <w:lang w:bidi="ar"/>
        </w:rPr>
      </w:pPr>
      <w:r>
        <w:rPr>
          <w:rFonts w:cs="Times New Roman"/>
          <w:lang w:bidi="ar"/>
        </w:rPr>
        <w:t>（1）监测点位</w:t>
      </w:r>
    </w:p>
    <w:p>
      <w:pPr>
        <w:ind w:firstLine="480"/>
        <w:rPr>
          <w:rFonts w:cs="Times New Roman"/>
        </w:rPr>
      </w:pPr>
      <w:r>
        <w:rPr>
          <w:rFonts w:cs="Times New Roman"/>
          <w:szCs w:val="24"/>
          <w:lang w:bidi="ar"/>
        </w:rPr>
        <w:fldChar w:fldCharType="begin"/>
      </w:r>
      <w:r>
        <w:rPr>
          <w:rFonts w:cs="Times New Roman"/>
          <w:szCs w:val="24"/>
          <w:lang w:bidi="ar"/>
        </w:rPr>
        <w:instrText xml:space="preserve"> = 1 \* GB3 </w:instrText>
      </w:r>
      <w:r>
        <w:rPr>
          <w:rFonts w:cs="Times New Roman"/>
          <w:szCs w:val="24"/>
          <w:lang w:bidi="ar"/>
        </w:rPr>
        <w:fldChar w:fldCharType="separate"/>
      </w:r>
      <w:r>
        <w:rPr>
          <w:rFonts w:hint="eastAsia" w:ascii="宋体" w:hAnsi="宋体" w:cs="宋体"/>
          <w:szCs w:val="24"/>
          <w:lang w:bidi="ar"/>
        </w:rPr>
        <w:t>①</w:t>
      </w:r>
      <w:r>
        <w:rPr>
          <w:rFonts w:cs="Times New Roman"/>
          <w:szCs w:val="24"/>
          <w:lang w:bidi="ar"/>
        </w:rPr>
        <w:fldChar w:fldCharType="end"/>
      </w:r>
      <w:r>
        <w:rPr>
          <w:rFonts w:cs="Times New Roman"/>
        </w:rPr>
        <w:t>区域噪声监测布点：开发区内每1000m×1000m处布设1个噪声监测点 (测点避让道路、企业固定源)，同时兼顾功能分区及开发区内部声环境敏感点，共布设10个测点。</w:t>
      </w:r>
    </w:p>
    <w:p>
      <w:pPr>
        <w:ind w:firstLine="482"/>
        <w:rPr>
          <w:rFonts w:cs="Times New Roman"/>
          <w:szCs w:val="24"/>
        </w:rPr>
      </w:pPr>
      <w:r>
        <w:rPr>
          <w:rFonts w:cs="Times New Roman"/>
          <w:b/>
        </w:rPr>
        <w:t>选取3个代表点（N11罗里村、N12岱河花园、N13滂汪村）进行连续24小时监测</w:t>
      </w:r>
      <w:r>
        <w:rPr>
          <w:rFonts w:cs="Times New Roman"/>
        </w:rPr>
        <w:t>，监测一天。其他监测点连续监测2天，分昼、夜时段监测，每次连续采样10min。</w:t>
      </w:r>
    </w:p>
    <w:p>
      <w:pPr>
        <w:ind w:firstLine="480"/>
        <w:rPr>
          <w:rFonts w:cs="Times New Roman"/>
          <w:szCs w:val="24"/>
        </w:rPr>
      </w:pPr>
      <w:r>
        <w:rPr>
          <w:rFonts w:cs="Times New Roman"/>
          <w:szCs w:val="24"/>
          <w:lang w:bidi="ar"/>
        </w:rPr>
        <w:fldChar w:fldCharType="begin"/>
      </w:r>
      <w:r>
        <w:rPr>
          <w:rFonts w:cs="Times New Roman"/>
          <w:szCs w:val="24"/>
          <w:lang w:bidi="ar"/>
        </w:rPr>
        <w:instrText xml:space="preserve"> = 2 \* GB3 </w:instrText>
      </w:r>
      <w:r>
        <w:rPr>
          <w:rFonts w:cs="Times New Roman"/>
          <w:szCs w:val="24"/>
          <w:lang w:bidi="ar"/>
        </w:rPr>
        <w:fldChar w:fldCharType="separate"/>
      </w:r>
      <w:r>
        <w:rPr>
          <w:rFonts w:hint="eastAsia" w:ascii="宋体" w:hAnsi="宋体" w:cs="宋体"/>
          <w:szCs w:val="24"/>
          <w:lang w:bidi="ar"/>
        </w:rPr>
        <w:t>②</w:t>
      </w:r>
      <w:r>
        <w:rPr>
          <w:rFonts w:cs="Times New Roman"/>
          <w:szCs w:val="24"/>
          <w:lang w:bidi="ar"/>
        </w:rPr>
        <w:fldChar w:fldCharType="end"/>
      </w:r>
      <w:r>
        <w:rPr>
          <w:rFonts w:cs="Times New Roman"/>
        </w:rPr>
        <w:t>区内交通噪声现状监测：开发区交通主干道为萧淮公路，在萧淮公路布设1个监测断面，每个监测断面在距萧淮公路边界处20m、40m、80m、120m、200m各设置1个监测点，共计5个噪声监测点，记录断面位置、经纬度信息、车流量（分大、中、小车型）。</w:t>
      </w:r>
    </w:p>
    <w:p>
      <w:pPr>
        <w:ind w:firstLine="480"/>
        <w:rPr>
          <w:rFonts w:cs="Times New Roman"/>
        </w:rPr>
      </w:pPr>
      <w:r>
        <w:rPr>
          <w:rFonts w:cs="Times New Roman"/>
          <w:lang w:bidi="ar"/>
        </w:rPr>
        <w:t>（2）监测因子：</w:t>
      </w:r>
      <w:r>
        <w:rPr>
          <w:rFonts w:cs="Times New Roman"/>
        </w:rPr>
        <w:t>连续等效A声级Leq(A)。</w:t>
      </w:r>
    </w:p>
    <w:p>
      <w:pPr>
        <w:ind w:firstLine="480"/>
        <w:rPr>
          <w:rFonts w:cs="Times New Roman"/>
        </w:rPr>
      </w:pPr>
      <w:r>
        <w:rPr>
          <w:rFonts w:cs="Times New Roman"/>
          <w:lang w:bidi="ar"/>
        </w:rPr>
        <w:t>（3）监测时间和频次：</w:t>
      </w:r>
      <w:r>
        <w:rPr>
          <w:rFonts w:cs="Times New Roman"/>
        </w:rPr>
        <w:t>区域噪声连续监测2天，各测点昼间和夜间分别各测量一次。</w:t>
      </w:r>
    </w:p>
    <w:p>
      <w:pPr>
        <w:ind w:firstLine="480"/>
        <w:rPr>
          <w:rFonts w:cs="Times New Roman"/>
          <w:lang w:bidi="ar"/>
        </w:rPr>
      </w:pPr>
      <w:r>
        <w:rPr>
          <w:rFonts w:cs="Times New Roman"/>
          <w:lang w:bidi="ar"/>
        </w:rPr>
        <w:t>（4）监测方法：</w:t>
      </w:r>
    </w:p>
    <w:p>
      <w:pPr>
        <w:ind w:firstLine="480"/>
        <w:rPr>
          <w:rFonts w:cs="Times New Roman"/>
        </w:rPr>
      </w:pPr>
      <w:r>
        <w:rPr>
          <w:rFonts w:cs="Times New Roman"/>
        </w:rPr>
        <w:t>区域、交通噪声监测参照《城市区域环境噪声测量方法》(GB/T 14623-93)</w:t>
      </w:r>
    </w:p>
    <w:p>
      <w:pPr>
        <w:ind w:firstLine="480"/>
        <w:rPr>
          <w:rFonts w:cs="Times New Roman"/>
        </w:rPr>
      </w:pPr>
      <w:r>
        <w:rPr>
          <w:rFonts w:cs="Times New Roman"/>
        </w:rPr>
        <w:t>区域代表测点，测点位置位于企业厂界1m外、距离既有通车道路150m以远、1.5m以上高度。</w:t>
      </w:r>
      <w:r>
        <w:rPr>
          <w:rFonts w:cs="Times New Roman"/>
          <w:b/>
        </w:rPr>
        <w:t>选取3个代表点（N11罗里村、N12岱河花园、N13滂汪村）</w:t>
      </w:r>
      <w:r>
        <w:rPr>
          <w:rFonts w:cs="Times New Roman"/>
        </w:rPr>
        <w:t>进行连续24小时监测，监测一天。其他各点分昼、夜时段监测，每次连续采样10min。</w:t>
      </w:r>
    </w:p>
    <w:p>
      <w:pPr>
        <w:ind w:firstLine="480"/>
        <w:rPr>
          <w:rFonts w:cs="Times New Roman"/>
        </w:rPr>
      </w:pPr>
      <w:r>
        <w:rPr>
          <w:rFonts w:cs="Times New Roman"/>
        </w:rPr>
        <w:t>既有道路交通噪声测点应选取空旷地区并避开道路交叉口100m以远，距离道路边界处20m、40m、80m、120m、200m各设置1个监测点，1.5m以上高度。</w:t>
      </w:r>
    </w:p>
    <w:p>
      <w:pPr>
        <w:ind w:firstLine="480"/>
        <w:rPr>
          <w:rFonts w:cs="Times New Roman"/>
          <w:lang w:bidi="ar"/>
        </w:rPr>
      </w:pPr>
      <w:r>
        <w:rPr>
          <w:rFonts w:cs="Times New Roman"/>
          <w:lang w:bidi="ar"/>
        </w:rPr>
        <w:t>（5）监测结果及评价：监测结果见表</w:t>
      </w:r>
      <w:r>
        <w:rPr>
          <w:rFonts w:hint="eastAsia" w:cs="Times New Roman"/>
          <w:lang w:val="en-US" w:eastAsia="zh-CN" w:bidi="ar"/>
        </w:rPr>
        <w:t>3</w:t>
      </w:r>
      <w:r>
        <w:rPr>
          <w:rFonts w:cs="Times New Roman"/>
          <w:lang w:bidi="ar"/>
        </w:rPr>
        <w:t>.4.2-1~3。</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.4.2-1  环境噪声现状监测结果（单位：dB(A)）</w:t>
      </w:r>
    </w:p>
    <w:tbl>
      <w:tblPr>
        <w:tblStyle w:val="1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294"/>
        <w:gridCol w:w="966"/>
        <w:gridCol w:w="1131"/>
        <w:gridCol w:w="967"/>
        <w:gridCol w:w="971"/>
        <w:gridCol w:w="1047"/>
        <w:gridCol w:w="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73" w:type="pct"/>
            <w:vMerge w:val="restart"/>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监测日期</w:t>
            </w:r>
          </w:p>
        </w:tc>
        <w:tc>
          <w:tcPr>
            <w:tcW w:w="760" w:type="pct"/>
            <w:vMerge w:val="restart"/>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监测点位</w:t>
            </w:r>
          </w:p>
        </w:tc>
        <w:tc>
          <w:tcPr>
            <w:tcW w:w="1230" w:type="pct"/>
            <w:gridSpan w:val="2"/>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监测结果</w:t>
            </w:r>
          </w:p>
        </w:tc>
        <w:tc>
          <w:tcPr>
            <w:tcW w:w="1138" w:type="pct"/>
            <w:gridSpan w:val="2"/>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执行标准</w:t>
            </w:r>
          </w:p>
        </w:tc>
        <w:tc>
          <w:tcPr>
            <w:tcW w:w="1099" w:type="pct"/>
            <w:gridSpan w:val="2"/>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超标值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73" w:type="pct"/>
            <w:vMerge w:val="continue"/>
            <w:vAlign w:val="center"/>
          </w:tcPr>
          <w:p>
            <w:pPr>
              <w:spacing w:line="240" w:lineRule="auto"/>
              <w:ind w:firstLine="0" w:firstLineChars="0"/>
              <w:jc w:val="center"/>
              <w:rPr>
                <w:rFonts w:cs="Times New Roman"/>
                <w:sz w:val="21"/>
              </w:rPr>
            </w:pPr>
          </w:p>
        </w:tc>
        <w:tc>
          <w:tcPr>
            <w:tcW w:w="760" w:type="pct"/>
            <w:vMerge w:val="continue"/>
            <w:vAlign w:val="center"/>
          </w:tcPr>
          <w:p>
            <w:pPr>
              <w:spacing w:line="240" w:lineRule="auto"/>
              <w:ind w:firstLine="0" w:firstLineChars="0"/>
              <w:jc w:val="center"/>
              <w:rPr>
                <w:rFonts w:cs="Times New Roman"/>
                <w:sz w:val="21"/>
              </w:rPr>
            </w:pPr>
          </w:p>
        </w:tc>
        <w:tc>
          <w:tcPr>
            <w:tcW w:w="567" w:type="pct"/>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昼间</w:t>
            </w:r>
          </w:p>
        </w:tc>
        <w:tc>
          <w:tcPr>
            <w:tcW w:w="664" w:type="pct"/>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夜间</w:t>
            </w:r>
          </w:p>
        </w:tc>
        <w:tc>
          <w:tcPr>
            <w:tcW w:w="568" w:type="pct"/>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昼间</w:t>
            </w:r>
          </w:p>
        </w:tc>
        <w:tc>
          <w:tcPr>
            <w:tcW w:w="569" w:type="pct"/>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夜间</w:t>
            </w:r>
          </w:p>
        </w:tc>
        <w:tc>
          <w:tcPr>
            <w:tcW w:w="615" w:type="pct"/>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昼间</w:t>
            </w:r>
          </w:p>
        </w:tc>
        <w:tc>
          <w:tcPr>
            <w:tcW w:w="484" w:type="pct"/>
            <w:vAlign w:val="center"/>
          </w:tcPr>
          <w:p>
            <w:pPr>
              <w:overflowPunct w:val="0"/>
              <w:spacing w:line="240" w:lineRule="auto"/>
              <w:ind w:firstLine="0" w:firstLineChars="0"/>
              <w:jc w:val="center"/>
              <w:textAlignment w:val="baseline"/>
              <w:rPr>
                <w:rFonts w:cs="Times New Roman"/>
                <w:b/>
                <w:sz w:val="21"/>
              </w:rPr>
            </w:pPr>
            <w:r>
              <w:rPr>
                <w:rFonts w:cs="Times New Roman"/>
                <w:b/>
                <w:sz w:val="21"/>
                <w:lang w:bidi="ar"/>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73" w:type="pct"/>
            <w:vMerge w:val="restart"/>
            <w:vAlign w:val="center"/>
          </w:tcPr>
          <w:p>
            <w:pPr>
              <w:overflowPunct w:val="0"/>
              <w:spacing w:line="240" w:lineRule="auto"/>
              <w:ind w:firstLine="0" w:firstLineChars="0"/>
              <w:jc w:val="center"/>
              <w:textAlignment w:val="baseline"/>
              <w:rPr>
                <w:rFonts w:cs="Times New Roman"/>
                <w:sz w:val="21"/>
              </w:rPr>
            </w:pPr>
            <w:r>
              <w:rPr>
                <w:rFonts w:cs="Times New Roman"/>
                <w:sz w:val="21"/>
              </w:rPr>
              <w:t>2020.03.07</w:t>
            </w: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N1</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44.1</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43.0</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73" w:type="pct"/>
            <w:vMerge w:val="continue"/>
            <w:vAlign w:val="center"/>
          </w:tcPr>
          <w:p>
            <w:pPr>
              <w:overflowPunct w:val="0"/>
              <w:spacing w:line="240" w:lineRule="auto"/>
              <w:ind w:firstLine="0" w:firstLineChars="0"/>
              <w:jc w:val="center"/>
              <w:textAlignment w:val="baseline"/>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N2</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57.7</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50.2</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73" w:type="pct"/>
            <w:vMerge w:val="continue"/>
            <w:vAlign w:val="center"/>
          </w:tcPr>
          <w:p>
            <w:pPr>
              <w:overflowPunct w:val="0"/>
              <w:spacing w:line="240" w:lineRule="auto"/>
              <w:ind w:firstLine="0" w:firstLineChars="0"/>
              <w:jc w:val="center"/>
              <w:textAlignment w:val="baseline"/>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N3</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43.8</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42.4</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73" w:type="pct"/>
            <w:vMerge w:val="continue"/>
            <w:vAlign w:val="center"/>
          </w:tcPr>
          <w:p>
            <w:pPr>
              <w:overflowPunct w:val="0"/>
              <w:spacing w:line="240" w:lineRule="auto"/>
              <w:ind w:firstLine="0" w:firstLineChars="0"/>
              <w:jc w:val="center"/>
              <w:textAlignment w:val="baseline"/>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N4</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43.1</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42.2</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773" w:type="pct"/>
            <w:vMerge w:val="continue"/>
            <w:vAlign w:val="center"/>
          </w:tcPr>
          <w:p>
            <w:pPr>
              <w:overflowPunct w:val="0"/>
              <w:spacing w:line="240" w:lineRule="auto"/>
              <w:ind w:firstLine="0" w:firstLineChars="0"/>
              <w:jc w:val="center"/>
              <w:textAlignment w:val="baseline"/>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N5</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55.8</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47.6</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N6</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44.5</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42.9</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N7</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55.4</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46.5</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N8</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47.4</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44.3</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N9</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45.5</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42.4</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N10</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43.2</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41.4</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73" w:type="pct"/>
            <w:vMerge w:val="restart"/>
            <w:vAlign w:val="center"/>
          </w:tcPr>
          <w:p>
            <w:pPr>
              <w:overflowPunct w:val="0"/>
              <w:spacing w:line="240" w:lineRule="auto"/>
              <w:ind w:firstLine="0" w:firstLineChars="0"/>
              <w:jc w:val="center"/>
              <w:textAlignment w:val="baseline"/>
              <w:rPr>
                <w:rFonts w:cs="Times New Roman"/>
                <w:sz w:val="21"/>
              </w:rPr>
            </w:pPr>
            <w:r>
              <w:rPr>
                <w:rFonts w:cs="Times New Roman"/>
                <w:sz w:val="21"/>
              </w:rPr>
              <w:t>2020.03.08</w:t>
            </w: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N1</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44.6</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43.2</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N2</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58.1</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49.5</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N3</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44.0</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42.6</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N4</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43.4</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42.5</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N5</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55.6</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47.3</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N6</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43.8</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43.4</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N7</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55.9</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47.1</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N8</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47.8</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43.2</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N9</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45.3</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42.6</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3" w:type="pct"/>
            <w:vMerge w:val="continue"/>
            <w:vAlign w:val="center"/>
          </w:tcPr>
          <w:p>
            <w:pPr>
              <w:spacing w:line="240" w:lineRule="auto"/>
              <w:ind w:firstLine="0" w:firstLineChars="0"/>
              <w:jc w:val="center"/>
              <w:rPr>
                <w:rFonts w:cs="Times New Roman"/>
                <w:sz w:val="21"/>
              </w:rPr>
            </w:pPr>
          </w:p>
        </w:tc>
        <w:tc>
          <w:tcPr>
            <w:tcW w:w="760"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N10</w:t>
            </w:r>
          </w:p>
        </w:tc>
        <w:tc>
          <w:tcPr>
            <w:tcW w:w="56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44.1</w:t>
            </w:r>
          </w:p>
        </w:tc>
        <w:tc>
          <w:tcPr>
            <w:tcW w:w="66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42.2</w:t>
            </w:r>
          </w:p>
        </w:tc>
        <w:tc>
          <w:tcPr>
            <w:tcW w:w="568"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65</w:t>
            </w:r>
          </w:p>
        </w:tc>
        <w:tc>
          <w:tcPr>
            <w:tcW w:w="569"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55</w:t>
            </w:r>
          </w:p>
        </w:tc>
        <w:tc>
          <w:tcPr>
            <w:tcW w:w="615"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c>
          <w:tcPr>
            <w:tcW w:w="4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w:t>
            </w:r>
          </w:p>
        </w:tc>
      </w:tr>
    </w:tbl>
    <w:p>
      <w:pPr>
        <w:spacing w:line="240" w:lineRule="auto"/>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.4.2-2  敏感点噪声现状监测结果（单位：dB(A)）</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1754"/>
        <w:gridCol w:w="1681"/>
        <w:gridCol w:w="1681"/>
        <w:gridCol w:w="1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Align w:val="center"/>
          </w:tcPr>
          <w:p>
            <w:pPr>
              <w:spacing w:before="24" w:beforeLines="10" w:after="24" w:afterLines="10" w:line="240" w:lineRule="auto"/>
              <w:ind w:firstLine="0" w:firstLineChars="0"/>
              <w:jc w:val="center"/>
              <w:rPr>
                <w:rFonts w:ascii="Times New Roman" w:hAnsi="Times New Roman" w:cs="Times New Roman"/>
                <w:b/>
                <w:sz w:val="21"/>
                <w:szCs w:val="21"/>
                <w:lang w:bidi="ar"/>
              </w:rPr>
            </w:pPr>
            <w:r>
              <w:rPr>
                <w:rFonts w:ascii="Times New Roman" w:hAnsi="Times New Roman" w:cs="Times New Roman"/>
                <w:b/>
                <w:sz w:val="21"/>
                <w:szCs w:val="21"/>
                <w:lang w:bidi="ar"/>
              </w:rPr>
              <w:t>监测日期</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b/>
                <w:sz w:val="21"/>
                <w:szCs w:val="21"/>
                <w:lang w:bidi="ar"/>
              </w:rPr>
            </w:pPr>
            <w:r>
              <w:rPr>
                <w:rFonts w:ascii="Times New Roman" w:hAnsi="Times New Roman" w:cs="Times New Roman"/>
                <w:b/>
                <w:sz w:val="21"/>
                <w:szCs w:val="21"/>
                <w:lang w:bidi="ar"/>
              </w:rPr>
              <w:t>监测时间段</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b/>
                <w:sz w:val="21"/>
                <w:szCs w:val="21"/>
                <w:lang w:bidi="ar"/>
              </w:rPr>
            </w:pPr>
            <w:r>
              <w:rPr>
                <w:rFonts w:ascii="Times New Roman" w:hAnsi="Times New Roman" w:cs="Times New Roman"/>
                <w:b/>
                <w:sz w:val="21"/>
                <w:lang w:bidi="ar"/>
              </w:rPr>
              <w:t>N11罗里村</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b/>
                <w:sz w:val="21"/>
                <w:szCs w:val="21"/>
                <w:lang w:bidi="ar"/>
              </w:rPr>
            </w:pPr>
            <w:r>
              <w:rPr>
                <w:rFonts w:ascii="Times New Roman" w:hAnsi="Times New Roman" w:cs="Times New Roman"/>
                <w:b/>
                <w:sz w:val="21"/>
                <w:lang w:bidi="ar"/>
              </w:rPr>
              <w:t>N12岱河花园</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b/>
                <w:sz w:val="21"/>
                <w:szCs w:val="21"/>
                <w:lang w:bidi="ar"/>
              </w:rPr>
            </w:pPr>
            <w:r>
              <w:rPr>
                <w:rFonts w:ascii="Times New Roman" w:hAnsi="Times New Roman" w:cs="Times New Roman"/>
                <w:b/>
                <w:sz w:val="21"/>
                <w:lang w:bidi="ar"/>
              </w:rPr>
              <w:t>N13滂汪村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807" w:type="dxa"/>
            <w:vMerge w:val="restart"/>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szCs w:val="21"/>
                <w:lang w:bidi="ar"/>
              </w:rPr>
              <w:t>2020.3.3</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0:00~1:00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40.4</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1:00~2:00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40.7</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40.5</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38.9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2:00~3:00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39.8</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40.2</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3:00~4:00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40.5</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39.9</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4:00~5:00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40.6</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5:00~6:00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40.6</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41.1</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6:00~7:00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41.4</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41.7</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7:00~8:00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42.9</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8:00~9:00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41.5</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43.5</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9:00~10:00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43.7</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43.8</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10:00~11:00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44.2</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44.7</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11:00~12:00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44.6</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45.2</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12:00~13:00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43.8</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45.9</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13:00~14:00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43.3</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45.3</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14:00~15:00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43.5</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44.8</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15:00~16:00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43.1</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45.0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16:00~17:00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42.9</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45.7</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17:00~18:00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43.3</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46.4</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18:00~19:00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45.5</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19:00~20:00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42.2</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45.1</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20:00~21:00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42.7</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43.6</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21:00~22:00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41.5</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42.2</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22:00~23:00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41.8</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41.7</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07" w:type="dxa"/>
            <w:vMerge w:val="continue"/>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23:00~24:00</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41.4</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41.1</w:t>
            </w:r>
          </w:p>
        </w:tc>
        <w:tc>
          <w:tcPr>
            <w:tcW w:w="1807" w:type="dxa"/>
            <w:vAlign w:val="center"/>
          </w:tcPr>
          <w:p>
            <w:pPr>
              <w:spacing w:before="24" w:beforeLines="10" w:after="24" w:afterLines="10" w:line="240" w:lineRule="auto"/>
              <w:ind w:firstLine="0" w:firstLineChars="0"/>
              <w:jc w:val="center"/>
              <w:rPr>
                <w:rFonts w:ascii="Times New Roman" w:hAnsi="Times New Roman" w:cs="Times New Roman"/>
                <w:sz w:val="21"/>
                <w:szCs w:val="21"/>
                <w:lang w:bidi="ar"/>
              </w:rPr>
            </w:pPr>
            <w:r>
              <w:rPr>
                <w:rFonts w:ascii="Times New Roman" w:hAnsi="Times New Roman" w:cs="Times New Roman"/>
                <w:sz w:val="21"/>
                <w:lang w:bidi="ar"/>
              </w:rPr>
              <w:t>40.1</w:t>
            </w:r>
          </w:p>
        </w:tc>
      </w:tr>
    </w:tbl>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.4.2-3  道路声环境质量监测结果（单位：dB(A)）</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76"/>
        <w:gridCol w:w="678"/>
        <w:gridCol w:w="708"/>
        <w:gridCol w:w="662"/>
        <w:gridCol w:w="794"/>
        <w:gridCol w:w="662"/>
        <w:gridCol w:w="796"/>
        <w:gridCol w:w="662"/>
        <w:gridCol w:w="663"/>
        <w:gridCol w:w="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43" w:type="pct"/>
            <w:vMerge w:val="restar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检测日期</w:t>
            </w:r>
          </w:p>
        </w:tc>
        <w:tc>
          <w:tcPr>
            <w:tcW w:w="577" w:type="pct"/>
            <w:vMerge w:val="restar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检测点位</w:t>
            </w:r>
          </w:p>
        </w:tc>
        <w:tc>
          <w:tcPr>
            <w:tcW w:w="402" w:type="pct"/>
            <w:vMerge w:val="restar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检测时间</w:t>
            </w:r>
          </w:p>
        </w:tc>
        <w:tc>
          <w:tcPr>
            <w:tcW w:w="1283" w:type="pct"/>
            <w:gridSpan w:val="3"/>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车型及车流量（辆/h）</w:t>
            </w:r>
          </w:p>
        </w:tc>
        <w:tc>
          <w:tcPr>
            <w:tcW w:w="2095" w:type="pct"/>
            <w:gridSpan w:val="5"/>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距道路边界距离（m）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43" w:type="pct"/>
            <w:vMerge w:val="continue"/>
            <w:vAlign w:val="center"/>
          </w:tcPr>
          <w:p>
            <w:pPr>
              <w:overflowPunct w:val="0"/>
              <w:spacing w:line="240" w:lineRule="auto"/>
              <w:ind w:firstLine="0" w:firstLineChars="0"/>
              <w:jc w:val="center"/>
              <w:textAlignment w:val="baseline"/>
              <w:rPr>
                <w:rFonts w:cs="Times New Roman"/>
                <w:b/>
                <w:sz w:val="21"/>
                <w:lang w:bidi="ar"/>
              </w:rPr>
            </w:pPr>
          </w:p>
        </w:tc>
        <w:tc>
          <w:tcPr>
            <w:tcW w:w="577" w:type="pct"/>
            <w:vMerge w:val="continue"/>
            <w:vAlign w:val="center"/>
          </w:tcPr>
          <w:p>
            <w:pPr>
              <w:overflowPunct w:val="0"/>
              <w:spacing w:line="240" w:lineRule="auto"/>
              <w:ind w:firstLine="0" w:firstLineChars="0"/>
              <w:jc w:val="center"/>
              <w:textAlignment w:val="baseline"/>
              <w:rPr>
                <w:rFonts w:cs="Times New Roman"/>
                <w:b/>
                <w:sz w:val="21"/>
                <w:lang w:bidi="ar"/>
              </w:rPr>
            </w:pPr>
          </w:p>
        </w:tc>
        <w:tc>
          <w:tcPr>
            <w:tcW w:w="402" w:type="pct"/>
            <w:vMerge w:val="continue"/>
            <w:vAlign w:val="center"/>
          </w:tcPr>
          <w:p>
            <w:pPr>
              <w:overflowPunct w:val="0"/>
              <w:spacing w:line="240" w:lineRule="auto"/>
              <w:ind w:firstLine="0" w:firstLineChars="0"/>
              <w:jc w:val="center"/>
              <w:textAlignment w:val="baseline"/>
              <w:rPr>
                <w:rFonts w:cs="Times New Roman"/>
                <w:b/>
                <w:sz w:val="21"/>
                <w:lang w:bidi="ar"/>
              </w:rPr>
            </w:pPr>
          </w:p>
        </w:tc>
        <w:tc>
          <w:tcPr>
            <w:tcW w:w="420" w:type="pc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大型车</w:t>
            </w:r>
          </w:p>
        </w:tc>
        <w:tc>
          <w:tcPr>
            <w:tcW w:w="393" w:type="pc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中型车</w:t>
            </w:r>
          </w:p>
        </w:tc>
        <w:tc>
          <w:tcPr>
            <w:tcW w:w="470" w:type="pc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小型车</w:t>
            </w:r>
          </w:p>
        </w:tc>
        <w:tc>
          <w:tcPr>
            <w:tcW w:w="393" w:type="pc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20</w:t>
            </w:r>
          </w:p>
        </w:tc>
        <w:tc>
          <w:tcPr>
            <w:tcW w:w="471" w:type="pc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40</w:t>
            </w:r>
          </w:p>
        </w:tc>
        <w:tc>
          <w:tcPr>
            <w:tcW w:w="392" w:type="pc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80</w:t>
            </w:r>
          </w:p>
        </w:tc>
        <w:tc>
          <w:tcPr>
            <w:tcW w:w="393" w:type="pc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120</w:t>
            </w:r>
          </w:p>
        </w:tc>
        <w:tc>
          <w:tcPr>
            <w:tcW w:w="446" w:type="pct"/>
            <w:vAlign w:val="center"/>
          </w:tcPr>
          <w:p>
            <w:pPr>
              <w:overflowPunct w:val="0"/>
              <w:spacing w:line="240" w:lineRule="auto"/>
              <w:ind w:firstLine="0" w:firstLineChars="0"/>
              <w:jc w:val="center"/>
              <w:textAlignment w:val="baseline"/>
              <w:rPr>
                <w:rFonts w:cs="Times New Roman"/>
                <w:b/>
                <w:sz w:val="21"/>
                <w:lang w:bidi="ar"/>
              </w:rPr>
            </w:pPr>
            <w:r>
              <w:rPr>
                <w:rFonts w:cs="Times New Roman"/>
                <w:b/>
                <w:sz w:val="21"/>
                <w:lang w:bidi="ar"/>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43"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2020.03.04</w:t>
            </w:r>
          </w:p>
        </w:tc>
        <w:tc>
          <w:tcPr>
            <w:tcW w:w="577"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萧淮公路边界处</w:t>
            </w:r>
          </w:p>
        </w:tc>
        <w:tc>
          <w:tcPr>
            <w:tcW w:w="402"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昼间</w:t>
            </w:r>
          </w:p>
        </w:tc>
        <w:tc>
          <w:tcPr>
            <w:tcW w:w="420"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72</w:t>
            </w:r>
          </w:p>
        </w:tc>
        <w:tc>
          <w:tcPr>
            <w:tcW w:w="393"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132</w:t>
            </w:r>
          </w:p>
        </w:tc>
        <w:tc>
          <w:tcPr>
            <w:tcW w:w="470"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240</w:t>
            </w:r>
          </w:p>
        </w:tc>
        <w:tc>
          <w:tcPr>
            <w:tcW w:w="393"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62.1</w:t>
            </w:r>
          </w:p>
        </w:tc>
        <w:tc>
          <w:tcPr>
            <w:tcW w:w="471"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57.8</w:t>
            </w:r>
          </w:p>
        </w:tc>
        <w:tc>
          <w:tcPr>
            <w:tcW w:w="392"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51.3</w:t>
            </w:r>
          </w:p>
        </w:tc>
        <w:tc>
          <w:tcPr>
            <w:tcW w:w="393"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44.0</w:t>
            </w:r>
          </w:p>
        </w:tc>
        <w:tc>
          <w:tcPr>
            <w:tcW w:w="446" w:type="pct"/>
            <w:vAlign w:val="center"/>
          </w:tcPr>
          <w:p>
            <w:pPr>
              <w:overflowPunct w:val="0"/>
              <w:spacing w:line="240" w:lineRule="auto"/>
              <w:ind w:firstLine="0" w:firstLineChars="0"/>
              <w:jc w:val="center"/>
              <w:textAlignment w:val="baseline"/>
              <w:rPr>
                <w:rFonts w:cs="Times New Roman"/>
                <w:sz w:val="21"/>
                <w:lang w:bidi="ar"/>
              </w:rPr>
            </w:pPr>
            <w:r>
              <w:rPr>
                <w:rFonts w:cs="Times New Roman"/>
                <w:sz w:val="21"/>
                <w:lang w:bidi="ar"/>
              </w:rPr>
              <w:t>43.3</w:t>
            </w:r>
          </w:p>
        </w:tc>
      </w:tr>
    </w:tbl>
    <w:p>
      <w:pPr>
        <w:ind w:firstLine="480"/>
        <w:rPr>
          <w:rFonts w:cs="Times New Roman"/>
        </w:rPr>
      </w:pPr>
      <w:r>
        <w:rPr>
          <w:rFonts w:cs="Times New Roman"/>
          <w:lang w:bidi="ar"/>
        </w:rPr>
        <w:t>由表</w:t>
      </w:r>
      <w:r>
        <w:rPr>
          <w:rFonts w:hint="eastAsia" w:cs="Times New Roman"/>
          <w:lang w:val="en-US" w:eastAsia="zh-CN" w:bidi="ar"/>
        </w:rPr>
        <w:t>3</w:t>
      </w:r>
      <w:r>
        <w:rPr>
          <w:rFonts w:cs="Times New Roman"/>
          <w:lang w:bidi="ar"/>
        </w:rPr>
        <w:t>.4.2-1~3可知，区域噪声、主干道交通噪声及敏感点噪声监测值均能达到</w:t>
      </w:r>
      <w:r>
        <w:rPr>
          <w:rFonts w:cs="Times New Roman"/>
        </w:rPr>
        <w:t>《声环境质量标准》（GB3096-2008）中</w:t>
      </w:r>
      <w:r>
        <w:rPr>
          <w:rFonts w:cs="Times New Roman"/>
          <w:lang w:bidi="ar"/>
        </w:rPr>
        <w:t>相应功能区声环境标准值。</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.4.3与上一轮规划环评声环境质量对比分析</w:t>
      </w:r>
    </w:p>
    <w:p>
      <w:pPr>
        <w:spacing w:line="500" w:lineRule="exact"/>
        <w:ind w:firstLine="480"/>
        <w:rPr>
          <w:rFonts w:cs="Times New Roman"/>
        </w:rPr>
      </w:pPr>
      <w:r>
        <w:rPr>
          <w:rFonts w:cs="Times New Roman"/>
          <w:lang w:bidi="ar"/>
        </w:rPr>
        <w:t>选取上一轮规划环评的监测点位与本次环评的对应点位进行对比，对比结果见表</w:t>
      </w:r>
      <w:r>
        <w:rPr>
          <w:rFonts w:hint="eastAsia" w:cs="Times New Roman"/>
          <w:lang w:val="en-US" w:eastAsia="zh-CN" w:bidi="ar"/>
        </w:rPr>
        <w:t>3</w:t>
      </w:r>
      <w:r>
        <w:rPr>
          <w:rFonts w:cs="Times New Roman"/>
          <w:lang w:bidi="ar"/>
        </w:rPr>
        <w:t>.4.3-1。</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.4.3-1  声环境质量监测结果对比表（单位：dB(A)）</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659"/>
        <w:gridCol w:w="1688"/>
        <w:gridCol w:w="1211"/>
        <w:gridCol w:w="1598"/>
        <w:gridCol w:w="1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Merge w:val="restart"/>
            <w:vAlign w:val="center"/>
          </w:tcPr>
          <w:p>
            <w:pPr>
              <w:spacing w:line="240" w:lineRule="auto"/>
              <w:ind w:firstLine="0" w:firstLineChars="0"/>
              <w:jc w:val="center"/>
              <w:rPr>
                <w:rFonts w:cs="Times New Roman"/>
                <w:b/>
                <w:sz w:val="21"/>
              </w:rPr>
            </w:pPr>
            <w:r>
              <w:rPr>
                <w:rFonts w:cs="Times New Roman"/>
                <w:b/>
                <w:sz w:val="21"/>
                <w:lang w:bidi="ar"/>
              </w:rPr>
              <w:t>监测点类别</w:t>
            </w:r>
          </w:p>
        </w:tc>
        <w:tc>
          <w:tcPr>
            <w:tcW w:w="1804" w:type="dxa"/>
            <w:vMerge w:val="restart"/>
            <w:vAlign w:val="center"/>
          </w:tcPr>
          <w:p>
            <w:pPr>
              <w:spacing w:line="240" w:lineRule="auto"/>
              <w:ind w:firstLine="0" w:firstLineChars="0"/>
              <w:jc w:val="center"/>
              <w:rPr>
                <w:rFonts w:cs="Times New Roman"/>
                <w:b/>
                <w:sz w:val="21"/>
              </w:rPr>
            </w:pPr>
            <w:r>
              <w:rPr>
                <w:rFonts w:cs="Times New Roman"/>
                <w:b/>
                <w:sz w:val="21"/>
                <w:lang w:bidi="ar"/>
              </w:rPr>
              <w:t>测点名称/序号</w:t>
            </w:r>
          </w:p>
        </w:tc>
        <w:tc>
          <w:tcPr>
            <w:tcW w:w="6037" w:type="dxa"/>
            <w:gridSpan w:val="4"/>
            <w:vAlign w:val="center"/>
          </w:tcPr>
          <w:p>
            <w:pPr>
              <w:spacing w:line="240" w:lineRule="auto"/>
              <w:ind w:firstLine="0" w:firstLineChars="0"/>
              <w:jc w:val="center"/>
              <w:rPr>
                <w:rFonts w:cs="Times New Roman"/>
                <w:b/>
                <w:sz w:val="21"/>
              </w:rPr>
            </w:pPr>
            <w:r>
              <w:rPr>
                <w:rFonts w:cs="Times New Roman"/>
                <w:b/>
                <w:sz w:val="21"/>
                <w:lang w:bidi="ar"/>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Merge w:val="continue"/>
            <w:vAlign w:val="center"/>
          </w:tcPr>
          <w:p>
            <w:pPr>
              <w:spacing w:line="240" w:lineRule="auto"/>
              <w:ind w:firstLine="420"/>
              <w:jc w:val="center"/>
              <w:rPr>
                <w:rFonts w:cs="Times New Roman"/>
                <w:sz w:val="21"/>
              </w:rPr>
            </w:pPr>
          </w:p>
        </w:tc>
        <w:tc>
          <w:tcPr>
            <w:tcW w:w="1804" w:type="dxa"/>
            <w:vMerge w:val="continue"/>
            <w:vAlign w:val="center"/>
          </w:tcPr>
          <w:p>
            <w:pPr>
              <w:spacing w:line="240" w:lineRule="auto"/>
              <w:ind w:firstLine="420"/>
              <w:jc w:val="center"/>
              <w:rPr>
                <w:rFonts w:cs="Times New Roman"/>
                <w:sz w:val="21"/>
              </w:rPr>
            </w:pPr>
          </w:p>
        </w:tc>
        <w:tc>
          <w:tcPr>
            <w:tcW w:w="3149" w:type="dxa"/>
            <w:gridSpan w:val="2"/>
            <w:vAlign w:val="center"/>
          </w:tcPr>
          <w:p>
            <w:pPr>
              <w:spacing w:line="240" w:lineRule="auto"/>
              <w:ind w:firstLine="0" w:firstLineChars="0"/>
              <w:jc w:val="center"/>
              <w:rPr>
                <w:rFonts w:cs="Times New Roman"/>
                <w:b/>
                <w:sz w:val="21"/>
              </w:rPr>
            </w:pPr>
            <w:r>
              <w:rPr>
                <w:rFonts w:cs="Times New Roman"/>
                <w:b/>
                <w:sz w:val="21"/>
                <w:lang w:bidi="ar"/>
              </w:rPr>
              <w:t>昼间</w:t>
            </w:r>
          </w:p>
        </w:tc>
        <w:tc>
          <w:tcPr>
            <w:tcW w:w="2888" w:type="dxa"/>
            <w:gridSpan w:val="2"/>
            <w:vAlign w:val="center"/>
          </w:tcPr>
          <w:p>
            <w:pPr>
              <w:spacing w:line="240" w:lineRule="auto"/>
              <w:ind w:firstLine="0" w:firstLineChars="0"/>
              <w:jc w:val="center"/>
              <w:rPr>
                <w:rFonts w:cs="Times New Roman"/>
                <w:b/>
                <w:sz w:val="21"/>
              </w:rPr>
            </w:pPr>
            <w:r>
              <w:rPr>
                <w:rFonts w:cs="Times New Roman"/>
                <w:b/>
                <w:sz w:val="21"/>
                <w:lang w:bidi="ar"/>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Merge w:val="continue"/>
            <w:vAlign w:val="center"/>
          </w:tcPr>
          <w:p>
            <w:pPr>
              <w:spacing w:line="240" w:lineRule="auto"/>
              <w:ind w:firstLine="420"/>
              <w:jc w:val="center"/>
              <w:rPr>
                <w:rFonts w:cs="Times New Roman"/>
                <w:sz w:val="21"/>
              </w:rPr>
            </w:pPr>
          </w:p>
        </w:tc>
        <w:tc>
          <w:tcPr>
            <w:tcW w:w="1804" w:type="dxa"/>
            <w:vMerge w:val="continue"/>
            <w:vAlign w:val="center"/>
          </w:tcPr>
          <w:p>
            <w:pPr>
              <w:spacing w:line="240" w:lineRule="auto"/>
              <w:ind w:firstLine="420"/>
              <w:jc w:val="center"/>
              <w:rPr>
                <w:rFonts w:cs="Times New Roman"/>
                <w:sz w:val="21"/>
              </w:rPr>
            </w:pPr>
          </w:p>
        </w:tc>
        <w:tc>
          <w:tcPr>
            <w:tcW w:w="1835" w:type="dxa"/>
            <w:vAlign w:val="center"/>
          </w:tcPr>
          <w:p>
            <w:pPr>
              <w:spacing w:line="240" w:lineRule="auto"/>
              <w:ind w:firstLine="0" w:firstLineChars="0"/>
              <w:jc w:val="center"/>
              <w:rPr>
                <w:rFonts w:cs="Times New Roman"/>
                <w:b/>
                <w:sz w:val="21"/>
              </w:rPr>
            </w:pPr>
            <w:r>
              <w:rPr>
                <w:rFonts w:cs="Times New Roman"/>
                <w:b/>
                <w:sz w:val="21"/>
                <w:lang w:bidi="ar"/>
              </w:rPr>
              <w:t>上一轮规划环评</w:t>
            </w:r>
          </w:p>
        </w:tc>
        <w:tc>
          <w:tcPr>
            <w:tcW w:w="1314" w:type="dxa"/>
            <w:vAlign w:val="center"/>
          </w:tcPr>
          <w:p>
            <w:pPr>
              <w:spacing w:line="240" w:lineRule="auto"/>
              <w:ind w:firstLine="0" w:firstLineChars="0"/>
              <w:jc w:val="center"/>
              <w:rPr>
                <w:rFonts w:cs="Times New Roman"/>
                <w:b/>
                <w:sz w:val="21"/>
              </w:rPr>
            </w:pPr>
            <w:r>
              <w:rPr>
                <w:rFonts w:cs="Times New Roman"/>
                <w:b/>
                <w:sz w:val="21"/>
                <w:lang w:bidi="ar"/>
              </w:rPr>
              <w:t>本次监测</w:t>
            </w:r>
          </w:p>
        </w:tc>
        <w:tc>
          <w:tcPr>
            <w:tcW w:w="1737" w:type="dxa"/>
            <w:vAlign w:val="center"/>
          </w:tcPr>
          <w:p>
            <w:pPr>
              <w:spacing w:line="240" w:lineRule="auto"/>
              <w:ind w:firstLine="0" w:firstLineChars="0"/>
              <w:jc w:val="center"/>
              <w:rPr>
                <w:rFonts w:cs="Times New Roman"/>
                <w:b/>
                <w:sz w:val="21"/>
              </w:rPr>
            </w:pPr>
            <w:r>
              <w:rPr>
                <w:rFonts w:cs="Times New Roman"/>
                <w:b/>
                <w:sz w:val="21"/>
                <w:lang w:bidi="ar"/>
              </w:rPr>
              <w:t>上一轮规划环评</w:t>
            </w:r>
          </w:p>
        </w:tc>
        <w:tc>
          <w:tcPr>
            <w:tcW w:w="1151" w:type="dxa"/>
            <w:vAlign w:val="center"/>
          </w:tcPr>
          <w:p>
            <w:pPr>
              <w:spacing w:line="240" w:lineRule="auto"/>
              <w:ind w:firstLine="0" w:firstLineChars="0"/>
              <w:jc w:val="center"/>
              <w:rPr>
                <w:rFonts w:cs="Times New Roman"/>
                <w:b/>
                <w:sz w:val="21"/>
              </w:rPr>
            </w:pPr>
            <w:r>
              <w:rPr>
                <w:rFonts w:cs="Times New Roman"/>
                <w:b/>
                <w:sz w:val="21"/>
                <w:lang w:bidi="ar"/>
              </w:rPr>
              <w:t>本次监测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214" w:type="dxa"/>
            <w:gridSpan w:val="2"/>
            <w:vAlign w:val="center"/>
          </w:tcPr>
          <w:p>
            <w:pPr>
              <w:spacing w:line="240" w:lineRule="auto"/>
              <w:ind w:firstLine="0" w:firstLineChars="0"/>
              <w:jc w:val="center"/>
              <w:rPr>
                <w:rFonts w:cs="Times New Roman"/>
                <w:sz w:val="21"/>
              </w:rPr>
            </w:pPr>
            <w:r>
              <w:rPr>
                <w:rFonts w:cs="Times New Roman"/>
                <w:sz w:val="21"/>
                <w:lang w:bidi="ar"/>
              </w:rPr>
              <w:t>区域噪声</w:t>
            </w:r>
          </w:p>
        </w:tc>
        <w:tc>
          <w:tcPr>
            <w:tcW w:w="1835" w:type="dxa"/>
            <w:vAlign w:val="center"/>
          </w:tcPr>
          <w:p>
            <w:pPr>
              <w:spacing w:line="240" w:lineRule="auto"/>
              <w:ind w:firstLine="0" w:firstLineChars="0"/>
              <w:jc w:val="center"/>
              <w:rPr>
                <w:rFonts w:cs="Times New Roman"/>
                <w:sz w:val="21"/>
              </w:rPr>
            </w:pPr>
            <w:r>
              <w:rPr>
                <w:rFonts w:cs="Times New Roman"/>
                <w:sz w:val="21"/>
              </w:rPr>
              <w:t>47.5~57.8</w:t>
            </w:r>
          </w:p>
        </w:tc>
        <w:tc>
          <w:tcPr>
            <w:tcW w:w="1314" w:type="dxa"/>
            <w:vAlign w:val="center"/>
          </w:tcPr>
          <w:p>
            <w:pPr>
              <w:spacing w:line="240" w:lineRule="auto"/>
              <w:ind w:firstLine="0" w:firstLineChars="0"/>
              <w:jc w:val="center"/>
              <w:rPr>
                <w:rFonts w:cs="Times New Roman"/>
                <w:sz w:val="21"/>
              </w:rPr>
            </w:pPr>
            <w:r>
              <w:rPr>
                <w:rFonts w:cs="Times New Roman"/>
                <w:sz w:val="21"/>
              </w:rPr>
              <w:t>43.1~58.1</w:t>
            </w:r>
          </w:p>
        </w:tc>
        <w:tc>
          <w:tcPr>
            <w:tcW w:w="1737" w:type="dxa"/>
            <w:vAlign w:val="center"/>
          </w:tcPr>
          <w:p>
            <w:pPr>
              <w:spacing w:line="240" w:lineRule="auto"/>
              <w:ind w:firstLine="0" w:firstLineChars="0"/>
              <w:jc w:val="center"/>
              <w:rPr>
                <w:rFonts w:cs="Times New Roman"/>
                <w:sz w:val="21"/>
              </w:rPr>
            </w:pPr>
            <w:r>
              <w:rPr>
                <w:rFonts w:cs="Times New Roman"/>
                <w:sz w:val="21"/>
              </w:rPr>
              <w:t>44.2~50.0</w:t>
            </w:r>
          </w:p>
        </w:tc>
        <w:tc>
          <w:tcPr>
            <w:tcW w:w="1151" w:type="dxa"/>
            <w:vAlign w:val="center"/>
          </w:tcPr>
          <w:p>
            <w:pPr>
              <w:spacing w:line="240" w:lineRule="auto"/>
              <w:ind w:firstLine="0" w:firstLineChars="0"/>
              <w:jc w:val="center"/>
              <w:rPr>
                <w:rFonts w:cs="Times New Roman"/>
                <w:sz w:val="21"/>
              </w:rPr>
            </w:pPr>
            <w:r>
              <w:rPr>
                <w:rFonts w:cs="Times New Roman"/>
                <w:sz w:val="21"/>
              </w:rPr>
              <w:t>41.4~</w:t>
            </w:r>
            <w:r>
              <w:rPr>
                <w:rFonts w:cs="Times New Roman"/>
                <w:sz w:val="21"/>
                <w:lang w:bidi="ar"/>
              </w:rPr>
              <w:t>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pPr>
              <w:spacing w:line="240" w:lineRule="auto"/>
              <w:ind w:firstLine="0" w:firstLineChars="0"/>
              <w:jc w:val="center"/>
              <w:rPr>
                <w:rFonts w:cs="Times New Roman"/>
                <w:sz w:val="21"/>
              </w:rPr>
            </w:pPr>
            <w:r>
              <w:rPr>
                <w:rFonts w:cs="Times New Roman"/>
                <w:sz w:val="21"/>
                <w:lang w:bidi="ar"/>
              </w:rPr>
              <w:t>交通噪声</w:t>
            </w:r>
          </w:p>
        </w:tc>
        <w:tc>
          <w:tcPr>
            <w:tcW w:w="1804" w:type="dxa"/>
            <w:vAlign w:val="center"/>
          </w:tcPr>
          <w:p>
            <w:pPr>
              <w:spacing w:line="240" w:lineRule="auto"/>
              <w:ind w:firstLine="0" w:firstLineChars="0"/>
              <w:jc w:val="center"/>
              <w:rPr>
                <w:rFonts w:cs="Times New Roman"/>
                <w:sz w:val="21"/>
              </w:rPr>
            </w:pPr>
            <w:r>
              <w:rPr>
                <w:rFonts w:cs="Times New Roman"/>
                <w:sz w:val="21"/>
                <w:lang w:bidi="ar"/>
              </w:rPr>
              <w:t>萧淮公路边界处</w:t>
            </w:r>
          </w:p>
        </w:tc>
        <w:tc>
          <w:tcPr>
            <w:tcW w:w="1835" w:type="dxa"/>
            <w:vAlign w:val="center"/>
          </w:tcPr>
          <w:p>
            <w:pPr>
              <w:spacing w:line="240" w:lineRule="auto"/>
              <w:ind w:firstLine="0" w:firstLineChars="0"/>
              <w:jc w:val="center"/>
              <w:rPr>
                <w:rFonts w:cs="Times New Roman"/>
                <w:sz w:val="21"/>
              </w:rPr>
            </w:pPr>
            <w:r>
              <w:rPr>
                <w:rFonts w:cs="Times New Roman"/>
                <w:sz w:val="21"/>
              </w:rPr>
              <w:t>50.6~63.8</w:t>
            </w:r>
          </w:p>
        </w:tc>
        <w:tc>
          <w:tcPr>
            <w:tcW w:w="1314" w:type="dxa"/>
            <w:vAlign w:val="center"/>
          </w:tcPr>
          <w:p>
            <w:pPr>
              <w:spacing w:line="240" w:lineRule="auto"/>
              <w:ind w:firstLine="0" w:firstLineChars="0"/>
              <w:jc w:val="center"/>
              <w:rPr>
                <w:rFonts w:cs="Times New Roman"/>
                <w:sz w:val="21"/>
              </w:rPr>
            </w:pPr>
            <w:r>
              <w:rPr>
                <w:rFonts w:cs="Times New Roman"/>
                <w:sz w:val="21"/>
              </w:rPr>
              <w:t>43.3~62.1</w:t>
            </w:r>
          </w:p>
        </w:tc>
        <w:tc>
          <w:tcPr>
            <w:tcW w:w="1737" w:type="dxa"/>
            <w:vAlign w:val="center"/>
          </w:tcPr>
          <w:p>
            <w:pPr>
              <w:spacing w:line="240" w:lineRule="auto"/>
              <w:ind w:firstLine="0" w:firstLineChars="0"/>
              <w:jc w:val="center"/>
              <w:rPr>
                <w:rFonts w:cs="Times New Roman"/>
                <w:sz w:val="21"/>
              </w:rPr>
            </w:pPr>
            <w:r>
              <w:rPr>
                <w:rFonts w:cs="Times New Roman"/>
                <w:sz w:val="21"/>
              </w:rPr>
              <w:t>48.3~49.8</w:t>
            </w:r>
          </w:p>
        </w:tc>
        <w:tc>
          <w:tcPr>
            <w:tcW w:w="1151" w:type="dxa"/>
            <w:vAlign w:val="center"/>
          </w:tcPr>
          <w:p>
            <w:pPr>
              <w:spacing w:line="240" w:lineRule="auto"/>
              <w:ind w:firstLine="0" w:firstLineChars="0"/>
              <w:jc w:val="center"/>
              <w:rPr>
                <w:rFonts w:cs="Times New Roman"/>
                <w:sz w:val="21"/>
              </w:rPr>
            </w:pPr>
            <w:r>
              <w:rPr>
                <w:rFonts w:hint="eastAsia" w:cs="Times New Roman"/>
                <w:sz w:val="21"/>
              </w:rPr>
              <w:t>/</w:t>
            </w:r>
          </w:p>
        </w:tc>
      </w:tr>
    </w:tbl>
    <w:p>
      <w:pPr>
        <w:ind w:firstLine="480"/>
        <w:rPr>
          <w:rFonts w:cs="Times New Roman"/>
        </w:rPr>
      </w:pPr>
      <w:r>
        <w:rPr>
          <w:rFonts w:cs="Times New Roman"/>
          <w:lang w:bidi="ar"/>
        </w:rPr>
        <w:t>由表</w:t>
      </w:r>
      <w:r>
        <w:rPr>
          <w:rFonts w:hint="eastAsia" w:cs="Times New Roman"/>
          <w:lang w:val="en-US" w:eastAsia="zh-CN" w:bidi="ar"/>
        </w:rPr>
        <w:t>3</w:t>
      </w:r>
      <w:r>
        <w:rPr>
          <w:rFonts w:cs="Times New Roman"/>
          <w:lang w:bidi="ar"/>
        </w:rPr>
        <w:t>.4.3-1可知，从噪声监测结果的对比来看，开发区区域噪声、主干道交通噪声及铁路交通噪声与上一轮规划环评中相比，总体上昼间和夜间交通噪声变化较小。</w:t>
      </w:r>
    </w:p>
    <w:p>
      <w:pPr>
        <w:ind w:firstLine="0" w:firstLineChars="0"/>
        <w:jc w:val="left"/>
        <w:outlineLvl w:val="1"/>
        <w:rPr>
          <w:rFonts w:eastAsia="黑体" w:cs="Times New Roman"/>
          <w:sz w:val="32"/>
        </w:rPr>
      </w:pPr>
      <w:bookmarkStart w:id="5" w:name="_Toc40103124"/>
      <w:r>
        <w:rPr>
          <w:rFonts w:hint="eastAsia" w:eastAsia="黑体" w:cs="Times New Roman"/>
          <w:sz w:val="32"/>
          <w:lang w:val="en-US" w:eastAsia="zh-CN"/>
        </w:rPr>
        <w:t>3</w:t>
      </w:r>
      <w:r>
        <w:rPr>
          <w:rFonts w:eastAsia="黑体" w:cs="Times New Roman"/>
          <w:sz w:val="32"/>
        </w:rPr>
        <w:t>.5地下水环境质量跟踪评价</w:t>
      </w:r>
      <w:bookmarkEnd w:id="5"/>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.5.1历史监测资料收集与分析</w:t>
      </w:r>
    </w:p>
    <w:p>
      <w:pPr>
        <w:ind w:firstLine="480"/>
        <w:rPr>
          <w:rFonts w:cs="Times New Roman"/>
          <w:lang w:bidi="ar"/>
        </w:rPr>
      </w:pPr>
      <w:r>
        <w:rPr>
          <w:rFonts w:cs="Times New Roman"/>
          <w:lang w:bidi="ar"/>
        </w:rPr>
        <w:t>上一轮规划环评中，淮北市环境保护监测站分别于2010年8月7日和2010年8月8日对评价区域内的地下水进行了采样监测，点位分布详见表</w:t>
      </w:r>
      <w:r>
        <w:rPr>
          <w:rFonts w:hint="eastAsia" w:cs="Times New Roman"/>
          <w:lang w:val="en-US" w:eastAsia="zh-CN" w:bidi="ar"/>
        </w:rPr>
        <w:t>3</w:t>
      </w:r>
      <w:r>
        <w:rPr>
          <w:rFonts w:cs="Times New Roman"/>
          <w:lang w:bidi="ar"/>
        </w:rPr>
        <w:t>.5.1-1，监测结果见表</w:t>
      </w:r>
      <w:r>
        <w:rPr>
          <w:rFonts w:hint="eastAsia" w:cs="Times New Roman"/>
          <w:lang w:val="en-US" w:eastAsia="zh-CN" w:bidi="ar"/>
        </w:rPr>
        <w:t>3</w:t>
      </w:r>
      <w:r>
        <w:rPr>
          <w:rFonts w:cs="Times New Roman"/>
          <w:lang w:bidi="ar"/>
        </w:rPr>
        <w:t>.5.1-2。</w:t>
      </w:r>
    </w:p>
    <w:p>
      <w:pPr>
        <w:spacing w:line="240" w:lineRule="auto"/>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.5.1-1  上一轮规划环评地下水监测点位一览表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1851"/>
        <w:gridCol w:w="2005"/>
        <w:gridCol w:w="3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39" w:type="pct"/>
            <w:vAlign w:val="center"/>
          </w:tcPr>
          <w:p>
            <w:pPr>
              <w:spacing w:line="240" w:lineRule="auto"/>
              <w:ind w:firstLine="0" w:firstLineChars="0"/>
              <w:jc w:val="center"/>
              <w:rPr>
                <w:rFonts w:cs="Times New Roman"/>
                <w:b/>
                <w:sz w:val="21"/>
                <w:szCs w:val="21"/>
              </w:rPr>
            </w:pPr>
            <w:r>
              <w:rPr>
                <w:rFonts w:cs="Times New Roman"/>
                <w:b/>
                <w:sz w:val="21"/>
                <w:szCs w:val="21"/>
                <w:lang w:bidi="ar"/>
              </w:rPr>
              <w:t>编号</w:t>
            </w:r>
          </w:p>
        </w:tc>
        <w:tc>
          <w:tcPr>
            <w:tcW w:w="1087" w:type="pct"/>
            <w:vAlign w:val="center"/>
          </w:tcPr>
          <w:p>
            <w:pPr>
              <w:spacing w:line="240" w:lineRule="auto"/>
              <w:ind w:firstLine="0" w:firstLineChars="0"/>
              <w:jc w:val="center"/>
              <w:rPr>
                <w:rFonts w:cs="Times New Roman"/>
                <w:b/>
                <w:sz w:val="21"/>
                <w:szCs w:val="21"/>
              </w:rPr>
            </w:pPr>
            <w:r>
              <w:rPr>
                <w:rFonts w:cs="Times New Roman"/>
                <w:b/>
                <w:sz w:val="21"/>
                <w:szCs w:val="21"/>
                <w:lang w:bidi="ar"/>
              </w:rPr>
              <w:t>点位</w:t>
            </w:r>
          </w:p>
        </w:tc>
        <w:tc>
          <w:tcPr>
            <w:tcW w:w="1177" w:type="pct"/>
            <w:vAlign w:val="center"/>
          </w:tcPr>
          <w:p>
            <w:pPr>
              <w:spacing w:line="240" w:lineRule="auto"/>
              <w:ind w:firstLine="0" w:firstLineChars="0"/>
              <w:jc w:val="center"/>
              <w:rPr>
                <w:rFonts w:cs="Times New Roman"/>
                <w:b/>
                <w:sz w:val="21"/>
                <w:szCs w:val="21"/>
              </w:rPr>
            </w:pPr>
            <w:r>
              <w:rPr>
                <w:rFonts w:cs="Times New Roman"/>
                <w:b/>
                <w:sz w:val="21"/>
                <w:szCs w:val="21"/>
                <w:lang w:bidi="ar"/>
              </w:rPr>
              <w:t>位置</w:t>
            </w:r>
          </w:p>
        </w:tc>
        <w:tc>
          <w:tcPr>
            <w:tcW w:w="2097" w:type="pct"/>
            <w:vAlign w:val="center"/>
          </w:tcPr>
          <w:p>
            <w:pPr>
              <w:spacing w:line="240" w:lineRule="auto"/>
              <w:ind w:firstLine="0" w:firstLineChars="0"/>
              <w:jc w:val="center"/>
              <w:rPr>
                <w:rFonts w:cs="Times New Roman"/>
                <w:b/>
                <w:sz w:val="21"/>
                <w:szCs w:val="21"/>
              </w:rPr>
            </w:pPr>
            <w:r>
              <w:rPr>
                <w:rFonts w:cs="Times New Roman"/>
                <w:b/>
                <w:sz w:val="21"/>
                <w:szCs w:val="21"/>
                <w:lang w:bidi="ar"/>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39" w:type="pct"/>
            <w:vAlign w:val="center"/>
          </w:tcPr>
          <w:p>
            <w:pPr>
              <w:spacing w:line="240" w:lineRule="auto"/>
              <w:ind w:firstLine="0" w:firstLineChars="0"/>
              <w:jc w:val="center"/>
              <w:rPr>
                <w:rFonts w:cs="Times New Roman"/>
                <w:sz w:val="21"/>
                <w:szCs w:val="21"/>
              </w:rPr>
            </w:pPr>
            <w:r>
              <w:rPr>
                <w:rFonts w:cs="Times New Roman"/>
                <w:sz w:val="21"/>
                <w:szCs w:val="21"/>
                <w:lang w:bidi="ar"/>
              </w:rPr>
              <w:t>1#</w:t>
            </w:r>
          </w:p>
        </w:tc>
        <w:tc>
          <w:tcPr>
            <w:tcW w:w="1087"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段庄</w:t>
            </w:r>
          </w:p>
        </w:tc>
        <w:tc>
          <w:tcPr>
            <w:tcW w:w="1177"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民用井</w:t>
            </w:r>
          </w:p>
        </w:tc>
        <w:tc>
          <w:tcPr>
            <w:tcW w:w="2097" w:type="pct"/>
            <w:vMerge w:val="restart"/>
            <w:vAlign w:val="center"/>
          </w:tcPr>
          <w:p>
            <w:pPr>
              <w:widowControl/>
              <w:spacing w:line="240" w:lineRule="auto"/>
              <w:ind w:firstLine="0" w:firstLineChars="0"/>
              <w:jc w:val="center"/>
              <w:rPr>
                <w:rFonts w:cs="Times New Roman"/>
                <w:sz w:val="21"/>
                <w:szCs w:val="21"/>
              </w:rPr>
            </w:pPr>
            <w:r>
              <w:rPr>
                <w:rFonts w:cs="Times New Roman"/>
                <w:sz w:val="21"/>
                <w:szCs w:val="21"/>
                <w:lang w:bidi="ar"/>
              </w:rPr>
              <w:t>pH、砷、铬、铅、氟化物、汞、氯化物、高锰酸盐指数、硬度、总大肠菌群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39" w:type="pct"/>
            <w:vAlign w:val="center"/>
          </w:tcPr>
          <w:p>
            <w:pPr>
              <w:spacing w:line="240" w:lineRule="auto"/>
              <w:ind w:firstLine="0" w:firstLineChars="0"/>
              <w:jc w:val="center"/>
              <w:rPr>
                <w:rFonts w:cs="Times New Roman"/>
                <w:kern w:val="0"/>
                <w:sz w:val="21"/>
                <w:szCs w:val="21"/>
              </w:rPr>
            </w:pPr>
            <w:r>
              <w:rPr>
                <w:rFonts w:cs="Times New Roman"/>
                <w:kern w:val="0"/>
                <w:sz w:val="21"/>
                <w:szCs w:val="21"/>
              </w:rPr>
              <w:t>2#</w:t>
            </w:r>
          </w:p>
        </w:tc>
        <w:tc>
          <w:tcPr>
            <w:tcW w:w="1087"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滂汪</w:t>
            </w:r>
          </w:p>
        </w:tc>
        <w:tc>
          <w:tcPr>
            <w:tcW w:w="1177"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企业用水井</w:t>
            </w:r>
          </w:p>
        </w:tc>
        <w:tc>
          <w:tcPr>
            <w:tcW w:w="2097" w:type="pct"/>
            <w:vMerge w:val="continue"/>
            <w:vAlign w:val="center"/>
          </w:tcPr>
          <w:p>
            <w:pPr>
              <w:spacing w:line="240" w:lineRule="auto"/>
              <w:ind w:firstLine="0" w:firstLineChars="0"/>
              <w:jc w:val="center"/>
              <w:rPr>
                <w:rFonts w:cs="Times New Roman"/>
                <w:snapToGrid w:val="0"/>
                <w:sz w:val="21"/>
                <w:szCs w:val="21"/>
              </w:rPr>
            </w:pPr>
          </w:p>
        </w:tc>
      </w:tr>
    </w:tbl>
    <w:p>
      <w:pPr>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.5.2-2  上一轮规划环评地下水监测结果（单位：mg/L，pH无量纲）</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188"/>
        <w:gridCol w:w="1408"/>
        <w:gridCol w:w="1409"/>
        <w:gridCol w:w="1408"/>
        <w:gridCol w:w="14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 w:type="pct"/>
            <w:vMerge w:val="restar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lang w:bidi="ar"/>
              </w:rPr>
              <w:t>序号</w:t>
            </w:r>
          </w:p>
        </w:tc>
        <w:tc>
          <w:tcPr>
            <w:tcW w:w="1284" w:type="pct"/>
            <w:vMerge w:val="restar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lang w:bidi="ar"/>
              </w:rPr>
              <w:t>监测项目</w:t>
            </w:r>
          </w:p>
        </w:tc>
        <w:tc>
          <w:tcPr>
            <w:tcW w:w="1653" w:type="pct"/>
            <w:gridSpan w:val="2"/>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段庄</w:t>
            </w:r>
          </w:p>
        </w:tc>
        <w:tc>
          <w:tcPr>
            <w:tcW w:w="1653" w:type="pct"/>
            <w:gridSpan w:val="2"/>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滂汪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Merge w:val="continue"/>
            <w:vAlign w:val="center"/>
          </w:tcPr>
          <w:p>
            <w:pPr>
              <w:spacing w:line="240" w:lineRule="auto"/>
              <w:ind w:firstLine="0" w:firstLineChars="0"/>
              <w:jc w:val="center"/>
              <w:rPr>
                <w:rFonts w:cs="Times New Roman"/>
                <w:b/>
                <w:bCs/>
                <w:snapToGrid w:val="0"/>
                <w:sz w:val="21"/>
                <w:szCs w:val="20"/>
              </w:rPr>
            </w:pPr>
          </w:p>
        </w:tc>
        <w:tc>
          <w:tcPr>
            <w:tcW w:w="1284" w:type="pct"/>
            <w:vMerge w:val="continue"/>
            <w:vAlign w:val="center"/>
          </w:tcPr>
          <w:p>
            <w:pPr>
              <w:spacing w:line="240" w:lineRule="auto"/>
              <w:ind w:firstLine="0" w:firstLineChars="0"/>
              <w:jc w:val="center"/>
              <w:rPr>
                <w:rFonts w:cs="Times New Roman"/>
                <w:b/>
                <w:bCs/>
                <w:snapToGrid w:val="0"/>
                <w:sz w:val="21"/>
                <w:szCs w:val="20"/>
              </w:rPr>
            </w:pPr>
          </w:p>
        </w:tc>
        <w:tc>
          <w:tcPr>
            <w:tcW w:w="826" w:type="pc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8月7日</w:t>
            </w:r>
          </w:p>
        </w:tc>
        <w:tc>
          <w:tcPr>
            <w:tcW w:w="827" w:type="pc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8月8日</w:t>
            </w:r>
          </w:p>
        </w:tc>
        <w:tc>
          <w:tcPr>
            <w:tcW w:w="826" w:type="pc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8月7日</w:t>
            </w:r>
          </w:p>
        </w:tc>
        <w:tc>
          <w:tcPr>
            <w:tcW w:w="827" w:type="pc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8月8日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w:t>
            </w:r>
          </w:p>
        </w:tc>
        <w:tc>
          <w:tcPr>
            <w:tcW w:w="1284" w:type="pct"/>
            <w:vAlign w:val="center"/>
          </w:tcPr>
          <w:p>
            <w:pPr>
              <w:spacing w:before="24" w:beforeLines="10" w:after="24" w:afterLines="10" w:line="240" w:lineRule="auto"/>
              <w:ind w:firstLine="0" w:firstLineChars="0"/>
              <w:jc w:val="center"/>
              <w:rPr>
                <w:rFonts w:cs="Times New Roman"/>
                <w:bCs/>
                <w:sz w:val="21"/>
                <w:szCs w:val="21"/>
              </w:rPr>
            </w:pPr>
            <w:r>
              <w:rPr>
                <w:rFonts w:cs="Times New Roman"/>
                <w:sz w:val="21"/>
                <w:szCs w:val="21"/>
                <w:lang w:bidi="ar"/>
              </w:rPr>
              <w:t>pH</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7.33</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7.35</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7.34</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2</w:t>
            </w:r>
          </w:p>
        </w:tc>
        <w:tc>
          <w:tcPr>
            <w:tcW w:w="1284" w:type="pct"/>
            <w:vAlign w:val="center"/>
          </w:tcPr>
          <w:p>
            <w:pPr>
              <w:spacing w:before="24" w:beforeLines="10" w:after="24" w:afterLines="10" w:line="240" w:lineRule="auto"/>
              <w:ind w:firstLine="0" w:firstLineChars="0"/>
              <w:jc w:val="center"/>
              <w:rPr>
                <w:rFonts w:cs="Times New Roman"/>
                <w:bCs/>
                <w:sz w:val="21"/>
                <w:szCs w:val="21"/>
              </w:rPr>
            </w:pPr>
            <w:r>
              <w:rPr>
                <w:rFonts w:cs="Times New Roman"/>
                <w:sz w:val="21"/>
                <w:szCs w:val="21"/>
                <w:lang w:bidi="ar"/>
              </w:rPr>
              <w:t>砷</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＜0.0001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＜0.0001 </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＜0.0001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＜0.0001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3</w:t>
            </w:r>
          </w:p>
        </w:tc>
        <w:tc>
          <w:tcPr>
            <w:tcW w:w="12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铬</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＜0.03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＜0.03 </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＜0.03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4</w:t>
            </w:r>
          </w:p>
        </w:tc>
        <w:tc>
          <w:tcPr>
            <w:tcW w:w="1284"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铅</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＜1.00</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＜1.00</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＜1.00</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5</w:t>
            </w:r>
          </w:p>
        </w:tc>
        <w:tc>
          <w:tcPr>
            <w:tcW w:w="1284" w:type="pct"/>
            <w:vAlign w:val="center"/>
          </w:tcPr>
          <w:p>
            <w:pPr>
              <w:spacing w:line="240" w:lineRule="auto"/>
              <w:ind w:firstLine="0" w:firstLineChars="0"/>
              <w:jc w:val="center"/>
              <w:rPr>
                <w:rFonts w:cs="Times New Roman"/>
                <w:bCs/>
                <w:sz w:val="21"/>
                <w:szCs w:val="21"/>
              </w:rPr>
            </w:pPr>
            <w:r>
              <w:rPr>
                <w:rFonts w:cs="Times New Roman"/>
                <w:sz w:val="21"/>
                <w:szCs w:val="21"/>
                <w:lang w:bidi="ar"/>
              </w:rPr>
              <w:t>氟化物</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0.40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0.38 </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0.74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6</w:t>
            </w:r>
          </w:p>
        </w:tc>
        <w:tc>
          <w:tcPr>
            <w:tcW w:w="1284"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 xml:space="preserve">汞μg/L </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＜0.05</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＜0.05</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＜0.05</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7</w:t>
            </w:r>
          </w:p>
        </w:tc>
        <w:tc>
          <w:tcPr>
            <w:tcW w:w="1284"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氯化物</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40.8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40.8 </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112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111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8</w:t>
            </w:r>
          </w:p>
        </w:tc>
        <w:tc>
          <w:tcPr>
            <w:tcW w:w="1284"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高锰酸盐指数</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＜0.5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＜0.5 </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＜0.5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9</w:t>
            </w:r>
          </w:p>
        </w:tc>
        <w:tc>
          <w:tcPr>
            <w:tcW w:w="1284"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汞硬度</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397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408 </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418 </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 xml:space="preserve">406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10</w:t>
            </w:r>
          </w:p>
        </w:tc>
        <w:tc>
          <w:tcPr>
            <w:tcW w:w="1284" w:type="pct"/>
            <w:vAlign w:val="center"/>
          </w:tcPr>
          <w:p>
            <w:pPr>
              <w:spacing w:line="240" w:lineRule="auto"/>
              <w:ind w:firstLine="0" w:firstLineChars="0"/>
              <w:jc w:val="center"/>
              <w:rPr>
                <w:rFonts w:cs="Times New Roman"/>
                <w:sz w:val="21"/>
                <w:szCs w:val="21"/>
                <w:lang w:bidi="ar"/>
              </w:rPr>
            </w:pPr>
            <w:r>
              <w:rPr>
                <w:rFonts w:cs="Times New Roman"/>
                <w:sz w:val="21"/>
                <w:szCs w:val="21"/>
                <w:lang w:bidi="ar"/>
              </w:rPr>
              <w:t xml:space="preserve">总大肠菌群(个/L) </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w:t>
            </w:r>
          </w:p>
        </w:tc>
        <w:tc>
          <w:tcPr>
            <w:tcW w:w="826"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w:t>
            </w:r>
          </w:p>
        </w:tc>
        <w:tc>
          <w:tcPr>
            <w:tcW w:w="827" w:type="pct"/>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w:t>
            </w:r>
          </w:p>
        </w:tc>
      </w:tr>
    </w:tbl>
    <w:p>
      <w:pPr>
        <w:ind w:firstLine="480"/>
        <w:rPr>
          <w:rFonts w:cs="Times New Roman"/>
        </w:rPr>
      </w:pPr>
      <w:r>
        <w:rPr>
          <w:rFonts w:cs="Times New Roman"/>
          <w:lang w:bidi="ar"/>
        </w:rPr>
        <w:t>监测结果表明，区域地下水各项指标均满足《地表水质量标准》（GB/T14848-93）中的</w:t>
      </w:r>
      <w:r>
        <w:rPr>
          <w:rFonts w:hint="eastAsia" w:ascii="宋体" w:hAnsi="宋体" w:cs="宋体"/>
          <w:lang w:bidi="ar"/>
        </w:rPr>
        <w:t>Ⅲ</w:t>
      </w:r>
      <w:r>
        <w:rPr>
          <w:rFonts w:cs="Times New Roman"/>
          <w:lang w:bidi="ar"/>
        </w:rPr>
        <w:t>类标准要求，同时也满足《地下水质量标准》（GB/T14848-2017）中的III类标准要求。</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.5.2地下水环境质量现状监测与分析</w:t>
      </w:r>
    </w:p>
    <w:p>
      <w:pPr>
        <w:ind w:firstLine="480"/>
        <w:rPr>
          <w:rFonts w:cs="Times New Roman"/>
        </w:rPr>
      </w:pPr>
      <w:r>
        <w:rPr>
          <w:rFonts w:cs="Times New Roman"/>
          <w:lang w:bidi="ar"/>
        </w:rPr>
        <w:t>（1）监测点布设</w:t>
      </w:r>
    </w:p>
    <w:p>
      <w:pPr>
        <w:ind w:firstLine="480"/>
        <w:rPr>
          <w:rFonts w:cs="Times New Roman"/>
        </w:rPr>
      </w:pPr>
      <w:r>
        <w:rPr>
          <w:rFonts w:cs="Times New Roman"/>
        </w:rPr>
        <w:t>根据地下水导则及区域地下水流向为西到东，本次地下水环境现状监测在项目基地及周边布设了5个地下水现状水质监测点，地下水监测井可利用居民水井或企业已有的监测井，</w:t>
      </w:r>
      <w:r>
        <w:rPr>
          <w:rFonts w:cs="Times New Roman"/>
          <w:lang w:bidi="ar"/>
        </w:rPr>
        <w:t>具体位置详见表</w:t>
      </w:r>
      <w:r>
        <w:rPr>
          <w:rFonts w:hint="eastAsia" w:cs="Times New Roman"/>
          <w:lang w:val="en-US" w:eastAsia="zh-CN" w:bidi="ar"/>
        </w:rPr>
        <w:t>3</w:t>
      </w:r>
      <w:r>
        <w:rPr>
          <w:rFonts w:cs="Times New Roman"/>
          <w:lang w:bidi="ar"/>
        </w:rPr>
        <w:t>.5.2-1及附图4.5.2-1。</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.5.2-1  地下水监测点位一览表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606"/>
        <w:gridCol w:w="1337"/>
        <w:gridCol w:w="47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51" w:type="dxa"/>
            <w:vAlign w:val="center"/>
          </w:tcPr>
          <w:p>
            <w:pPr>
              <w:tabs>
                <w:tab w:val="left" w:pos="871"/>
              </w:tabs>
              <w:spacing w:line="240" w:lineRule="auto"/>
              <w:ind w:firstLine="0" w:firstLineChars="0"/>
              <w:jc w:val="center"/>
              <w:rPr>
                <w:rFonts w:cs="Times New Roman"/>
                <w:b/>
                <w:color w:val="FF0000"/>
                <w:sz w:val="21"/>
                <w:szCs w:val="21"/>
              </w:rPr>
            </w:pPr>
            <w:r>
              <w:rPr>
                <w:rFonts w:cs="Times New Roman"/>
                <w:b/>
                <w:color w:val="FF0000"/>
                <w:sz w:val="21"/>
                <w:szCs w:val="21"/>
                <w:lang w:bidi="ar"/>
              </w:rPr>
              <w:t>监测点位</w:t>
            </w:r>
          </w:p>
        </w:tc>
        <w:tc>
          <w:tcPr>
            <w:tcW w:w="1701" w:type="dxa"/>
            <w:vAlign w:val="center"/>
          </w:tcPr>
          <w:p>
            <w:pPr>
              <w:overflowPunct w:val="0"/>
              <w:spacing w:line="240" w:lineRule="auto"/>
              <w:ind w:firstLine="0" w:firstLineChars="0"/>
              <w:jc w:val="center"/>
              <w:textAlignment w:val="baseline"/>
              <w:rPr>
                <w:rFonts w:cs="Times New Roman"/>
                <w:b/>
                <w:color w:val="FF0000"/>
                <w:sz w:val="21"/>
              </w:rPr>
            </w:pPr>
            <w:r>
              <w:rPr>
                <w:rFonts w:cs="Times New Roman"/>
                <w:b/>
                <w:color w:val="FF0000"/>
                <w:sz w:val="21"/>
                <w:lang w:bidi="ar"/>
              </w:rPr>
              <w:t>点位名称</w:t>
            </w:r>
          </w:p>
        </w:tc>
        <w:tc>
          <w:tcPr>
            <w:tcW w:w="1417" w:type="dxa"/>
            <w:vAlign w:val="center"/>
          </w:tcPr>
          <w:p>
            <w:pPr>
              <w:overflowPunct w:val="0"/>
              <w:spacing w:line="240" w:lineRule="auto"/>
              <w:ind w:firstLine="0" w:firstLineChars="0"/>
              <w:jc w:val="center"/>
              <w:textAlignment w:val="baseline"/>
              <w:rPr>
                <w:rFonts w:cs="Times New Roman"/>
                <w:b/>
                <w:color w:val="FF0000"/>
                <w:sz w:val="21"/>
              </w:rPr>
            </w:pPr>
            <w:r>
              <w:rPr>
                <w:rFonts w:hint="eastAsia" w:cs="Times New Roman"/>
                <w:b/>
                <w:color w:val="FF0000"/>
                <w:sz w:val="21"/>
              </w:rPr>
              <w:t>与</w:t>
            </w:r>
            <w:r>
              <w:rPr>
                <w:rFonts w:cs="Times New Roman"/>
                <w:b/>
                <w:color w:val="FF0000"/>
                <w:sz w:val="21"/>
              </w:rPr>
              <w:t>原环评监测点的关系</w:t>
            </w:r>
          </w:p>
        </w:tc>
        <w:tc>
          <w:tcPr>
            <w:tcW w:w="5058" w:type="dxa"/>
            <w:vAlign w:val="center"/>
          </w:tcPr>
          <w:p>
            <w:pPr>
              <w:overflowPunct w:val="0"/>
              <w:spacing w:line="240" w:lineRule="auto"/>
              <w:ind w:firstLine="0" w:firstLineChars="0"/>
              <w:jc w:val="center"/>
              <w:textAlignment w:val="baseline"/>
              <w:rPr>
                <w:rFonts w:cs="Times New Roman"/>
                <w:b/>
                <w:color w:val="FF0000"/>
                <w:sz w:val="21"/>
              </w:rPr>
            </w:pPr>
            <w:r>
              <w:rPr>
                <w:rFonts w:cs="Times New Roman"/>
                <w:b/>
                <w:color w:val="FF0000"/>
                <w:sz w:val="21"/>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51" w:type="dxa"/>
            <w:vAlign w:val="center"/>
          </w:tcPr>
          <w:p>
            <w:pPr>
              <w:tabs>
                <w:tab w:val="left" w:pos="871"/>
              </w:tabs>
              <w:spacing w:line="240" w:lineRule="auto"/>
              <w:ind w:firstLine="0" w:firstLineChars="0"/>
              <w:jc w:val="center"/>
              <w:rPr>
                <w:rFonts w:cs="Times New Roman"/>
                <w:color w:val="FF0000"/>
                <w:sz w:val="21"/>
                <w:szCs w:val="21"/>
              </w:rPr>
            </w:pPr>
            <w:r>
              <w:rPr>
                <w:rFonts w:cs="Times New Roman"/>
                <w:color w:val="FF0000"/>
                <w:sz w:val="21"/>
                <w:szCs w:val="21"/>
                <w:lang w:bidi="ar"/>
              </w:rPr>
              <w:t>D1</w:t>
            </w:r>
          </w:p>
        </w:tc>
        <w:tc>
          <w:tcPr>
            <w:tcW w:w="1701" w:type="dxa"/>
            <w:vAlign w:val="center"/>
          </w:tcPr>
          <w:p>
            <w:pPr>
              <w:tabs>
                <w:tab w:val="left" w:pos="871"/>
              </w:tabs>
              <w:spacing w:line="240" w:lineRule="auto"/>
              <w:ind w:firstLine="0" w:firstLineChars="0"/>
              <w:jc w:val="center"/>
              <w:rPr>
                <w:rFonts w:cs="Times New Roman"/>
                <w:color w:val="FF0000"/>
                <w:sz w:val="21"/>
                <w:szCs w:val="21"/>
                <w:lang w:bidi="ar"/>
              </w:rPr>
            </w:pPr>
            <w:r>
              <w:rPr>
                <w:rFonts w:cs="Times New Roman"/>
                <w:color w:val="FF0000"/>
                <w:sz w:val="21"/>
                <w:szCs w:val="21"/>
                <w:lang w:bidi="ar"/>
              </w:rPr>
              <w:t>罗里村</w:t>
            </w:r>
          </w:p>
        </w:tc>
        <w:tc>
          <w:tcPr>
            <w:tcW w:w="1417" w:type="dxa"/>
            <w:vMerge w:val="restart"/>
            <w:vAlign w:val="center"/>
          </w:tcPr>
          <w:p>
            <w:pPr>
              <w:spacing w:line="240" w:lineRule="auto"/>
              <w:ind w:firstLine="0" w:firstLineChars="0"/>
              <w:jc w:val="center"/>
              <w:rPr>
                <w:rFonts w:cs="Times New Roman"/>
                <w:color w:val="FF0000"/>
                <w:sz w:val="21"/>
                <w:szCs w:val="21"/>
              </w:rPr>
            </w:pPr>
            <w:r>
              <w:rPr>
                <w:rFonts w:hint="eastAsia" w:cs="Times New Roman"/>
                <w:color w:val="FF0000"/>
                <w:sz w:val="21"/>
                <w:szCs w:val="21"/>
              </w:rPr>
              <w:t>本次新增监测点</w:t>
            </w:r>
          </w:p>
        </w:tc>
        <w:tc>
          <w:tcPr>
            <w:tcW w:w="5058" w:type="dxa"/>
            <w:vMerge w:val="restart"/>
            <w:vAlign w:val="center"/>
          </w:tcPr>
          <w:p>
            <w:pPr>
              <w:spacing w:line="240" w:lineRule="auto"/>
              <w:ind w:firstLine="0" w:firstLineChars="0"/>
              <w:jc w:val="center"/>
              <w:rPr>
                <w:rFonts w:cs="Times New Roman"/>
                <w:color w:val="FF0000"/>
                <w:sz w:val="21"/>
                <w:szCs w:val="21"/>
              </w:rPr>
            </w:pPr>
            <w:r>
              <w:rPr>
                <w:rFonts w:cs="Times New Roman"/>
                <w:color w:val="FF0000"/>
                <w:sz w:val="21"/>
                <w:szCs w:val="21"/>
                <w:lang w:bidi="ar"/>
              </w:rPr>
              <w:t>铜、锌、铁、锰、镉、铅、砷、六价铬、汞、pH、总硬度、溶解性总固体、耗氧量、氰化物、氨氮、硫酸盐、硝酸盐、亚硝酸盐、氯化物、氟化物、挥发酚、总大肠菌群、细菌总数、石油类、K</w:t>
            </w:r>
            <w:r>
              <w:rPr>
                <w:rFonts w:cs="Times New Roman"/>
                <w:color w:val="FF0000"/>
                <w:sz w:val="21"/>
                <w:szCs w:val="21"/>
                <w:vertAlign w:val="superscript"/>
                <w:lang w:bidi="ar"/>
              </w:rPr>
              <w:t>+</w:t>
            </w:r>
            <w:r>
              <w:rPr>
                <w:rFonts w:cs="Times New Roman"/>
                <w:color w:val="FF0000"/>
                <w:sz w:val="21"/>
                <w:szCs w:val="21"/>
                <w:lang w:bidi="ar"/>
              </w:rPr>
              <w:t>、Na</w:t>
            </w:r>
            <w:r>
              <w:rPr>
                <w:rFonts w:cs="Times New Roman"/>
                <w:color w:val="FF0000"/>
                <w:sz w:val="21"/>
                <w:szCs w:val="21"/>
                <w:vertAlign w:val="superscript"/>
                <w:lang w:bidi="ar"/>
              </w:rPr>
              <w:t>+</w:t>
            </w:r>
            <w:r>
              <w:rPr>
                <w:rFonts w:cs="Times New Roman"/>
                <w:color w:val="FF0000"/>
                <w:sz w:val="21"/>
                <w:szCs w:val="21"/>
                <w:lang w:bidi="ar"/>
              </w:rPr>
              <w:t>、Ca</w:t>
            </w:r>
            <w:r>
              <w:rPr>
                <w:rFonts w:cs="Times New Roman"/>
                <w:color w:val="FF0000"/>
                <w:sz w:val="21"/>
                <w:szCs w:val="21"/>
                <w:vertAlign w:val="superscript"/>
                <w:lang w:bidi="ar"/>
              </w:rPr>
              <w:t>2+</w:t>
            </w:r>
            <w:r>
              <w:rPr>
                <w:rFonts w:cs="Times New Roman"/>
                <w:color w:val="FF0000"/>
                <w:sz w:val="21"/>
                <w:szCs w:val="21"/>
                <w:lang w:bidi="ar"/>
              </w:rPr>
              <w:t>、Mg</w:t>
            </w:r>
            <w:r>
              <w:rPr>
                <w:rFonts w:cs="Times New Roman"/>
                <w:color w:val="FF0000"/>
                <w:sz w:val="21"/>
                <w:szCs w:val="21"/>
                <w:vertAlign w:val="superscript"/>
                <w:lang w:bidi="ar"/>
              </w:rPr>
              <w:t>2+</w:t>
            </w:r>
            <w:r>
              <w:rPr>
                <w:rFonts w:cs="Times New Roman"/>
                <w:color w:val="FF0000"/>
                <w:sz w:val="21"/>
                <w:szCs w:val="21"/>
                <w:lang w:bidi="ar"/>
              </w:rPr>
              <w:t>、CO</w:t>
            </w:r>
            <w:r>
              <w:rPr>
                <w:rFonts w:cs="Times New Roman"/>
                <w:color w:val="FF0000"/>
                <w:sz w:val="21"/>
                <w:szCs w:val="21"/>
                <w:vertAlign w:val="subscript"/>
                <w:lang w:bidi="ar"/>
              </w:rPr>
              <w:t>3</w:t>
            </w:r>
            <w:r>
              <w:rPr>
                <w:rFonts w:cs="Times New Roman"/>
                <w:color w:val="FF0000"/>
                <w:sz w:val="21"/>
                <w:szCs w:val="21"/>
                <w:vertAlign w:val="superscript"/>
                <w:lang w:bidi="ar"/>
              </w:rPr>
              <w:t>2-</w:t>
            </w:r>
            <w:r>
              <w:rPr>
                <w:rFonts w:cs="Times New Roman"/>
                <w:color w:val="FF0000"/>
                <w:sz w:val="21"/>
                <w:szCs w:val="21"/>
                <w:lang w:bidi="ar"/>
              </w:rPr>
              <w:t>、HCO</w:t>
            </w:r>
            <w:r>
              <w:rPr>
                <w:rFonts w:cs="Times New Roman"/>
                <w:color w:val="FF0000"/>
                <w:sz w:val="21"/>
                <w:szCs w:val="21"/>
                <w:vertAlign w:val="subscript"/>
                <w:lang w:bidi="ar"/>
              </w:rPr>
              <w:t>3</w:t>
            </w:r>
            <w:r>
              <w:rPr>
                <w:rFonts w:cs="Times New Roman"/>
                <w:color w:val="FF0000"/>
                <w:sz w:val="21"/>
                <w:szCs w:val="21"/>
                <w:vertAlign w:val="superscript"/>
                <w:lang w:bidi="ar"/>
              </w:rPr>
              <w:t>-</w:t>
            </w:r>
            <w:r>
              <w:rPr>
                <w:rFonts w:cs="Times New Roman"/>
                <w:color w:val="FF0000"/>
                <w:sz w:val="21"/>
                <w:szCs w:val="21"/>
                <w:lang w:bidi="ar"/>
              </w:rPr>
              <w:t>、Cl</w:t>
            </w:r>
            <w:r>
              <w:rPr>
                <w:rFonts w:cs="Times New Roman"/>
                <w:color w:val="FF0000"/>
                <w:sz w:val="21"/>
                <w:szCs w:val="21"/>
                <w:vertAlign w:val="superscript"/>
                <w:lang w:bidi="ar"/>
              </w:rPr>
              <w:t>-</w:t>
            </w:r>
            <w:r>
              <w:rPr>
                <w:rFonts w:cs="Times New Roman"/>
                <w:color w:val="FF0000"/>
                <w:sz w:val="21"/>
                <w:szCs w:val="21"/>
                <w:lang w:bidi="ar"/>
              </w:rPr>
              <w:t>、SO</w:t>
            </w:r>
            <w:r>
              <w:rPr>
                <w:rFonts w:cs="Times New Roman"/>
                <w:color w:val="FF0000"/>
                <w:sz w:val="21"/>
                <w:szCs w:val="21"/>
                <w:vertAlign w:val="subscript"/>
                <w:lang w:bidi="ar"/>
              </w:rPr>
              <w:t>4</w:t>
            </w:r>
            <w:r>
              <w:rPr>
                <w:rFonts w:cs="Times New Roman"/>
                <w:color w:val="FF0000"/>
                <w:sz w:val="21"/>
                <w:szCs w:val="21"/>
                <w:vertAlign w:val="superscript"/>
                <w:lang w:bidi="ar"/>
              </w:rPr>
              <w:t>2-</w:t>
            </w:r>
            <w:r>
              <w:rPr>
                <w:rFonts w:cs="Times New Roman"/>
                <w:color w:val="FF0000"/>
                <w:sz w:val="21"/>
                <w:szCs w:val="21"/>
                <w:lang w:bidi="ar"/>
              </w:rPr>
              <w:t>、水位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851" w:type="dxa"/>
            <w:vAlign w:val="center"/>
          </w:tcPr>
          <w:p>
            <w:pPr>
              <w:spacing w:line="240" w:lineRule="auto"/>
              <w:ind w:firstLine="0" w:firstLineChars="0"/>
              <w:jc w:val="center"/>
              <w:rPr>
                <w:rFonts w:cs="Times New Roman"/>
                <w:color w:val="FF0000"/>
                <w:sz w:val="21"/>
                <w:szCs w:val="21"/>
              </w:rPr>
            </w:pPr>
            <w:r>
              <w:rPr>
                <w:rFonts w:cs="Times New Roman"/>
                <w:color w:val="FF0000"/>
                <w:sz w:val="21"/>
                <w:szCs w:val="21"/>
                <w:lang w:bidi="ar"/>
              </w:rPr>
              <w:t>D2</w:t>
            </w:r>
          </w:p>
        </w:tc>
        <w:tc>
          <w:tcPr>
            <w:tcW w:w="1701" w:type="dxa"/>
            <w:vAlign w:val="center"/>
          </w:tcPr>
          <w:p>
            <w:pPr>
              <w:tabs>
                <w:tab w:val="left" w:pos="871"/>
              </w:tabs>
              <w:spacing w:line="240" w:lineRule="auto"/>
              <w:ind w:firstLine="0" w:firstLineChars="0"/>
              <w:jc w:val="center"/>
              <w:rPr>
                <w:rFonts w:cs="Times New Roman"/>
                <w:color w:val="FF0000"/>
                <w:sz w:val="21"/>
                <w:szCs w:val="21"/>
                <w:lang w:bidi="ar"/>
              </w:rPr>
            </w:pPr>
            <w:r>
              <w:rPr>
                <w:rFonts w:cs="Times New Roman"/>
                <w:color w:val="FF0000"/>
                <w:sz w:val="21"/>
                <w:szCs w:val="21"/>
                <w:lang w:bidi="ar"/>
              </w:rPr>
              <w:t>安徽矿机</w:t>
            </w:r>
          </w:p>
        </w:tc>
        <w:tc>
          <w:tcPr>
            <w:tcW w:w="1417" w:type="dxa"/>
            <w:vMerge w:val="continue"/>
            <w:vAlign w:val="center"/>
          </w:tcPr>
          <w:p>
            <w:pPr>
              <w:spacing w:line="240" w:lineRule="auto"/>
              <w:ind w:firstLine="0" w:firstLineChars="0"/>
              <w:jc w:val="center"/>
              <w:rPr>
                <w:rFonts w:cs="Times New Roman"/>
                <w:color w:val="FF0000"/>
                <w:sz w:val="21"/>
                <w:szCs w:val="21"/>
              </w:rPr>
            </w:pPr>
          </w:p>
        </w:tc>
        <w:tc>
          <w:tcPr>
            <w:tcW w:w="5058" w:type="dxa"/>
            <w:vMerge w:val="continue"/>
            <w:vAlign w:val="center"/>
          </w:tcPr>
          <w:p>
            <w:pPr>
              <w:spacing w:line="240" w:lineRule="auto"/>
              <w:ind w:firstLine="0" w:firstLineChars="0"/>
              <w:jc w:val="center"/>
              <w:rPr>
                <w:rFonts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851" w:type="dxa"/>
            <w:vAlign w:val="center"/>
          </w:tcPr>
          <w:p>
            <w:pPr>
              <w:spacing w:line="240" w:lineRule="auto"/>
              <w:ind w:firstLine="0" w:firstLineChars="0"/>
              <w:jc w:val="center"/>
              <w:rPr>
                <w:rFonts w:cs="Times New Roman"/>
                <w:color w:val="FF0000"/>
                <w:sz w:val="21"/>
                <w:szCs w:val="21"/>
              </w:rPr>
            </w:pPr>
            <w:r>
              <w:rPr>
                <w:rFonts w:cs="Times New Roman"/>
                <w:color w:val="FF0000"/>
                <w:sz w:val="21"/>
                <w:szCs w:val="21"/>
              </w:rPr>
              <w:t>D3</w:t>
            </w:r>
          </w:p>
        </w:tc>
        <w:tc>
          <w:tcPr>
            <w:tcW w:w="1701" w:type="dxa"/>
            <w:vAlign w:val="center"/>
          </w:tcPr>
          <w:p>
            <w:pPr>
              <w:tabs>
                <w:tab w:val="left" w:pos="871"/>
              </w:tabs>
              <w:spacing w:line="240" w:lineRule="auto"/>
              <w:ind w:firstLine="0" w:firstLineChars="0"/>
              <w:jc w:val="center"/>
              <w:rPr>
                <w:rFonts w:cs="Times New Roman"/>
                <w:color w:val="FF0000"/>
                <w:sz w:val="21"/>
                <w:szCs w:val="21"/>
                <w:lang w:bidi="ar"/>
              </w:rPr>
            </w:pPr>
            <w:r>
              <w:rPr>
                <w:rFonts w:cs="Times New Roman"/>
                <w:color w:val="FF0000"/>
                <w:sz w:val="21"/>
                <w:szCs w:val="21"/>
                <w:lang w:bidi="ar"/>
              </w:rPr>
              <w:t>南段庄</w:t>
            </w:r>
            <w:r>
              <w:rPr>
                <w:rFonts w:hint="eastAsia" w:cs="Times New Roman"/>
                <w:color w:val="FF0000"/>
                <w:sz w:val="21"/>
                <w:szCs w:val="21"/>
                <w:lang w:bidi="ar"/>
              </w:rPr>
              <w:t>（原环评段庄</w:t>
            </w:r>
            <w:r>
              <w:rPr>
                <w:rFonts w:cs="Times New Roman"/>
                <w:color w:val="FF0000"/>
                <w:sz w:val="21"/>
                <w:szCs w:val="21"/>
                <w:lang w:bidi="ar"/>
              </w:rPr>
              <w:t>监测</w:t>
            </w:r>
            <w:r>
              <w:rPr>
                <w:rFonts w:hint="eastAsia" w:cs="Times New Roman"/>
                <w:color w:val="FF0000"/>
                <w:sz w:val="21"/>
                <w:szCs w:val="21"/>
                <w:lang w:bidi="ar"/>
              </w:rPr>
              <w:t>点）</w:t>
            </w:r>
          </w:p>
        </w:tc>
        <w:tc>
          <w:tcPr>
            <w:tcW w:w="1417" w:type="dxa"/>
            <w:vMerge w:val="restart"/>
            <w:vAlign w:val="center"/>
          </w:tcPr>
          <w:p>
            <w:pPr>
              <w:spacing w:line="240" w:lineRule="auto"/>
              <w:ind w:firstLine="0" w:firstLineChars="0"/>
              <w:jc w:val="center"/>
              <w:rPr>
                <w:rFonts w:cs="Times New Roman"/>
                <w:color w:val="FF0000"/>
                <w:sz w:val="21"/>
                <w:szCs w:val="21"/>
              </w:rPr>
            </w:pPr>
            <w:r>
              <w:rPr>
                <w:rFonts w:hint="eastAsia" w:cs="Times New Roman"/>
                <w:color w:val="FF0000"/>
                <w:sz w:val="21"/>
                <w:szCs w:val="21"/>
              </w:rPr>
              <w:t>与</w:t>
            </w:r>
            <w:r>
              <w:rPr>
                <w:rFonts w:cs="Times New Roman"/>
                <w:color w:val="FF0000"/>
                <w:sz w:val="21"/>
                <w:szCs w:val="21"/>
              </w:rPr>
              <w:t>原环评点位一致</w:t>
            </w:r>
          </w:p>
        </w:tc>
        <w:tc>
          <w:tcPr>
            <w:tcW w:w="5058" w:type="dxa"/>
            <w:vMerge w:val="continue"/>
            <w:vAlign w:val="center"/>
          </w:tcPr>
          <w:p>
            <w:pPr>
              <w:spacing w:line="240" w:lineRule="auto"/>
              <w:ind w:firstLine="0" w:firstLineChars="0"/>
              <w:jc w:val="center"/>
              <w:rPr>
                <w:rFonts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851" w:type="dxa"/>
            <w:vAlign w:val="center"/>
          </w:tcPr>
          <w:p>
            <w:pPr>
              <w:spacing w:line="240" w:lineRule="auto"/>
              <w:ind w:firstLine="0" w:firstLineChars="0"/>
              <w:jc w:val="center"/>
              <w:rPr>
                <w:rFonts w:cs="Times New Roman"/>
                <w:color w:val="FF0000"/>
                <w:sz w:val="21"/>
                <w:szCs w:val="21"/>
              </w:rPr>
            </w:pPr>
            <w:r>
              <w:rPr>
                <w:rFonts w:cs="Times New Roman"/>
                <w:color w:val="FF0000"/>
                <w:sz w:val="21"/>
                <w:szCs w:val="21"/>
              </w:rPr>
              <w:t>D4</w:t>
            </w:r>
          </w:p>
        </w:tc>
        <w:tc>
          <w:tcPr>
            <w:tcW w:w="1701" w:type="dxa"/>
            <w:vAlign w:val="center"/>
          </w:tcPr>
          <w:p>
            <w:pPr>
              <w:tabs>
                <w:tab w:val="left" w:pos="871"/>
              </w:tabs>
              <w:spacing w:line="240" w:lineRule="auto"/>
              <w:ind w:firstLine="0" w:firstLineChars="0"/>
              <w:jc w:val="center"/>
              <w:rPr>
                <w:rFonts w:cs="Times New Roman"/>
                <w:color w:val="FF0000"/>
                <w:sz w:val="21"/>
                <w:szCs w:val="21"/>
                <w:lang w:bidi="ar"/>
              </w:rPr>
            </w:pPr>
            <w:r>
              <w:rPr>
                <w:rFonts w:cs="Times New Roman"/>
                <w:color w:val="FF0000"/>
                <w:sz w:val="21"/>
                <w:szCs w:val="21"/>
                <w:lang w:bidi="ar"/>
              </w:rPr>
              <w:t>滂汪村</w:t>
            </w:r>
          </w:p>
        </w:tc>
        <w:tc>
          <w:tcPr>
            <w:tcW w:w="1417" w:type="dxa"/>
            <w:vMerge w:val="continue"/>
            <w:vAlign w:val="center"/>
          </w:tcPr>
          <w:p>
            <w:pPr>
              <w:spacing w:line="240" w:lineRule="auto"/>
              <w:ind w:firstLine="0" w:firstLineChars="0"/>
              <w:jc w:val="center"/>
              <w:rPr>
                <w:rFonts w:cs="Times New Roman"/>
                <w:color w:val="FF0000"/>
                <w:sz w:val="21"/>
                <w:szCs w:val="21"/>
              </w:rPr>
            </w:pPr>
          </w:p>
        </w:tc>
        <w:tc>
          <w:tcPr>
            <w:tcW w:w="5058" w:type="dxa"/>
            <w:vMerge w:val="continue"/>
            <w:vAlign w:val="center"/>
          </w:tcPr>
          <w:p>
            <w:pPr>
              <w:spacing w:line="240" w:lineRule="auto"/>
              <w:ind w:firstLine="0" w:firstLineChars="0"/>
              <w:jc w:val="center"/>
              <w:rPr>
                <w:rFonts w:cs="Times New Roman"/>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spacing w:line="240" w:lineRule="auto"/>
              <w:ind w:firstLine="0" w:firstLineChars="0"/>
              <w:jc w:val="center"/>
              <w:rPr>
                <w:rFonts w:cs="Times New Roman"/>
                <w:color w:val="FF0000"/>
                <w:sz w:val="21"/>
                <w:szCs w:val="21"/>
              </w:rPr>
            </w:pPr>
            <w:r>
              <w:rPr>
                <w:rFonts w:cs="Times New Roman"/>
                <w:color w:val="FF0000"/>
                <w:sz w:val="21"/>
                <w:szCs w:val="21"/>
              </w:rPr>
              <w:t>D5</w:t>
            </w:r>
          </w:p>
        </w:tc>
        <w:tc>
          <w:tcPr>
            <w:tcW w:w="1701" w:type="dxa"/>
            <w:vAlign w:val="center"/>
          </w:tcPr>
          <w:p>
            <w:pPr>
              <w:tabs>
                <w:tab w:val="left" w:pos="871"/>
              </w:tabs>
              <w:spacing w:line="240" w:lineRule="auto"/>
              <w:ind w:firstLine="0" w:firstLineChars="0"/>
              <w:jc w:val="center"/>
              <w:rPr>
                <w:rFonts w:cs="Times New Roman"/>
                <w:color w:val="FF0000"/>
                <w:sz w:val="21"/>
                <w:szCs w:val="21"/>
                <w:lang w:bidi="ar"/>
              </w:rPr>
            </w:pPr>
            <w:r>
              <w:rPr>
                <w:rFonts w:cs="Times New Roman"/>
                <w:color w:val="FF0000"/>
                <w:sz w:val="21"/>
                <w:szCs w:val="21"/>
                <w:lang w:bidi="ar"/>
              </w:rPr>
              <w:t>开发区未利用地</w:t>
            </w:r>
          </w:p>
        </w:tc>
        <w:tc>
          <w:tcPr>
            <w:tcW w:w="1417" w:type="dxa"/>
            <w:vAlign w:val="center"/>
          </w:tcPr>
          <w:p>
            <w:pPr>
              <w:spacing w:line="240" w:lineRule="auto"/>
              <w:ind w:firstLine="0" w:firstLineChars="0"/>
              <w:jc w:val="center"/>
              <w:rPr>
                <w:rFonts w:cs="Times New Roman"/>
                <w:color w:val="FF0000"/>
                <w:sz w:val="21"/>
                <w:szCs w:val="21"/>
              </w:rPr>
            </w:pPr>
            <w:r>
              <w:rPr>
                <w:rFonts w:hint="eastAsia" w:cs="Times New Roman"/>
                <w:color w:val="FF0000"/>
                <w:sz w:val="21"/>
                <w:szCs w:val="21"/>
              </w:rPr>
              <w:t>本次新增监测点</w:t>
            </w:r>
          </w:p>
        </w:tc>
        <w:tc>
          <w:tcPr>
            <w:tcW w:w="5058" w:type="dxa"/>
            <w:vMerge w:val="continue"/>
            <w:vAlign w:val="center"/>
          </w:tcPr>
          <w:p>
            <w:pPr>
              <w:spacing w:line="240" w:lineRule="auto"/>
              <w:ind w:firstLine="0" w:firstLineChars="0"/>
              <w:jc w:val="center"/>
              <w:rPr>
                <w:rFonts w:cs="Times New Roman"/>
                <w:color w:val="FF0000"/>
                <w:sz w:val="21"/>
                <w:szCs w:val="21"/>
              </w:rPr>
            </w:pPr>
          </w:p>
        </w:tc>
      </w:tr>
    </w:tbl>
    <w:p>
      <w:pPr>
        <w:ind w:firstLine="480"/>
        <w:rPr>
          <w:rFonts w:cs="Times New Roman"/>
        </w:rPr>
      </w:pPr>
      <w:r>
        <w:rPr>
          <w:rFonts w:cs="Times New Roman"/>
          <w:lang w:bidi="ar"/>
        </w:rPr>
        <w:t>（2）监测因子</w:t>
      </w:r>
    </w:p>
    <w:p>
      <w:pPr>
        <w:ind w:firstLine="480"/>
        <w:rPr>
          <w:rFonts w:cs="Times New Roman"/>
          <w:lang w:bidi="ar"/>
        </w:rPr>
      </w:pPr>
      <w:r>
        <w:rPr>
          <w:rFonts w:cs="Times New Roman"/>
          <w:lang w:bidi="ar"/>
        </w:rPr>
        <w:t>项目地下水监测分析项目包括铁、锰、镉、铅、砷、六价铬、汞、pH、总硬度、溶解性总固体、耗氧量、氰化物、氨氮、硫酸盐、硝酸盐、亚硝酸盐、氯化物、氟化物、挥发酚、总大肠菌群、细菌总数、K</w:t>
      </w:r>
      <w:r>
        <w:rPr>
          <w:rFonts w:cs="Times New Roman"/>
          <w:vertAlign w:val="superscript"/>
          <w:lang w:bidi="ar"/>
        </w:rPr>
        <w:t>+</w:t>
      </w:r>
      <w:r>
        <w:rPr>
          <w:rFonts w:cs="Times New Roman"/>
          <w:lang w:bidi="ar"/>
        </w:rPr>
        <w:t>、Na</w:t>
      </w:r>
      <w:r>
        <w:rPr>
          <w:rFonts w:cs="Times New Roman"/>
          <w:vertAlign w:val="superscript"/>
          <w:lang w:bidi="ar"/>
        </w:rPr>
        <w:t>+</w:t>
      </w:r>
      <w:r>
        <w:rPr>
          <w:rFonts w:cs="Times New Roman"/>
          <w:lang w:bidi="ar"/>
        </w:rPr>
        <w:t>、Ca</w:t>
      </w:r>
      <w:r>
        <w:rPr>
          <w:rFonts w:cs="Times New Roman"/>
          <w:vertAlign w:val="superscript"/>
          <w:lang w:bidi="ar"/>
        </w:rPr>
        <w:t>2+</w:t>
      </w:r>
      <w:r>
        <w:rPr>
          <w:rFonts w:cs="Times New Roman"/>
          <w:lang w:bidi="ar"/>
        </w:rPr>
        <w:t>、Mg</w:t>
      </w:r>
      <w:r>
        <w:rPr>
          <w:rFonts w:cs="Times New Roman"/>
          <w:vertAlign w:val="superscript"/>
          <w:lang w:bidi="ar"/>
        </w:rPr>
        <w:t>2+</w:t>
      </w:r>
      <w:r>
        <w:rPr>
          <w:rFonts w:cs="Times New Roman"/>
          <w:lang w:bidi="ar"/>
        </w:rPr>
        <w:t>、CO</w:t>
      </w:r>
      <w:r>
        <w:rPr>
          <w:rFonts w:cs="Times New Roman"/>
          <w:vertAlign w:val="subscript"/>
          <w:lang w:bidi="ar"/>
        </w:rPr>
        <w:t>3</w:t>
      </w:r>
      <w:r>
        <w:rPr>
          <w:rFonts w:cs="Times New Roman"/>
          <w:vertAlign w:val="superscript"/>
          <w:lang w:bidi="ar"/>
        </w:rPr>
        <w:t>2-</w:t>
      </w:r>
      <w:r>
        <w:rPr>
          <w:rFonts w:cs="Times New Roman"/>
          <w:lang w:bidi="ar"/>
        </w:rPr>
        <w:t>、HCO</w:t>
      </w:r>
      <w:r>
        <w:rPr>
          <w:rFonts w:cs="Times New Roman"/>
          <w:vertAlign w:val="subscript"/>
          <w:lang w:bidi="ar"/>
        </w:rPr>
        <w:t>3</w:t>
      </w:r>
      <w:r>
        <w:rPr>
          <w:rFonts w:cs="Times New Roman"/>
          <w:vertAlign w:val="superscript"/>
          <w:lang w:bidi="ar"/>
        </w:rPr>
        <w:t>-</w:t>
      </w:r>
      <w:r>
        <w:rPr>
          <w:rFonts w:cs="Times New Roman"/>
          <w:lang w:bidi="ar"/>
        </w:rPr>
        <w:t>、Cl</w:t>
      </w:r>
      <w:r>
        <w:rPr>
          <w:rFonts w:cs="Times New Roman"/>
          <w:vertAlign w:val="superscript"/>
          <w:lang w:bidi="ar"/>
        </w:rPr>
        <w:t>-</w:t>
      </w:r>
      <w:r>
        <w:rPr>
          <w:rFonts w:cs="Times New Roman"/>
          <w:lang w:bidi="ar"/>
        </w:rPr>
        <w:t>、SO</w:t>
      </w:r>
      <w:r>
        <w:rPr>
          <w:rFonts w:cs="Times New Roman"/>
          <w:vertAlign w:val="subscript"/>
          <w:lang w:bidi="ar"/>
        </w:rPr>
        <w:t>4</w:t>
      </w:r>
      <w:r>
        <w:rPr>
          <w:rFonts w:cs="Times New Roman"/>
          <w:vertAlign w:val="superscript"/>
          <w:lang w:bidi="ar"/>
        </w:rPr>
        <w:t>2-</w:t>
      </w:r>
      <w:r>
        <w:rPr>
          <w:rFonts w:cs="Times New Roman"/>
          <w:lang w:bidi="ar"/>
        </w:rPr>
        <w:t>等共29项，同步监测地下水水位。</w:t>
      </w:r>
    </w:p>
    <w:p>
      <w:pPr>
        <w:ind w:firstLine="480"/>
        <w:rPr>
          <w:rFonts w:cs="Times New Roman"/>
        </w:rPr>
      </w:pPr>
      <w:r>
        <w:rPr>
          <w:rFonts w:cs="Times New Roman"/>
          <w:lang w:bidi="ar"/>
        </w:rPr>
        <w:t>（3）监测时间和频次</w:t>
      </w:r>
    </w:p>
    <w:p>
      <w:pPr>
        <w:ind w:firstLine="480"/>
        <w:rPr>
          <w:rFonts w:cs="Times New Roman"/>
        </w:rPr>
      </w:pPr>
      <w:r>
        <w:rPr>
          <w:rFonts w:cs="Times New Roman"/>
          <w:lang w:bidi="ar"/>
        </w:rPr>
        <w:t>2020年3月03日，采样监测一次。</w:t>
      </w:r>
    </w:p>
    <w:p>
      <w:pPr>
        <w:ind w:firstLine="480"/>
        <w:rPr>
          <w:rFonts w:cs="Times New Roman"/>
        </w:rPr>
      </w:pPr>
      <w:r>
        <w:rPr>
          <w:rFonts w:cs="Times New Roman"/>
          <w:lang w:bidi="ar"/>
        </w:rPr>
        <w:t>（4）监测方法：</w:t>
      </w:r>
      <w:r>
        <w:rPr>
          <w:rFonts w:cs="Times New Roman"/>
        </w:rPr>
        <w:t>采样方法按《地下水环境监测技术规范》（HJ/T 164-2004）来进行。</w:t>
      </w:r>
    </w:p>
    <w:p>
      <w:pPr>
        <w:ind w:firstLine="480"/>
        <w:rPr>
          <w:rFonts w:cs="Times New Roman"/>
        </w:rPr>
      </w:pPr>
      <w:r>
        <w:rPr>
          <w:rFonts w:cs="Times New Roman"/>
          <w:lang w:bidi="ar"/>
        </w:rPr>
        <w:t>（5）监测及评价结果</w:t>
      </w:r>
    </w:p>
    <w:p>
      <w:pPr>
        <w:ind w:firstLine="480"/>
        <w:rPr>
          <w:rFonts w:cs="Times New Roman"/>
          <w:lang w:bidi="ar"/>
        </w:rPr>
      </w:pPr>
      <w:r>
        <w:rPr>
          <w:rFonts w:cs="Times New Roman"/>
          <w:lang w:bidi="ar"/>
        </w:rPr>
        <w:t>具体监测及评价结果见表</w:t>
      </w:r>
      <w:r>
        <w:rPr>
          <w:rFonts w:hint="eastAsia" w:cs="Times New Roman"/>
          <w:lang w:val="en-US" w:eastAsia="zh-CN" w:bidi="ar"/>
        </w:rPr>
        <w:t>3</w:t>
      </w:r>
      <w:r>
        <w:rPr>
          <w:rFonts w:cs="Times New Roman"/>
          <w:lang w:bidi="ar"/>
        </w:rPr>
        <w:t>.5.2-2。</w:t>
      </w:r>
    </w:p>
    <w:p>
      <w:pPr>
        <w:spacing w:line="240" w:lineRule="auto"/>
        <w:ind w:firstLine="0" w:firstLineChars="0"/>
        <w:jc w:val="center"/>
        <w:rPr>
          <w:rFonts w:eastAsia="黑体" w:cs="Times New Roman"/>
          <w:bCs/>
          <w:szCs w:val="24"/>
          <w:lang w:bidi="ar"/>
        </w:rPr>
      </w:pPr>
      <w:r>
        <w:rPr>
          <w:rFonts w:eastAsia="黑体" w:cs="Times New Roman"/>
          <w:szCs w:val="24"/>
          <w:lang w:bidi="ar"/>
        </w:rPr>
        <w:t>表</w:t>
      </w:r>
      <w:r>
        <w:rPr>
          <w:rFonts w:hint="eastAsia" w:eastAsia="黑体" w:cs="Times New Roman"/>
          <w:szCs w:val="24"/>
          <w:lang w:val="en-US" w:eastAsia="zh-CN" w:bidi="ar"/>
        </w:rPr>
        <w:t>3</w:t>
      </w:r>
      <w:r>
        <w:rPr>
          <w:rFonts w:eastAsia="黑体" w:cs="Times New Roman"/>
          <w:szCs w:val="24"/>
          <w:lang w:bidi="ar"/>
        </w:rPr>
        <w:t>.5.2-2  地下水环境质量现状监测结果  单位：mg/L，pH无量纲，总大肠菌群MPN/</w:t>
      </w:r>
      <w:r>
        <w:rPr>
          <w:rFonts w:eastAsia="黑体" w:cs="Times New Roman"/>
          <w:lang w:bidi="ar"/>
        </w:rPr>
        <w:t>100mL</w:t>
      </w:r>
      <w:r>
        <w:rPr>
          <w:rFonts w:eastAsia="黑体" w:cs="Times New Roman"/>
          <w:szCs w:val="24"/>
          <w:lang w:bidi="ar"/>
        </w:rPr>
        <w:t>，</w:t>
      </w:r>
      <w:r>
        <w:rPr>
          <w:rFonts w:eastAsia="黑体" w:cs="Times New Roman"/>
          <w:bCs/>
          <w:szCs w:val="24"/>
          <w:lang w:bidi="ar"/>
        </w:rPr>
        <w:t>细菌总数CFU/m</w:t>
      </w:r>
      <w:r>
        <w:rPr>
          <w:rFonts w:eastAsia="黑体" w:cs="Times New Roman"/>
          <w:szCs w:val="24"/>
          <w:lang w:bidi="ar"/>
        </w:rPr>
        <w:t>L</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402"/>
        <w:gridCol w:w="1377"/>
        <w:gridCol w:w="1261"/>
        <w:gridCol w:w="1300"/>
        <w:gridCol w:w="1274"/>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Merge w:val="restar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lang w:bidi="ar"/>
              </w:rPr>
              <w:t>序号</w:t>
            </w:r>
          </w:p>
        </w:tc>
        <w:tc>
          <w:tcPr>
            <w:tcW w:w="1516" w:type="dxa"/>
            <w:vMerge w:val="restar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lang w:bidi="ar"/>
              </w:rPr>
              <w:t>监测项目</w:t>
            </w:r>
          </w:p>
        </w:tc>
        <w:tc>
          <w:tcPr>
            <w:tcW w:w="7200" w:type="dxa"/>
            <w:gridSpan w:val="5"/>
            <w:vAlign w:val="center"/>
          </w:tcPr>
          <w:p>
            <w:pPr>
              <w:autoSpaceDN w:val="0"/>
              <w:spacing w:line="240" w:lineRule="auto"/>
              <w:ind w:firstLine="0" w:firstLineChars="0"/>
              <w:jc w:val="center"/>
              <w:textAlignment w:val="center"/>
              <w:rPr>
                <w:rFonts w:cs="Times New Roman"/>
                <w:b/>
                <w:bCs/>
                <w:sz w:val="21"/>
                <w:szCs w:val="21"/>
                <w:lang w:bidi="ar"/>
              </w:rPr>
            </w:pPr>
            <w:r>
              <w:rPr>
                <w:rFonts w:cs="Times New Roman"/>
                <w:b/>
                <w:bCs/>
                <w:sz w:val="21"/>
                <w:szCs w:val="21"/>
                <w:lang w:bidi="ar"/>
              </w:rPr>
              <w:t>检测值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Merge w:val="continue"/>
            <w:vAlign w:val="center"/>
          </w:tcPr>
          <w:p>
            <w:pPr>
              <w:spacing w:line="240" w:lineRule="auto"/>
              <w:ind w:firstLine="0" w:firstLineChars="0"/>
              <w:jc w:val="center"/>
              <w:rPr>
                <w:rFonts w:cs="Times New Roman"/>
                <w:b/>
                <w:bCs/>
                <w:snapToGrid w:val="0"/>
                <w:sz w:val="21"/>
                <w:szCs w:val="20"/>
              </w:rPr>
            </w:pPr>
          </w:p>
        </w:tc>
        <w:tc>
          <w:tcPr>
            <w:tcW w:w="1516" w:type="dxa"/>
            <w:vMerge w:val="continue"/>
            <w:vAlign w:val="center"/>
          </w:tcPr>
          <w:p>
            <w:pPr>
              <w:spacing w:line="240" w:lineRule="auto"/>
              <w:ind w:firstLine="0" w:firstLineChars="0"/>
              <w:jc w:val="center"/>
              <w:rPr>
                <w:rFonts w:cs="Times New Roman"/>
                <w:b/>
                <w:bCs/>
                <w:snapToGrid w:val="0"/>
                <w:sz w:val="21"/>
                <w:szCs w:val="20"/>
              </w:rPr>
            </w:pPr>
          </w:p>
        </w:tc>
        <w:tc>
          <w:tcPr>
            <w:tcW w:w="1489" w:type="dxa"/>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lang w:bidi="ar"/>
              </w:rPr>
              <w:t>D1</w:t>
            </w:r>
          </w:p>
        </w:tc>
        <w:tc>
          <w:tcPr>
            <w:tcW w:w="1363" w:type="dxa"/>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D2</w:t>
            </w:r>
          </w:p>
        </w:tc>
        <w:tc>
          <w:tcPr>
            <w:tcW w:w="1405" w:type="dxa"/>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D3</w:t>
            </w:r>
          </w:p>
        </w:tc>
        <w:tc>
          <w:tcPr>
            <w:tcW w:w="1377" w:type="dxa"/>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D4</w:t>
            </w:r>
          </w:p>
        </w:tc>
        <w:tc>
          <w:tcPr>
            <w:tcW w:w="1566" w:type="dxa"/>
            <w:vAlign w:val="center"/>
          </w:tcPr>
          <w:p>
            <w:pPr>
              <w:autoSpaceDN w:val="0"/>
              <w:spacing w:line="240" w:lineRule="auto"/>
              <w:ind w:firstLine="0" w:firstLineChars="0"/>
              <w:jc w:val="center"/>
              <w:textAlignment w:val="center"/>
              <w:rPr>
                <w:rFonts w:cs="Times New Roman"/>
                <w:b/>
                <w:bCs/>
                <w:sz w:val="21"/>
                <w:szCs w:val="21"/>
                <w:lang w:bidi="ar"/>
              </w:rPr>
            </w:pPr>
            <w:r>
              <w:rPr>
                <w:rFonts w:cs="Times New Roman"/>
                <w:b/>
                <w:bCs/>
                <w:sz w:val="21"/>
                <w:szCs w:val="21"/>
                <w:lang w:bidi="ar"/>
              </w:rPr>
              <w:t>D5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w:t>
            </w:r>
          </w:p>
        </w:tc>
        <w:tc>
          <w:tcPr>
            <w:tcW w:w="1516" w:type="dxa"/>
            <w:vAlign w:val="center"/>
          </w:tcPr>
          <w:p>
            <w:pPr>
              <w:spacing w:before="24" w:beforeLines="10" w:after="24" w:afterLines="10" w:line="240" w:lineRule="auto"/>
              <w:ind w:firstLine="0" w:firstLineChars="0"/>
              <w:jc w:val="center"/>
              <w:rPr>
                <w:rFonts w:cs="Times New Roman"/>
                <w:bCs/>
                <w:sz w:val="21"/>
                <w:szCs w:val="21"/>
              </w:rPr>
            </w:pPr>
            <w:r>
              <w:rPr>
                <w:rFonts w:cs="Times New Roman"/>
                <w:sz w:val="21"/>
                <w:szCs w:val="21"/>
                <w:lang w:bidi="ar"/>
              </w:rPr>
              <w:t>pH</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7.8</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7.9</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7.9</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7.9</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2</w:t>
            </w:r>
          </w:p>
        </w:tc>
        <w:tc>
          <w:tcPr>
            <w:tcW w:w="1516" w:type="dxa"/>
            <w:vAlign w:val="center"/>
          </w:tcPr>
          <w:p>
            <w:pPr>
              <w:spacing w:before="24" w:beforeLines="10" w:after="24" w:afterLines="10" w:line="240" w:lineRule="auto"/>
              <w:ind w:firstLine="0" w:firstLineChars="0"/>
              <w:jc w:val="center"/>
              <w:rPr>
                <w:rFonts w:cs="Times New Roman"/>
                <w:bCs/>
                <w:sz w:val="21"/>
                <w:szCs w:val="21"/>
              </w:rPr>
            </w:pPr>
            <w:r>
              <w:rPr>
                <w:rFonts w:cs="Times New Roman"/>
                <w:sz w:val="21"/>
                <w:szCs w:val="21"/>
                <w:lang w:bidi="ar"/>
              </w:rPr>
              <w:t>氨氮</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0.077</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0.086</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0.117</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0.089</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3</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硝酸盐（以N计）</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&lt;0.2</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&lt;0.2</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&lt;0.2</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&lt;0.2</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4</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亚硝酸盐</w:t>
            </w:r>
          </w:p>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（以N计）</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0.033</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0.051</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0.016</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0.045</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5</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挥发酚</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&lt;0.0003</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&lt;0.0003</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&lt;0.0003</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&lt;0.0003</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6</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氰化物</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7</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六价铬</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8</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氟化物</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0.4</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0.4</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0.38</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0.78</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9</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总硬度</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457</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500</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468</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487</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10</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钾</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0.57</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1.54</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1.44</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0.51</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11</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钠</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32.2</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28.4</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31.7</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30.8</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12</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钙</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148</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153</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147</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144</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13</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镁</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21.3</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28.8</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24.5</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31</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14</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碳酸氢根</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533</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585</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548</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525</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15</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碳酸根</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&lt;5</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&lt;5</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&lt;5</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&lt;5</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16</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总大肠菌群</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&lt;2</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&lt;2</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&lt;2</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&lt;2</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17</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砷</w:t>
            </w:r>
            <w:r>
              <w:rPr>
                <w:rFonts w:cs="Times New Roman"/>
                <w:sz w:val="21"/>
                <w:szCs w:val="21"/>
              </w:rPr>
              <w:t>(μg/L)</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1.4</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&lt;0.3</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0.5</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1.1</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18</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汞</w:t>
            </w:r>
            <w:r>
              <w:rPr>
                <w:rFonts w:cs="Times New Roman"/>
                <w:sz w:val="21"/>
                <w:szCs w:val="21"/>
              </w:rPr>
              <w:t>(μg/L)</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0.1</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0.04</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0.07</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0.16</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19</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铅</w:t>
            </w:r>
            <w:r>
              <w:rPr>
                <w:rFonts w:cs="Times New Roman"/>
                <w:sz w:val="21"/>
                <w:szCs w:val="21"/>
              </w:rPr>
              <w:t>(μg/L)</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7</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20</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镉</w:t>
            </w:r>
            <w:r>
              <w:rPr>
                <w:rFonts w:cs="Times New Roman"/>
                <w:sz w:val="21"/>
                <w:szCs w:val="21"/>
              </w:rPr>
              <w:t>(μg/L)</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0.1</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0.6</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0.6</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0.5</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21</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铁</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&lt;0.03</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&lt;0.03</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&lt;0.03</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&lt;0.03</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22</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锰</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&lt;0.01</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&lt;0.01</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&lt;0.01</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0.24</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23</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Cl</w:t>
            </w:r>
            <w:r>
              <w:rPr>
                <w:rFonts w:cs="Times New Roman"/>
                <w:sz w:val="21"/>
                <w:szCs w:val="21"/>
                <w:vertAlign w:val="superscript"/>
                <w:lang w:bidi="ar"/>
              </w:rPr>
              <w:t>-</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31</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21</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25</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50</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24</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SO</w:t>
            </w:r>
            <w:r>
              <w:rPr>
                <w:rFonts w:cs="Times New Roman"/>
                <w:sz w:val="21"/>
                <w:szCs w:val="21"/>
                <w:vertAlign w:val="subscript"/>
                <w:lang w:bidi="ar"/>
              </w:rPr>
              <w:t>4</w:t>
            </w:r>
            <w:r>
              <w:rPr>
                <w:rFonts w:cs="Times New Roman"/>
                <w:sz w:val="21"/>
                <w:szCs w:val="21"/>
                <w:vertAlign w:val="superscript"/>
                <w:lang w:bidi="ar"/>
              </w:rPr>
              <w:t>2-</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11.6</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10.6</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20</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17</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25</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溶解性总固体</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511</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536</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524</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536</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26</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菌落总数</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34</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40</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44</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38</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27</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耗氧量</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2.5</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1.8</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1.9</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28</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氯化物</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31</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21</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25</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50</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8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29</w:t>
            </w:r>
          </w:p>
        </w:tc>
        <w:tc>
          <w:tcPr>
            <w:tcW w:w="151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硫酸盐</w:t>
            </w:r>
          </w:p>
        </w:tc>
        <w:tc>
          <w:tcPr>
            <w:tcW w:w="1489"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11.6</w:t>
            </w:r>
          </w:p>
        </w:tc>
        <w:tc>
          <w:tcPr>
            <w:tcW w:w="1363"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10.6</w:t>
            </w:r>
          </w:p>
        </w:tc>
        <w:tc>
          <w:tcPr>
            <w:tcW w:w="1405"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20</w:t>
            </w:r>
          </w:p>
        </w:tc>
        <w:tc>
          <w:tcPr>
            <w:tcW w:w="1377"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17</w:t>
            </w:r>
          </w:p>
        </w:tc>
        <w:tc>
          <w:tcPr>
            <w:tcW w:w="1566" w:type="dxa"/>
            <w:vAlign w:val="center"/>
          </w:tcPr>
          <w:p>
            <w:pPr>
              <w:spacing w:before="24" w:beforeLines="10" w:after="24" w:afterLines="10" w:line="240" w:lineRule="auto"/>
              <w:ind w:firstLine="0" w:firstLineChars="0"/>
              <w:jc w:val="center"/>
              <w:rPr>
                <w:rFonts w:cs="Times New Roman"/>
                <w:sz w:val="21"/>
                <w:szCs w:val="21"/>
                <w:lang w:bidi="ar"/>
              </w:rPr>
            </w:pPr>
            <w:r>
              <w:rPr>
                <w:rFonts w:cs="Times New Roman"/>
                <w:sz w:val="21"/>
                <w:szCs w:val="21"/>
                <w:lang w:bidi="ar"/>
              </w:rPr>
              <w:t>6</w:t>
            </w:r>
          </w:p>
        </w:tc>
      </w:tr>
    </w:tbl>
    <w:p>
      <w:pPr>
        <w:ind w:firstLine="480"/>
        <w:rPr>
          <w:rFonts w:cs="Times New Roman"/>
        </w:rPr>
      </w:pPr>
      <w:r>
        <w:rPr>
          <w:rFonts w:cs="Times New Roman"/>
          <w:lang w:bidi="ar"/>
        </w:rPr>
        <w:t>对照《地下水质量标准》（GB/T14848-2017）可知，各监测因子均符合《地下水质量标准》（GB/T14848-2017）</w:t>
      </w:r>
      <w:r>
        <w:rPr>
          <w:rFonts w:cs="Times New Roman"/>
          <w:lang w:bidi="ar"/>
        </w:rPr>
        <w:fldChar w:fldCharType="begin"/>
      </w:r>
      <w:r>
        <w:rPr>
          <w:rFonts w:cs="Times New Roman"/>
          <w:lang w:bidi="ar"/>
        </w:rPr>
        <w:instrText xml:space="preserve"> = 3 \* ROMAN </w:instrText>
      </w:r>
      <w:r>
        <w:rPr>
          <w:rFonts w:cs="Times New Roman"/>
          <w:lang w:bidi="ar"/>
        </w:rPr>
        <w:fldChar w:fldCharType="separate"/>
      </w:r>
      <w:r>
        <w:rPr>
          <w:rFonts w:cs="Times New Roman"/>
          <w:lang w:bidi="ar"/>
        </w:rPr>
        <w:t>III</w:t>
      </w:r>
      <w:r>
        <w:rPr>
          <w:rFonts w:cs="Times New Roman"/>
          <w:lang w:bidi="ar"/>
        </w:rPr>
        <w:fldChar w:fldCharType="end"/>
      </w:r>
      <w:r>
        <w:rPr>
          <w:rFonts w:cs="Times New Roman"/>
          <w:lang w:bidi="ar"/>
        </w:rPr>
        <w:t>类标准。总体而言，区内地下水总体水质状况良好。</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.5.3地下水环境质量变化趋势分析</w:t>
      </w:r>
    </w:p>
    <w:p>
      <w:pPr>
        <w:ind w:firstLine="480"/>
        <w:rPr>
          <w:rFonts w:cs="Times New Roman"/>
        </w:rPr>
      </w:pPr>
      <w:r>
        <w:rPr>
          <w:rFonts w:cs="Times New Roman"/>
          <w:lang w:bidi="ar"/>
        </w:rPr>
        <w:t>通过地下水环境质量现状监测，对比上一轮规划环评的历史统计数据，分析区域开发、项目建设对地下水环境的影响和总体变化趋势。上一轮规划环评地下水监测数据及本次监测数据对比情况见表</w:t>
      </w:r>
      <w:r>
        <w:rPr>
          <w:rFonts w:hint="eastAsia" w:cs="Times New Roman"/>
          <w:lang w:val="en-US" w:eastAsia="zh-CN" w:bidi="ar"/>
        </w:rPr>
        <w:t>3</w:t>
      </w:r>
      <w:r>
        <w:rPr>
          <w:rFonts w:cs="Times New Roman"/>
          <w:lang w:bidi="ar"/>
        </w:rPr>
        <w:t>.5.3-1。</w:t>
      </w:r>
    </w:p>
    <w:p>
      <w:pPr>
        <w:adjustRightInd/>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.5.3-1  上一轮规划环评地下水监测数据及本次监测数据对比情况（单位：mg/L）</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98"/>
        <w:gridCol w:w="2709"/>
        <w:gridCol w:w="2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Merge w:val="restar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lang w:bidi="ar"/>
              </w:rPr>
              <w:t>序号</w:t>
            </w:r>
          </w:p>
        </w:tc>
        <w:tc>
          <w:tcPr>
            <w:tcW w:w="2388" w:type="dxa"/>
            <w:vMerge w:val="restart"/>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lang w:bidi="ar"/>
              </w:rPr>
              <w:t>监测项目</w:t>
            </w:r>
          </w:p>
        </w:tc>
        <w:tc>
          <w:tcPr>
            <w:tcW w:w="6104" w:type="dxa"/>
            <w:gridSpan w:val="2"/>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年份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Merge w:val="continue"/>
            <w:vAlign w:val="center"/>
          </w:tcPr>
          <w:p>
            <w:pPr>
              <w:spacing w:line="240" w:lineRule="auto"/>
              <w:ind w:firstLine="0" w:firstLineChars="0"/>
              <w:jc w:val="center"/>
              <w:rPr>
                <w:rFonts w:cs="Times New Roman"/>
                <w:b/>
                <w:bCs/>
                <w:snapToGrid w:val="0"/>
                <w:sz w:val="21"/>
                <w:szCs w:val="20"/>
              </w:rPr>
            </w:pPr>
          </w:p>
        </w:tc>
        <w:tc>
          <w:tcPr>
            <w:tcW w:w="2388" w:type="dxa"/>
            <w:vMerge w:val="continue"/>
            <w:vAlign w:val="center"/>
          </w:tcPr>
          <w:p>
            <w:pPr>
              <w:spacing w:line="240" w:lineRule="auto"/>
              <w:ind w:firstLine="0" w:firstLineChars="0"/>
              <w:jc w:val="center"/>
              <w:rPr>
                <w:rFonts w:cs="Times New Roman"/>
                <w:b/>
                <w:bCs/>
                <w:snapToGrid w:val="0"/>
                <w:sz w:val="21"/>
                <w:szCs w:val="20"/>
              </w:rPr>
            </w:pPr>
          </w:p>
        </w:tc>
        <w:tc>
          <w:tcPr>
            <w:tcW w:w="2945" w:type="dxa"/>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2010</w:t>
            </w:r>
          </w:p>
        </w:tc>
        <w:tc>
          <w:tcPr>
            <w:tcW w:w="3159" w:type="dxa"/>
            <w:vAlign w:val="center"/>
          </w:tcPr>
          <w:p>
            <w:pPr>
              <w:autoSpaceDN w:val="0"/>
              <w:spacing w:line="240" w:lineRule="auto"/>
              <w:ind w:firstLine="0" w:firstLineChars="0"/>
              <w:jc w:val="center"/>
              <w:textAlignment w:val="center"/>
              <w:rPr>
                <w:rFonts w:cs="Times New Roman"/>
                <w:b/>
                <w:bCs/>
                <w:sz w:val="21"/>
                <w:szCs w:val="21"/>
              </w:rPr>
            </w:pPr>
            <w:r>
              <w:rPr>
                <w:rFonts w:cs="Times New Roman"/>
                <w:b/>
                <w:bCs/>
                <w:sz w:val="21"/>
                <w:szCs w:val="21"/>
              </w:rPr>
              <w:t>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w:t>
            </w:r>
          </w:p>
        </w:tc>
        <w:tc>
          <w:tcPr>
            <w:tcW w:w="2388" w:type="dxa"/>
            <w:vAlign w:val="center"/>
          </w:tcPr>
          <w:p>
            <w:pPr>
              <w:spacing w:before="24" w:beforeLines="10" w:after="24" w:afterLines="10" w:line="240" w:lineRule="auto"/>
              <w:ind w:firstLine="0" w:firstLineChars="0"/>
              <w:jc w:val="center"/>
              <w:rPr>
                <w:rFonts w:cs="Times New Roman"/>
                <w:bCs/>
                <w:sz w:val="21"/>
                <w:szCs w:val="21"/>
              </w:rPr>
            </w:pPr>
            <w:r>
              <w:rPr>
                <w:rFonts w:cs="Times New Roman"/>
                <w:sz w:val="21"/>
                <w:szCs w:val="21"/>
                <w:lang w:bidi="ar"/>
              </w:rPr>
              <w:t>pH</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7.33~.35</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7.7~7.9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2</w:t>
            </w:r>
          </w:p>
        </w:tc>
        <w:tc>
          <w:tcPr>
            <w:tcW w:w="2388" w:type="dxa"/>
            <w:vAlign w:val="center"/>
          </w:tcPr>
          <w:p>
            <w:pPr>
              <w:spacing w:before="24" w:beforeLines="10" w:after="24" w:afterLines="10" w:line="240" w:lineRule="auto"/>
              <w:ind w:firstLine="0" w:firstLineChars="0"/>
              <w:jc w:val="center"/>
              <w:rPr>
                <w:rFonts w:cs="Times New Roman"/>
                <w:bCs/>
                <w:sz w:val="21"/>
                <w:szCs w:val="21"/>
              </w:rPr>
            </w:pPr>
            <w:r>
              <w:rPr>
                <w:rFonts w:cs="Times New Roman"/>
                <w:sz w:val="21"/>
                <w:szCs w:val="21"/>
                <w:lang w:bidi="ar"/>
              </w:rPr>
              <w:t>砷</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&lt;0.0001</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&lt;0.0003~0.0014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3</w:t>
            </w:r>
          </w:p>
        </w:tc>
        <w:tc>
          <w:tcPr>
            <w:tcW w:w="2388" w:type="dxa"/>
            <w:vAlign w:val="center"/>
          </w:tcPr>
          <w:p>
            <w:pPr>
              <w:spacing w:before="24" w:beforeLines="10" w:after="24" w:afterLines="10" w:line="240" w:lineRule="auto"/>
              <w:ind w:firstLine="0" w:firstLineChars="0"/>
              <w:jc w:val="center"/>
              <w:rPr>
                <w:rFonts w:cs="Times New Roman"/>
                <w:bCs/>
                <w:sz w:val="21"/>
                <w:szCs w:val="21"/>
              </w:rPr>
            </w:pPr>
            <w:r>
              <w:rPr>
                <w:rFonts w:cs="Times New Roman"/>
                <w:sz w:val="21"/>
                <w:szCs w:val="21"/>
                <w:lang w:bidi="ar"/>
              </w:rPr>
              <w:t>铬</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&lt;0.03</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&lt;0.004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4</w:t>
            </w:r>
          </w:p>
        </w:tc>
        <w:tc>
          <w:tcPr>
            <w:tcW w:w="2388" w:type="dxa"/>
            <w:vAlign w:val="center"/>
          </w:tcPr>
          <w:p>
            <w:pPr>
              <w:spacing w:before="24" w:beforeLines="10" w:after="24" w:afterLines="10" w:line="240" w:lineRule="auto"/>
              <w:ind w:firstLine="0" w:firstLineChars="0"/>
              <w:jc w:val="center"/>
              <w:rPr>
                <w:rFonts w:cs="Times New Roman"/>
                <w:bCs/>
                <w:sz w:val="21"/>
                <w:szCs w:val="21"/>
              </w:rPr>
            </w:pPr>
            <w:r>
              <w:rPr>
                <w:rFonts w:cs="Times New Roman"/>
                <w:sz w:val="21"/>
                <w:szCs w:val="21"/>
                <w:lang w:bidi="ar"/>
              </w:rPr>
              <w:t>铅</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&lt;0.001</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0.006~0.009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5</w:t>
            </w:r>
          </w:p>
        </w:tc>
        <w:tc>
          <w:tcPr>
            <w:tcW w:w="2388" w:type="dxa"/>
            <w:vAlign w:val="center"/>
          </w:tcPr>
          <w:p>
            <w:pPr>
              <w:spacing w:line="240" w:lineRule="auto"/>
              <w:ind w:firstLine="0" w:firstLineChars="0"/>
              <w:jc w:val="center"/>
              <w:rPr>
                <w:rFonts w:cs="Times New Roman"/>
                <w:bCs/>
                <w:sz w:val="21"/>
                <w:szCs w:val="21"/>
              </w:rPr>
            </w:pPr>
            <w:r>
              <w:rPr>
                <w:rFonts w:cs="Times New Roman"/>
                <w:sz w:val="21"/>
                <w:szCs w:val="21"/>
                <w:lang w:bidi="ar"/>
              </w:rPr>
              <w:t>氟化物</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0.38~0.74</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0.38~0.8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6</w:t>
            </w:r>
          </w:p>
        </w:tc>
        <w:tc>
          <w:tcPr>
            <w:tcW w:w="2388" w:type="dxa"/>
            <w:vAlign w:val="center"/>
          </w:tcPr>
          <w:p>
            <w:pPr>
              <w:spacing w:line="240" w:lineRule="auto"/>
              <w:ind w:firstLine="0" w:firstLineChars="0"/>
              <w:jc w:val="center"/>
              <w:rPr>
                <w:rFonts w:cs="Times New Roman"/>
                <w:sz w:val="21"/>
                <w:szCs w:val="21"/>
              </w:rPr>
            </w:pPr>
            <w:r>
              <w:rPr>
                <w:rFonts w:cs="Times New Roman"/>
                <w:sz w:val="21"/>
                <w:szCs w:val="21"/>
                <w:lang w:bidi="ar"/>
              </w:rPr>
              <w:t>汞（μg/L）</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&lt;0.05</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0.04~0.16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7</w:t>
            </w:r>
          </w:p>
        </w:tc>
        <w:tc>
          <w:tcPr>
            <w:tcW w:w="2388" w:type="dxa"/>
            <w:vAlign w:val="center"/>
          </w:tcPr>
          <w:p>
            <w:pPr>
              <w:spacing w:line="240" w:lineRule="auto"/>
              <w:ind w:firstLine="0" w:firstLineChars="0"/>
              <w:jc w:val="center"/>
              <w:rPr>
                <w:rFonts w:cs="Times New Roman"/>
                <w:sz w:val="21"/>
                <w:szCs w:val="21"/>
              </w:rPr>
            </w:pPr>
            <w:r>
              <w:rPr>
                <w:rFonts w:cs="Times New Roman"/>
                <w:sz w:val="21"/>
                <w:szCs w:val="21"/>
                <w:lang w:bidi="ar"/>
              </w:rPr>
              <w:t>氯化物</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40.8~112</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21~50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8</w:t>
            </w:r>
          </w:p>
        </w:tc>
        <w:tc>
          <w:tcPr>
            <w:tcW w:w="2388" w:type="dxa"/>
            <w:vAlign w:val="center"/>
          </w:tcPr>
          <w:p>
            <w:pPr>
              <w:spacing w:line="240" w:lineRule="auto"/>
              <w:ind w:firstLine="0" w:firstLineChars="0"/>
              <w:jc w:val="center"/>
              <w:rPr>
                <w:rFonts w:cs="Times New Roman"/>
                <w:bCs/>
                <w:sz w:val="21"/>
                <w:szCs w:val="21"/>
              </w:rPr>
            </w:pPr>
            <w:r>
              <w:rPr>
                <w:rFonts w:cs="Times New Roman"/>
                <w:sz w:val="21"/>
                <w:szCs w:val="21"/>
                <w:lang w:bidi="ar"/>
              </w:rPr>
              <w:t>高锰酸盐指数</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&lt;0.5</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9</w:t>
            </w:r>
          </w:p>
        </w:tc>
        <w:tc>
          <w:tcPr>
            <w:tcW w:w="2388" w:type="dxa"/>
            <w:vAlign w:val="center"/>
          </w:tcPr>
          <w:p>
            <w:pPr>
              <w:spacing w:line="240" w:lineRule="auto"/>
              <w:ind w:firstLine="0" w:firstLineChars="0"/>
              <w:jc w:val="center"/>
              <w:rPr>
                <w:rFonts w:cs="Times New Roman"/>
                <w:bCs/>
                <w:sz w:val="21"/>
                <w:szCs w:val="21"/>
              </w:rPr>
            </w:pPr>
            <w:r>
              <w:rPr>
                <w:rFonts w:cs="Times New Roman"/>
                <w:sz w:val="21"/>
                <w:szCs w:val="21"/>
                <w:lang w:bidi="ar"/>
              </w:rPr>
              <w:t>硬度</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397~418</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457~500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5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10</w:t>
            </w:r>
          </w:p>
        </w:tc>
        <w:tc>
          <w:tcPr>
            <w:tcW w:w="2388" w:type="dxa"/>
            <w:vAlign w:val="center"/>
          </w:tcPr>
          <w:p>
            <w:pPr>
              <w:spacing w:line="240" w:lineRule="auto"/>
              <w:ind w:firstLine="0" w:firstLineChars="0"/>
              <w:jc w:val="center"/>
              <w:rPr>
                <w:rFonts w:cs="Times New Roman"/>
                <w:bCs/>
                <w:sz w:val="21"/>
                <w:szCs w:val="21"/>
              </w:rPr>
            </w:pPr>
            <w:r>
              <w:rPr>
                <w:rFonts w:cs="Times New Roman"/>
                <w:sz w:val="21"/>
                <w:szCs w:val="21"/>
                <w:lang w:bidi="ar"/>
              </w:rPr>
              <w:t>总大肠菌群(个/L)</w:t>
            </w:r>
          </w:p>
        </w:tc>
        <w:tc>
          <w:tcPr>
            <w:tcW w:w="294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未检出</w:t>
            </w:r>
          </w:p>
        </w:tc>
        <w:tc>
          <w:tcPr>
            <w:tcW w:w="3159" w:type="dxa"/>
            <w:vAlign w:val="center"/>
          </w:tcPr>
          <w:p>
            <w:pPr>
              <w:autoSpaceDN w:val="0"/>
              <w:spacing w:line="240" w:lineRule="auto"/>
              <w:ind w:firstLine="0" w:firstLineChars="0"/>
              <w:jc w:val="center"/>
              <w:textAlignment w:val="center"/>
              <w:rPr>
                <w:rFonts w:cs="Times New Roman"/>
                <w:bCs/>
                <w:sz w:val="21"/>
                <w:szCs w:val="21"/>
              </w:rPr>
            </w:pPr>
            <w:r>
              <w:rPr>
                <w:rFonts w:cs="Times New Roman"/>
                <w:sz w:val="21"/>
                <w:szCs w:val="21"/>
                <w:lang w:bidi="ar"/>
              </w:rPr>
              <w:t>&lt;2</w:t>
            </w:r>
          </w:p>
        </w:tc>
      </w:tr>
    </w:tbl>
    <w:p>
      <w:pPr>
        <w:ind w:firstLine="480"/>
        <w:rPr>
          <w:rFonts w:cs="Times New Roman"/>
          <w:lang w:bidi="ar"/>
        </w:rPr>
      </w:pPr>
      <w:r>
        <w:rPr>
          <w:rFonts w:cs="Times New Roman"/>
          <w:lang w:bidi="ar"/>
        </w:rPr>
        <w:t>由表</w:t>
      </w:r>
      <w:r>
        <w:rPr>
          <w:rFonts w:hint="eastAsia" w:cs="Times New Roman"/>
          <w:lang w:val="en-US" w:eastAsia="zh-CN" w:bidi="ar"/>
        </w:rPr>
        <w:t>3</w:t>
      </w:r>
      <w:r>
        <w:rPr>
          <w:rFonts w:cs="Times New Roman"/>
          <w:lang w:bidi="ar"/>
        </w:rPr>
        <w:t>.5.3-1对比可知，砷、汞、高锰酸盐指数及硬度浓度上升，仍能满足《地下水质量标准》（GB/T14848-2017）</w:t>
      </w:r>
      <w:r>
        <w:rPr>
          <w:rFonts w:cs="Times New Roman"/>
          <w:lang w:bidi="ar"/>
        </w:rPr>
        <w:fldChar w:fldCharType="begin"/>
      </w:r>
      <w:r>
        <w:rPr>
          <w:rFonts w:cs="Times New Roman"/>
          <w:lang w:bidi="ar"/>
        </w:rPr>
        <w:instrText xml:space="preserve"> = 3 \* ROMAN </w:instrText>
      </w:r>
      <w:r>
        <w:rPr>
          <w:rFonts w:cs="Times New Roman"/>
          <w:lang w:bidi="ar"/>
        </w:rPr>
        <w:fldChar w:fldCharType="separate"/>
      </w:r>
      <w:r>
        <w:rPr>
          <w:rFonts w:cs="Times New Roman"/>
          <w:lang w:bidi="ar"/>
        </w:rPr>
        <w:t>III</w:t>
      </w:r>
      <w:r>
        <w:rPr>
          <w:rFonts w:cs="Times New Roman"/>
          <w:lang w:bidi="ar"/>
        </w:rPr>
        <w:fldChar w:fldCharType="end"/>
      </w:r>
      <w:r>
        <w:rPr>
          <w:rFonts w:cs="Times New Roman"/>
          <w:lang w:bidi="ar"/>
        </w:rPr>
        <w:t>类标准，其余各项监测指标的浓度与</w:t>
      </w:r>
      <w:r>
        <w:rPr>
          <w:rFonts w:cs="Times New Roman"/>
        </w:rPr>
        <w:t>上一轮</w:t>
      </w:r>
      <w:r>
        <w:rPr>
          <w:rFonts w:cs="Times New Roman"/>
          <w:lang w:bidi="ar"/>
        </w:rPr>
        <w:t>规划环评时相比均有下降或同样未检出。</w:t>
      </w:r>
    </w:p>
    <w:p>
      <w:pPr>
        <w:ind w:firstLine="0" w:firstLineChars="0"/>
        <w:jc w:val="left"/>
        <w:outlineLvl w:val="1"/>
        <w:rPr>
          <w:rFonts w:eastAsia="黑体" w:cs="Times New Roman"/>
          <w:sz w:val="32"/>
        </w:rPr>
      </w:pPr>
      <w:bookmarkStart w:id="6" w:name="_Toc40103125"/>
      <w:r>
        <w:rPr>
          <w:rFonts w:hint="eastAsia" w:eastAsia="黑体" w:cs="Times New Roman"/>
          <w:sz w:val="32"/>
          <w:lang w:val="en-US" w:eastAsia="zh-CN"/>
        </w:rPr>
        <w:t>3</w:t>
      </w:r>
      <w:r>
        <w:rPr>
          <w:rFonts w:eastAsia="黑体" w:cs="Times New Roman"/>
          <w:sz w:val="32"/>
        </w:rPr>
        <w:t>.6土壤环境质量跟踪评价</w:t>
      </w:r>
      <w:bookmarkEnd w:id="6"/>
    </w:p>
    <w:p>
      <w:pPr>
        <w:ind w:firstLine="0" w:firstLineChars="0"/>
        <w:jc w:val="left"/>
        <w:outlineLvl w:val="2"/>
        <w:rPr>
          <w:rFonts w:eastAsia="黑体" w:cs="Times New Roman"/>
          <w:sz w:val="28"/>
        </w:rPr>
      </w:pPr>
      <w:r>
        <w:rPr>
          <w:rFonts w:hint="eastAsia" w:eastAsia="黑体" w:cs="Times New Roman"/>
          <w:sz w:val="28"/>
          <w:lang w:val="en-US" w:eastAsia="zh-CN" w:bidi="ar"/>
        </w:rPr>
        <w:t>3</w:t>
      </w:r>
      <w:r>
        <w:rPr>
          <w:rFonts w:eastAsia="黑体" w:cs="Times New Roman"/>
          <w:sz w:val="28"/>
          <w:lang w:bidi="ar"/>
        </w:rPr>
        <w:t>.6.1历史监测资料收集</w:t>
      </w:r>
    </w:p>
    <w:p>
      <w:pPr>
        <w:ind w:firstLine="480"/>
        <w:rPr>
          <w:rFonts w:cs="Times New Roman"/>
        </w:rPr>
      </w:pPr>
      <w:r>
        <w:rPr>
          <w:rFonts w:cs="Times New Roman"/>
          <w:lang w:bidi="ar"/>
        </w:rPr>
        <w:t>土壤环境历史监测数据为上一轮规划环评中的监测数据。淮北市环境保护监测站分别于2010年8月7日和8月8日对区域内各点位的土壤质量进行了监测，详见表</w:t>
      </w:r>
      <w:r>
        <w:rPr>
          <w:rFonts w:hint="eastAsia" w:cs="Times New Roman"/>
          <w:lang w:val="en-US" w:eastAsia="zh-CN" w:bidi="ar"/>
        </w:rPr>
        <w:t>3</w:t>
      </w:r>
      <w:r>
        <w:rPr>
          <w:rFonts w:cs="Times New Roman"/>
          <w:lang w:bidi="ar"/>
        </w:rPr>
        <w:t>.6.1-1，监测结果见表</w:t>
      </w:r>
      <w:r>
        <w:rPr>
          <w:rFonts w:hint="eastAsia" w:cs="Times New Roman"/>
          <w:lang w:val="en-US" w:eastAsia="zh-CN" w:bidi="ar"/>
        </w:rPr>
        <w:t>3</w:t>
      </w:r>
      <w:r>
        <w:rPr>
          <w:rFonts w:cs="Times New Roman"/>
          <w:lang w:bidi="ar"/>
        </w:rPr>
        <w:t>.6.1-2。</w:t>
      </w:r>
    </w:p>
    <w:p>
      <w:pPr>
        <w:spacing w:line="500" w:lineRule="exact"/>
        <w:ind w:firstLine="0" w:firstLineChars="0"/>
        <w:jc w:val="center"/>
        <w:rPr>
          <w:rFonts w:eastAsia="黑体" w:cs="Times New Roman"/>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.6.1-1  上一轮规划环评土壤监测点位一览表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3830"/>
        <w:gridCol w:w="3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vAlign w:val="center"/>
          </w:tcPr>
          <w:p>
            <w:pPr>
              <w:tabs>
                <w:tab w:val="left" w:pos="871"/>
              </w:tabs>
              <w:spacing w:line="240" w:lineRule="auto"/>
              <w:ind w:firstLine="0" w:firstLineChars="0"/>
              <w:jc w:val="center"/>
              <w:rPr>
                <w:rFonts w:cs="Times New Roman"/>
                <w:b/>
                <w:sz w:val="21"/>
                <w:szCs w:val="21"/>
              </w:rPr>
            </w:pPr>
            <w:r>
              <w:rPr>
                <w:rFonts w:cs="Times New Roman"/>
                <w:b/>
                <w:sz w:val="21"/>
                <w:szCs w:val="21"/>
                <w:lang w:bidi="ar"/>
              </w:rPr>
              <w:t>编号</w:t>
            </w:r>
          </w:p>
        </w:tc>
        <w:tc>
          <w:tcPr>
            <w:tcW w:w="4064" w:type="dxa"/>
            <w:vAlign w:val="center"/>
          </w:tcPr>
          <w:p>
            <w:pPr>
              <w:spacing w:line="240" w:lineRule="auto"/>
              <w:ind w:firstLine="0" w:firstLineChars="0"/>
              <w:jc w:val="center"/>
              <w:rPr>
                <w:rFonts w:cs="Times New Roman"/>
                <w:b/>
                <w:sz w:val="21"/>
              </w:rPr>
            </w:pPr>
            <w:r>
              <w:rPr>
                <w:rFonts w:cs="Times New Roman"/>
                <w:b/>
                <w:sz w:val="21"/>
                <w:lang w:bidi="ar"/>
              </w:rPr>
              <w:t>点位名称</w:t>
            </w:r>
          </w:p>
        </w:tc>
        <w:tc>
          <w:tcPr>
            <w:tcW w:w="4064" w:type="dxa"/>
            <w:vAlign w:val="center"/>
          </w:tcPr>
          <w:p>
            <w:pPr>
              <w:spacing w:line="240" w:lineRule="auto"/>
              <w:ind w:firstLine="0" w:firstLineChars="0"/>
              <w:jc w:val="center"/>
              <w:rPr>
                <w:rFonts w:cs="Times New Roman"/>
                <w:b/>
                <w:sz w:val="21"/>
              </w:rPr>
            </w:pPr>
            <w:r>
              <w:rPr>
                <w:rFonts w:cs="Times New Roman"/>
                <w:b/>
                <w:sz w:val="21"/>
                <w:lang w:bidi="ar"/>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07" w:type="dxa"/>
            <w:vAlign w:val="center"/>
          </w:tcPr>
          <w:p>
            <w:pPr>
              <w:tabs>
                <w:tab w:val="left" w:pos="871"/>
              </w:tabs>
              <w:spacing w:line="240" w:lineRule="auto"/>
              <w:ind w:firstLine="0" w:firstLineChars="0"/>
              <w:jc w:val="center"/>
              <w:rPr>
                <w:rFonts w:cs="Times New Roman"/>
                <w:sz w:val="21"/>
                <w:szCs w:val="21"/>
              </w:rPr>
            </w:pPr>
            <w:r>
              <w:rPr>
                <w:rFonts w:cs="Times New Roman"/>
                <w:sz w:val="21"/>
                <w:szCs w:val="21"/>
              </w:rPr>
              <w:t>1#</w:t>
            </w:r>
          </w:p>
        </w:tc>
        <w:tc>
          <w:tcPr>
            <w:tcW w:w="4064" w:type="dxa"/>
            <w:vAlign w:val="center"/>
          </w:tcPr>
          <w:p>
            <w:pPr>
              <w:spacing w:line="240" w:lineRule="auto"/>
              <w:ind w:firstLine="0" w:firstLineChars="0"/>
              <w:jc w:val="center"/>
              <w:rPr>
                <w:rFonts w:cs="Times New Roman"/>
                <w:sz w:val="21"/>
                <w:szCs w:val="21"/>
              </w:rPr>
            </w:pPr>
            <w:r>
              <w:rPr>
                <w:rFonts w:cs="Times New Roman"/>
                <w:kern w:val="0"/>
                <w:sz w:val="21"/>
                <w:szCs w:val="21"/>
                <w:lang w:bidi="ar"/>
              </w:rPr>
              <w:t>段庄</w:t>
            </w:r>
          </w:p>
        </w:tc>
        <w:tc>
          <w:tcPr>
            <w:tcW w:w="4064" w:type="dxa"/>
            <w:vMerge w:val="restart"/>
            <w:vAlign w:val="center"/>
          </w:tcPr>
          <w:p>
            <w:pPr>
              <w:spacing w:line="240" w:lineRule="auto"/>
              <w:ind w:firstLine="0" w:firstLineChars="0"/>
              <w:jc w:val="center"/>
              <w:rPr>
                <w:rFonts w:cs="Times New Roman"/>
                <w:sz w:val="21"/>
                <w:szCs w:val="21"/>
              </w:rPr>
            </w:pPr>
            <w:r>
              <w:rPr>
                <w:rFonts w:cs="Times New Roman"/>
                <w:sz w:val="21"/>
                <w:szCs w:val="21"/>
              </w:rPr>
              <w:t>pH、砷（As）、铬（Cr）、铅（Pb）、镉（Cd）、汞（Hg）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7"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2#</w:t>
            </w:r>
          </w:p>
        </w:tc>
        <w:tc>
          <w:tcPr>
            <w:tcW w:w="4064"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滂汪</w:t>
            </w:r>
          </w:p>
        </w:tc>
        <w:tc>
          <w:tcPr>
            <w:tcW w:w="4064" w:type="dxa"/>
            <w:vMerge w:val="continue"/>
            <w:vAlign w:val="center"/>
          </w:tcPr>
          <w:p>
            <w:pPr>
              <w:spacing w:line="240" w:lineRule="auto"/>
              <w:ind w:firstLine="420"/>
              <w:jc w:val="center"/>
              <w:rPr>
                <w:rFonts w:cs="Times New Roman"/>
                <w:sz w:val="21"/>
              </w:rPr>
            </w:pPr>
          </w:p>
        </w:tc>
      </w:tr>
    </w:tbl>
    <w:p>
      <w:pPr>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.6.1-2  上一轮规划环评土壤监测结果一览表  单位：mg/kg，pH无量纲</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598"/>
        <w:gridCol w:w="1673"/>
        <w:gridCol w:w="1538"/>
        <w:gridCol w:w="1700"/>
        <w:gridCol w:w="1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5" w:type="dxa"/>
            <w:vMerge w:val="restart"/>
            <w:vAlign w:val="center"/>
          </w:tcPr>
          <w:p>
            <w:pPr>
              <w:autoSpaceDN w:val="0"/>
              <w:spacing w:line="240" w:lineRule="auto"/>
              <w:ind w:firstLine="0" w:firstLineChars="0"/>
              <w:jc w:val="center"/>
              <w:textAlignment w:val="center"/>
              <w:rPr>
                <w:rFonts w:cs="Times New Roman"/>
                <w:b/>
                <w:sz w:val="21"/>
                <w:szCs w:val="21"/>
              </w:rPr>
            </w:pPr>
            <w:r>
              <w:rPr>
                <w:rFonts w:cs="Times New Roman"/>
                <w:b/>
                <w:sz w:val="21"/>
                <w:szCs w:val="21"/>
                <w:lang w:bidi="ar"/>
              </w:rPr>
              <w:t>序号</w:t>
            </w:r>
          </w:p>
        </w:tc>
        <w:tc>
          <w:tcPr>
            <w:tcW w:w="1736" w:type="dxa"/>
            <w:vMerge w:val="restart"/>
            <w:vAlign w:val="center"/>
          </w:tcPr>
          <w:p>
            <w:pPr>
              <w:autoSpaceDN w:val="0"/>
              <w:spacing w:line="240" w:lineRule="auto"/>
              <w:ind w:firstLine="0" w:firstLineChars="0"/>
              <w:jc w:val="center"/>
              <w:textAlignment w:val="center"/>
              <w:rPr>
                <w:rFonts w:cs="Times New Roman"/>
                <w:b/>
                <w:sz w:val="21"/>
                <w:szCs w:val="21"/>
              </w:rPr>
            </w:pPr>
            <w:r>
              <w:rPr>
                <w:rFonts w:cs="Times New Roman"/>
                <w:b/>
                <w:sz w:val="21"/>
                <w:szCs w:val="21"/>
                <w:lang w:bidi="ar"/>
              </w:rPr>
              <w:t>监测项目</w:t>
            </w:r>
          </w:p>
        </w:tc>
        <w:tc>
          <w:tcPr>
            <w:tcW w:w="6900" w:type="dxa"/>
            <w:gridSpan w:val="4"/>
            <w:vAlign w:val="center"/>
          </w:tcPr>
          <w:p>
            <w:pPr>
              <w:autoSpaceDN w:val="0"/>
              <w:spacing w:line="240" w:lineRule="auto"/>
              <w:ind w:firstLine="0" w:firstLineChars="0"/>
              <w:jc w:val="center"/>
              <w:textAlignment w:val="center"/>
              <w:rPr>
                <w:rFonts w:cs="Times New Roman"/>
                <w:b/>
                <w:sz w:val="21"/>
                <w:szCs w:val="21"/>
              </w:rPr>
            </w:pPr>
            <w:r>
              <w:rPr>
                <w:rFonts w:cs="Times New Roman"/>
                <w:b/>
                <w:sz w:val="21"/>
                <w:szCs w:val="21"/>
                <w:lang w:bidi="ar"/>
              </w:rPr>
              <w:t>检测值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15" w:type="dxa"/>
            <w:vMerge w:val="continue"/>
            <w:vAlign w:val="center"/>
          </w:tcPr>
          <w:p>
            <w:pPr>
              <w:spacing w:line="240" w:lineRule="auto"/>
              <w:ind w:firstLine="0" w:firstLineChars="0"/>
              <w:jc w:val="center"/>
              <w:rPr>
                <w:rFonts w:cs="Times New Roman"/>
                <w:b/>
                <w:snapToGrid w:val="0"/>
                <w:sz w:val="21"/>
                <w:szCs w:val="21"/>
              </w:rPr>
            </w:pPr>
          </w:p>
        </w:tc>
        <w:tc>
          <w:tcPr>
            <w:tcW w:w="1736" w:type="dxa"/>
            <w:vMerge w:val="continue"/>
            <w:vAlign w:val="center"/>
          </w:tcPr>
          <w:p>
            <w:pPr>
              <w:spacing w:line="240" w:lineRule="auto"/>
              <w:ind w:firstLine="0" w:firstLineChars="0"/>
              <w:jc w:val="center"/>
              <w:rPr>
                <w:rFonts w:cs="Times New Roman"/>
                <w:b/>
                <w:snapToGrid w:val="0"/>
                <w:sz w:val="21"/>
                <w:szCs w:val="21"/>
              </w:rPr>
            </w:pPr>
          </w:p>
        </w:tc>
        <w:tc>
          <w:tcPr>
            <w:tcW w:w="3490" w:type="dxa"/>
            <w:gridSpan w:val="2"/>
            <w:vAlign w:val="center"/>
          </w:tcPr>
          <w:p>
            <w:pPr>
              <w:autoSpaceDN w:val="0"/>
              <w:spacing w:line="240" w:lineRule="auto"/>
              <w:ind w:firstLine="0" w:firstLineChars="0"/>
              <w:jc w:val="center"/>
              <w:textAlignment w:val="center"/>
              <w:rPr>
                <w:rFonts w:cs="Times New Roman"/>
                <w:b/>
                <w:sz w:val="21"/>
                <w:szCs w:val="21"/>
              </w:rPr>
            </w:pPr>
            <w:r>
              <w:rPr>
                <w:rFonts w:cs="Times New Roman"/>
                <w:b/>
                <w:sz w:val="21"/>
                <w:szCs w:val="21"/>
              </w:rPr>
              <w:t>南段庄</w:t>
            </w:r>
          </w:p>
        </w:tc>
        <w:tc>
          <w:tcPr>
            <w:tcW w:w="3410" w:type="dxa"/>
            <w:gridSpan w:val="2"/>
            <w:vAlign w:val="center"/>
          </w:tcPr>
          <w:p>
            <w:pPr>
              <w:autoSpaceDN w:val="0"/>
              <w:spacing w:line="240" w:lineRule="auto"/>
              <w:ind w:firstLine="0" w:firstLineChars="0"/>
              <w:jc w:val="center"/>
              <w:textAlignment w:val="center"/>
              <w:rPr>
                <w:rFonts w:cs="Times New Roman"/>
                <w:b/>
                <w:sz w:val="21"/>
                <w:szCs w:val="21"/>
              </w:rPr>
            </w:pPr>
            <w:r>
              <w:rPr>
                <w:rFonts w:cs="Times New Roman"/>
                <w:b/>
                <w:sz w:val="21"/>
                <w:szCs w:val="21"/>
              </w:rPr>
              <w:t>滂汪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15" w:type="dxa"/>
            <w:vMerge w:val="continue"/>
            <w:vAlign w:val="center"/>
          </w:tcPr>
          <w:p>
            <w:pPr>
              <w:autoSpaceDN w:val="0"/>
              <w:spacing w:line="240" w:lineRule="auto"/>
              <w:ind w:firstLine="0" w:firstLineChars="0"/>
              <w:jc w:val="center"/>
              <w:textAlignment w:val="center"/>
              <w:rPr>
                <w:rFonts w:cs="Times New Roman"/>
              </w:rPr>
            </w:pPr>
          </w:p>
        </w:tc>
        <w:tc>
          <w:tcPr>
            <w:tcW w:w="1736" w:type="dxa"/>
            <w:vMerge w:val="continue"/>
            <w:vAlign w:val="center"/>
          </w:tcPr>
          <w:p>
            <w:pPr>
              <w:autoSpaceDN w:val="0"/>
              <w:spacing w:line="240" w:lineRule="auto"/>
              <w:ind w:firstLine="0" w:firstLineChars="0"/>
              <w:jc w:val="center"/>
              <w:textAlignment w:val="center"/>
              <w:rPr>
                <w:rFonts w:cs="Times New Roman"/>
              </w:rPr>
            </w:pPr>
          </w:p>
        </w:tc>
        <w:tc>
          <w:tcPr>
            <w:tcW w:w="1819"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8月7日</w:t>
            </w:r>
          </w:p>
        </w:tc>
        <w:tc>
          <w:tcPr>
            <w:tcW w:w="1671"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8月8日</w:t>
            </w:r>
          </w:p>
        </w:tc>
        <w:tc>
          <w:tcPr>
            <w:tcW w:w="1847"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8月7日</w:t>
            </w:r>
          </w:p>
        </w:tc>
        <w:tc>
          <w:tcPr>
            <w:tcW w:w="1563"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8月8日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1</w:t>
            </w:r>
          </w:p>
        </w:tc>
        <w:tc>
          <w:tcPr>
            <w:tcW w:w="1736" w:type="dxa"/>
            <w:vAlign w:val="center"/>
          </w:tcPr>
          <w:p>
            <w:pPr>
              <w:spacing w:line="240" w:lineRule="auto"/>
              <w:ind w:firstLine="0" w:firstLineChars="0"/>
              <w:jc w:val="center"/>
              <w:rPr>
                <w:rFonts w:cs="Times New Roman"/>
                <w:bCs/>
                <w:sz w:val="21"/>
                <w:szCs w:val="21"/>
              </w:rPr>
            </w:pPr>
            <w:r>
              <w:rPr>
                <w:rFonts w:cs="Times New Roman"/>
                <w:sz w:val="21"/>
                <w:szCs w:val="21"/>
                <w:lang w:bidi="ar"/>
              </w:rPr>
              <w:t>pH</w:t>
            </w:r>
          </w:p>
        </w:tc>
        <w:tc>
          <w:tcPr>
            <w:tcW w:w="181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8.45</w:t>
            </w:r>
          </w:p>
        </w:tc>
        <w:tc>
          <w:tcPr>
            <w:tcW w:w="1671"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8.48</w:t>
            </w:r>
          </w:p>
        </w:tc>
        <w:tc>
          <w:tcPr>
            <w:tcW w:w="1847"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8.57</w:t>
            </w:r>
          </w:p>
        </w:tc>
        <w:tc>
          <w:tcPr>
            <w:tcW w:w="1563"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8.53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2</w:t>
            </w:r>
          </w:p>
        </w:tc>
        <w:tc>
          <w:tcPr>
            <w:tcW w:w="1736" w:type="dxa"/>
            <w:vAlign w:val="center"/>
          </w:tcPr>
          <w:p>
            <w:pPr>
              <w:spacing w:line="240" w:lineRule="auto"/>
              <w:ind w:firstLine="0" w:firstLineChars="0"/>
              <w:jc w:val="center"/>
              <w:rPr>
                <w:rFonts w:cs="Times New Roman"/>
                <w:sz w:val="21"/>
                <w:szCs w:val="21"/>
              </w:rPr>
            </w:pPr>
            <w:r>
              <w:rPr>
                <w:rFonts w:cs="Times New Roman"/>
                <w:sz w:val="21"/>
                <w:szCs w:val="21"/>
                <w:lang w:bidi="ar"/>
              </w:rPr>
              <w:t>铬</w:t>
            </w:r>
          </w:p>
        </w:tc>
        <w:tc>
          <w:tcPr>
            <w:tcW w:w="181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70.1</w:t>
            </w:r>
          </w:p>
        </w:tc>
        <w:tc>
          <w:tcPr>
            <w:tcW w:w="1671"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70.6</w:t>
            </w:r>
          </w:p>
        </w:tc>
        <w:tc>
          <w:tcPr>
            <w:tcW w:w="1847"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70.4</w:t>
            </w:r>
          </w:p>
        </w:tc>
        <w:tc>
          <w:tcPr>
            <w:tcW w:w="1563"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70.7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3</w:t>
            </w:r>
          </w:p>
        </w:tc>
        <w:tc>
          <w:tcPr>
            <w:tcW w:w="1736" w:type="dxa"/>
            <w:vAlign w:val="center"/>
          </w:tcPr>
          <w:p>
            <w:pPr>
              <w:spacing w:line="240" w:lineRule="auto"/>
              <w:ind w:firstLine="0" w:firstLineChars="0"/>
              <w:jc w:val="center"/>
              <w:rPr>
                <w:rFonts w:cs="Times New Roman"/>
                <w:sz w:val="21"/>
                <w:szCs w:val="21"/>
              </w:rPr>
            </w:pPr>
            <w:r>
              <w:rPr>
                <w:rFonts w:cs="Times New Roman"/>
                <w:sz w:val="21"/>
                <w:szCs w:val="21"/>
                <w:lang w:bidi="ar"/>
              </w:rPr>
              <w:t>汞</w:t>
            </w:r>
          </w:p>
        </w:tc>
        <w:tc>
          <w:tcPr>
            <w:tcW w:w="181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0.016</w:t>
            </w:r>
          </w:p>
        </w:tc>
        <w:tc>
          <w:tcPr>
            <w:tcW w:w="1671"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0.016</w:t>
            </w:r>
          </w:p>
        </w:tc>
        <w:tc>
          <w:tcPr>
            <w:tcW w:w="1847"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0.018</w:t>
            </w:r>
          </w:p>
        </w:tc>
        <w:tc>
          <w:tcPr>
            <w:tcW w:w="1563"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0.017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4</w:t>
            </w:r>
          </w:p>
        </w:tc>
        <w:tc>
          <w:tcPr>
            <w:tcW w:w="1736" w:type="dxa"/>
            <w:vAlign w:val="center"/>
          </w:tcPr>
          <w:p>
            <w:pPr>
              <w:spacing w:line="240" w:lineRule="auto"/>
              <w:ind w:firstLine="0" w:firstLineChars="0"/>
              <w:jc w:val="center"/>
              <w:rPr>
                <w:rFonts w:cs="Times New Roman"/>
                <w:sz w:val="21"/>
                <w:szCs w:val="21"/>
              </w:rPr>
            </w:pPr>
            <w:r>
              <w:rPr>
                <w:rFonts w:cs="Times New Roman"/>
                <w:sz w:val="21"/>
                <w:szCs w:val="21"/>
                <w:lang w:bidi="ar"/>
              </w:rPr>
              <w:t>砷</w:t>
            </w:r>
          </w:p>
        </w:tc>
        <w:tc>
          <w:tcPr>
            <w:tcW w:w="181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8.999</w:t>
            </w:r>
          </w:p>
        </w:tc>
        <w:tc>
          <w:tcPr>
            <w:tcW w:w="1671"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8.612</w:t>
            </w:r>
          </w:p>
        </w:tc>
        <w:tc>
          <w:tcPr>
            <w:tcW w:w="1847"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9.313</w:t>
            </w:r>
          </w:p>
        </w:tc>
        <w:tc>
          <w:tcPr>
            <w:tcW w:w="1563"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9.646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5"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5</w:t>
            </w:r>
          </w:p>
        </w:tc>
        <w:tc>
          <w:tcPr>
            <w:tcW w:w="1736" w:type="dxa"/>
            <w:vAlign w:val="center"/>
          </w:tcPr>
          <w:p>
            <w:pPr>
              <w:spacing w:line="240" w:lineRule="auto"/>
              <w:ind w:firstLine="0" w:firstLineChars="0"/>
              <w:jc w:val="center"/>
              <w:rPr>
                <w:rFonts w:cs="Times New Roman"/>
                <w:sz w:val="21"/>
                <w:szCs w:val="21"/>
              </w:rPr>
            </w:pPr>
            <w:r>
              <w:rPr>
                <w:rFonts w:cs="Times New Roman"/>
                <w:sz w:val="21"/>
                <w:szCs w:val="21"/>
                <w:lang w:bidi="ar"/>
              </w:rPr>
              <w:t>铅</w:t>
            </w:r>
          </w:p>
        </w:tc>
        <w:tc>
          <w:tcPr>
            <w:tcW w:w="1819"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30.1</w:t>
            </w:r>
          </w:p>
        </w:tc>
        <w:tc>
          <w:tcPr>
            <w:tcW w:w="1671"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31.5</w:t>
            </w:r>
          </w:p>
        </w:tc>
        <w:tc>
          <w:tcPr>
            <w:tcW w:w="1847"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30.5</w:t>
            </w:r>
          </w:p>
        </w:tc>
        <w:tc>
          <w:tcPr>
            <w:tcW w:w="1563" w:type="dxa"/>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rPr>
              <w:t>31.0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15"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6</w:t>
            </w:r>
          </w:p>
        </w:tc>
        <w:tc>
          <w:tcPr>
            <w:tcW w:w="1736" w:type="dxa"/>
            <w:vAlign w:val="center"/>
          </w:tcPr>
          <w:p>
            <w:pPr>
              <w:spacing w:line="240" w:lineRule="auto"/>
              <w:ind w:firstLine="0" w:firstLineChars="0"/>
              <w:jc w:val="center"/>
              <w:rPr>
                <w:rFonts w:cs="Times New Roman"/>
                <w:sz w:val="21"/>
                <w:szCs w:val="21"/>
                <w:lang w:bidi="ar"/>
              </w:rPr>
            </w:pPr>
            <w:r>
              <w:rPr>
                <w:rFonts w:cs="Times New Roman"/>
                <w:sz w:val="21"/>
                <w:szCs w:val="21"/>
                <w:lang w:bidi="ar"/>
              </w:rPr>
              <w:t>镉</w:t>
            </w:r>
          </w:p>
        </w:tc>
        <w:tc>
          <w:tcPr>
            <w:tcW w:w="1819"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0.112</w:t>
            </w:r>
          </w:p>
        </w:tc>
        <w:tc>
          <w:tcPr>
            <w:tcW w:w="1671"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0.109</w:t>
            </w:r>
          </w:p>
        </w:tc>
        <w:tc>
          <w:tcPr>
            <w:tcW w:w="1847"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0.108</w:t>
            </w:r>
          </w:p>
        </w:tc>
        <w:tc>
          <w:tcPr>
            <w:tcW w:w="1563" w:type="dxa"/>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0.107</w:t>
            </w:r>
          </w:p>
        </w:tc>
      </w:tr>
    </w:tbl>
    <w:p>
      <w:pPr>
        <w:ind w:firstLine="480"/>
        <w:rPr>
          <w:rFonts w:cs="Times New Roman"/>
        </w:rPr>
      </w:pPr>
      <w:r>
        <w:rPr>
          <w:rFonts w:cs="Times New Roman"/>
          <w:lang w:bidi="ar"/>
        </w:rPr>
        <w:t>由表</w:t>
      </w:r>
      <w:r>
        <w:rPr>
          <w:rFonts w:hint="eastAsia" w:cs="Times New Roman"/>
          <w:lang w:val="en-US" w:eastAsia="zh-CN" w:bidi="ar"/>
        </w:rPr>
        <w:t>3</w:t>
      </w:r>
      <w:r>
        <w:rPr>
          <w:rFonts w:cs="Times New Roman"/>
          <w:lang w:bidi="ar"/>
        </w:rPr>
        <w:t>.6.1-2可知，区域的土壤监测点各监测指标均符合《土壤环境质量标准（GB15618-1995）》中一级标准要求，同时也符合《土壤环境质量 建设用地土壤污染风险管控标准》（GB36600-2018）中筛选值要求，开发区土壤环境质量本底值较好</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.6.2土壤环境质量现状监测</w:t>
      </w:r>
    </w:p>
    <w:p>
      <w:pPr>
        <w:ind w:firstLine="480"/>
        <w:rPr>
          <w:rFonts w:cs="Times New Roman"/>
        </w:rPr>
      </w:pPr>
      <w:r>
        <w:rPr>
          <w:rFonts w:cs="Times New Roman"/>
          <w:lang w:bidi="ar"/>
        </w:rPr>
        <w:t>（1）监测点布设</w:t>
      </w:r>
    </w:p>
    <w:p>
      <w:pPr>
        <w:ind w:firstLine="480"/>
        <w:rPr>
          <w:rFonts w:cs="Times New Roman"/>
        </w:rPr>
      </w:pPr>
      <w:r>
        <w:rPr>
          <w:rFonts w:cs="Times New Roman"/>
          <w:lang w:bidi="ar"/>
        </w:rPr>
        <w:t>为客观反应开发区建设对土壤环境质量的影响，</w:t>
      </w:r>
      <w:r>
        <w:rPr>
          <w:rFonts w:cs="Times New Roman"/>
        </w:rPr>
        <w:t>根据基地土地利用类型，本次土壤环境质量监测在基地范围布设5个土壤采样点，</w:t>
      </w:r>
      <w:r>
        <w:rPr>
          <w:rFonts w:cs="Times New Roman"/>
          <w:lang w:bidi="ar"/>
        </w:rPr>
        <w:t>具体位置详见附图</w:t>
      </w:r>
      <w:r>
        <w:rPr>
          <w:rFonts w:hint="eastAsia" w:cs="Times New Roman"/>
          <w:lang w:val="en-US" w:eastAsia="zh-CN" w:bidi="ar"/>
        </w:rPr>
        <w:t>3</w:t>
      </w:r>
      <w:r>
        <w:rPr>
          <w:rFonts w:cs="Times New Roman"/>
          <w:lang w:bidi="ar"/>
        </w:rPr>
        <w:t>.5.2-1和表</w:t>
      </w:r>
      <w:r>
        <w:rPr>
          <w:rFonts w:hint="eastAsia" w:cs="Times New Roman"/>
          <w:lang w:val="en-US" w:eastAsia="zh-CN" w:bidi="ar"/>
        </w:rPr>
        <w:t>3</w:t>
      </w:r>
      <w:r>
        <w:rPr>
          <w:rFonts w:cs="Times New Roman"/>
          <w:lang w:bidi="ar"/>
        </w:rPr>
        <w:t>.6.2-1。</w:t>
      </w:r>
    </w:p>
    <w:p>
      <w:pPr>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.6.2-1  土壤监测点位一览表</w:t>
      </w:r>
    </w:p>
    <w:tbl>
      <w:tblPr>
        <w:tblStyle w:val="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38"/>
        <w:gridCol w:w="5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3734" w:type="dxa"/>
            <w:vAlign w:val="center"/>
          </w:tcPr>
          <w:p>
            <w:pPr>
              <w:spacing w:line="240" w:lineRule="auto"/>
              <w:ind w:firstLine="0" w:firstLineChars="0"/>
              <w:jc w:val="center"/>
              <w:rPr>
                <w:rFonts w:cs="Times New Roman"/>
                <w:b/>
                <w:kern w:val="0"/>
                <w:sz w:val="21"/>
                <w:szCs w:val="21"/>
              </w:rPr>
            </w:pPr>
            <w:r>
              <w:rPr>
                <w:rFonts w:cs="Times New Roman"/>
                <w:b/>
                <w:kern w:val="0"/>
                <w:sz w:val="21"/>
                <w:szCs w:val="21"/>
                <w:lang w:bidi="ar"/>
              </w:rPr>
              <w:t>测点编号</w:t>
            </w:r>
          </w:p>
        </w:tc>
        <w:tc>
          <w:tcPr>
            <w:tcW w:w="5517" w:type="dxa"/>
            <w:vAlign w:val="center"/>
          </w:tcPr>
          <w:p>
            <w:pPr>
              <w:spacing w:line="240" w:lineRule="auto"/>
              <w:ind w:firstLine="0" w:firstLineChars="0"/>
              <w:jc w:val="center"/>
              <w:rPr>
                <w:rFonts w:cs="Times New Roman"/>
                <w:b/>
                <w:kern w:val="0"/>
                <w:sz w:val="21"/>
                <w:szCs w:val="21"/>
              </w:rPr>
            </w:pPr>
            <w:r>
              <w:rPr>
                <w:rFonts w:cs="Times New Roman"/>
                <w:b/>
                <w:kern w:val="0"/>
                <w:sz w:val="21"/>
                <w:szCs w:val="21"/>
                <w:lang w:bidi="ar"/>
              </w:rPr>
              <w:t>测点位置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3734"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S1</w:t>
            </w:r>
          </w:p>
        </w:tc>
        <w:tc>
          <w:tcPr>
            <w:tcW w:w="5517"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罗里村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34"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S2</w:t>
            </w:r>
          </w:p>
        </w:tc>
        <w:tc>
          <w:tcPr>
            <w:tcW w:w="5517"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安徽矿机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734"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S3</w:t>
            </w:r>
          </w:p>
        </w:tc>
        <w:tc>
          <w:tcPr>
            <w:tcW w:w="5517"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南段庄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734"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S4</w:t>
            </w:r>
          </w:p>
        </w:tc>
        <w:tc>
          <w:tcPr>
            <w:tcW w:w="5517"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滂汪村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734"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S5</w:t>
            </w:r>
          </w:p>
        </w:tc>
        <w:tc>
          <w:tcPr>
            <w:tcW w:w="5517" w:type="dxa"/>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开发区未利用地</w:t>
            </w:r>
          </w:p>
        </w:tc>
      </w:tr>
    </w:tbl>
    <w:p>
      <w:pPr>
        <w:ind w:firstLine="480"/>
        <w:rPr>
          <w:rFonts w:cs="Times New Roman"/>
        </w:rPr>
      </w:pPr>
      <w:r>
        <w:rPr>
          <w:rFonts w:cs="Times New Roman"/>
          <w:lang w:bidi="ar"/>
        </w:rPr>
        <w:t>（2）监测因子</w:t>
      </w:r>
    </w:p>
    <w:p>
      <w:pPr>
        <w:ind w:firstLine="480"/>
        <w:rPr>
          <w:rFonts w:cs="Times New Roman"/>
        </w:rPr>
      </w:pPr>
      <w:r>
        <w:rPr>
          <w:rFonts w:cs="Times New Roman"/>
        </w:rPr>
        <w:t>表层样应在0~0.2m取样。</w:t>
      </w:r>
    </w:p>
    <w:p>
      <w:pPr>
        <w:ind w:firstLine="480"/>
        <w:rPr>
          <w:rFonts w:cs="Times New Roman"/>
        </w:rPr>
      </w:pPr>
      <w:r>
        <w:rPr>
          <w:rFonts w:cs="Times New Roman"/>
        </w:rPr>
        <w:t>S1~S4监测基础45项包括：六价铬、镉、铅、铜、镍、汞和砷、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 h]蒽、茚并[1,2,3-cd]芘、萘。</w:t>
      </w:r>
    </w:p>
    <w:p>
      <w:pPr>
        <w:ind w:firstLine="480"/>
        <w:rPr>
          <w:rFonts w:cs="Times New Roman"/>
        </w:rPr>
      </w:pPr>
      <w:r>
        <w:rPr>
          <w:rFonts w:cs="Times New Roman"/>
        </w:rPr>
        <w:t>S5监测因子：</w:t>
      </w:r>
      <w:r>
        <w:rPr>
          <w:rFonts w:hint="eastAsia" w:cs="Times New Roman"/>
        </w:rPr>
        <w:t>pH、铬</w:t>
      </w:r>
      <w:r>
        <w:rPr>
          <w:rFonts w:cs="Times New Roman"/>
        </w:rPr>
        <w:t>、镉、铅、铜、镍、汞</w:t>
      </w:r>
      <w:r>
        <w:rPr>
          <w:rFonts w:hint="eastAsia" w:cs="Times New Roman"/>
        </w:rPr>
        <w:t>、</w:t>
      </w:r>
      <w:r>
        <w:rPr>
          <w:rFonts w:cs="Times New Roman"/>
        </w:rPr>
        <w:t>砷。</w:t>
      </w:r>
    </w:p>
    <w:p>
      <w:pPr>
        <w:ind w:firstLine="480"/>
        <w:rPr>
          <w:rFonts w:cs="Times New Roman"/>
        </w:rPr>
      </w:pPr>
      <w:r>
        <w:rPr>
          <w:rFonts w:cs="Times New Roman"/>
          <w:lang w:bidi="ar"/>
        </w:rPr>
        <w:t>（3）监测时间和频次</w:t>
      </w:r>
    </w:p>
    <w:p>
      <w:pPr>
        <w:ind w:firstLine="480"/>
        <w:rPr>
          <w:rFonts w:cs="Times New Roman"/>
        </w:rPr>
      </w:pPr>
      <w:r>
        <w:rPr>
          <w:rFonts w:cs="Times New Roman"/>
          <w:lang w:bidi="ar"/>
        </w:rPr>
        <w:t>监测时间：2020年3月03日；</w:t>
      </w:r>
      <w:r>
        <w:rPr>
          <w:rFonts w:cs="Times New Roman"/>
        </w:rPr>
        <w:t>监测1天，进行一次性采样。</w:t>
      </w:r>
    </w:p>
    <w:p>
      <w:pPr>
        <w:ind w:firstLine="480"/>
        <w:rPr>
          <w:rFonts w:cs="Times New Roman"/>
        </w:rPr>
      </w:pPr>
      <w:r>
        <w:rPr>
          <w:rFonts w:cs="Times New Roman"/>
          <w:lang w:bidi="ar"/>
        </w:rPr>
        <w:t>（4）监测方法</w:t>
      </w:r>
    </w:p>
    <w:p>
      <w:pPr>
        <w:ind w:firstLine="480"/>
        <w:rPr>
          <w:rFonts w:cs="Times New Roman"/>
        </w:rPr>
      </w:pPr>
      <w:r>
        <w:rPr>
          <w:rFonts w:cs="Times New Roman"/>
          <w:lang w:bidi="ar"/>
        </w:rPr>
        <w:t>采样和分析方法按照国家环保总局颁发的《环境监测分析方法》、《土壤农业化学分析方法》、《农业土壤环境质量监测技术规范》和中国环境监测总站编制的《土壤元素的近代分析方法》进行。</w:t>
      </w:r>
    </w:p>
    <w:p>
      <w:pPr>
        <w:ind w:firstLine="480"/>
        <w:rPr>
          <w:rFonts w:cs="Times New Roman"/>
        </w:rPr>
      </w:pPr>
      <w:r>
        <w:rPr>
          <w:rFonts w:cs="Times New Roman"/>
          <w:lang w:bidi="ar"/>
        </w:rPr>
        <w:t>（5）监测结果</w:t>
      </w:r>
    </w:p>
    <w:p>
      <w:pPr>
        <w:ind w:firstLine="480"/>
        <w:rPr>
          <w:rFonts w:cs="Times New Roman"/>
        </w:rPr>
      </w:pPr>
      <w:r>
        <w:rPr>
          <w:rFonts w:cs="Times New Roman"/>
          <w:lang w:bidi="ar"/>
        </w:rPr>
        <w:t>监测结果见表</w:t>
      </w:r>
      <w:r>
        <w:rPr>
          <w:rFonts w:hint="eastAsia" w:cs="Times New Roman"/>
          <w:lang w:val="en-US" w:eastAsia="zh-CN" w:bidi="ar"/>
        </w:rPr>
        <w:t>3</w:t>
      </w:r>
      <w:r>
        <w:rPr>
          <w:rFonts w:cs="Times New Roman"/>
          <w:lang w:bidi="ar"/>
        </w:rPr>
        <w:t>.6.2-2。</w:t>
      </w:r>
    </w:p>
    <w:p>
      <w:pPr>
        <w:spacing w:line="500" w:lineRule="exact"/>
        <w:ind w:firstLine="0" w:firstLineChars="0"/>
        <w:jc w:val="center"/>
        <w:rPr>
          <w:rFonts w:eastAsia="黑体" w:cs="Times New Roman"/>
          <w:lang w:bidi="ar"/>
        </w:rPr>
      </w:pPr>
      <w:r>
        <w:rPr>
          <w:rFonts w:eastAsia="黑体" w:cs="Times New Roman"/>
          <w:lang w:bidi="ar"/>
        </w:rPr>
        <w:t>表</w:t>
      </w:r>
      <w:r>
        <w:rPr>
          <w:rFonts w:hint="eastAsia" w:eastAsia="黑体" w:cs="Times New Roman"/>
          <w:lang w:val="en-US" w:eastAsia="zh-CN" w:bidi="ar"/>
        </w:rPr>
        <w:t>3</w:t>
      </w:r>
      <w:r>
        <w:rPr>
          <w:rFonts w:eastAsia="黑体" w:cs="Times New Roman"/>
          <w:lang w:bidi="ar"/>
        </w:rPr>
        <w:t>.6.2-2  土壤现状监测结果    单位：mg/kg，pH无量纲</w:t>
      </w:r>
    </w:p>
    <w:tbl>
      <w:tblPr>
        <w:tblStyle w:val="1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2056"/>
        <w:gridCol w:w="1336"/>
        <w:gridCol w:w="1202"/>
        <w:gridCol w:w="1069"/>
        <w:gridCol w:w="1067"/>
        <w:gridCol w:w="1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Merge w:val="restart"/>
            <w:vAlign w:val="center"/>
          </w:tcPr>
          <w:p>
            <w:pPr>
              <w:autoSpaceDN w:val="0"/>
              <w:spacing w:line="240" w:lineRule="auto"/>
              <w:ind w:firstLine="0" w:firstLineChars="0"/>
              <w:jc w:val="center"/>
              <w:textAlignment w:val="center"/>
              <w:rPr>
                <w:rFonts w:cs="Times New Roman"/>
                <w:b/>
                <w:sz w:val="21"/>
                <w:szCs w:val="21"/>
              </w:rPr>
            </w:pPr>
            <w:r>
              <w:rPr>
                <w:rFonts w:cs="Times New Roman"/>
                <w:b/>
                <w:sz w:val="21"/>
                <w:szCs w:val="21"/>
                <w:lang w:bidi="ar"/>
              </w:rPr>
              <w:t>序号</w:t>
            </w:r>
          </w:p>
        </w:tc>
        <w:tc>
          <w:tcPr>
            <w:tcW w:w="1208" w:type="pct"/>
            <w:vMerge w:val="restart"/>
            <w:vAlign w:val="center"/>
          </w:tcPr>
          <w:p>
            <w:pPr>
              <w:autoSpaceDN w:val="0"/>
              <w:spacing w:line="240" w:lineRule="auto"/>
              <w:ind w:firstLine="0" w:firstLineChars="0"/>
              <w:jc w:val="center"/>
              <w:textAlignment w:val="center"/>
              <w:rPr>
                <w:rFonts w:cs="Times New Roman"/>
                <w:b/>
                <w:sz w:val="21"/>
                <w:szCs w:val="21"/>
              </w:rPr>
            </w:pPr>
            <w:r>
              <w:rPr>
                <w:rFonts w:cs="Times New Roman"/>
                <w:b/>
                <w:sz w:val="21"/>
                <w:szCs w:val="21"/>
                <w:lang w:bidi="ar"/>
              </w:rPr>
              <w:t>监测项目</w:t>
            </w:r>
          </w:p>
        </w:tc>
        <w:tc>
          <w:tcPr>
            <w:tcW w:w="3351" w:type="pct"/>
            <w:gridSpan w:val="5"/>
            <w:vAlign w:val="center"/>
          </w:tcPr>
          <w:p>
            <w:pPr>
              <w:autoSpaceDN w:val="0"/>
              <w:spacing w:line="240" w:lineRule="auto"/>
              <w:ind w:firstLine="0" w:firstLineChars="0"/>
              <w:jc w:val="center"/>
              <w:textAlignment w:val="center"/>
              <w:rPr>
                <w:rFonts w:cs="Times New Roman"/>
                <w:b/>
                <w:sz w:val="21"/>
                <w:szCs w:val="21"/>
                <w:lang w:bidi="ar"/>
              </w:rPr>
            </w:pPr>
            <w:r>
              <w:rPr>
                <w:rFonts w:cs="Times New Roman"/>
                <w:b/>
                <w:sz w:val="21"/>
                <w:szCs w:val="21"/>
                <w:lang w:bidi="ar"/>
              </w:rPr>
              <w:t>检测值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40" w:type="pct"/>
            <w:vMerge w:val="continue"/>
            <w:vAlign w:val="center"/>
          </w:tcPr>
          <w:p>
            <w:pPr>
              <w:spacing w:line="240" w:lineRule="auto"/>
              <w:ind w:firstLine="0" w:firstLineChars="0"/>
              <w:jc w:val="center"/>
              <w:rPr>
                <w:rFonts w:cs="Times New Roman"/>
                <w:b/>
                <w:snapToGrid w:val="0"/>
                <w:sz w:val="21"/>
                <w:szCs w:val="21"/>
              </w:rPr>
            </w:pPr>
          </w:p>
        </w:tc>
        <w:tc>
          <w:tcPr>
            <w:tcW w:w="1208" w:type="pct"/>
            <w:vMerge w:val="continue"/>
            <w:vAlign w:val="center"/>
          </w:tcPr>
          <w:p>
            <w:pPr>
              <w:spacing w:line="240" w:lineRule="auto"/>
              <w:ind w:firstLine="0" w:firstLineChars="0"/>
              <w:jc w:val="center"/>
              <w:rPr>
                <w:rFonts w:cs="Times New Roman"/>
                <w:b/>
                <w:snapToGrid w:val="0"/>
                <w:sz w:val="21"/>
                <w:szCs w:val="21"/>
              </w:rPr>
            </w:pPr>
          </w:p>
        </w:tc>
        <w:tc>
          <w:tcPr>
            <w:tcW w:w="785" w:type="pct"/>
            <w:vAlign w:val="center"/>
          </w:tcPr>
          <w:p>
            <w:pPr>
              <w:autoSpaceDN w:val="0"/>
              <w:spacing w:line="240" w:lineRule="auto"/>
              <w:ind w:firstLine="0" w:firstLineChars="0"/>
              <w:jc w:val="center"/>
              <w:textAlignment w:val="center"/>
              <w:rPr>
                <w:rFonts w:cs="Times New Roman"/>
                <w:b/>
                <w:sz w:val="21"/>
                <w:szCs w:val="21"/>
                <w:lang w:bidi="ar"/>
              </w:rPr>
            </w:pPr>
            <w:r>
              <w:rPr>
                <w:rFonts w:cs="Times New Roman"/>
                <w:b/>
                <w:sz w:val="21"/>
                <w:szCs w:val="21"/>
                <w:lang w:bidi="ar"/>
              </w:rPr>
              <w:t>罗里村</w:t>
            </w:r>
          </w:p>
        </w:tc>
        <w:tc>
          <w:tcPr>
            <w:tcW w:w="706" w:type="pct"/>
            <w:vAlign w:val="center"/>
          </w:tcPr>
          <w:p>
            <w:pPr>
              <w:autoSpaceDN w:val="0"/>
              <w:spacing w:line="240" w:lineRule="auto"/>
              <w:ind w:firstLine="0" w:firstLineChars="0"/>
              <w:jc w:val="center"/>
              <w:textAlignment w:val="center"/>
              <w:rPr>
                <w:rFonts w:cs="Times New Roman"/>
                <w:b/>
                <w:sz w:val="21"/>
                <w:szCs w:val="21"/>
                <w:lang w:bidi="ar"/>
              </w:rPr>
            </w:pPr>
            <w:r>
              <w:rPr>
                <w:rFonts w:cs="Times New Roman"/>
                <w:b/>
                <w:sz w:val="21"/>
                <w:szCs w:val="21"/>
                <w:lang w:bidi="ar"/>
              </w:rPr>
              <w:t>安徽矿机</w:t>
            </w:r>
          </w:p>
        </w:tc>
        <w:tc>
          <w:tcPr>
            <w:tcW w:w="628" w:type="pct"/>
            <w:vAlign w:val="center"/>
          </w:tcPr>
          <w:p>
            <w:pPr>
              <w:autoSpaceDN w:val="0"/>
              <w:spacing w:line="240" w:lineRule="auto"/>
              <w:ind w:firstLine="0" w:firstLineChars="0"/>
              <w:jc w:val="center"/>
              <w:textAlignment w:val="center"/>
              <w:rPr>
                <w:rFonts w:cs="Times New Roman"/>
                <w:b/>
                <w:sz w:val="21"/>
                <w:szCs w:val="21"/>
                <w:lang w:bidi="ar"/>
              </w:rPr>
            </w:pPr>
            <w:r>
              <w:rPr>
                <w:rFonts w:cs="Times New Roman"/>
                <w:b/>
                <w:sz w:val="21"/>
                <w:szCs w:val="21"/>
                <w:lang w:bidi="ar"/>
              </w:rPr>
              <w:t>南段庄</w:t>
            </w:r>
          </w:p>
        </w:tc>
        <w:tc>
          <w:tcPr>
            <w:tcW w:w="627" w:type="pct"/>
            <w:vAlign w:val="center"/>
          </w:tcPr>
          <w:p>
            <w:pPr>
              <w:autoSpaceDN w:val="0"/>
              <w:spacing w:line="240" w:lineRule="auto"/>
              <w:ind w:firstLine="0" w:firstLineChars="0"/>
              <w:jc w:val="center"/>
              <w:textAlignment w:val="center"/>
              <w:rPr>
                <w:rFonts w:cs="Times New Roman"/>
                <w:b/>
                <w:sz w:val="21"/>
                <w:szCs w:val="21"/>
                <w:lang w:bidi="ar"/>
              </w:rPr>
            </w:pPr>
            <w:r>
              <w:rPr>
                <w:rFonts w:cs="Times New Roman"/>
                <w:b/>
                <w:sz w:val="21"/>
                <w:szCs w:val="21"/>
                <w:lang w:bidi="ar"/>
              </w:rPr>
              <w:t>滂汪村</w:t>
            </w:r>
          </w:p>
        </w:tc>
        <w:tc>
          <w:tcPr>
            <w:tcW w:w="605" w:type="pct"/>
            <w:vAlign w:val="center"/>
          </w:tcPr>
          <w:p>
            <w:pPr>
              <w:autoSpaceDN w:val="0"/>
              <w:spacing w:line="240" w:lineRule="auto"/>
              <w:ind w:firstLine="0" w:firstLineChars="0"/>
              <w:jc w:val="center"/>
              <w:textAlignment w:val="center"/>
              <w:rPr>
                <w:rFonts w:cs="Times New Roman"/>
                <w:b/>
                <w:sz w:val="21"/>
                <w:szCs w:val="21"/>
                <w:lang w:bidi="ar"/>
              </w:rPr>
            </w:pPr>
            <w:r>
              <w:rPr>
                <w:rFonts w:cs="Times New Roman"/>
                <w:b/>
                <w:sz w:val="21"/>
                <w:szCs w:val="21"/>
                <w:lang w:bidi="ar"/>
              </w:rPr>
              <w:t>开发区未利用地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w:t>
            </w:r>
          </w:p>
        </w:tc>
        <w:tc>
          <w:tcPr>
            <w:tcW w:w="1208"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pH</w:t>
            </w:r>
          </w:p>
        </w:tc>
        <w:tc>
          <w:tcPr>
            <w:tcW w:w="785"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w:t>
            </w:r>
          </w:p>
        </w:tc>
        <w:tc>
          <w:tcPr>
            <w:tcW w:w="706"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w:t>
            </w:r>
          </w:p>
        </w:tc>
        <w:tc>
          <w:tcPr>
            <w:tcW w:w="628"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w:t>
            </w:r>
          </w:p>
        </w:tc>
        <w:tc>
          <w:tcPr>
            <w:tcW w:w="627"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w:t>
            </w:r>
          </w:p>
        </w:tc>
        <w:tc>
          <w:tcPr>
            <w:tcW w:w="605"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6</w:t>
            </w:r>
            <w:r>
              <w:rPr>
                <w:rFonts w:cs="Times New Roman"/>
                <w:kern w:val="0"/>
                <w:sz w:val="21"/>
                <w:szCs w:val="21"/>
                <w:lang w:bidi="ar"/>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spacing w:line="240" w:lineRule="auto"/>
              <w:ind w:firstLine="0" w:firstLineChars="0"/>
              <w:jc w:val="center"/>
              <w:rPr>
                <w:rFonts w:cs="Times New Roman"/>
                <w:kern w:val="0"/>
                <w:sz w:val="21"/>
                <w:szCs w:val="21"/>
                <w:lang w:bidi="ar"/>
              </w:rPr>
            </w:pPr>
            <w:r>
              <w:rPr>
                <w:rFonts w:cs="Times New Roman"/>
                <w:bCs/>
                <w:sz w:val="21"/>
                <w:szCs w:val="21"/>
                <w:lang w:bidi="ar"/>
              </w:rPr>
              <w:t>2</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铜</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15</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15</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23</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24</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3</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镍</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27</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27</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25</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39</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4</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铅</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5.2</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4.6</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4.2</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6.1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5</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镉</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0.64</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0.62</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0.55</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0.85</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rPr>
            </w:pPr>
            <w:r>
              <w:rPr>
                <w:rFonts w:cs="Times New Roman"/>
                <w:bCs/>
                <w:sz w:val="21"/>
                <w:szCs w:val="21"/>
                <w:lang w:bidi="ar"/>
              </w:rPr>
              <w:t>6</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砷</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7.34</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8.17</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10.7</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4.2</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5.39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7</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汞</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0.071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0.126</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0.113</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0.204</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8</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六价铬</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9</w:t>
            </w:r>
          </w:p>
        </w:tc>
        <w:tc>
          <w:tcPr>
            <w:tcW w:w="1208"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总铬</w:t>
            </w:r>
          </w:p>
        </w:tc>
        <w:tc>
          <w:tcPr>
            <w:tcW w:w="785"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w:t>
            </w:r>
          </w:p>
        </w:tc>
        <w:tc>
          <w:tcPr>
            <w:tcW w:w="706"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w:t>
            </w:r>
          </w:p>
        </w:tc>
        <w:tc>
          <w:tcPr>
            <w:tcW w:w="628"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w:t>
            </w:r>
          </w:p>
        </w:tc>
        <w:tc>
          <w:tcPr>
            <w:tcW w:w="627"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w:t>
            </w:r>
          </w:p>
        </w:tc>
        <w:tc>
          <w:tcPr>
            <w:tcW w:w="605" w:type="pct"/>
            <w:vAlign w:val="center"/>
          </w:tcPr>
          <w:p>
            <w:pPr>
              <w:spacing w:line="240" w:lineRule="auto"/>
              <w:ind w:firstLine="0" w:firstLineChars="0"/>
              <w:jc w:val="center"/>
              <w:rPr>
                <w:rFonts w:cs="Times New Roman"/>
                <w:kern w:val="0"/>
                <w:sz w:val="21"/>
                <w:szCs w:val="21"/>
                <w:lang w:bidi="ar"/>
              </w:rPr>
            </w:pPr>
            <w:r>
              <w:rPr>
                <w:rFonts w:hint="eastAsia" w:cs="Times New Roman"/>
                <w:kern w:val="0"/>
                <w:sz w:val="21"/>
                <w:szCs w:val="21"/>
                <w:lang w:bidi="ar"/>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10</w:t>
            </w:r>
          </w:p>
        </w:tc>
        <w:tc>
          <w:tcPr>
            <w:tcW w:w="1208" w:type="pct"/>
            <w:vAlign w:val="center"/>
          </w:tcPr>
          <w:p>
            <w:pPr>
              <w:spacing w:after="120" w:line="240" w:lineRule="auto"/>
              <w:ind w:firstLine="0" w:firstLineChars="0"/>
              <w:jc w:val="center"/>
              <w:rPr>
                <w:rFonts w:cs="Times New Roman"/>
                <w:kern w:val="0"/>
                <w:sz w:val="21"/>
                <w:szCs w:val="21"/>
                <w:lang w:bidi="ar"/>
              </w:rPr>
            </w:pPr>
            <w:r>
              <w:rPr>
                <w:rFonts w:cs="Times New Roman"/>
                <w:kern w:val="0"/>
                <w:sz w:val="21"/>
                <w:szCs w:val="21"/>
                <w:lang w:bidi="ar"/>
              </w:rPr>
              <w:t>1,1,2-三氯乙烷（μg/kg)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&lt;1.4</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&lt;1.4</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&lt;1.4</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&lt;1.4</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11</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氯乙烯（μg/kg)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&lt;1.5</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&lt;1.5</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&lt;1.5</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&lt;1.5</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12</w:t>
            </w:r>
          </w:p>
        </w:tc>
        <w:tc>
          <w:tcPr>
            <w:tcW w:w="1208" w:type="pct"/>
            <w:vAlign w:val="center"/>
          </w:tcPr>
          <w:p>
            <w:pPr>
              <w:spacing w:after="120" w:line="240" w:lineRule="auto"/>
              <w:ind w:firstLine="0" w:firstLineChars="0"/>
              <w:jc w:val="center"/>
              <w:rPr>
                <w:rFonts w:cs="Times New Roman"/>
                <w:kern w:val="0"/>
                <w:sz w:val="21"/>
                <w:szCs w:val="21"/>
                <w:lang w:bidi="ar"/>
              </w:rPr>
            </w:pPr>
            <w:r>
              <w:rPr>
                <w:rFonts w:cs="Times New Roman"/>
                <w:kern w:val="0"/>
                <w:sz w:val="21"/>
                <w:szCs w:val="21"/>
                <w:lang w:bidi="ar"/>
              </w:rPr>
              <w:t>1,1-二氯乙烯（μg/kg)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&lt;0.8</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&lt;0.8</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&lt;0.8</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&lt;0.8</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13</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二氯甲烷</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&lt;2.6</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&lt;2.6</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&lt;2.6</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&lt;2.6</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14</w:t>
            </w:r>
          </w:p>
        </w:tc>
        <w:tc>
          <w:tcPr>
            <w:tcW w:w="1208" w:type="pct"/>
            <w:vAlign w:val="center"/>
          </w:tcPr>
          <w:p>
            <w:pPr>
              <w:spacing w:after="120" w:line="240" w:lineRule="auto"/>
              <w:ind w:firstLine="0" w:firstLineChars="0"/>
              <w:jc w:val="center"/>
              <w:rPr>
                <w:rFonts w:cs="Times New Roman"/>
                <w:kern w:val="0"/>
                <w:sz w:val="21"/>
                <w:szCs w:val="21"/>
                <w:lang w:bidi="ar"/>
              </w:rPr>
            </w:pPr>
            <w:r>
              <w:rPr>
                <w:rFonts w:cs="Times New Roman"/>
                <w:kern w:val="0"/>
                <w:sz w:val="21"/>
                <w:szCs w:val="21"/>
                <w:lang w:bidi="ar"/>
              </w:rPr>
              <w:t>反-1,2-二氯乙烯（μg/kg)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15</w:t>
            </w:r>
          </w:p>
        </w:tc>
        <w:tc>
          <w:tcPr>
            <w:tcW w:w="1208" w:type="pct"/>
            <w:vAlign w:val="center"/>
          </w:tcPr>
          <w:p>
            <w:pPr>
              <w:spacing w:after="120" w:line="240" w:lineRule="auto"/>
              <w:ind w:firstLine="0" w:firstLineChars="0"/>
              <w:jc w:val="center"/>
              <w:rPr>
                <w:rFonts w:cs="Times New Roman"/>
                <w:kern w:val="0"/>
                <w:sz w:val="21"/>
                <w:szCs w:val="21"/>
                <w:lang w:bidi="ar"/>
              </w:rPr>
            </w:pPr>
            <w:r>
              <w:rPr>
                <w:rFonts w:cs="Times New Roman"/>
                <w:kern w:val="0"/>
                <w:sz w:val="21"/>
                <w:szCs w:val="21"/>
                <w:lang w:bidi="ar"/>
              </w:rPr>
              <w:t>1,1-二氯乙烷（μg/kg)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16</w:t>
            </w:r>
          </w:p>
        </w:tc>
        <w:tc>
          <w:tcPr>
            <w:tcW w:w="1208" w:type="pct"/>
            <w:vAlign w:val="center"/>
          </w:tcPr>
          <w:p>
            <w:pPr>
              <w:spacing w:after="120" w:line="240" w:lineRule="auto"/>
              <w:ind w:firstLine="0" w:firstLineChars="0"/>
              <w:jc w:val="center"/>
              <w:rPr>
                <w:rFonts w:cs="Times New Roman"/>
                <w:kern w:val="0"/>
                <w:sz w:val="21"/>
                <w:szCs w:val="21"/>
                <w:lang w:bidi="ar"/>
              </w:rPr>
            </w:pPr>
            <w:r>
              <w:rPr>
                <w:rFonts w:cs="Times New Roman"/>
                <w:kern w:val="0"/>
                <w:sz w:val="21"/>
                <w:szCs w:val="21"/>
                <w:lang w:bidi="ar"/>
              </w:rPr>
              <w:t>顺-1,2-二氯乙烯（μg/kg)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17</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氯仿（μg/kg)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&lt;1.5</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&lt;1.5</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&lt;1.5</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&lt;1.5</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18</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1,1,1-三氯乙烷（μg/kg)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19</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四氯化碳（μg/kg)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20</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1,2-二氯乙烷（μg/kg)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&lt;1.3</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&lt;1.3</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&lt;1.3</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&lt;1.3</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21</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三氯乙烯（μg/kg)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&lt;0.9</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22</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1,2-二氯丙烷（μg/kg)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&lt;1.9</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&lt;1.9</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&lt;1.9</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&lt;1.9</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23</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四氯乙烯（μg/kg)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&lt;0.8</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&lt;0.8</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&lt;0.8</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&lt;0.8</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24</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1,1,1,2-四氯乙烷（μg/kg)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25</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1,1,2,2-四氯乙烷（μg/kg)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26</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1,2,3-三氯丙烷（μg/kg)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27</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氯甲烷（μg/kg)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&lt;3</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&lt;3</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&lt;3</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&lt;3</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28</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29</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甲苯（μg/kg)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&lt;2.0</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&lt;2.0</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&lt;2.0</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&lt;2.0</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30</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氯苯（μg/kg)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31</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乙苯（μg/kg)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&lt;1.2</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&lt;1.2</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&lt;1.2</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&lt;1.2</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32</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间，对-二甲苯（μg/kg)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&lt;3.6</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&lt;3.6</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&lt;3.6</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&lt;3.6</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33</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邻-二甲苯（μg/kg)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&lt;1.3</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&lt;1.3</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&lt;1.3</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&lt;1.3</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34</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苯乙烯（μg/kg)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&lt;1.6</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35</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1,4-二氯苯（μg/kg)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&lt;1.2</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&lt;1.2</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&lt;1.2</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&lt;1.2</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36</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1,2-二氯苯（μg/kg)</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&lt;1.0</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37</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硝基苯</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&lt;0.09</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&lt;0.09</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&lt;0.09</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&lt;0.09</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38</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苯胺</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&lt;0.08</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&lt;0.08</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&lt;0.08</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&lt;0.08</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39</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2-氯苯酚</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&lt;0.06</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&lt;0.06</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&lt;0.06</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&lt;0.06</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40</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萘</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&lt;0.09</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&lt;0.09</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&lt;0.09</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&lt;0.09</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41</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苯并[a]蒽</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42</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苯并[a]芘</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43</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苯并[b]荧蒽</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&lt;0.2</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&lt;0.2</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&lt;0.2</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&lt;0.2</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44</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苯并[k]荧蒽</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cs="Times New Roman"/>
                <w:bCs/>
                <w:sz w:val="21"/>
                <w:szCs w:val="21"/>
                <w:lang w:bidi="ar"/>
              </w:rPr>
              <w:t>45</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䓛</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hint="eastAsia" w:cs="Times New Roman"/>
                <w:bCs/>
                <w:sz w:val="21"/>
                <w:szCs w:val="21"/>
                <w:lang w:bidi="ar"/>
              </w:rPr>
              <w:t>46</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二苯并[a,h]蒽</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40" w:type="pct"/>
            <w:vAlign w:val="center"/>
          </w:tcPr>
          <w:p>
            <w:pPr>
              <w:autoSpaceDN w:val="0"/>
              <w:spacing w:line="240" w:lineRule="auto"/>
              <w:ind w:firstLine="0" w:firstLineChars="0"/>
              <w:jc w:val="center"/>
              <w:textAlignment w:val="center"/>
              <w:rPr>
                <w:rFonts w:cs="Times New Roman"/>
                <w:bCs/>
                <w:sz w:val="21"/>
                <w:szCs w:val="21"/>
                <w:lang w:bidi="ar"/>
              </w:rPr>
            </w:pPr>
            <w:r>
              <w:rPr>
                <w:rFonts w:hint="eastAsia" w:cs="Times New Roman"/>
                <w:bCs/>
                <w:sz w:val="21"/>
                <w:szCs w:val="21"/>
                <w:lang w:bidi="ar"/>
              </w:rPr>
              <w:t>47</w:t>
            </w:r>
          </w:p>
        </w:tc>
        <w:tc>
          <w:tcPr>
            <w:tcW w:w="120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茚并[1,2,3-c,d]芘</w:t>
            </w:r>
          </w:p>
        </w:tc>
        <w:tc>
          <w:tcPr>
            <w:tcW w:w="78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706"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28"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&lt;0.1</w:t>
            </w:r>
          </w:p>
        </w:tc>
        <w:tc>
          <w:tcPr>
            <w:tcW w:w="627"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0.1</w:t>
            </w:r>
          </w:p>
        </w:tc>
        <w:tc>
          <w:tcPr>
            <w:tcW w:w="605" w:type="pct"/>
            <w:vAlign w:val="center"/>
          </w:tcPr>
          <w:p>
            <w:pPr>
              <w:spacing w:line="240" w:lineRule="auto"/>
              <w:ind w:firstLine="0" w:firstLineChars="0"/>
              <w:jc w:val="center"/>
              <w:rPr>
                <w:rFonts w:cs="Times New Roman"/>
                <w:kern w:val="0"/>
                <w:sz w:val="21"/>
                <w:szCs w:val="21"/>
                <w:lang w:bidi="ar"/>
              </w:rPr>
            </w:pPr>
            <w:r>
              <w:rPr>
                <w:rFonts w:cs="Times New Roman"/>
                <w:kern w:val="0"/>
                <w:sz w:val="21"/>
                <w:szCs w:val="21"/>
                <w:lang w:bidi="ar"/>
              </w:rPr>
              <w:t>/</w:t>
            </w:r>
          </w:p>
        </w:tc>
      </w:tr>
    </w:tbl>
    <w:p>
      <w:pPr>
        <w:ind w:firstLine="480"/>
        <w:rPr>
          <w:rFonts w:cs="Times New Roman"/>
        </w:rPr>
      </w:pPr>
      <w:r>
        <w:rPr>
          <w:rFonts w:cs="Times New Roman"/>
          <w:lang w:bidi="ar"/>
        </w:rPr>
        <w:t>根据表</w:t>
      </w:r>
      <w:r>
        <w:rPr>
          <w:rFonts w:hint="eastAsia" w:cs="Times New Roman"/>
          <w:lang w:val="en-US" w:eastAsia="zh-CN" w:bidi="ar"/>
        </w:rPr>
        <w:t>3</w:t>
      </w:r>
      <w:r>
        <w:rPr>
          <w:rFonts w:cs="Times New Roman"/>
          <w:lang w:bidi="ar"/>
        </w:rPr>
        <w:t>.6.2-2可知</w:t>
      </w:r>
      <w:r>
        <w:rPr>
          <w:rFonts w:hint="eastAsia" w:cs="Times New Roman"/>
          <w:lang w:bidi="ar"/>
        </w:rPr>
        <w:t>，开发区</w:t>
      </w:r>
      <w:r>
        <w:rPr>
          <w:rFonts w:cs="Times New Roman"/>
          <w:lang w:bidi="ar"/>
        </w:rPr>
        <w:t>内安徽矿机监测值均满足《土壤环境质量-建设用地土壤污染风险管控标准》（GB36600-2018）中第二类用地筛选值</w:t>
      </w:r>
      <w:r>
        <w:rPr>
          <w:rFonts w:hint="eastAsia" w:cs="Times New Roman"/>
          <w:lang w:bidi="ar"/>
        </w:rPr>
        <w:t>要求</w:t>
      </w:r>
      <w:r>
        <w:rPr>
          <w:rFonts w:cs="Times New Roman"/>
          <w:lang w:bidi="ar"/>
        </w:rPr>
        <w:t>；罗里村、南段庄、滂汪村监测点位监测值均满足《土壤环境质量-建设用地土壤污染风险管控标准》（GB36600-2018）中第一类用地筛选值</w:t>
      </w:r>
      <w:r>
        <w:rPr>
          <w:rFonts w:hint="eastAsia" w:cs="Times New Roman"/>
          <w:lang w:bidi="ar"/>
        </w:rPr>
        <w:t>要求</w:t>
      </w:r>
      <w:r>
        <w:rPr>
          <w:rFonts w:cs="Times New Roman"/>
          <w:lang w:bidi="ar"/>
        </w:rPr>
        <w:t>；开发区未利用地可满足</w:t>
      </w:r>
      <w:r>
        <w:rPr>
          <w:rFonts w:cs="Times New Roman"/>
        </w:rPr>
        <w:t>《土壤环境质量 农用地土壤污染风险管控标准（试行）》（GB15618-2018）中风险筛选值相关标准限值</w:t>
      </w:r>
      <w:r>
        <w:rPr>
          <w:rFonts w:hint="eastAsia" w:cs="Times New Roman"/>
          <w:lang w:bidi="ar"/>
        </w:rPr>
        <w:t>要求</w:t>
      </w:r>
      <w:r>
        <w:rPr>
          <w:rFonts w:cs="Times New Roman"/>
          <w:lang w:bidi="ar"/>
        </w:rPr>
        <w:t>。</w:t>
      </w:r>
    </w:p>
    <w:p>
      <w:pPr>
        <w:ind w:firstLine="0" w:firstLineChars="0"/>
        <w:jc w:val="left"/>
        <w:outlineLvl w:val="2"/>
        <w:rPr>
          <w:rFonts w:eastAsia="黑体" w:cs="Times New Roman"/>
          <w:sz w:val="28"/>
        </w:rPr>
      </w:pPr>
      <w:r>
        <w:rPr>
          <w:rFonts w:hint="eastAsia" w:eastAsia="黑体" w:cs="Times New Roman"/>
          <w:sz w:val="28"/>
          <w:lang w:val="en-US" w:eastAsia="zh-CN"/>
        </w:rPr>
        <w:t>3</w:t>
      </w:r>
      <w:r>
        <w:rPr>
          <w:rFonts w:eastAsia="黑体" w:cs="Times New Roman"/>
          <w:sz w:val="28"/>
        </w:rPr>
        <w:t>.6.3土壤环境质量变化趋势分析</w:t>
      </w:r>
    </w:p>
    <w:p>
      <w:pPr>
        <w:ind w:firstLine="480"/>
        <w:rPr>
          <w:color w:val="FF0000"/>
        </w:rPr>
      </w:pPr>
      <w:r>
        <w:rPr>
          <w:rFonts w:hint="eastAsia" w:cs="Times New Roman"/>
          <w:color w:val="FF0000"/>
          <w:lang w:bidi="ar"/>
        </w:rPr>
        <w:t>通过引用2017年《</w:t>
      </w:r>
      <w:r>
        <w:rPr>
          <w:rFonts w:hint="eastAsia"/>
          <w:color w:val="FF0000"/>
        </w:rPr>
        <w:t>安徽省矿业机电装备有限责任公司镀锌技改项目环境</w:t>
      </w:r>
      <w:r>
        <w:rPr>
          <w:color w:val="FF0000"/>
        </w:rPr>
        <w:t>影响报告书</w:t>
      </w:r>
      <w:r>
        <w:rPr>
          <w:rFonts w:hint="eastAsia" w:cs="Times New Roman"/>
          <w:color w:val="FF0000"/>
          <w:lang w:bidi="ar"/>
        </w:rPr>
        <w:t>》中</w:t>
      </w:r>
      <w:r>
        <w:rPr>
          <w:rFonts w:cs="Times New Roman"/>
          <w:color w:val="FF0000"/>
          <w:lang w:bidi="ar"/>
        </w:rPr>
        <w:t>的土壤</w:t>
      </w:r>
      <w:r>
        <w:rPr>
          <w:rFonts w:hint="eastAsia" w:cs="Times New Roman"/>
          <w:color w:val="FF0000"/>
          <w:lang w:bidi="ar"/>
        </w:rPr>
        <w:t>现状</w:t>
      </w:r>
      <w:r>
        <w:rPr>
          <w:rFonts w:cs="Times New Roman"/>
          <w:color w:val="FF0000"/>
          <w:lang w:bidi="ar"/>
        </w:rPr>
        <w:t>监测数据及</w:t>
      </w:r>
      <w:r>
        <w:rPr>
          <w:rFonts w:hint="eastAsia" w:cs="Times New Roman"/>
          <w:color w:val="FF0000"/>
          <w:lang w:bidi="ar"/>
        </w:rPr>
        <w:t>201</w:t>
      </w:r>
      <w:r>
        <w:rPr>
          <w:rFonts w:cs="Times New Roman"/>
          <w:color w:val="FF0000"/>
          <w:lang w:bidi="ar"/>
        </w:rPr>
        <w:t>8</w:t>
      </w:r>
      <w:r>
        <w:rPr>
          <w:rFonts w:hint="eastAsia" w:cs="Times New Roman"/>
          <w:color w:val="FF0000"/>
          <w:lang w:bidi="ar"/>
        </w:rPr>
        <w:t>年</w:t>
      </w:r>
      <w:r>
        <w:rPr>
          <w:rFonts w:hint="eastAsia"/>
          <w:color w:val="FF0000"/>
        </w:rPr>
        <w:t>安徽省矿业机电装备有限责任公司例行监测</w:t>
      </w:r>
      <w:r>
        <w:rPr>
          <w:color w:val="FF0000"/>
        </w:rPr>
        <w:t>数据</w:t>
      </w:r>
      <w:r>
        <w:rPr>
          <w:rFonts w:hint="eastAsia"/>
          <w:color w:val="FF0000"/>
        </w:rPr>
        <w:t>，</w:t>
      </w:r>
      <w:r>
        <w:rPr>
          <w:color w:val="FF0000"/>
        </w:rPr>
        <w:t>区域土壤</w:t>
      </w:r>
      <w:r>
        <w:rPr>
          <w:rFonts w:hint="eastAsia"/>
          <w:color w:val="FF0000"/>
        </w:rPr>
        <w:t>环境</w:t>
      </w:r>
      <w:r>
        <w:rPr>
          <w:color w:val="FF0000"/>
        </w:rPr>
        <w:t>质量变化情况见表</w:t>
      </w:r>
      <w:r>
        <w:rPr>
          <w:rFonts w:hint="eastAsia"/>
          <w:color w:val="FF0000"/>
          <w:lang w:val="en-US" w:eastAsia="zh-CN"/>
        </w:rPr>
        <w:t>3</w:t>
      </w:r>
      <w:r>
        <w:rPr>
          <w:rFonts w:hint="eastAsia"/>
          <w:color w:val="FF0000"/>
        </w:rPr>
        <w:t>.6.3</w:t>
      </w:r>
      <w:r>
        <w:rPr>
          <w:color w:val="FF0000"/>
        </w:rPr>
        <w:t>-1</w:t>
      </w:r>
      <w:r>
        <w:rPr>
          <w:rFonts w:hint="eastAsia"/>
          <w:color w:val="FF0000"/>
        </w:rPr>
        <w:t>。</w:t>
      </w:r>
    </w:p>
    <w:p>
      <w:pPr>
        <w:ind w:firstLine="480"/>
        <w:jc w:val="center"/>
        <w:rPr>
          <w:rFonts w:hint="eastAsia" w:eastAsia="黑体" w:cs="Times New Roman"/>
          <w:color w:val="FF0000"/>
          <w:lang w:bidi="ar"/>
        </w:rPr>
      </w:pPr>
      <w:r>
        <w:rPr>
          <w:rFonts w:hint="eastAsia" w:eastAsia="黑体" w:cs="Times New Roman"/>
          <w:color w:val="FF0000"/>
          <w:lang w:bidi="ar"/>
        </w:rPr>
        <w:t>表</w:t>
      </w:r>
      <w:r>
        <w:rPr>
          <w:rFonts w:hint="eastAsia" w:eastAsia="黑体" w:cs="Times New Roman"/>
          <w:color w:val="FF0000"/>
          <w:lang w:val="en-US" w:eastAsia="zh-CN" w:bidi="ar"/>
        </w:rPr>
        <w:t>3</w:t>
      </w:r>
      <w:r>
        <w:rPr>
          <w:rFonts w:hint="eastAsia" w:eastAsia="黑体" w:cs="Times New Roman"/>
          <w:color w:val="FF0000"/>
          <w:lang w:bidi="ar"/>
        </w:rPr>
        <w:t>.6.3</w:t>
      </w:r>
      <w:r>
        <w:rPr>
          <w:rFonts w:eastAsia="黑体" w:cs="Times New Roman"/>
          <w:color w:val="FF0000"/>
          <w:lang w:bidi="ar"/>
        </w:rPr>
        <w:t xml:space="preserve">-1  </w:t>
      </w:r>
      <w:r>
        <w:rPr>
          <w:rFonts w:hint="eastAsia" w:eastAsia="黑体" w:cs="Times New Roman"/>
          <w:color w:val="FF0000"/>
          <w:lang w:bidi="ar"/>
        </w:rPr>
        <w:t>区域</w:t>
      </w:r>
      <w:r>
        <w:rPr>
          <w:rFonts w:eastAsia="黑体" w:cs="Times New Roman"/>
          <w:color w:val="FF0000"/>
          <w:lang w:bidi="ar"/>
        </w:rPr>
        <w:t>土壤</w:t>
      </w:r>
      <w:r>
        <w:rPr>
          <w:rFonts w:hint="eastAsia" w:eastAsia="黑体" w:cs="Times New Roman"/>
          <w:color w:val="FF0000"/>
          <w:lang w:bidi="ar"/>
        </w:rPr>
        <w:t>环境</w:t>
      </w:r>
      <w:r>
        <w:rPr>
          <w:rFonts w:eastAsia="黑体" w:cs="Times New Roman"/>
          <w:color w:val="FF0000"/>
          <w:lang w:bidi="ar"/>
        </w:rPr>
        <w:t>质量</w:t>
      </w:r>
      <w:r>
        <w:rPr>
          <w:rFonts w:hint="eastAsia" w:eastAsia="黑体" w:cs="Times New Roman"/>
          <w:color w:val="FF0000"/>
          <w:lang w:bidi="ar"/>
        </w:rPr>
        <w:t>变化</w:t>
      </w:r>
      <w:r>
        <w:rPr>
          <w:rFonts w:eastAsia="黑体" w:cs="Times New Roman"/>
          <w:color w:val="FF0000"/>
          <w:lang w:bidi="ar"/>
        </w:rPr>
        <w:t>情况一览表</w:t>
      </w:r>
      <w:r>
        <w:rPr>
          <w:rFonts w:hint="eastAsia" w:eastAsia="黑体" w:cs="Times New Roman"/>
          <w:color w:val="FF0000"/>
          <w:lang w:bidi="ar"/>
        </w:rPr>
        <w:t xml:space="preserve"> 单位</w:t>
      </w:r>
      <w:r>
        <w:rPr>
          <w:rFonts w:eastAsia="黑体" w:cs="Times New Roman"/>
          <w:color w:val="FF0000"/>
          <w:lang w:bidi="ar"/>
        </w:rPr>
        <w:t>：mg/kg</w:t>
      </w:r>
      <w:r>
        <w:rPr>
          <w:rFonts w:hint="eastAsia" w:eastAsia="黑体" w:cs="Times New Roman"/>
          <w:color w:val="FF0000"/>
          <w:lang w:bidi="ar"/>
        </w:rPr>
        <w:t>，pH无量纲</w:t>
      </w:r>
    </w:p>
    <w:tbl>
      <w:tblPr>
        <w:tblStyle w:val="1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132"/>
        <w:gridCol w:w="1459"/>
        <w:gridCol w:w="1480"/>
        <w:gridCol w:w="1346"/>
        <w:gridCol w:w="1346"/>
        <w:gridCol w:w="9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序号</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监测因子</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2010年</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2017年</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2018年</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2020年</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hint="eastAsia" w:ascii="Calibri" w:hAnsi="Calibri" w:cs="Times New Roman"/>
                <w:color w:val="FF0000"/>
                <w:kern w:val="24"/>
                <w:sz w:val="21"/>
                <w:szCs w:val="18"/>
              </w:rPr>
              <w:t>变化</w:t>
            </w:r>
            <w:r>
              <w:rPr>
                <w:rFonts w:ascii="Calibri" w:hAnsi="Calibri" w:cs="Times New Roman"/>
                <w:color w:val="FF0000"/>
                <w:kern w:val="24"/>
                <w:sz w:val="21"/>
                <w:szCs w:val="18"/>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1</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pH</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8.45~8.57</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7.07~7.12</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hint="eastAsia" w:ascii="Calibri" w:hAnsi="Calibri" w:cs="Times New Roman"/>
                <w:color w:val="FF0000"/>
                <w:kern w:val="24"/>
                <w:sz w:val="21"/>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2</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sz w:val="21"/>
                <w:szCs w:val="21"/>
                <w:lang w:bidi="ar"/>
              </w:rPr>
              <w:t>铬</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70.1</w:t>
            </w:r>
            <w:r>
              <w:rPr>
                <w:rFonts w:ascii="Times New Roman" w:hAnsi="Times New Roman" w:cs="Times New Roman"/>
                <w:color w:val="FF0000"/>
                <w:kern w:val="24"/>
                <w:sz w:val="21"/>
                <w:szCs w:val="18"/>
              </w:rPr>
              <w:t>~70.7</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30.7~33.2</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4.2~6.1</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hint="eastAsia" w:ascii="Calibri" w:hAnsi="Calibri" w:cs="Times New Roman"/>
                <w:color w:val="FF0000"/>
                <w:kern w:val="24"/>
                <w:sz w:val="21"/>
                <w:szCs w:val="18"/>
              </w:rPr>
              <w:t>整体降低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3</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sz w:val="21"/>
                <w:szCs w:val="21"/>
                <w:lang w:bidi="ar"/>
              </w:rPr>
              <w:t>汞</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0.016</w:t>
            </w:r>
            <w:r>
              <w:rPr>
                <w:rFonts w:ascii="Times New Roman" w:hAnsi="Times New Roman" w:cs="Times New Roman"/>
                <w:color w:val="FF0000"/>
                <w:kern w:val="24"/>
                <w:sz w:val="21"/>
                <w:szCs w:val="18"/>
              </w:rPr>
              <w:t>~0.018</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0.029~0.043</w:t>
            </w:r>
          </w:p>
        </w:tc>
        <w:tc>
          <w:tcPr>
            <w:tcW w:w="1385" w:type="dxa"/>
            <w:vAlign w:val="center"/>
          </w:tcPr>
          <w:p>
            <w:pPr>
              <w:adjustRightInd/>
              <w:snapToGrid/>
              <w:spacing w:line="240" w:lineRule="auto"/>
              <w:ind w:firstLine="0" w:firstLineChars="0"/>
              <w:jc w:val="center"/>
              <w:rPr>
                <w:rFonts w:hint="eastAsia"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0.187</w:t>
            </w:r>
            <w:r>
              <w:rPr>
                <w:rFonts w:ascii="Times New Roman" w:hAnsi="Times New Roman" w:cs="Times New Roman"/>
                <w:color w:val="FF0000"/>
                <w:kern w:val="24"/>
                <w:sz w:val="21"/>
                <w:szCs w:val="18"/>
              </w:rPr>
              <w:t>~1.24</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0.07~0.204</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hint="eastAsia" w:ascii="Calibri" w:hAnsi="Calibri" w:cs="Times New Roman"/>
                <w:color w:val="FF0000"/>
                <w:kern w:val="24"/>
                <w:sz w:val="21"/>
                <w:szCs w:val="18"/>
              </w:rPr>
              <w:t>无规律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4</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sz w:val="21"/>
                <w:szCs w:val="21"/>
                <w:lang w:bidi="ar"/>
              </w:rPr>
              <w:t>砷</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8.612</w:t>
            </w:r>
            <w:r>
              <w:rPr>
                <w:rFonts w:ascii="Times New Roman" w:hAnsi="Times New Roman" w:cs="Times New Roman"/>
                <w:color w:val="FF0000"/>
                <w:kern w:val="24"/>
                <w:sz w:val="21"/>
                <w:szCs w:val="18"/>
              </w:rPr>
              <w:t>~9.646</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9.60~17.6</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7.29</w:t>
            </w:r>
            <w:r>
              <w:rPr>
                <w:rFonts w:ascii="Times New Roman" w:hAnsi="Times New Roman" w:cs="Times New Roman"/>
                <w:color w:val="FF0000"/>
                <w:kern w:val="24"/>
                <w:sz w:val="21"/>
                <w:szCs w:val="18"/>
              </w:rPr>
              <w:t>~10.9</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4.2~10.7</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hint="eastAsia" w:ascii="Calibri" w:hAnsi="Calibri" w:cs="Times New Roman"/>
                <w:color w:val="FF0000"/>
                <w:kern w:val="24"/>
                <w:sz w:val="21"/>
                <w:szCs w:val="18"/>
              </w:rPr>
              <w:t>无规律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5</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sz w:val="21"/>
                <w:szCs w:val="21"/>
                <w:lang w:bidi="ar"/>
              </w:rPr>
              <w:t>铅</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30.1</w:t>
            </w:r>
            <w:r>
              <w:rPr>
                <w:rFonts w:ascii="Times New Roman" w:hAnsi="Times New Roman" w:cs="Times New Roman"/>
                <w:color w:val="FF0000"/>
                <w:kern w:val="24"/>
                <w:sz w:val="21"/>
                <w:szCs w:val="18"/>
              </w:rPr>
              <w:t>~31.5</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20.2~23.0</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2.2</w:t>
            </w:r>
            <w:r>
              <w:rPr>
                <w:rFonts w:ascii="Times New Roman" w:hAnsi="Times New Roman" w:cs="Times New Roman"/>
                <w:color w:val="FF0000"/>
                <w:kern w:val="24"/>
                <w:sz w:val="21"/>
                <w:szCs w:val="18"/>
              </w:rPr>
              <w:t>~13.0</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4.2~6.1</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hint="eastAsia" w:ascii="Calibri" w:hAnsi="Calibri" w:cs="Times New Roman"/>
                <w:color w:val="FF0000"/>
                <w:kern w:val="24"/>
                <w:sz w:val="21"/>
                <w:szCs w:val="18"/>
              </w:rPr>
              <w:t>整体</w:t>
            </w:r>
            <w:r>
              <w:rPr>
                <w:rFonts w:ascii="Calibri" w:hAnsi="Calibri" w:cs="Times New Roman"/>
                <w:color w:val="FF0000"/>
                <w:kern w:val="24"/>
                <w:sz w:val="21"/>
                <w:szCs w:val="18"/>
              </w:rPr>
              <w:t>降低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6</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sz w:val="21"/>
                <w:szCs w:val="21"/>
                <w:lang w:bidi="ar"/>
              </w:rPr>
              <w:t>镉</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0.107</w:t>
            </w:r>
            <w:r>
              <w:rPr>
                <w:rFonts w:ascii="Times New Roman" w:hAnsi="Times New Roman" w:cs="Times New Roman"/>
                <w:color w:val="FF0000"/>
                <w:kern w:val="24"/>
                <w:sz w:val="21"/>
                <w:szCs w:val="18"/>
              </w:rPr>
              <w:t>~0.112</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0.127~0.168</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0.02</w:t>
            </w:r>
            <w:r>
              <w:rPr>
                <w:rFonts w:ascii="Times New Roman" w:hAnsi="Times New Roman" w:cs="Times New Roman"/>
                <w:color w:val="FF0000"/>
                <w:kern w:val="24"/>
                <w:sz w:val="21"/>
                <w:szCs w:val="18"/>
              </w:rPr>
              <w:t>~0.09</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0.17~0.85</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hint="eastAsia" w:ascii="Calibri" w:hAnsi="Calibri" w:cs="Times New Roman"/>
                <w:color w:val="FF0000"/>
                <w:kern w:val="24"/>
                <w:sz w:val="21"/>
                <w:szCs w:val="18"/>
              </w:rPr>
              <w:t>无规律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7</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0"/>
                <w:sz w:val="21"/>
                <w:szCs w:val="21"/>
                <w:lang w:bidi="ar"/>
              </w:rPr>
              <w:t>六价铬</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ND</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ND</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hint="eastAsia" w:ascii="Calibri" w:hAnsi="Calibri" w:cs="Times New Roman"/>
                <w:color w:val="FF0000"/>
                <w:kern w:val="24"/>
                <w:sz w:val="21"/>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2"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ascii="Times New Roman" w:hAnsi="Times New Roman" w:cs="Times New Roman"/>
                <w:color w:val="FF0000"/>
                <w:kern w:val="24"/>
                <w:sz w:val="21"/>
                <w:szCs w:val="18"/>
              </w:rPr>
              <w:t>8</w:t>
            </w:r>
          </w:p>
        </w:tc>
        <w:tc>
          <w:tcPr>
            <w:tcW w:w="1278" w:type="dxa"/>
            <w:vAlign w:val="center"/>
          </w:tcPr>
          <w:p>
            <w:pPr>
              <w:adjustRightInd/>
              <w:snapToGrid/>
              <w:spacing w:line="240" w:lineRule="auto"/>
              <w:ind w:firstLine="0" w:firstLineChars="0"/>
              <w:jc w:val="center"/>
              <w:rPr>
                <w:rFonts w:ascii="Times New Roman" w:hAnsi="Times New Roman" w:cs="Times New Roman"/>
                <w:color w:val="FF0000"/>
                <w:kern w:val="0"/>
                <w:sz w:val="21"/>
                <w:szCs w:val="21"/>
                <w:lang w:bidi="ar"/>
              </w:rPr>
            </w:pPr>
            <w:r>
              <w:rPr>
                <w:rFonts w:ascii="Times New Roman" w:hAnsi="Times New Roman" w:cs="Times New Roman"/>
                <w:color w:val="FF0000"/>
                <w:kern w:val="0"/>
                <w:sz w:val="21"/>
                <w:szCs w:val="21"/>
                <w:lang w:bidi="ar"/>
              </w:rPr>
              <w:t>铜</w:t>
            </w:r>
          </w:p>
        </w:tc>
        <w:tc>
          <w:tcPr>
            <w:tcW w:w="1500"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w:t>
            </w:r>
          </w:p>
        </w:tc>
        <w:tc>
          <w:tcPr>
            <w:tcW w:w="1526"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17.7</w:t>
            </w:r>
            <w:r>
              <w:rPr>
                <w:rFonts w:ascii="Times New Roman" w:hAnsi="Times New Roman" w:cs="Times New Roman"/>
                <w:color w:val="FF0000"/>
                <w:kern w:val="24"/>
                <w:sz w:val="21"/>
                <w:szCs w:val="18"/>
              </w:rPr>
              <w:t>~28.3</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17.1</w:t>
            </w:r>
            <w:r>
              <w:rPr>
                <w:rFonts w:ascii="Times New Roman" w:hAnsi="Times New Roman" w:cs="Times New Roman"/>
                <w:color w:val="FF0000"/>
                <w:kern w:val="24"/>
                <w:sz w:val="21"/>
                <w:szCs w:val="18"/>
              </w:rPr>
              <w:t>~32.7</w:t>
            </w:r>
          </w:p>
        </w:tc>
        <w:tc>
          <w:tcPr>
            <w:tcW w:w="1385" w:type="dxa"/>
            <w:vAlign w:val="center"/>
          </w:tcPr>
          <w:p>
            <w:pPr>
              <w:adjustRightInd/>
              <w:snapToGrid/>
              <w:spacing w:line="240" w:lineRule="auto"/>
              <w:ind w:firstLine="0" w:firstLineChars="0"/>
              <w:jc w:val="center"/>
              <w:rPr>
                <w:rFonts w:ascii="Times New Roman" w:hAnsi="Times New Roman" w:cs="Times New Roman"/>
                <w:color w:val="FF0000"/>
                <w:kern w:val="24"/>
                <w:sz w:val="21"/>
                <w:szCs w:val="18"/>
              </w:rPr>
            </w:pPr>
            <w:r>
              <w:rPr>
                <w:rFonts w:hint="eastAsia" w:ascii="Times New Roman" w:hAnsi="Times New Roman" w:cs="Times New Roman"/>
                <w:color w:val="FF0000"/>
                <w:kern w:val="24"/>
                <w:sz w:val="21"/>
                <w:szCs w:val="18"/>
              </w:rPr>
              <w:t>15~24</w:t>
            </w:r>
          </w:p>
        </w:tc>
        <w:tc>
          <w:tcPr>
            <w:tcW w:w="1071" w:type="dxa"/>
          </w:tcPr>
          <w:p>
            <w:pPr>
              <w:adjustRightInd/>
              <w:snapToGrid/>
              <w:spacing w:line="240" w:lineRule="auto"/>
              <w:ind w:firstLine="0" w:firstLineChars="0"/>
              <w:jc w:val="center"/>
              <w:rPr>
                <w:rFonts w:hint="eastAsia" w:ascii="Calibri" w:hAnsi="Calibri" w:cs="Times New Roman"/>
                <w:color w:val="FF0000"/>
                <w:kern w:val="24"/>
                <w:sz w:val="21"/>
                <w:szCs w:val="18"/>
              </w:rPr>
            </w:pPr>
            <w:r>
              <w:rPr>
                <w:rFonts w:ascii="Calibri" w:hAnsi="Calibri" w:cs="Times New Roman"/>
                <w:color w:val="FF0000"/>
                <w:kern w:val="24"/>
                <w:sz w:val="21"/>
                <w:szCs w:val="18"/>
              </w:rPr>
              <w:t>无规律</w:t>
            </w:r>
          </w:p>
        </w:tc>
      </w:tr>
    </w:tbl>
    <w:p>
      <w:pPr>
        <w:ind w:firstLine="480"/>
        <w:rPr>
          <w:rFonts w:cs="Times New Roman"/>
          <w:lang w:bidi="ar"/>
        </w:rPr>
      </w:pPr>
      <w:r>
        <w:rPr>
          <w:rFonts w:hint="eastAsia" w:cs="Times New Roman"/>
          <w:color w:val="FF0000"/>
          <w:lang w:bidi="ar"/>
        </w:rPr>
        <w:t>通过</w:t>
      </w:r>
      <w:r>
        <w:rPr>
          <w:rFonts w:cs="Times New Roman"/>
          <w:color w:val="FF0000"/>
          <w:lang w:bidi="ar"/>
        </w:rPr>
        <w:t>对区域土壤环境质量的</w:t>
      </w:r>
      <w:r>
        <w:rPr>
          <w:rFonts w:hint="eastAsia" w:cs="Times New Roman"/>
          <w:color w:val="FF0000"/>
          <w:lang w:bidi="ar"/>
        </w:rPr>
        <w:t>对比数据</w:t>
      </w:r>
      <w:r>
        <w:rPr>
          <w:rFonts w:cs="Times New Roman"/>
          <w:color w:val="FF0000"/>
          <w:lang w:bidi="ar"/>
        </w:rPr>
        <w:t>可知，</w:t>
      </w:r>
      <w:r>
        <w:rPr>
          <w:rFonts w:hint="eastAsia" w:cs="Times New Roman"/>
          <w:color w:val="FF0000"/>
          <w:lang w:bidi="ar"/>
        </w:rPr>
        <w:t>除</w:t>
      </w:r>
      <w:r>
        <w:rPr>
          <w:rFonts w:cs="Times New Roman"/>
          <w:color w:val="FF0000"/>
          <w:lang w:bidi="ar"/>
        </w:rPr>
        <w:t>铬及铅整体</w:t>
      </w:r>
      <w:r>
        <w:rPr>
          <w:rFonts w:hint="eastAsia" w:cs="Times New Roman"/>
          <w:color w:val="FF0000"/>
          <w:lang w:bidi="ar"/>
        </w:rPr>
        <w:t>呈</w:t>
      </w:r>
      <w:r>
        <w:rPr>
          <w:rFonts w:cs="Times New Roman"/>
          <w:color w:val="FF0000"/>
          <w:lang w:bidi="ar"/>
        </w:rPr>
        <w:t>降低趋势外，汞、砷</w:t>
      </w:r>
      <w:r>
        <w:rPr>
          <w:rFonts w:hint="eastAsia" w:cs="Times New Roman"/>
          <w:color w:val="FF0000"/>
          <w:lang w:bidi="ar"/>
        </w:rPr>
        <w:t>、</w:t>
      </w:r>
      <w:r>
        <w:rPr>
          <w:rFonts w:cs="Times New Roman"/>
          <w:color w:val="FF0000"/>
          <w:lang w:bidi="ar"/>
        </w:rPr>
        <w:t>铜及镉变化规律不明显，</w:t>
      </w:r>
      <w:r>
        <w:rPr>
          <w:rFonts w:hint="eastAsia" w:cs="Times New Roman"/>
          <w:color w:val="FF0000"/>
          <w:lang w:bidi="ar"/>
        </w:rPr>
        <w:t>整体均可</w:t>
      </w:r>
      <w:r>
        <w:rPr>
          <w:rFonts w:cs="Times New Roman"/>
          <w:color w:val="FF0000"/>
          <w:lang w:bidi="ar"/>
        </w:rPr>
        <w:t>满足《土壤环境质量 建设地土壤污染风险管控标准（试行）》（GB 36600-2018）中第一类和第二类用地筛选值</w:t>
      </w:r>
      <w:r>
        <w:rPr>
          <w:rFonts w:hint="eastAsia" w:cs="Times New Roman"/>
          <w:color w:val="FF0000"/>
          <w:lang w:bidi="ar"/>
        </w:rPr>
        <w:t>及</w:t>
      </w:r>
      <w:r>
        <w:rPr>
          <w:rFonts w:cs="Times New Roman"/>
          <w:color w:val="FF0000"/>
        </w:rPr>
        <w:t>《土壤环境质量 农用地土壤污染风险管控标准（试行）》（GB15618-2018）中风险筛选值相关标准限值</w:t>
      </w:r>
      <w:r>
        <w:rPr>
          <w:rFonts w:cs="Times New Roman"/>
          <w:color w:val="FF0000"/>
          <w:lang w:bidi="ar"/>
        </w:rPr>
        <w:t>。总</w:t>
      </w:r>
      <w:r>
        <w:rPr>
          <w:rFonts w:cs="Times New Roman"/>
          <w:lang w:bidi="ar"/>
        </w:rPr>
        <w:t>体而言，开发区及周边土壤环境质量仍能维持原有的土壤环境质量。评价建议开发区继续注重对土壤环境的保护，加强对开发区土壤的跟踪管理，进一步加强土壤监控，进行动态监测，尤其重点关注开发区内的涉重企业安徽省矿业机电装备有限责任公司厂区内的重金属土壤跟踪监测，在做好车间地面防渗工作的基础上，加强企业内部管理，做好人员培训工作，发现问题，及时上报，杜绝非正常工况产生。</w:t>
      </w:r>
    </w:p>
    <w:p>
      <w:pPr>
        <w:pStyle w:val="5"/>
        <w:numPr>
          <w:ilvl w:val="2"/>
          <w:numId w:val="0"/>
        </w:numPr>
        <w:tabs>
          <w:tab w:val="clear" w:pos="1417"/>
        </w:tabs>
        <w:spacing w:before="156"/>
        <w:rPr>
          <w:rFonts w:hint="eastAsia"/>
          <w:lang w:val="en-US" w:eastAsia="zh-CN"/>
        </w:rPr>
      </w:pPr>
    </w:p>
    <w:p>
      <w:pPr>
        <w:pStyle w:val="7"/>
        <w:spacing w:line="360" w:lineRule="auto"/>
        <w:ind w:firstLine="48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3.7监测点位图</w:t>
      </w:r>
    </w:p>
    <w:p>
      <w:pPr>
        <w:pStyle w:val="7"/>
        <w:spacing w:line="360" w:lineRule="auto"/>
        <w:ind w:firstLine="48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3.7.1大气、地表水、土壤监测点位图</w:t>
      </w:r>
    </w:p>
    <w:p>
      <w:pPr>
        <w:pStyle w:val="7"/>
        <w:spacing w:line="360" w:lineRule="auto"/>
        <w:ind w:firstLine="480"/>
        <w:rPr>
          <w:rFonts w:hint="default" w:ascii="Times New Roman" w:hAnsi="Times New Roman" w:eastAsia="宋体" w:cs="Times New Roman"/>
          <w:lang w:val="en-US" w:eastAsia="zh-CN"/>
        </w:rPr>
      </w:pPr>
      <w:r>
        <w:drawing>
          <wp:inline distT="0" distB="0" distL="114300" distR="114300">
            <wp:extent cx="4961255" cy="4015740"/>
            <wp:effectExtent l="0" t="0" r="10795"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5"/>
                    <a:stretch>
                      <a:fillRect/>
                    </a:stretch>
                  </pic:blipFill>
                  <pic:spPr>
                    <a:xfrm>
                      <a:off x="0" y="0"/>
                      <a:ext cx="4961255" cy="4015740"/>
                    </a:xfrm>
                    <a:prstGeom prst="rect">
                      <a:avLst/>
                    </a:prstGeom>
                    <a:noFill/>
                    <a:ln>
                      <a:noFill/>
                    </a:ln>
                  </pic:spPr>
                </pic:pic>
              </a:graphicData>
            </a:graphic>
          </wp:inline>
        </w:drawing>
      </w:r>
    </w:p>
    <w:p>
      <w:pPr>
        <w:rPr>
          <w:rFonts w:hint="eastAsia" w:ascii="Times New Roman" w:hAnsi="Times New Roman" w:eastAsia="宋体" w:cs="Times New Roman"/>
          <w:b/>
          <w:bCs/>
          <w:kern w:val="2"/>
          <w:sz w:val="24"/>
          <w:szCs w:val="24"/>
          <w:lang w:val="en-US" w:eastAsia="zh-CN" w:bidi="ar-SA"/>
        </w:rPr>
      </w:pPr>
    </w:p>
    <w:p>
      <w:pPr>
        <w:ind w:left="0" w:leftChars="0" w:firstLine="0" w:firstLineChars="0"/>
        <w:rPr>
          <w:rFonts w:hint="eastAsia" w:ascii="Times New Roman" w:hAnsi="Times New Roman" w:eastAsia="宋体" w:cs="Times New Roman"/>
          <w:b/>
          <w:bCs/>
          <w:kern w:val="2"/>
          <w:sz w:val="24"/>
          <w:szCs w:val="24"/>
          <w:lang w:val="en-US" w:eastAsia="zh-CN" w:bidi="ar-SA"/>
        </w:rPr>
      </w:pPr>
    </w:p>
    <w:p>
      <w:pPr>
        <w:ind w:left="0" w:leftChars="0" w:firstLine="0" w:firstLineChars="0"/>
        <w:rPr>
          <w:rFonts w:hint="eastAsia" w:ascii="Times New Roman" w:hAnsi="Times New Roman" w:eastAsia="宋体" w:cs="Times New Roman"/>
          <w:b/>
          <w:bCs/>
          <w:kern w:val="2"/>
          <w:sz w:val="24"/>
          <w:szCs w:val="24"/>
          <w:lang w:val="en-US" w:eastAsia="zh-CN" w:bidi="ar-SA"/>
        </w:rPr>
      </w:pPr>
    </w:p>
    <w:p>
      <w:pPr>
        <w:ind w:left="0" w:leftChars="0" w:firstLine="0" w:firstLineChars="0"/>
        <w:rPr>
          <w:rFonts w:hint="eastAsia" w:ascii="Times New Roman" w:hAnsi="Times New Roman" w:eastAsia="宋体" w:cs="Times New Roman"/>
          <w:b/>
          <w:bCs/>
          <w:kern w:val="2"/>
          <w:sz w:val="24"/>
          <w:szCs w:val="24"/>
          <w:lang w:val="en-US" w:eastAsia="zh-CN" w:bidi="ar-SA"/>
        </w:rPr>
      </w:pPr>
    </w:p>
    <w:p>
      <w:pPr>
        <w:ind w:left="0" w:leftChars="0" w:firstLine="0" w:firstLineChars="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w:t>
      </w:r>
      <w:r>
        <w:rPr>
          <w:rFonts w:hint="eastAsia" w:eastAsia="宋体" w:cs="Times New Roman"/>
          <w:b/>
          <w:bCs/>
          <w:kern w:val="2"/>
          <w:sz w:val="24"/>
          <w:szCs w:val="24"/>
          <w:lang w:val="en-US" w:eastAsia="zh-CN" w:bidi="ar-SA"/>
        </w:rPr>
        <w:t>7</w:t>
      </w:r>
      <w:r>
        <w:rPr>
          <w:rFonts w:hint="eastAsia" w:ascii="Times New Roman" w:hAnsi="Times New Roman" w:eastAsia="宋体" w:cs="Times New Roman"/>
          <w:b/>
          <w:bCs/>
          <w:kern w:val="2"/>
          <w:sz w:val="24"/>
          <w:szCs w:val="24"/>
          <w:lang w:val="en-US" w:eastAsia="zh-CN" w:bidi="ar-SA"/>
        </w:rPr>
        <w:t xml:space="preserve">.2 </w:t>
      </w:r>
      <w:r>
        <w:rPr>
          <w:rFonts w:hint="eastAsia" w:eastAsia="宋体" w:cs="Times New Roman"/>
          <w:b/>
          <w:bCs/>
          <w:kern w:val="2"/>
          <w:sz w:val="24"/>
          <w:szCs w:val="24"/>
          <w:lang w:val="en-US" w:eastAsia="zh-CN" w:bidi="ar-SA"/>
        </w:rPr>
        <w:t>噪声</w:t>
      </w:r>
      <w:r>
        <w:rPr>
          <w:rFonts w:hint="eastAsia" w:ascii="Times New Roman" w:hAnsi="Times New Roman" w:eastAsia="宋体" w:cs="Times New Roman"/>
          <w:b/>
          <w:bCs/>
          <w:kern w:val="2"/>
          <w:sz w:val="24"/>
          <w:szCs w:val="24"/>
          <w:lang w:val="en-US" w:eastAsia="zh-CN" w:bidi="ar-SA"/>
        </w:rPr>
        <w:t>监测点位图</w:t>
      </w:r>
    </w:p>
    <w:p>
      <w:pPr>
        <w:pStyle w:val="13"/>
        <w:jc w:val="left"/>
        <w:rPr>
          <w:rFonts w:hint="eastAsia" w:ascii="Times New Roman" w:hAnsi="Times New Roman" w:eastAsia="宋体" w:cs="Times New Roman"/>
          <w:b/>
          <w:bCs/>
          <w:kern w:val="2"/>
          <w:sz w:val="24"/>
          <w:szCs w:val="24"/>
          <w:lang w:val="en-US" w:eastAsia="zh-CN" w:bidi="ar-SA"/>
        </w:rPr>
        <w:sectPr>
          <w:headerReference r:id="rId4" w:type="default"/>
          <w:footerReference r:id="rId5" w:type="default"/>
          <w:pgSz w:w="11906" w:h="16838"/>
          <w:pgMar w:top="1440" w:right="1803" w:bottom="1440" w:left="1803" w:header="851" w:footer="992" w:gutter="0"/>
          <w:pgNumType w:fmt="numberInDash"/>
          <w:cols w:space="0" w:num="1"/>
          <w:rtlGutter w:val="0"/>
          <w:docGrid w:type="lines" w:linePitch="332" w:charSpace="0"/>
        </w:sectPr>
      </w:pPr>
      <w:r>
        <w:drawing>
          <wp:inline distT="0" distB="0" distL="114300" distR="114300">
            <wp:extent cx="5266690" cy="4255135"/>
            <wp:effectExtent l="0" t="0" r="10160" b="1206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5266690" cy="4255135"/>
                    </a:xfrm>
                    <a:prstGeom prst="rect">
                      <a:avLst/>
                    </a:prstGeom>
                    <a:noFill/>
                    <a:ln>
                      <a:noFill/>
                    </a:ln>
                  </pic:spPr>
                </pic:pic>
              </a:graphicData>
            </a:graphic>
          </wp:inline>
        </w:drawing>
      </w:r>
    </w:p>
    <w:p>
      <w:pPr>
        <w:ind w:left="0" w:leftChars="0" w:firstLine="0" w:firstLineChars="0"/>
        <w:rPr>
          <w:rFonts w:hint="eastAsia" w:ascii="Times New Roman" w:hAnsi="Times New Roman" w:eastAsia="宋体" w:cs="Times New Roman"/>
          <w:b/>
          <w:kern w:val="44"/>
          <w:sz w:val="32"/>
          <w:szCs w:val="30"/>
          <w:lang w:val="en-US" w:eastAsia="zh-CN" w:bidi="ar-SA"/>
        </w:rPr>
      </w:pPr>
    </w:p>
    <w:p>
      <w:pPr>
        <w:pStyle w:val="7"/>
        <w:spacing w:line="360" w:lineRule="auto"/>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t>附件：</w:t>
      </w:r>
    </w:p>
    <w:p>
      <w:pPr>
        <w:pStyle w:val="7"/>
        <w:spacing w:line="360" w:lineRule="auto"/>
        <w:ind w:firstLine="480"/>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t>附监测报告。</w:t>
      </w:r>
    </w:p>
    <w:sectPr>
      <w:pgSz w:w="11906" w:h="16838"/>
      <w:pgMar w:top="1440" w:right="1803" w:bottom="1440" w:left="1803" w:header="851" w:footer="992" w:gutter="0"/>
      <w:pgNumType w:fmt="numberInDash"/>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dF6DCAgAA1gUAAA4AAABkcnMvZTJvRG9jLnhtbK1UzY7TMBC+I/EO&#10;lu/ZJN20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kR0XoMICAADWBQAADgAAAAAA&#10;AAABACAAAAAfAQAAZHJzL2Uyb0RvYy54bWxQSwUGAAAAAAYABgBZAQAAUwY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jRzrBAgAA1g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CGY0c6wQIAANYFAAAOAAAAAAAA&#10;AAEAIAAAAB8BAABkcnMvZTJvRG9jLnhtbFBLBQYAAAAABgAGAFkBAABSBg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19A03C"/>
    <w:multiLevelType w:val="multilevel"/>
    <w:tmpl w:val="8619A03C"/>
    <w:lvl w:ilvl="0" w:tentative="0">
      <w:start w:val="1"/>
      <w:numFmt w:val="decimal"/>
      <w:pStyle w:val="3"/>
      <w:lvlText w:val="%1"/>
      <w:lvlJc w:val="left"/>
      <w:pPr>
        <w:tabs>
          <w:tab w:val="left" w:pos="567"/>
        </w:tabs>
        <w:ind w:left="567" w:hanging="567"/>
      </w:pPr>
      <w:rPr>
        <w:rFonts w:hint="default" w:ascii="Times New Roman" w:hAnsi="Times New Roman" w:eastAsia="宋体" w:cs="Times New Roman"/>
        <w:bCs/>
        <w:szCs w:val="36"/>
      </w:rPr>
    </w:lvl>
    <w:lvl w:ilvl="1" w:tentative="0">
      <w:start w:val="1"/>
      <w:numFmt w:val="decimal"/>
      <w:pStyle w:val="4"/>
      <w:lvlText w:val="%1.%2"/>
      <w:lvlJc w:val="left"/>
      <w:pPr>
        <w:tabs>
          <w:tab w:val="left" w:pos="850"/>
        </w:tabs>
        <w:ind w:left="692" w:hanging="692"/>
      </w:pPr>
      <w:rPr>
        <w:rFonts w:hint="default" w:ascii="Times New Roman" w:hAnsi="Times New Roman" w:eastAsia="宋体" w:cs="Times New Roman"/>
        <w:bCs/>
        <w:szCs w:val="28"/>
      </w:rPr>
    </w:lvl>
    <w:lvl w:ilvl="2" w:tentative="0">
      <w:start w:val="1"/>
      <w:numFmt w:val="decimal"/>
      <w:pStyle w:val="5"/>
      <w:lvlText w:val="%1.%2.%3"/>
      <w:lvlJc w:val="left"/>
      <w:pPr>
        <w:tabs>
          <w:tab w:val="left" w:pos="1417"/>
        </w:tabs>
        <w:ind w:left="720" w:hanging="720"/>
      </w:pPr>
      <w:rPr>
        <w:rFonts w:hint="default" w:ascii="Times New Roman" w:hAnsi="Times New Roman" w:eastAsia="宋体" w:cs="Times New Roman"/>
        <w:bCs/>
        <w:szCs w:val="10"/>
      </w:rPr>
    </w:lvl>
    <w:lvl w:ilvl="3" w:tentative="0">
      <w:start w:val="1"/>
      <w:numFmt w:val="decimal"/>
      <w:pStyle w:val="6"/>
      <w:lvlText w:val="%1.%2.%3.%4"/>
      <w:lvlJc w:val="left"/>
      <w:pPr>
        <w:tabs>
          <w:tab w:val="left" w:pos="1417"/>
        </w:tabs>
        <w:ind w:left="0" w:firstLine="0"/>
      </w:pPr>
      <w:rPr>
        <w:rFonts w:hint="default" w:ascii="Times New Roman" w:hAnsi="Times New Roman" w:eastAsia="宋体" w:cs="Times New Roman"/>
        <w:bCs/>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6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F31B39"/>
    <w:rsid w:val="04196B15"/>
    <w:rsid w:val="054F15AD"/>
    <w:rsid w:val="08E26A6E"/>
    <w:rsid w:val="0EF513A0"/>
    <w:rsid w:val="0FA01D02"/>
    <w:rsid w:val="11176697"/>
    <w:rsid w:val="1431434A"/>
    <w:rsid w:val="144802C7"/>
    <w:rsid w:val="1740259D"/>
    <w:rsid w:val="1BC05FEB"/>
    <w:rsid w:val="21FD3540"/>
    <w:rsid w:val="25841332"/>
    <w:rsid w:val="27285F31"/>
    <w:rsid w:val="276F7A1C"/>
    <w:rsid w:val="28F31B39"/>
    <w:rsid w:val="2CE02EFC"/>
    <w:rsid w:val="4139077B"/>
    <w:rsid w:val="45B83A41"/>
    <w:rsid w:val="47D819EB"/>
    <w:rsid w:val="48251D62"/>
    <w:rsid w:val="49CC2198"/>
    <w:rsid w:val="4D7C5833"/>
    <w:rsid w:val="4F104691"/>
    <w:rsid w:val="50803C5C"/>
    <w:rsid w:val="50DD1C85"/>
    <w:rsid w:val="5558504D"/>
    <w:rsid w:val="5A1D08F3"/>
    <w:rsid w:val="5A9C24A6"/>
    <w:rsid w:val="5F730A63"/>
    <w:rsid w:val="633F464D"/>
    <w:rsid w:val="706414D0"/>
    <w:rsid w:val="76E93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Times New Roman" w:hAnsi="Times New Roman" w:cs="Times New Roman" w:eastAsiaTheme="minorEastAsia"/>
      <w:kern w:val="2"/>
      <w:sz w:val="24"/>
      <w:szCs w:val="24"/>
      <w:lang w:val="en-US" w:eastAsia="zh-CN" w:bidi="ar-SA"/>
    </w:rPr>
  </w:style>
  <w:style w:type="paragraph" w:styleId="3">
    <w:name w:val="heading 1"/>
    <w:basedOn w:val="1"/>
    <w:next w:val="1"/>
    <w:qFormat/>
    <w:uiPriority w:val="0"/>
    <w:pPr>
      <w:keepNext/>
      <w:keepLines/>
      <w:widowControl/>
      <w:numPr>
        <w:ilvl w:val="0"/>
        <w:numId w:val="1"/>
      </w:numPr>
      <w:tabs>
        <w:tab w:val="left" w:pos="663"/>
      </w:tabs>
      <w:spacing w:beforeLines="50" w:afterLines="50"/>
      <w:jc w:val="center"/>
      <w:outlineLvl w:val="0"/>
    </w:pPr>
    <w:rPr>
      <w:rFonts w:eastAsia="宋体"/>
      <w:b/>
      <w:kern w:val="44"/>
      <w:sz w:val="32"/>
      <w:szCs w:val="30"/>
    </w:rPr>
  </w:style>
  <w:style w:type="paragraph" w:styleId="4">
    <w:name w:val="heading 2"/>
    <w:basedOn w:val="1"/>
    <w:next w:val="1"/>
    <w:qFormat/>
    <w:uiPriority w:val="0"/>
    <w:pPr>
      <w:keepNext/>
      <w:keepLines/>
      <w:widowControl/>
      <w:numPr>
        <w:ilvl w:val="1"/>
        <w:numId w:val="1"/>
      </w:numPr>
      <w:tabs>
        <w:tab w:val="left" w:pos="692"/>
      </w:tabs>
      <w:jc w:val="left"/>
      <w:outlineLvl w:val="1"/>
    </w:pPr>
    <w:rPr>
      <w:rFonts w:eastAsia="宋体"/>
      <w:b/>
      <w:kern w:val="0"/>
      <w:sz w:val="28"/>
      <w:szCs w:val="28"/>
    </w:rPr>
  </w:style>
  <w:style w:type="paragraph" w:styleId="5">
    <w:name w:val="heading 3"/>
    <w:basedOn w:val="1"/>
    <w:next w:val="1"/>
    <w:qFormat/>
    <w:uiPriority w:val="0"/>
    <w:pPr>
      <w:keepNext/>
      <w:keepLines/>
      <w:numPr>
        <w:ilvl w:val="2"/>
        <w:numId w:val="1"/>
      </w:numPr>
      <w:tabs>
        <w:tab w:val="left" w:pos="720"/>
        <w:tab w:val="left" w:pos="1134"/>
      </w:tabs>
      <w:snapToGrid w:val="0"/>
      <w:spacing w:beforeLines="50"/>
      <w:outlineLvl w:val="2"/>
    </w:pPr>
    <w:rPr>
      <w:rFonts w:eastAsia="宋体"/>
      <w:b/>
      <w:bCs/>
    </w:rPr>
  </w:style>
  <w:style w:type="paragraph" w:styleId="6">
    <w:name w:val="heading 4"/>
    <w:basedOn w:val="1"/>
    <w:next w:val="1"/>
    <w:unhideWhenUsed/>
    <w:qFormat/>
    <w:uiPriority w:val="9"/>
    <w:pPr>
      <w:keepNext/>
      <w:keepLines/>
      <w:numPr>
        <w:ilvl w:val="3"/>
        <w:numId w:val="1"/>
      </w:numPr>
      <w:tabs>
        <w:tab w:val="left" w:pos="748"/>
      </w:tabs>
      <w:outlineLvl w:val="3"/>
    </w:pPr>
    <w:rPr>
      <w:b/>
      <w:bCs/>
      <w:szCs w:val="28"/>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0"/>
  </w:style>
  <w:style w:type="paragraph" w:styleId="7">
    <w:name w:val="Normal Indent"/>
    <w:basedOn w:val="1"/>
    <w:qFormat/>
    <w:uiPriority w:val="0"/>
    <w:pPr>
      <w:spacing w:line="240" w:lineRule="auto"/>
      <w:ind w:firstLine="420"/>
    </w:pPr>
    <w:rPr>
      <w:rFonts w:eastAsia="仿宋_GB2312" w:asciiTheme="minorHAnsi" w:hAnsiTheme="minorHAnsi" w:cstheme="minorBidi"/>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
    <w:name w:val="表头样式1"/>
    <w:basedOn w:val="1"/>
    <w:qFormat/>
    <w:uiPriority w:val="0"/>
    <w:pPr>
      <w:ind w:firstLine="0" w:firstLineChars="0"/>
      <w:jc w:val="center"/>
    </w:pPr>
    <w:rPr>
      <w:rFonts w:eastAsia="黑体"/>
      <w:szCs w:val="22"/>
    </w:rPr>
  </w:style>
  <w:style w:type="paragraph" w:customStyle="1" w:styleId="14">
    <w:name w:val="列表2"/>
    <w:basedOn w:val="1"/>
    <w:qFormat/>
    <w:uiPriority w:val="0"/>
    <w:pPr>
      <w:spacing w:line="240" w:lineRule="auto"/>
      <w:ind w:firstLine="0" w:firstLineChars="0"/>
      <w:jc w:val="center"/>
    </w:pPr>
    <w:rPr>
      <w:rFonts w:eastAsia="宋体"/>
      <w:sz w:val="21"/>
    </w:rPr>
  </w:style>
  <w:style w:type="paragraph" w:customStyle="1" w:styleId="15">
    <w:name w:val="表标题"/>
    <w:basedOn w:val="1"/>
    <w:qFormat/>
    <w:uiPriority w:val="0"/>
    <w:pPr>
      <w:spacing w:line="500" w:lineRule="exact"/>
      <w:ind w:firstLine="0" w:firstLineChars="0"/>
      <w:jc w:val="center"/>
    </w:pPr>
    <w:rPr>
      <w:rFonts w:eastAsia="黑体"/>
    </w:rPr>
  </w:style>
  <w:style w:type="paragraph" w:styleId="16">
    <w:name w:val="List Paragraph"/>
    <w:basedOn w:val="1"/>
    <w:qFormat/>
    <w:uiPriority w:val="34"/>
    <w:pPr>
      <w:ind w:firstLine="420"/>
    </w:pPr>
    <w:rPr>
      <w:rFonts w:ascii="Calibri" w:hAnsi="Calibri" w:cs="Times New Roman"/>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wmf"/><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[工作簿1]Sheet1!$K$7</c:f>
              <c:strCache>
                <c:ptCount val="1"/>
                <c:pt idx="0">
                  <c:v>pH</c:v>
                </c:pt>
              </c:strCache>
            </c:strRef>
          </c:tx>
          <c:spPr>
            <a:ln w="28575" cap="rnd">
              <a:solidFill>
                <a:schemeClr val="accent1"/>
              </a:solidFill>
              <a:round/>
            </a:ln>
            <a:effectLst/>
          </c:spPr>
          <c:marker>
            <c:symbol val="none"/>
          </c:marker>
          <c:dLbls>
            <c:delete val="1"/>
          </c:dLbls>
          <c:cat>
            <c:multiLvlStrRef>
              <c:f>[工作簿1]Sheet1!$I$8:$J$45</c:f>
              <c:multiLvlStrCache>
                <c:ptCount val="38"/>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1月</c:v>
                  </c:pt>
                  <c:pt idx="23">
                    <c:v>2月</c:v>
                  </c:pt>
                  <c:pt idx="24">
                    <c:v>3月</c:v>
                  </c:pt>
                  <c:pt idx="25">
                    <c:v>4月</c:v>
                  </c:pt>
                  <c:pt idx="26">
                    <c:v>5月</c:v>
                  </c:pt>
                  <c:pt idx="27">
                    <c:v>6月</c:v>
                  </c:pt>
                  <c:pt idx="28">
                    <c:v>7月</c:v>
                  </c:pt>
                  <c:pt idx="29">
                    <c:v>8月</c:v>
                  </c:pt>
                  <c:pt idx="30">
                    <c:v>9月</c:v>
                  </c:pt>
                  <c:pt idx="31">
                    <c:v>10月</c:v>
                  </c:pt>
                  <c:pt idx="32">
                    <c:v>11月</c:v>
                  </c:pt>
                  <c:pt idx="33">
                    <c:v>12月</c:v>
                  </c:pt>
                  <c:pt idx="34">
                    <c:v>1月</c:v>
                  </c:pt>
                  <c:pt idx="35">
                    <c:v>2月</c:v>
                  </c:pt>
                  <c:pt idx="36">
                    <c:v>3月</c:v>
                  </c:pt>
                  <c:pt idx="37">
                    <c:v>4月</c:v>
                  </c:pt>
                </c:lvl>
                <c:lvl>
                  <c:pt idx="0">
                    <c:v>2017</c:v>
                  </c:pt>
                  <c:pt idx="12">
                    <c:v>2018</c:v>
                  </c:pt>
                  <c:pt idx="22">
                    <c:v>2019</c:v>
                  </c:pt>
                  <c:pt idx="34">
                    <c:v>2020</c:v>
                  </c:pt>
                </c:lvl>
              </c:multiLvlStrCache>
            </c:multiLvlStrRef>
          </c:cat>
          <c:val>
            <c:numRef>
              <c:f>[工作簿1]Sheet1!$K$8:$K$45</c:f>
              <c:numCache>
                <c:formatCode>General</c:formatCode>
                <c:ptCount val="38"/>
                <c:pt idx="0">
                  <c:v>7.9</c:v>
                </c:pt>
                <c:pt idx="1">
                  <c:v>8.02</c:v>
                </c:pt>
                <c:pt idx="2">
                  <c:v>7.95</c:v>
                </c:pt>
                <c:pt idx="3">
                  <c:v>7.68</c:v>
                </c:pt>
                <c:pt idx="4">
                  <c:v>8.15</c:v>
                </c:pt>
                <c:pt idx="5">
                  <c:v>7.84</c:v>
                </c:pt>
                <c:pt idx="6">
                  <c:v>7.99</c:v>
                </c:pt>
                <c:pt idx="7">
                  <c:v>7.65</c:v>
                </c:pt>
                <c:pt idx="8">
                  <c:v>8</c:v>
                </c:pt>
                <c:pt idx="9">
                  <c:v>7.87</c:v>
                </c:pt>
                <c:pt idx="10">
                  <c:v>8.02</c:v>
                </c:pt>
                <c:pt idx="11">
                  <c:v>8.12</c:v>
                </c:pt>
                <c:pt idx="12">
                  <c:v>8.06</c:v>
                </c:pt>
                <c:pt idx="13">
                  <c:v>7.96</c:v>
                </c:pt>
                <c:pt idx="14">
                  <c:v>8.25</c:v>
                </c:pt>
                <c:pt idx="15">
                  <c:v>8.18</c:v>
                </c:pt>
                <c:pt idx="16">
                  <c:v>8.05</c:v>
                </c:pt>
                <c:pt idx="17">
                  <c:v>7.91</c:v>
                </c:pt>
                <c:pt idx="18">
                  <c:v>7.61</c:v>
                </c:pt>
                <c:pt idx="19">
                  <c:v>8.51</c:v>
                </c:pt>
                <c:pt idx="20">
                  <c:v>7.99</c:v>
                </c:pt>
                <c:pt idx="21">
                  <c:v>7.88</c:v>
                </c:pt>
                <c:pt idx="22">
                  <c:v>8.11</c:v>
                </c:pt>
                <c:pt idx="23">
                  <c:v>8.18</c:v>
                </c:pt>
                <c:pt idx="24">
                  <c:v>8.15</c:v>
                </c:pt>
                <c:pt idx="25">
                  <c:v>8.13</c:v>
                </c:pt>
                <c:pt idx="26">
                  <c:v>8.12</c:v>
                </c:pt>
                <c:pt idx="27">
                  <c:v>8.08</c:v>
                </c:pt>
                <c:pt idx="28">
                  <c:v>8.15</c:v>
                </c:pt>
                <c:pt idx="29">
                  <c:v>8.15</c:v>
                </c:pt>
                <c:pt idx="30">
                  <c:v>8.08</c:v>
                </c:pt>
                <c:pt idx="31">
                  <c:v>8.15</c:v>
                </c:pt>
                <c:pt idx="32">
                  <c:v>8.13</c:v>
                </c:pt>
                <c:pt idx="33">
                  <c:v>8.05</c:v>
                </c:pt>
                <c:pt idx="34">
                  <c:v>8.02</c:v>
                </c:pt>
                <c:pt idx="35">
                  <c:v>8.18</c:v>
                </c:pt>
                <c:pt idx="36">
                  <c:v>8.02</c:v>
                </c:pt>
                <c:pt idx="37">
                  <c:v>8.2</c:v>
                </c:pt>
              </c:numCache>
            </c:numRef>
          </c:val>
          <c:smooth val="0"/>
        </c:ser>
        <c:ser>
          <c:idx val="1"/>
          <c:order val="1"/>
          <c:tx>
            <c:strRef>
              <c:f>[工作簿1]Sheet1!$L$7</c:f>
              <c:strCache>
                <c:ptCount val="1"/>
                <c:pt idx="0">
                  <c:v>溶解氧</c:v>
                </c:pt>
              </c:strCache>
            </c:strRef>
          </c:tx>
          <c:spPr>
            <a:ln w="28575" cap="rnd">
              <a:solidFill>
                <a:schemeClr val="accent2"/>
              </a:solidFill>
              <a:round/>
            </a:ln>
            <a:effectLst/>
          </c:spPr>
          <c:marker>
            <c:symbol val="none"/>
          </c:marker>
          <c:dLbls>
            <c:delete val="1"/>
          </c:dLbls>
          <c:cat>
            <c:multiLvlStrRef>
              <c:f>[工作簿1]Sheet1!$I$8:$J$45</c:f>
              <c:multiLvlStrCache>
                <c:ptCount val="38"/>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1月</c:v>
                  </c:pt>
                  <c:pt idx="23">
                    <c:v>2月</c:v>
                  </c:pt>
                  <c:pt idx="24">
                    <c:v>3月</c:v>
                  </c:pt>
                  <c:pt idx="25">
                    <c:v>4月</c:v>
                  </c:pt>
                  <c:pt idx="26">
                    <c:v>5月</c:v>
                  </c:pt>
                  <c:pt idx="27">
                    <c:v>6月</c:v>
                  </c:pt>
                  <c:pt idx="28">
                    <c:v>7月</c:v>
                  </c:pt>
                  <c:pt idx="29">
                    <c:v>8月</c:v>
                  </c:pt>
                  <c:pt idx="30">
                    <c:v>9月</c:v>
                  </c:pt>
                  <c:pt idx="31">
                    <c:v>10月</c:v>
                  </c:pt>
                  <c:pt idx="32">
                    <c:v>11月</c:v>
                  </c:pt>
                  <c:pt idx="33">
                    <c:v>12月</c:v>
                  </c:pt>
                  <c:pt idx="34">
                    <c:v>1月</c:v>
                  </c:pt>
                  <c:pt idx="35">
                    <c:v>2月</c:v>
                  </c:pt>
                  <c:pt idx="36">
                    <c:v>3月</c:v>
                  </c:pt>
                  <c:pt idx="37">
                    <c:v>4月</c:v>
                  </c:pt>
                </c:lvl>
                <c:lvl>
                  <c:pt idx="0">
                    <c:v>2017</c:v>
                  </c:pt>
                  <c:pt idx="12">
                    <c:v>2018</c:v>
                  </c:pt>
                  <c:pt idx="22">
                    <c:v>2019</c:v>
                  </c:pt>
                  <c:pt idx="34">
                    <c:v>2020</c:v>
                  </c:pt>
                </c:lvl>
              </c:multiLvlStrCache>
            </c:multiLvlStrRef>
          </c:cat>
          <c:val>
            <c:numRef>
              <c:f>[工作簿1]Sheet1!$L$8:$L$45</c:f>
              <c:numCache>
                <c:formatCode>General</c:formatCode>
                <c:ptCount val="38"/>
                <c:pt idx="0">
                  <c:v>7.17</c:v>
                </c:pt>
                <c:pt idx="1">
                  <c:v>6.76</c:v>
                </c:pt>
                <c:pt idx="2">
                  <c:v>9.01</c:v>
                </c:pt>
                <c:pt idx="3">
                  <c:v>7.67</c:v>
                </c:pt>
                <c:pt idx="4">
                  <c:v>3.3</c:v>
                </c:pt>
                <c:pt idx="5">
                  <c:v>4.5</c:v>
                </c:pt>
                <c:pt idx="6">
                  <c:v>4.94</c:v>
                </c:pt>
                <c:pt idx="7">
                  <c:v>2.24</c:v>
                </c:pt>
                <c:pt idx="8">
                  <c:v>4.35</c:v>
                </c:pt>
                <c:pt idx="9">
                  <c:v>4.56</c:v>
                </c:pt>
                <c:pt idx="10">
                  <c:v>5.59</c:v>
                </c:pt>
                <c:pt idx="11">
                  <c:v>10.89</c:v>
                </c:pt>
                <c:pt idx="12">
                  <c:v>10.77</c:v>
                </c:pt>
                <c:pt idx="13">
                  <c:v>12.3</c:v>
                </c:pt>
                <c:pt idx="14">
                  <c:v>7.56</c:v>
                </c:pt>
                <c:pt idx="15">
                  <c:v>3.38</c:v>
                </c:pt>
                <c:pt idx="16">
                  <c:v>8.4</c:v>
                </c:pt>
                <c:pt idx="17">
                  <c:v>11</c:v>
                </c:pt>
                <c:pt idx="18">
                  <c:v>8.6</c:v>
                </c:pt>
                <c:pt idx="19">
                  <c:v>11</c:v>
                </c:pt>
                <c:pt idx="20">
                  <c:v>2.99</c:v>
                </c:pt>
                <c:pt idx="21">
                  <c:v>10.06</c:v>
                </c:pt>
                <c:pt idx="22">
                  <c:v>8.3</c:v>
                </c:pt>
                <c:pt idx="23">
                  <c:v>7.61</c:v>
                </c:pt>
                <c:pt idx="24">
                  <c:v>8.31</c:v>
                </c:pt>
                <c:pt idx="25">
                  <c:v>8.64</c:v>
                </c:pt>
                <c:pt idx="26">
                  <c:v>8.25</c:v>
                </c:pt>
                <c:pt idx="27">
                  <c:v>8.2</c:v>
                </c:pt>
                <c:pt idx="28">
                  <c:v>8.4</c:v>
                </c:pt>
                <c:pt idx="29">
                  <c:v>8.3</c:v>
                </c:pt>
                <c:pt idx="30">
                  <c:v>8.2</c:v>
                </c:pt>
                <c:pt idx="31">
                  <c:v>8.75</c:v>
                </c:pt>
                <c:pt idx="32">
                  <c:v>8.93</c:v>
                </c:pt>
                <c:pt idx="33">
                  <c:v>9.2</c:v>
                </c:pt>
                <c:pt idx="34">
                  <c:v>8.52</c:v>
                </c:pt>
                <c:pt idx="35">
                  <c:v>7.61</c:v>
                </c:pt>
                <c:pt idx="36">
                  <c:v>9.86</c:v>
                </c:pt>
                <c:pt idx="37">
                  <c:v>8.99</c:v>
                </c:pt>
              </c:numCache>
            </c:numRef>
          </c:val>
          <c:smooth val="0"/>
        </c:ser>
        <c:dLbls>
          <c:showLegendKey val="0"/>
          <c:showVal val="0"/>
          <c:showCatName val="0"/>
          <c:showSerName val="0"/>
          <c:showPercent val="0"/>
          <c:showBubbleSize val="0"/>
        </c:dLbls>
        <c:marker val="0"/>
        <c:smooth val="0"/>
        <c:axId val="773664743"/>
        <c:axId val="154989883"/>
      </c:lineChart>
      <c:catAx>
        <c:axId val="77366474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4989883"/>
        <c:crosses val="autoZero"/>
        <c:auto val="1"/>
        <c:lblAlgn val="ctr"/>
        <c:lblOffset val="100"/>
        <c:noMultiLvlLbl val="0"/>
      </c:catAx>
      <c:valAx>
        <c:axId val="1549898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3664743"/>
        <c:crosses val="autoZero"/>
        <c:crossBetween val="between"/>
      </c:valAx>
      <c:spPr>
        <a:noFill/>
        <a:ln>
          <a:noFill/>
        </a:ln>
        <a:effectLst/>
      </c:spPr>
    </c:plotArea>
    <c:legend>
      <c:legendPos val="b"/>
      <c:layout>
        <c:manualLayout>
          <c:xMode val="edge"/>
          <c:yMode val="edge"/>
          <c:x val="0.738335885655947"/>
          <c:y val="0.0239410681399632"/>
          <c:w val="0.223991832567637"/>
          <c:h val="0.10313075506445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[工作簿1]Sheet1!$K$7</c:f>
              <c:strCache>
                <c:ptCount val="1"/>
                <c:pt idx="0">
                  <c:v>CODCr</c:v>
                </c:pt>
              </c:strCache>
            </c:strRef>
          </c:tx>
          <c:spPr>
            <a:ln w="28575" cap="rnd">
              <a:solidFill>
                <a:schemeClr val="accent1"/>
              </a:solidFill>
              <a:round/>
            </a:ln>
            <a:effectLst/>
          </c:spPr>
          <c:marker>
            <c:symbol val="none"/>
          </c:marker>
          <c:dLbls>
            <c:delete val="1"/>
          </c:dLbls>
          <c:cat>
            <c:multiLvlStrRef>
              <c:f>[工作簿1]Sheet1!$I$8:$J$45</c:f>
              <c:multiLvlStrCache>
                <c:ptCount val="38"/>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1月</c:v>
                  </c:pt>
                  <c:pt idx="23">
                    <c:v>2月</c:v>
                  </c:pt>
                  <c:pt idx="24">
                    <c:v>3月</c:v>
                  </c:pt>
                  <c:pt idx="25">
                    <c:v>4月</c:v>
                  </c:pt>
                  <c:pt idx="26">
                    <c:v>5月</c:v>
                  </c:pt>
                  <c:pt idx="27">
                    <c:v>6月</c:v>
                  </c:pt>
                  <c:pt idx="28">
                    <c:v>7月</c:v>
                  </c:pt>
                  <c:pt idx="29">
                    <c:v>8月</c:v>
                  </c:pt>
                  <c:pt idx="30">
                    <c:v>9月</c:v>
                  </c:pt>
                  <c:pt idx="31">
                    <c:v>10月</c:v>
                  </c:pt>
                  <c:pt idx="32">
                    <c:v>11月</c:v>
                  </c:pt>
                  <c:pt idx="33">
                    <c:v>12月</c:v>
                  </c:pt>
                  <c:pt idx="34">
                    <c:v>1月</c:v>
                  </c:pt>
                  <c:pt idx="35">
                    <c:v>2月</c:v>
                  </c:pt>
                  <c:pt idx="36">
                    <c:v>3月</c:v>
                  </c:pt>
                  <c:pt idx="37">
                    <c:v>4月</c:v>
                  </c:pt>
                </c:lvl>
                <c:lvl>
                  <c:pt idx="0">
                    <c:v>2017</c:v>
                  </c:pt>
                  <c:pt idx="12">
                    <c:v>2018</c:v>
                  </c:pt>
                  <c:pt idx="22">
                    <c:v>2019</c:v>
                  </c:pt>
                  <c:pt idx="34">
                    <c:v>2020</c:v>
                  </c:pt>
                </c:lvl>
              </c:multiLvlStrCache>
            </c:multiLvlStrRef>
          </c:cat>
          <c:val>
            <c:numRef>
              <c:f>[工作簿1]Sheet1!$K$8:$K$45</c:f>
              <c:numCache>
                <c:formatCode>General</c:formatCode>
                <c:ptCount val="38"/>
                <c:pt idx="0">
                  <c:v>16.1</c:v>
                </c:pt>
                <c:pt idx="1">
                  <c:v>16.6</c:v>
                </c:pt>
                <c:pt idx="2">
                  <c:v>24</c:v>
                </c:pt>
                <c:pt idx="3">
                  <c:v>14.9</c:v>
                </c:pt>
                <c:pt idx="4">
                  <c:v>26</c:v>
                </c:pt>
                <c:pt idx="5">
                  <c:v>38.5</c:v>
                </c:pt>
                <c:pt idx="6">
                  <c:v>74.3</c:v>
                </c:pt>
                <c:pt idx="7">
                  <c:v>30.3</c:v>
                </c:pt>
                <c:pt idx="8">
                  <c:v>10.8</c:v>
                </c:pt>
                <c:pt idx="9">
                  <c:v>20.4</c:v>
                </c:pt>
                <c:pt idx="10">
                  <c:v>21.3</c:v>
                </c:pt>
                <c:pt idx="11">
                  <c:v>23.4</c:v>
                </c:pt>
                <c:pt idx="12">
                  <c:v>20.7</c:v>
                </c:pt>
                <c:pt idx="13">
                  <c:v>25.8</c:v>
                </c:pt>
                <c:pt idx="14">
                  <c:v>24.6</c:v>
                </c:pt>
                <c:pt idx="15">
                  <c:v>38.7</c:v>
                </c:pt>
                <c:pt idx="16">
                  <c:v>18.3</c:v>
                </c:pt>
                <c:pt idx="17">
                  <c:v>17.7</c:v>
                </c:pt>
                <c:pt idx="18">
                  <c:v>23.1</c:v>
                </c:pt>
                <c:pt idx="19">
                  <c:v>23.6</c:v>
                </c:pt>
                <c:pt idx="20">
                  <c:v>23.9</c:v>
                </c:pt>
                <c:pt idx="21">
                  <c:v>17.5</c:v>
                </c:pt>
                <c:pt idx="22">
                  <c:v>26</c:v>
                </c:pt>
                <c:pt idx="23">
                  <c:v>24</c:v>
                </c:pt>
                <c:pt idx="24">
                  <c:v>21</c:v>
                </c:pt>
                <c:pt idx="25">
                  <c:v>21</c:v>
                </c:pt>
                <c:pt idx="26">
                  <c:v>25</c:v>
                </c:pt>
                <c:pt idx="27">
                  <c:v>23</c:v>
                </c:pt>
                <c:pt idx="28">
                  <c:v>27</c:v>
                </c:pt>
                <c:pt idx="29">
                  <c:v>25</c:v>
                </c:pt>
                <c:pt idx="30">
                  <c:v>26</c:v>
                </c:pt>
                <c:pt idx="31">
                  <c:v>22</c:v>
                </c:pt>
                <c:pt idx="32">
                  <c:v>19</c:v>
                </c:pt>
                <c:pt idx="33">
                  <c:v>22</c:v>
                </c:pt>
                <c:pt idx="34">
                  <c:v>22</c:v>
                </c:pt>
                <c:pt idx="35">
                  <c:v>24</c:v>
                </c:pt>
                <c:pt idx="36">
                  <c:v>22</c:v>
                </c:pt>
                <c:pt idx="37">
                  <c:v>25</c:v>
                </c:pt>
              </c:numCache>
            </c:numRef>
          </c:val>
          <c:smooth val="0"/>
        </c:ser>
        <c:ser>
          <c:idx val="1"/>
          <c:order val="1"/>
          <c:tx>
            <c:strRef>
              <c:f>[工作簿1]Sheet1!$L$7</c:f>
              <c:strCache>
                <c:ptCount val="1"/>
                <c:pt idx="0">
                  <c:v>BOD5</c:v>
                </c:pt>
              </c:strCache>
            </c:strRef>
          </c:tx>
          <c:spPr>
            <a:ln w="28575" cap="rnd">
              <a:solidFill>
                <a:schemeClr val="accent2"/>
              </a:solidFill>
              <a:round/>
            </a:ln>
            <a:effectLst/>
          </c:spPr>
          <c:marker>
            <c:symbol val="none"/>
          </c:marker>
          <c:dLbls>
            <c:delete val="1"/>
          </c:dLbls>
          <c:cat>
            <c:multiLvlStrRef>
              <c:f>[工作簿1]Sheet1!$I$8:$J$45</c:f>
              <c:multiLvlStrCache>
                <c:ptCount val="38"/>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1月</c:v>
                  </c:pt>
                  <c:pt idx="23">
                    <c:v>2月</c:v>
                  </c:pt>
                  <c:pt idx="24">
                    <c:v>3月</c:v>
                  </c:pt>
                  <c:pt idx="25">
                    <c:v>4月</c:v>
                  </c:pt>
                  <c:pt idx="26">
                    <c:v>5月</c:v>
                  </c:pt>
                  <c:pt idx="27">
                    <c:v>6月</c:v>
                  </c:pt>
                  <c:pt idx="28">
                    <c:v>7月</c:v>
                  </c:pt>
                  <c:pt idx="29">
                    <c:v>8月</c:v>
                  </c:pt>
                  <c:pt idx="30">
                    <c:v>9月</c:v>
                  </c:pt>
                  <c:pt idx="31">
                    <c:v>10月</c:v>
                  </c:pt>
                  <c:pt idx="32">
                    <c:v>11月</c:v>
                  </c:pt>
                  <c:pt idx="33">
                    <c:v>12月</c:v>
                  </c:pt>
                  <c:pt idx="34">
                    <c:v>1月</c:v>
                  </c:pt>
                  <c:pt idx="35">
                    <c:v>2月</c:v>
                  </c:pt>
                  <c:pt idx="36">
                    <c:v>3月</c:v>
                  </c:pt>
                  <c:pt idx="37">
                    <c:v>4月</c:v>
                  </c:pt>
                </c:lvl>
                <c:lvl>
                  <c:pt idx="0">
                    <c:v>2017</c:v>
                  </c:pt>
                  <c:pt idx="12">
                    <c:v>2018</c:v>
                  </c:pt>
                  <c:pt idx="22">
                    <c:v>2019</c:v>
                  </c:pt>
                  <c:pt idx="34">
                    <c:v>2020</c:v>
                  </c:pt>
                </c:lvl>
              </c:multiLvlStrCache>
            </c:multiLvlStrRef>
          </c:cat>
          <c:val>
            <c:numRef>
              <c:f>[工作簿1]Sheet1!$L$8:$L$45</c:f>
              <c:numCache>
                <c:formatCode>General</c:formatCode>
                <c:ptCount val="38"/>
                <c:pt idx="0">
                  <c:v>4.9</c:v>
                </c:pt>
                <c:pt idx="1">
                  <c:v>4.9</c:v>
                </c:pt>
                <c:pt idx="2">
                  <c:v>5.4</c:v>
                </c:pt>
                <c:pt idx="3">
                  <c:v>6.2</c:v>
                </c:pt>
                <c:pt idx="4">
                  <c:v>4.3</c:v>
                </c:pt>
                <c:pt idx="5">
                  <c:v>9.4</c:v>
                </c:pt>
                <c:pt idx="6">
                  <c:v>16.4</c:v>
                </c:pt>
                <c:pt idx="7">
                  <c:v>4.7</c:v>
                </c:pt>
                <c:pt idx="8">
                  <c:v>6.4</c:v>
                </c:pt>
                <c:pt idx="9">
                  <c:v>5.4</c:v>
                </c:pt>
                <c:pt idx="10">
                  <c:v>6.8</c:v>
                </c:pt>
                <c:pt idx="11">
                  <c:v>6.3</c:v>
                </c:pt>
                <c:pt idx="12">
                  <c:v>6.5</c:v>
                </c:pt>
                <c:pt idx="13">
                  <c:v>5.9</c:v>
                </c:pt>
                <c:pt idx="14">
                  <c:v>6.3</c:v>
                </c:pt>
                <c:pt idx="15">
                  <c:v>6.7</c:v>
                </c:pt>
                <c:pt idx="16">
                  <c:v>8</c:v>
                </c:pt>
                <c:pt idx="17">
                  <c:v>6.5</c:v>
                </c:pt>
                <c:pt idx="18">
                  <c:v>4.8</c:v>
                </c:pt>
                <c:pt idx="19">
                  <c:v>4.9</c:v>
                </c:pt>
                <c:pt idx="20">
                  <c:v>6.4</c:v>
                </c:pt>
                <c:pt idx="21">
                  <c:v>4.3</c:v>
                </c:pt>
                <c:pt idx="22">
                  <c:v>1.86</c:v>
                </c:pt>
                <c:pt idx="23">
                  <c:v>2.74</c:v>
                </c:pt>
                <c:pt idx="24">
                  <c:v>3.5</c:v>
                </c:pt>
                <c:pt idx="25">
                  <c:v>3.1</c:v>
                </c:pt>
                <c:pt idx="26">
                  <c:v>3.3</c:v>
                </c:pt>
                <c:pt idx="27">
                  <c:v>3.5</c:v>
                </c:pt>
                <c:pt idx="28">
                  <c:v>4.3</c:v>
                </c:pt>
                <c:pt idx="29">
                  <c:v>3.2</c:v>
                </c:pt>
                <c:pt idx="30">
                  <c:v>3.5</c:v>
                </c:pt>
                <c:pt idx="31">
                  <c:v>3.4</c:v>
                </c:pt>
                <c:pt idx="32">
                  <c:v>4</c:v>
                </c:pt>
                <c:pt idx="33">
                  <c:v>4</c:v>
                </c:pt>
                <c:pt idx="34">
                  <c:v>4.3</c:v>
                </c:pt>
                <c:pt idx="35">
                  <c:v>2.74</c:v>
                </c:pt>
                <c:pt idx="36">
                  <c:v>4.3</c:v>
                </c:pt>
                <c:pt idx="37">
                  <c:v>4.5</c:v>
                </c:pt>
              </c:numCache>
            </c:numRef>
          </c:val>
          <c:smooth val="0"/>
        </c:ser>
        <c:dLbls>
          <c:showLegendKey val="0"/>
          <c:showVal val="0"/>
          <c:showCatName val="0"/>
          <c:showSerName val="0"/>
          <c:showPercent val="0"/>
          <c:showBubbleSize val="0"/>
        </c:dLbls>
        <c:marker val="0"/>
        <c:smooth val="0"/>
        <c:axId val="402352402"/>
        <c:axId val="673108614"/>
      </c:lineChart>
      <c:catAx>
        <c:axId val="40235240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3108614"/>
        <c:crosses val="autoZero"/>
        <c:auto val="1"/>
        <c:lblAlgn val="ctr"/>
        <c:lblOffset val="100"/>
        <c:noMultiLvlLbl val="0"/>
      </c:catAx>
      <c:valAx>
        <c:axId val="67310861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352402"/>
        <c:crosses val="autoZero"/>
        <c:crossBetween val="between"/>
      </c:valAx>
      <c:spPr>
        <a:noFill/>
        <a:ln>
          <a:noFill/>
        </a:ln>
        <a:effectLst/>
      </c:spPr>
    </c:plotArea>
    <c:legend>
      <c:legendPos val="b"/>
      <c:layout>
        <c:manualLayout>
          <c:xMode val="edge"/>
          <c:yMode val="edge"/>
          <c:x val="0.715202702702703"/>
          <c:y val="0.040650406504065"/>
          <c:w val="0.229617117117117"/>
          <c:h val="0.1029810298102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853466666666667"/>
          <c:y val="0.0695102685624013"/>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[工作簿1]Sheet1!$Q$7</c:f>
              <c:strCache>
                <c:ptCount val="1"/>
                <c:pt idx="0">
                  <c:v>氨氮</c:v>
                </c:pt>
              </c:strCache>
            </c:strRef>
          </c:tx>
          <c:spPr>
            <a:ln w="28575" cap="rnd">
              <a:solidFill>
                <a:schemeClr val="accent1"/>
              </a:solidFill>
              <a:round/>
            </a:ln>
            <a:effectLst/>
          </c:spPr>
          <c:marker>
            <c:symbol val="none"/>
          </c:marker>
          <c:dLbls>
            <c:delete val="1"/>
          </c:dLbls>
          <c:cat>
            <c:multiLvlStrRef>
              <c:f>[工作簿1]Sheet1!$O$8:$P$45</c:f>
              <c:multiLvlStrCache>
                <c:ptCount val="38"/>
                <c:lvl>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1月</c:v>
                  </c:pt>
                  <c:pt idx="13">
                    <c:v>2月</c:v>
                  </c:pt>
                  <c:pt idx="14">
                    <c:v>3月</c:v>
                  </c:pt>
                  <c:pt idx="15">
                    <c:v>4月</c:v>
                  </c:pt>
                  <c:pt idx="16">
                    <c:v>5月</c:v>
                  </c:pt>
                  <c:pt idx="17">
                    <c:v>6月</c:v>
                  </c:pt>
                  <c:pt idx="18">
                    <c:v>7月</c:v>
                  </c:pt>
                  <c:pt idx="19">
                    <c:v>8月</c:v>
                  </c:pt>
                  <c:pt idx="20">
                    <c:v>9月</c:v>
                  </c:pt>
                  <c:pt idx="21">
                    <c:v>10月</c:v>
                  </c:pt>
                  <c:pt idx="22">
                    <c:v>1月</c:v>
                  </c:pt>
                  <c:pt idx="23">
                    <c:v>2月</c:v>
                  </c:pt>
                  <c:pt idx="24">
                    <c:v>3月</c:v>
                  </c:pt>
                  <c:pt idx="25">
                    <c:v>4月</c:v>
                  </c:pt>
                  <c:pt idx="26">
                    <c:v>5月</c:v>
                  </c:pt>
                  <c:pt idx="27">
                    <c:v>6月</c:v>
                  </c:pt>
                  <c:pt idx="28">
                    <c:v>7月</c:v>
                  </c:pt>
                  <c:pt idx="29">
                    <c:v>8月</c:v>
                  </c:pt>
                  <c:pt idx="30">
                    <c:v>9月</c:v>
                  </c:pt>
                  <c:pt idx="31">
                    <c:v>10月</c:v>
                  </c:pt>
                  <c:pt idx="32">
                    <c:v>11月</c:v>
                  </c:pt>
                  <c:pt idx="33">
                    <c:v>12月</c:v>
                  </c:pt>
                  <c:pt idx="34">
                    <c:v>1月</c:v>
                  </c:pt>
                  <c:pt idx="35">
                    <c:v>2月</c:v>
                  </c:pt>
                  <c:pt idx="36">
                    <c:v>3月</c:v>
                  </c:pt>
                  <c:pt idx="37">
                    <c:v>4月</c:v>
                  </c:pt>
                </c:lvl>
                <c:lvl>
                  <c:pt idx="0">
                    <c:v>2017</c:v>
                  </c:pt>
                  <c:pt idx="12">
                    <c:v>2018</c:v>
                  </c:pt>
                  <c:pt idx="22">
                    <c:v>2019</c:v>
                  </c:pt>
                  <c:pt idx="34">
                    <c:v>2020</c:v>
                  </c:pt>
                </c:lvl>
              </c:multiLvlStrCache>
            </c:multiLvlStrRef>
          </c:cat>
          <c:val>
            <c:numRef>
              <c:f>[工作簿1]Sheet1!$Q$8:$Q$45</c:f>
              <c:numCache>
                <c:formatCode>General</c:formatCode>
                <c:ptCount val="38"/>
                <c:pt idx="0">
                  <c:v>6.92</c:v>
                </c:pt>
                <c:pt idx="1">
                  <c:v>4.59</c:v>
                </c:pt>
                <c:pt idx="2">
                  <c:v>0.97</c:v>
                </c:pt>
                <c:pt idx="3">
                  <c:v>0.16</c:v>
                </c:pt>
                <c:pt idx="4">
                  <c:v>0.44</c:v>
                </c:pt>
                <c:pt idx="5">
                  <c:v>0.43</c:v>
                </c:pt>
                <c:pt idx="6">
                  <c:v>0.97</c:v>
                </c:pt>
                <c:pt idx="7">
                  <c:v>2.54</c:v>
                </c:pt>
                <c:pt idx="8">
                  <c:v>1.12</c:v>
                </c:pt>
                <c:pt idx="9">
                  <c:v>2.09</c:v>
                </c:pt>
                <c:pt idx="10">
                  <c:v>1.12</c:v>
                </c:pt>
                <c:pt idx="11">
                  <c:v>1.92</c:v>
                </c:pt>
                <c:pt idx="12">
                  <c:v>3.36</c:v>
                </c:pt>
                <c:pt idx="13">
                  <c:v>1.38</c:v>
                </c:pt>
                <c:pt idx="14">
                  <c:v>0.09</c:v>
                </c:pt>
                <c:pt idx="15">
                  <c:v>0.45</c:v>
                </c:pt>
                <c:pt idx="16">
                  <c:v>0.06</c:v>
                </c:pt>
                <c:pt idx="17">
                  <c:v>0.09</c:v>
                </c:pt>
                <c:pt idx="18">
                  <c:v>0.42</c:v>
                </c:pt>
                <c:pt idx="19">
                  <c:v>0.9</c:v>
                </c:pt>
                <c:pt idx="20">
                  <c:v>0.09</c:v>
                </c:pt>
                <c:pt idx="21">
                  <c:v>0.08</c:v>
                </c:pt>
                <c:pt idx="22">
                  <c:v>0.569</c:v>
                </c:pt>
                <c:pt idx="23">
                  <c:v>0.331</c:v>
                </c:pt>
                <c:pt idx="24">
                  <c:v>0.203</c:v>
                </c:pt>
                <c:pt idx="25">
                  <c:v>0.304</c:v>
                </c:pt>
                <c:pt idx="26">
                  <c:v>0.231</c:v>
                </c:pt>
                <c:pt idx="27">
                  <c:v>0.277</c:v>
                </c:pt>
                <c:pt idx="28">
                  <c:v>3.09</c:v>
                </c:pt>
                <c:pt idx="29">
                  <c:v>1.13</c:v>
                </c:pt>
                <c:pt idx="30">
                  <c:v>6.06</c:v>
                </c:pt>
                <c:pt idx="31">
                  <c:v>7.02</c:v>
                </c:pt>
                <c:pt idx="32">
                  <c:v>0.37</c:v>
                </c:pt>
                <c:pt idx="33">
                  <c:v>0.22</c:v>
                </c:pt>
                <c:pt idx="34">
                  <c:v>0.15</c:v>
                </c:pt>
                <c:pt idx="35">
                  <c:v>0.331</c:v>
                </c:pt>
                <c:pt idx="36">
                  <c:v>0.24</c:v>
                </c:pt>
                <c:pt idx="37">
                  <c:v>0.18</c:v>
                </c:pt>
              </c:numCache>
            </c:numRef>
          </c:val>
          <c:smooth val="0"/>
        </c:ser>
        <c:dLbls>
          <c:showLegendKey val="0"/>
          <c:showVal val="0"/>
          <c:showCatName val="0"/>
          <c:showSerName val="0"/>
          <c:showPercent val="0"/>
          <c:showBubbleSize val="0"/>
        </c:dLbls>
        <c:marker val="0"/>
        <c:smooth val="0"/>
        <c:axId val="66696976"/>
        <c:axId val="780049810"/>
      </c:lineChart>
      <c:catAx>
        <c:axId val="666969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049810"/>
        <c:crosses val="autoZero"/>
        <c:auto val="1"/>
        <c:lblAlgn val="ctr"/>
        <c:lblOffset val="100"/>
        <c:noMultiLvlLbl val="0"/>
      </c:catAx>
      <c:valAx>
        <c:axId val="78004981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69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2020-08-20T11:30:00Z</dcterms:created>
  <dc:creator>乐悠悠</dc:creator>
  <cp:lastModifiedBy>Administrator</cp:lastModifiedBy>
  <dcterms:modified xsi:type="dcterms:W3CDTF">2020-09-24T10:38:05Z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