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16C15">
      <w:pPr>
        <w:pStyle w:val="2"/>
        <w:pageBreakBefore w:val="0"/>
        <w:kinsoku/>
        <w:wordWrap/>
        <w:overflowPunct/>
        <w:topLinePunct w:val="0"/>
        <w:bidi w:val="0"/>
        <w:snapToGrid/>
        <w:spacing w:line="590" w:lineRule="exact"/>
        <w:textAlignment w:val="auto"/>
        <w:rPr>
          <w:rFonts w:ascii="Times New Roman" w:hAnsi="Times New Roman" w:cs="Times New Roman"/>
        </w:rPr>
      </w:pPr>
      <w:r>
        <w:rPr>
          <w:rFonts w:ascii="Times New Roman" w:hAnsi="Times New Roman" w:cs="Times New Roman"/>
        </w:rPr>
        <w:t>附件2</w:t>
      </w:r>
    </w:p>
    <w:p w14:paraId="462B2856">
      <w:pPr>
        <w:pStyle w:val="2"/>
        <w:pageBreakBefore w:val="0"/>
        <w:kinsoku/>
        <w:wordWrap/>
        <w:overflowPunct/>
        <w:topLinePunct w:val="0"/>
        <w:bidi w:val="0"/>
        <w:snapToGrid/>
        <w:spacing w:line="590" w:lineRule="exact"/>
        <w:jc w:val="center"/>
        <w:textAlignment w:val="auto"/>
        <w:rPr>
          <w:rFonts w:ascii="Times New Roman" w:hAnsi="Times New Roman" w:cs="Times New Roman"/>
        </w:rPr>
      </w:pPr>
      <w:r>
        <w:rPr>
          <w:rFonts w:hint="eastAsia" w:ascii="方正小标宋简体" w:hAnsi="方正小标宋简体" w:eastAsia="方正小标宋简体" w:cs="方正小标宋简体"/>
          <w:b w:val="0"/>
          <w:bCs/>
          <w:sz w:val="44"/>
          <w:szCs w:val="44"/>
        </w:rPr>
        <w:t>淮北市</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无废城市</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建设主要清单</w:t>
      </w:r>
    </w:p>
    <w:p w14:paraId="7D9C9DBB">
      <w:pPr>
        <w:pStyle w:val="3"/>
        <w:keepNext w:val="0"/>
        <w:keepLines w:val="0"/>
        <w:pageBreakBefore w:val="0"/>
        <w:widowControl w:val="0"/>
        <w:kinsoku/>
        <w:wordWrap/>
        <w:overflowPunct/>
        <w:topLinePunct w:val="0"/>
        <w:autoSpaceDE/>
        <w:autoSpaceDN/>
        <w:bidi w:val="0"/>
        <w:adjustRightInd/>
        <w:snapToGrid/>
        <w:spacing w:line="590" w:lineRule="exact"/>
        <w:textAlignment w:val="auto"/>
      </w:pPr>
      <w:r>
        <w:rPr>
          <w:rFonts w:ascii="Times New Roman" w:hAnsi="Times New Roman" w:cs="Times New Roman"/>
          <w:sz w:val="32"/>
          <w:szCs w:val="32"/>
        </w:rPr>
        <w:t xml:space="preserve">表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SEQ 表 \* ARABIC \s 1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hint="eastAsia" w:ascii="Times New Roman" w:hAnsi="Times New Roman" w:cs="Times New Roman"/>
          <w:sz w:val="32"/>
          <w:szCs w:val="32"/>
          <w:lang w:eastAsia="zh-CN"/>
        </w:rPr>
        <w:t>“</w:t>
      </w:r>
      <w:r>
        <w:rPr>
          <w:rFonts w:ascii="Times New Roman" w:hAnsi="Times New Roman" w:cs="Times New Roman"/>
          <w:sz w:val="32"/>
          <w:szCs w:val="32"/>
        </w:rPr>
        <w:t>无废城市</w:t>
      </w:r>
      <w:r>
        <w:rPr>
          <w:rFonts w:hint="eastAsia" w:ascii="Times New Roman" w:hAnsi="Times New Roman" w:cs="Times New Roman"/>
          <w:sz w:val="32"/>
          <w:szCs w:val="32"/>
          <w:lang w:eastAsia="zh-CN"/>
        </w:rPr>
        <w:t>”</w:t>
      </w:r>
      <w:r>
        <w:rPr>
          <w:rFonts w:ascii="Times New Roman" w:hAnsi="Times New Roman" w:cs="Times New Roman"/>
          <w:sz w:val="32"/>
          <w:szCs w:val="32"/>
        </w:rPr>
        <w:t>制度体系建设任务清单</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147"/>
        <w:gridCol w:w="4184"/>
        <w:gridCol w:w="2900"/>
        <w:gridCol w:w="2069"/>
      </w:tblGrid>
      <w:tr w14:paraId="392A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05" w:type="pct"/>
            <w:vAlign w:val="center"/>
          </w:tcPr>
          <w:p w14:paraId="0E37457E">
            <w:pPr>
              <w:pageBreakBefore w:val="0"/>
              <w:kinsoku/>
              <w:wordWrap/>
              <w:overflowPunct/>
              <w:topLinePunct w:val="0"/>
              <w:bidi w:val="0"/>
              <w:snapToGrid/>
              <w:spacing w:line="590" w:lineRule="exact"/>
              <w:ind w:firstLine="0" w:firstLineChars="0"/>
              <w:jc w:val="center"/>
              <w:textAlignment w:val="auto"/>
              <w:rPr>
                <w:rFonts w:ascii="Times New Roman" w:hAnsi="Times New Roman" w:cs="Times New Roman"/>
                <w:b/>
                <w:bCs/>
                <w:sz w:val="24"/>
                <w:szCs w:val="24"/>
              </w:rPr>
            </w:pPr>
            <w:r>
              <w:rPr>
                <w:rFonts w:ascii="Times New Roman" w:hAnsi="Times New Roman" w:cs="Times New Roman"/>
                <w:b/>
                <w:bCs/>
                <w:sz w:val="24"/>
                <w:szCs w:val="24"/>
              </w:rPr>
              <w:t>序号</w:t>
            </w:r>
          </w:p>
        </w:tc>
        <w:tc>
          <w:tcPr>
            <w:tcW w:w="1463" w:type="pct"/>
            <w:vAlign w:val="center"/>
          </w:tcPr>
          <w:p w14:paraId="1D4F123B">
            <w:pPr>
              <w:pageBreakBefore w:val="0"/>
              <w:kinsoku/>
              <w:wordWrap/>
              <w:overflowPunct/>
              <w:topLinePunct w:val="0"/>
              <w:bidi w:val="0"/>
              <w:snapToGrid/>
              <w:spacing w:line="590" w:lineRule="exact"/>
              <w:ind w:firstLine="0" w:firstLineChars="0"/>
              <w:jc w:val="center"/>
              <w:textAlignment w:val="auto"/>
              <w:rPr>
                <w:rFonts w:ascii="Times New Roman" w:hAnsi="Times New Roman" w:cs="Times New Roman"/>
                <w:b/>
                <w:bCs/>
                <w:sz w:val="24"/>
                <w:szCs w:val="24"/>
              </w:rPr>
            </w:pPr>
            <w:r>
              <w:rPr>
                <w:rFonts w:ascii="Times New Roman" w:hAnsi="Times New Roman" w:cs="Times New Roman"/>
                <w:b/>
                <w:bCs/>
                <w:sz w:val="24"/>
                <w:szCs w:val="24"/>
              </w:rPr>
              <w:t>任务清单</w:t>
            </w:r>
          </w:p>
        </w:tc>
        <w:tc>
          <w:tcPr>
            <w:tcW w:w="1476" w:type="pct"/>
            <w:vAlign w:val="center"/>
          </w:tcPr>
          <w:p w14:paraId="2232796F">
            <w:pPr>
              <w:pageBreakBefore w:val="0"/>
              <w:kinsoku/>
              <w:wordWrap/>
              <w:overflowPunct/>
              <w:topLinePunct w:val="0"/>
              <w:bidi w:val="0"/>
              <w:snapToGrid/>
              <w:spacing w:line="590" w:lineRule="exact"/>
              <w:ind w:firstLine="0" w:firstLineChars="0"/>
              <w:jc w:val="center"/>
              <w:textAlignment w:val="auto"/>
              <w:rPr>
                <w:rFonts w:ascii="Times New Roman" w:hAnsi="Times New Roman" w:cs="Times New Roman"/>
                <w:b/>
                <w:bCs/>
                <w:sz w:val="24"/>
                <w:szCs w:val="24"/>
              </w:rPr>
            </w:pPr>
            <w:r>
              <w:rPr>
                <w:rFonts w:ascii="Times New Roman" w:hAnsi="Times New Roman" w:cs="Times New Roman"/>
                <w:b/>
                <w:bCs/>
                <w:sz w:val="24"/>
                <w:szCs w:val="24"/>
              </w:rPr>
              <w:t>主要内容</w:t>
            </w:r>
          </w:p>
        </w:tc>
        <w:tc>
          <w:tcPr>
            <w:tcW w:w="1023" w:type="pct"/>
            <w:vAlign w:val="center"/>
          </w:tcPr>
          <w:p w14:paraId="0F8DB1ED">
            <w:pPr>
              <w:pageBreakBefore w:val="0"/>
              <w:kinsoku/>
              <w:wordWrap/>
              <w:overflowPunct/>
              <w:topLinePunct w:val="0"/>
              <w:bidi w:val="0"/>
              <w:snapToGrid/>
              <w:spacing w:line="590" w:lineRule="exact"/>
              <w:ind w:firstLine="0" w:firstLineChars="0"/>
              <w:jc w:val="center"/>
              <w:textAlignment w:val="auto"/>
              <w:rPr>
                <w:rFonts w:ascii="Times New Roman" w:hAnsi="Times New Roman" w:cs="Times New Roman"/>
                <w:b/>
                <w:bCs/>
                <w:sz w:val="24"/>
                <w:szCs w:val="24"/>
              </w:rPr>
            </w:pPr>
            <w:r>
              <w:rPr>
                <w:rFonts w:ascii="Times New Roman" w:hAnsi="Times New Roman" w:cs="Times New Roman"/>
                <w:b/>
                <w:bCs/>
                <w:sz w:val="24"/>
                <w:szCs w:val="24"/>
              </w:rPr>
              <w:t>责任主体</w:t>
            </w:r>
          </w:p>
        </w:tc>
        <w:tc>
          <w:tcPr>
            <w:tcW w:w="730" w:type="pct"/>
            <w:vAlign w:val="center"/>
          </w:tcPr>
          <w:p w14:paraId="03EB39E5">
            <w:pPr>
              <w:pageBreakBefore w:val="0"/>
              <w:kinsoku/>
              <w:wordWrap/>
              <w:overflowPunct/>
              <w:topLinePunct w:val="0"/>
              <w:bidi w:val="0"/>
              <w:snapToGrid/>
              <w:spacing w:line="590" w:lineRule="exact"/>
              <w:ind w:firstLine="0" w:firstLineChars="0"/>
              <w:jc w:val="center"/>
              <w:textAlignment w:val="auto"/>
              <w:rPr>
                <w:rFonts w:ascii="Times New Roman" w:hAnsi="Times New Roman" w:cs="Times New Roman"/>
                <w:b/>
                <w:bCs/>
                <w:sz w:val="24"/>
                <w:szCs w:val="24"/>
              </w:rPr>
            </w:pPr>
            <w:r>
              <w:rPr>
                <w:rFonts w:ascii="Times New Roman" w:hAnsi="Times New Roman" w:cs="Times New Roman"/>
                <w:b/>
                <w:bCs/>
                <w:sz w:val="24"/>
                <w:szCs w:val="24"/>
              </w:rPr>
              <w:t>完成时限</w:t>
            </w:r>
          </w:p>
        </w:tc>
      </w:tr>
      <w:tr w14:paraId="49BF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05" w:type="pct"/>
            <w:vAlign w:val="center"/>
          </w:tcPr>
          <w:p w14:paraId="4709DC90">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463" w:type="pct"/>
            <w:vAlign w:val="center"/>
          </w:tcPr>
          <w:p w14:paraId="357855CE">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rPr>
              <w:t>创建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工作专班</w:t>
            </w:r>
          </w:p>
        </w:tc>
        <w:tc>
          <w:tcPr>
            <w:tcW w:w="1476" w:type="pct"/>
            <w:vAlign w:val="center"/>
          </w:tcPr>
          <w:p w14:paraId="010C729D">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val="zh-CN" w:bidi="zh-CN"/>
              </w:rPr>
            </w:pPr>
            <w:r>
              <w:rPr>
                <w:rFonts w:hint="eastAsia" w:asciiTheme="majorEastAsia" w:hAnsiTheme="majorEastAsia" w:eastAsiaTheme="majorEastAsia" w:cstheme="majorEastAsia"/>
                <w:sz w:val="24"/>
                <w:szCs w:val="24"/>
              </w:rPr>
              <w:t>颁布专班名单，明确部门分工和工作职责</w:t>
            </w:r>
            <w:r>
              <w:rPr>
                <w:rFonts w:hint="eastAsia" w:asciiTheme="majorEastAsia" w:hAnsiTheme="majorEastAsia" w:eastAsiaTheme="majorEastAsia" w:cstheme="majorEastAsia"/>
                <w:sz w:val="24"/>
                <w:szCs w:val="24"/>
                <w:lang w:eastAsia="zh-CN"/>
              </w:rPr>
              <w:t>。</w:t>
            </w:r>
          </w:p>
        </w:tc>
        <w:tc>
          <w:tcPr>
            <w:tcW w:w="1023" w:type="pct"/>
            <w:vAlign w:val="center"/>
          </w:tcPr>
          <w:p w14:paraId="08D9F472">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rPr>
              <w:t>市委宣传部、市委办公室、市委网信办、市发展改革委、市科技局、市工业和信息化局、市公安局、市财政局、市自然资源和规划局、市生态环境局、市农业农村局、市商务局、市住房和城乡建设局、市交通运输局、市文化旅游体育局、市卫生健康委、市应急管理局、市审计局、市市场监管局、市统计局、市城管局、市数据资源局、市机关事务管理中心、市供销社、市税务局、市邮政管理局、中国人民银行淮北市分行、各区县政府、高新区管委会、煤化工基地管委会（以下责任单位均包含各区县政府及管委会，不在一一列出）</w:t>
            </w:r>
          </w:p>
        </w:tc>
        <w:tc>
          <w:tcPr>
            <w:tcW w:w="730" w:type="pct"/>
            <w:vAlign w:val="center"/>
          </w:tcPr>
          <w:p w14:paraId="70C87602">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rPr>
              <w:t>2024年</w:t>
            </w:r>
          </w:p>
        </w:tc>
      </w:tr>
      <w:tr w14:paraId="51BD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 w:type="pct"/>
            <w:vAlign w:val="center"/>
          </w:tcPr>
          <w:p w14:paraId="4BF37E37">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2</w:t>
            </w:r>
          </w:p>
        </w:tc>
        <w:tc>
          <w:tcPr>
            <w:tcW w:w="1463" w:type="pct"/>
            <w:vAlign w:val="center"/>
          </w:tcPr>
          <w:p w14:paraId="55026F30">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探索企业清洁生产审核分级管理模式</w:t>
            </w:r>
          </w:p>
        </w:tc>
        <w:tc>
          <w:tcPr>
            <w:tcW w:w="1476" w:type="pct"/>
            <w:vAlign w:val="center"/>
          </w:tcPr>
          <w:p w14:paraId="1BC28D22">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探索企业清洁生产审核分级管理模式，重点行业推进强制性清洁生产审核</w:t>
            </w:r>
            <w:r>
              <w:rPr>
                <w:rFonts w:hint="eastAsia" w:asciiTheme="majorEastAsia" w:hAnsiTheme="majorEastAsia" w:eastAsiaTheme="majorEastAsia" w:cstheme="majorEastAsia"/>
                <w:sz w:val="24"/>
                <w:szCs w:val="24"/>
                <w:lang w:eastAsia="zh-CN"/>
              </w:rPr>
              <w:t>。</w:t>
            </w:r>
          </w:p>
        </w:tc>
        <w:tc>
          <w:tcPr>
            <w:tcW w:w="1023" w:type="pct"/>
            <w:vAlign w:val="center"/>
          </w:tcPr>
          <w:p w14:paraId="3B4DE711">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市生态环境局、市发展改革委、市工业和信息化局</w:t>
            </w:r>
          </w:p>
        </w:tc>
        <w:tc>
          <w:tcPr>
            <w:tcW w:w="730" w:type="pct"/>
            <w:vAlign w:val="center"/>
          </w:tcPr>
          <w:p w14:paraId="429CC676">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长期</w:t>
            </w:r>
          </w:p>
        </w:tc>
      </w:tr>
      <w:tr w14:paraId="6B51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5" w:type="pct"/>
            <w:vAlign w:val="center"/>
          </w:tcPr>
          <w:p w14:paraId="369A201F">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3</w:t>
            </w:r>
          </w:p>
        </w:tc>
        <w:tc>
          <w:tcPr>
            <w:tcW w:w="1463" w:type="pct"/>
            <w:vAlign w:val="center"/>
          </w:tcPr>
          <w:p w14:paraId="4BCB79FC">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探索</w:t>
            </w:r>
            <w:r>
              <w:rPr>
                <w:rFonts w:hint="eastAsia" w:asciiTheme="majorEastAsia" w:hAnsiTheme="majorEastAsia" w:eastAsiaTheme="majorEastAsia" w:cstheme="majorEastAsia"/>
                <w:sz w:val="24"/>
                <w:szCs w:val="24"/>
              </w:rPr>
              <w:t>再生资源回收体系建设方案</w:t>
            </w:r>
          </w:p>
        </w:tc>
        <w:tc>
          <w:tcPr>
            <w:tcW w:w="1476" w:type="pct"/>
            <w:vAlign w:val="center"/>
          </w:tcPr>
          <w:p w14:paraId="146DA5D4">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探索</w:t>
            </w:r>
            <w:r>
              <w:rPr>
                <w:rFonts w:hint="eastAsia" w:asciiTheme="majorEastAsia" w:hAnsiTheme="majorEastAsia" w:eastAsiaTheme="majorEastAsia" w:cstheme="majorEastAsia"/>
                <w:sz w:val="24"/>
                <w:szCs w:val="24"/>
              </w:rPr>
              <w:t>再生资源随生活垃圾分类回收、运输、综合利用及处置的全过程体系构建。健全废旧动力电池、废旧家电、报废汽车等耐用消费品回收体系，鼓励再生资源回收企业参与回收低值可回收物，对再生资源回收企业新建分拣中心或回收网点给予政策支持</w:t>
            </w:r>
            <w:r>
              <w:rPr>
                <w:rFonts w:hint="eastAsia" w:asciiTheme="majorEastAsia" w:hAnsiTheme="majorEastAsia" w:eastAsiaTheme="majorEastAsia" w:cstheme="majorEastAsia"/>
                <w:sz w:val="24"/>
                <w:szCs w:val="24"/>
                <w:lang w:eastAsia="zh-CN"/>
              </w:rPr>
              <w:t>。</w:t>
            </w:r>
          </w:p>
        </w:tc>
        <w:tc>
          <w:tcPr>
            <w:tcW w:w="1023" w:type="pct"/>
            <w:vAlign w:val="center"/>
          </w:tcPr>
          <w:p w14:paraId="1EDB5B14">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市商务局</w:t>
            </w:r>
          </w:p>
        </w:tc>
        <w:tc>
          <w:tcPr>
            <w:tcW w:w="730" w:type="pct"/>
            <w:vAlign w:val="center"/>
          </w:tcPr>
          <w:p w14:paraId="11C16C7A">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r>
      <w:tr w14:paraId="012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305" w:type="pct"/>
            <w:vAlign w:val="center"/>
          </w:tcPr>
          <w:p w14:paraId="0B2F6560">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4</w:t>
            </w:r>
          </w:p>
        </w:tc>
        <w:tc>
          <w:tcPr>
            <w:tcW w:w="1463" w:type="pct"/>
            <w:vAlign w:val="center"/>
          </w:tcPr>
          <w:p w14:paraId="4657E638">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制定</w:t>
            </w:r>
            <w:r>
              <w:rPr>
                <w:rFonts w:hint="eastAsia" w:asciiTheme="majorEastAsia" w:hAnsiTheme="majorEastAsia" w:eastAsiaTheme="majorEastAsia" w:cstheme="majorEastAsia"/>
                <w:sz w:val="24"/>
                <w:szCs w:val="24"/>
                <w:highlight w:val="none"/>
              </w:rPr>
              <w:t>中小微企业和</w:t>
            </w:r>
            <w:r>
              <w:rPr>
                <w:rFonts w:hint="eastAsia" w:asciiTheme="majorEastAsia" w:hAnsiTheme="majorEastAsia" w:eastAsiaTheme="majorEastAsia" w:cstheme="majorEastAsia"/>
                <w:sz w:val="24"/>
                <w:szCs w:val="24"/>
              </w:rPr>
              <w:t>社会源危险废物收集和转运制度</w:t>
            </w:r>
          </w:p>
        </w:tc>
        <w:tc>
          <w:tcPr>
            <w:tcW w:w="1476" w:type="pct"/>
            <w:vAlign w:val="center"/>
          </w:tcPr>
          <w:p w14:paraId="021BDE99">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总结中小微企业和社会源危险废物收集转运取得的成效，规范转运体系运行，提升转运体系实效</w:t>
            </w:r>
            <w:r>
              <w:rPr>
                <w:rFonts w:hint="eastAsia" w:asciiTheme="majorEastAsia" w:hAnsiTheme="majorEastAsia" w:eastAsiaTheme="majorEastAsia" w:cstheme="majorEastAsia"/>
                <w:sz w:val="24"/>
                <w:szCs w:val="24"/>
                <w:lang w:eastAsia="zh-CN"/>
              </w:rPr>
              <w:t>。</w:t>
            </w:r>
          </w:p>
        </w:tc>
        <w:tc>
          <w:tcPr>
            <w:tcW w:w="1023" w:type="pct"/>
            <w:vAlign w:val="center"/>
          </w:tcPr>
          <w:p w14:paraId="5A4DC23B">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市生态环境局</w:t>
            </w:r>
          </w:p>
        </w:tc>
        <w:tc>
          <w:tcPr>
            <w:tcW w:w="730" w:type="pct"/>
            <w:vAlign w:val="center"/>
          </w:tcPr>
          <w:p w14:paraId="4323FE29">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年</w:t>
            </w:r>
          </w:p>
        </w:tc>
      </w:tr>
      <w:tr w14:paraId="0B90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05" w:type="pct"/>
            <w:vAlign w:val="center"/>
          </w:tcPr>
          <w:p w14:paraId="1B425E68">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5</w:t>
            </w:r>
          </w:p>
        </w:tc>
        <w:tc>
          <w:tcPr>
            <w:tcW w:w="1463" w:type="pct"/>
            <w:vAlign w:val="center"/>
          </w:tcPr>
          <w:p w14:paraId="19B11FDB">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十五五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淮北市危险废物</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rPr>
              <w:t>工业固体废物污染环境防治规划</w:t>
            </w:r>
          </w:p>
        </w:tc>
        <w:tc>
          <w:tcPr>
            <w:tcW w:w="1476" w:type="pct"/>
            <w:vAlign w:val="center"/>
          </w:tcPr>
          <w:p w14:paraId="176082A2">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提出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十五五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危险废物、工业固体废物管理的工作思路、目标、具体任务，为淮北市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十五五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危险废物、工业固体废物污染防治指明方向、提供实施依据</w:t>
            </w:r>
            <w:r>
              <w:rPr>
                <w:rFonts w:hint="eastAsia" w:asciiTheme="majorEastAsia" w:hAnsiTheme="majorEastAsia" w:eastAsiaTheme="majorEastAsia" w:cstheme="majorEastAsia"/>
                <w:sz w:val="24"/>
                <w:szCs w:val="24"/>
                <w:lang w:eastAsia="zh-CN"/>
              </w:rPr>
              <w:t>。</w:t>
            </w:r>
          </w:p>
        </w:tc>
        <w:tc>
          <w:tcPr>
            <w:tcW w:w="1023" w:type="pct"/>
            <w:vAlign w:val="center"/>
          </w:tcPr>
          <w:p w14:paraId="6F8F7131">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市生态环境局、市工信局、市卫健委等</w:t>
            </w:r>
          </w:p>
        </w:tc>
        <w:tc>
          <w:tcPr>
            <w:tcW w:w="730" w:type="pct"/>
            <w:vAlign w:val="center"/>
          </w:tcPr>
          <w:p w14:paraId="758F5107">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r>
      <w:tr w14:paraId="71B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305" w:type="pct"/>
            <w:vAlign w:val="center"/>
          </w:tcPr>
          <w:p w14:paraId="68A0FBC8">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6</w:t>
            </w:r>
          </w:p>
        </w:tc>
        <w:tc>
          <w:tcPr>
            <w:tcW w:w="1463" w:type="pct"/>
            <w:vAlign w:val="center"/>
          </w:tcPr>
          <w:p w14:paraId="30CC7F4F">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建设宣传工作方案</w:t>
            </w:r>
          </w:p>
        </w:tc>
        <w:tc>
          <w:tcPr>
            <w:tcW w:w="1476" w:type="pct"/>
            <w:vAlign w:val="center"/>
          </w:tcPr>
          <w:p w14:paraId="181AA9BC">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编制宣传方案；定期组织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主题教育活动；创建无废教育基地</w:t>
            </w:r>
            <w:r>
              <w:rPr>
                <w:rFonts w:hint="eastAsia" w:asciiTheme="majorEastAsia" w:hAnsiTheme="majorEastAsia" w:eastAsiaTheme="majorEastAsia" w:cstheme="majorEastAsia"/>
                <w:sz w:val="24"/>
                <w:szCs w:val="24"/>
                <w:lang w:eastAsia="zh-CN"/>
              </w:rPr>
              <w:t>。</w:t>
            </w:r>
          </w:p>
        </w:tc>
        <w:tc>
          <w:tcPr>
            <w:tcW w:w="1023" w:type="pct"/>
            <w:vAlign w:val="center"/>
          </w:tcPr>
          <w:p w14:paraId="5D5273B0">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工作专班</w:t>
            </w:r>
          </w:p>
        </w:tc>
        <w:tc>
          <w:tcPr>
            <w:tcW w:w="730" w:type="pct"/>
            <w:vAlign w:val="center"/>
          </w:tcPr>
          <w:p w14:paraId="34D1F0AF">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年</w:t>
            </w:r>
          </w:p>
        </w:tc>
      </w:tr>
      <w:tr w14:paraId="60F9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05" w:type="pct"/>
            <w:vAlign w:val="center"/>
          </w:tcPr>
          <w:p w14:paraId="45ACA002">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bidi="zh-CN"/>
              </w:rPr>
            </w:pPr>
            <w:r>
              <w:rPr>
                <w:rFonts w:hint="eastAsia" w:asciiTheme="majorEastAsia" w:hAnsiTheme="majorEastAsia" w:eastAsiaTheme="majorEastAsia" w:cstheme="majorEastAsia"/>
                <w:sz w:val="24"/>
                <w:szCs w:val="24"/>
                <w:lang w:val="en-US" w:bidi="zh-CN"/>
              </w:rPr>
              <w:t>7</w:t>
            </w:r>
          </w:p>
        </w:tc>
        <w:tc>
          <w:tcPr>
            <w:tcW w:w="1463" w:type="pct"/>
            <w:vAlign w:val="center"/>
          </w:tcPr>
          <w:p w14:paraId="66A2B034">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定期组织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主题教育活动</w:t>
            </w:r>
          </w:p>
        </w:tc>
        <w:tc>
          <w:tcPr>
            <w:tcW w:w="1476" w:type="pct"/>
            <w:vAlign w:val="center"/>
          </w:tcPr>
          <w:p w14:paraId="39C4007A">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定期对机关、企事业单位、学校、社区、公园、景区、商场等典型场景进行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知识宣贯，张贴宣传横幅，定期在淮北各大高校组织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知识竞赛，举办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讲学堂讲座活动</w:t>
            </w:r>
            <w:r>
              <w:rPr>
                <w:rFonts w:hint="eastAsia" w:asciiTheme="majorEastAsia" w:hAnsiTheme="majorEastAsia" w:eastAsiaTheme="majorEastAsia" w:cstheme="majorEastAsia"/>
                <w:sz w:val="24"/>
                <w:szCs w:val="24"/>
                <w:lang w:eastAsia="zh-CN"/>
              </w:rPr>
              <w:t>。</w:t>
            </w:r>
          </w:p>
        </w:tc>
        <w:tc>
          <w:tcPr>
            <w:tcW w:w="1023" w:type="pct"/>
            <w:vAlign w:val="center"/>
          </w:tcPr>
          <w:p w14:paraId="2EAB6B84">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工作专班</w:t>
            </w:r>
          </w:p>
        </w:tc>
        <w:tc>
          <w:tcPr>
            <w:tcW w:w="730" w:type="pct"/>
            <w:vAlign w:val="center"/>
          </w:tcPr>
          <w:p w14:paraId="4C38A9AE">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长期</w:t>
            </w:r>
          </w:p>
        </w:tc>
      </w:tr>
      <w:tr w14:paraId="1A08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05" w:type="pct"/>
            <w:vAlign w:val="center"/>
          </w:tcPr>
          <w:p w14:paraId="2D739EE7">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p>
        </w:tc>
        <w:tc>
          <w:tcPr>
            <w:tcW w:w="1463" w:type="pct"/>
            <w:vAlign w:val="center"/>
          </w:tcPr>
          <w:p w14:paraId="596A236A">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编制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无废细胞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评估标准</w:t>
            </w:r>
          </w:p>
        </w:tc>
        <w:tc>
          <w:tcPr>
            <w:tcW w:w="1476" w:type="pct"/>
            <w:vAlign w:val="center"/>
          </w:tcPr>
          <w:p w14:paraId="390F3EE6">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确定各项创建对象的评价指标，合理评选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无废细胞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单位</w:t>
            </w:r>
            <w:r>
              <w:rPr>
                <w:rFonts w:hint="eastAsia" w:asciiTheme="majorEastAsia" w:hAnsiTheme="majorEastAsia" w:eastAsiaTheme="majorEastAsia" w:cstheme="majorEastAsia"/>
                <w:sz w:val="24"/>
                <w:szCs w:val="24"/>
                <w:lang w:eastAsia="zh-CN"/>
              </w:rPr>
              <w:t>。</w:t>
            </w:r>
          </w:p>
        </w:tc>
        <w:tc>
          <w:tcPr>
            <w:tcW w:w="1023" w:type="pct"/>
            <w:vAlign w:val="center"/>
          </w:tcPr>
          <w:p w14:paraId="38D826F9">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无废城市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工作专班</w:t>
            </w:r>
          </w:p>
        </w:tc>
        <w:tc>
          <w:tcPr>
            <w:tcW w:w="730" w:type="pct"/>
            <w:vAlign w:val="center"/>
          </w:tcPr>
          <w:p w14:paraId="7CAA8627">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2025年</w:t>
            </w:r>
          </w:p>
        </w:tc>
      </w:tr>
      <w:tr w14:paraId="6BD6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05" w:type="pct"/>
            <w:vAlign w:val="center"/>
          </w:tcPr>
          <w:p w14:paraId="40DB41AD">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1463" w:type="pct"/>
            <w:vAlign w:val="center"/>
          </w:tcPr>
          <w:p w14:paraId="1C488ADA">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制定《淮北市畜禽养殖污染防治规划》</w:t>
            </w:r>
          </w:p>
        </w:tc>
        <w:tc>
          <w:tcPr>
            <w:tcW w:w="1476" w:type="pct"/>
            <w:vAlign w:val="center"/>
          </w:tcPr>
          <w:p w14:paraId="2DE071B8">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市本级制定《淮北市畜禽养殖污染防治规划》，提升畜禽养殖污染防治水平</w:t>
            </w:r>
            <w:r>
              <w:rPr>
                <w:rFonts w:hint="eastAsia" w:asciiTheme="majorEastAsia" w:hAnsiTheme="majorEastAsia" w:eastAsiaTheme="majorEastAsia" w:cstheme="majorEastAsia"/>
                <w:sz w:val="24"/>
                <w:szCs w:val="24"/>
                <w:lang w:eastAsia="zh-CN"/>
              </w:rPr>
              <w:t>。</w:t>
            </w:r>
          </w:p>
        </w:tc>
        <w:tc>
          <w:tcPr>
            <w:tcW w:w="1023" w:type="pct"/>
            <w:vAlign w:val="center"/>
          </w:tcPr>
          <w:p w14:paraId="5ECF947D">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市生态环境局、市农业农村局</w:t>
            </w:r>
          </w:p>
        </w:tc>
        <w:tc>
          <w:tcPr>
            <w:tcW w:w="730" w:type="pct"/>
            <w:vAlign w:val="center"/>
          </w:tcPr>
          <w:p w14:paraId="1E01BCB7">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highlight w:val="none"/>
              </w:rPr>
              <w:t>202</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年</w:t>
            </w:r>
          </w:p>
        </w:tc>
      </w:tr>
      <w:tr w14:paraId="619D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305" w:type="pct"/>
            <w:vAlign w:val="center"/>
          </w:tcPr>
          <w:p w14:paraId="19766E56">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1463" w:type="pct"/>
            <w:vAlign w:val="center"/>
          </w:tcPr>
          <w:p w14:paraId="5ED65CA0">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打造农村生活垃圾分类乡镇试点</w:t>
            </w:r>
          </w:p>
        </w:tc>
        <w:tc>
          <w:tcPr>
            <w:tcW w:w="1476" w:type="pct"/>
            <w:vAlign w:val="center"/>
          </w:tcPr>
          <w:p w14:paraId="4A81971E">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rPr>
              <w:t>每个县选择一个乡镇，在乡镇政府所在集镇开展农村生活垃圾分类试点</w:t>
            </w:r>
            <w:r>
              <w:rPr>
                <w:rFonts w:hint="eastAsia" w:asciiTheme="majorEastAsia" w:hAnsiTheme="majorEastAsia" w:eastAsiaTheme="majorEastAsia" w:cstheme="majorEastAsia"/>
                <w:sz w:val="24"/>
                <w:szCs w:val="24"/>
                <w:lang w:eastAsia="zh-CN"/>
              </w:rPr>
              <w:t>。</w:t>
            </w:r>
          </w:p>
        </w:tc>
        <w:tc>
          <w:tcPr>
            <w:tcW w:w="1023" w:type="pct"/>
            <w:vAlign w:val="center"/>
          </w:tcPr>
          <w:p w14:paraId="553433D5">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市农业农村局、市城市管理局、市供销社、县区人民政府</w:t>
            </w:r>
          </w:p>
        </w:tc>
        <w:tc>
          <w:tcPr>
            <w:tcW w:w="730" w:type="pct"/>
            <w:vAlign w:val="center"/>
          </w:tcPr>
          <w:p w14:paraId="63CA8D03">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长期</w:t>
            </w:r>
          </w:p>
        </w:tc>
      </w:tr>
      <w:tr w14:paraId="1535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305" w:type="pct"/>
            <w:vAlign w:val="center"/>
          </w:tcPr>
          <w:p w14:paraId="6F6F0568">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p>
        </w:tc>
        <w:tc>
          <w:tcPr>
            <w:tcW w:w="1463" w:type="pct"/>
            <w:vAlign w:val="center"/>
          </w:tcPr>
          <w:p w14:paraId="5D8BA2A8">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制定保障固废收集处理处置设施用地相关政策</w:t>
            </w:r>
          </w:p>
        </w:tc>
        <w:tc>
          <w:tcPr>
            <w:tcW w:w="1476" w:type="pct"/>
            <w:vAlign w:val="center"/>
          </w:tcPr>
          <w:p w14:paraId="71EAA380">
            <w:pPr>
              <w:pageBreakBefore w:val="0"/>
              <w:kinsoku/>
              <w:wordWrap/>
              <w:overflowPunct/>
              <w:topLinePunct w:val="0"/>
              <w:bidi w:val="0"/>
              <w:snapToGrid/>
              <w:spacing w:line="590" w:lineRule="exact"/>
              <w:ind w:firstLine="0" w:firstLineChars="0"/>
              <w:jc w:val="both"/>
              <w:textAlignment w:val="auto"/>
              <w:rPr>
                <w:rFonts w:hint="eastAsia" w:asciiTheme="majorEastAsia" w:hAnsiTheme="majorEastAsia" w:eastAsiaTheme="majorEastAsia" w:cstheme="majorEastAsia"/>
                <w:sz w:val="24"/>
                <w:szCs w:val="24"/>
                <w:lang w:val="zh-CN" w:eastAsia="zh-CN"/>
              </w:rPr>
            </w:pPr>
            <w:r>
              <w:rPr>
                <w:rFonts w:hint="eastAsia" w:asciiTheme="majorEastAsia" w:hAnsiTheme="majorEastAsia" w:eastAsiaTheme="majorEastAsia" w:cstheme="majorEastAsia"/>
                <w:sz w:val="24"/>
                <w:szCs w:val="24"/>
              </w:rPr>
              <w:t>制定有利于固废综合治理的土地支持政策，加强对弃土消纳场、再生资源分拣中心、危废利用处置、固废分类收运等固废设施的用地保障</w:t>
            </w:r>
            <w:r>
              <w:rPr>
                <w:rFonts w:hint="eastAsia" w:asciiTheme="majorEastAsia" w:hAnsiTheme="majorEastAsia" w:eastAsiaTheme="majorEastAsia" w:cstheme="majorEastAsia"/>
                <w:sz w:val="24"/>
                <w:szCs w:val="24"/>
                <w:lang w:eastAsia="zh-CN"/>
              </w:rPr>
              <w:t>。</w:t>
            </w:r>
          </w:p>
        </w:tc>
        <w:tc>
          <w:tcPr>
            <w:tcW w:w="1023" w:type="pct"/>
            <w:vAlign w:val="center"/>
          </w:tcPr>
          <w:p w14:paraId="79CEE98F">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市自然资源和规划局</w:t>
            </w:r>
          </w:p>
        </w:tc>
        <w:tc>
          <w:tcPr>
            <w:tcW w:w="730" w:type="pct"/>
            <w:vAlign w:val="center"/>
          </w:tcPr>
          <w:p w14:paraId="46B73035">
            <w:pPr>
              <w:pageBreakBefore w:val="0"/>
              <w:kinsoku/>
              <w:wordWrap/>
              <w:overflowPunct/>
              <w:topLinePunct w:val="0"/>
              <w:bidi w:val="0"/>
              <w:snapToGrid/>
              <w:spacing w:line="590" w:lineRule="exact"/>
              <w:ind w:firstLine="0" w:firstLineChars="0"/>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highlight w:val="none"/>
                <w:lang w:val="en-US" w:eastAsia="zh-CN"/>
              </w:rPr>
              <w:t>长期</w:t>
            </w:r>
          </w:p>
        </w:tc>
      </w:tr>
    </w:tbl>
    <w:p w14:paraId="15960DF7">
      <w:pPr>
        <w:pStyle w:val="3"/>
        <w:keepNext w:val="0"/>
        <w:keepLines w:val="0"/>
        <w:pageBreakBefore w:val="0"/>
        <w:widowControl w:val="0"/>
        <w:kinsoku/>
        <w:wordWrap/>
        <w:overflowPunct/>
        <w:topLinePunct w:val="0"/>
        <w:autoSpaceDE/>
        <w:autoSpaceDN/>
        <w:bidi w:val="0"/>
        <w:adjustRightInd/>
        <w:snapToGrid/>
        <w:spacing w:before="937" w:beforeLines="300" w:line="590" w:lineRule="exact"/>
        <w:textAlignment w:val="auto"/>
        <w:rPr>
          <w:rFonts w:ascii="Times New Roman" w:hAnsi="Times New Roman" w:cs="Times New Roman"/>
          <w:sz w:val="32"/>
          <w:szCs w:val="32"/>
        </w:rPr>
      </w:pPr>
    </w:p>
    <w:p w14:paraId="48F2D603">
      <w:pPr>
        <w:pStyle w:val="3"/>
        <w:keepNext w:val="0"/>
        <w:keepLines w:val="0"/>
        <w:pageBreakBefore w:val="0"/>
        <w:widowControl w:val="0"/>
        <w:kinsoku/>
        <w:wordWrap/>
        <w:overflowPunct/>
        <w:topLinePunct w:val="0"/>
        <w:autoSpaceDE/>
        <w:autoSpaceDN/>
        <w:bidi w:val="0"/>
        <w:adjustRightInd/>
        <w:snapToGrid/>
        <w:spacing w:before="937" w:beforeLines="300" w:line="590" w:lineRule="exact"/>
        <w:textAlignment w:val="auto"/>
        <w:rPr>
          <w:rFonts w:ascii="Times New Roman" w:hAnsi="Times New Roman" w:cs="Times New Roman"/>
          <w:sz w:val="32"/>
          <w:szCs w:val="32"/>
        </w:rPr>
      </w:pPr>
    </w:p>
    <w:p w14:paraId="2994A29A">
      <w:pPr>
        <w:pStyle w:val="3"/>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Times New Roman" w:hAnsi="Times New Roman" w:cs="Times New Roman"/>
          <w:sz w:val="32"/>
          <w:szCs w:val="32"/>
        </w:rPr>
      </w:pPr>
    </w:p>
    <w:p w14:paraId="5C0E6636">
      <w:pPr>
        <w:pStyle w:val="3"/>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表2 </w:t>
      </w:r>
      <w:r>
        <w:rPr>
          <w:rFonts w:hint="eastAsia" w:ascii="黑体" w:hAnsi="黑体" w:cs="黑体"/>
          <w:sz w:val="32"/>
          <w:szCs w:val="32"/>
          <w:lang w:eastAsia="zh-CN"/>
        </w:rPr>
        <w:t>“</w:t>
      </w:r>
      <w:r>
        <w:rPr>
          <w:rFonts w:hint="eastAsia" w:ascii="黑体" w:hAnsi="黑体" w:eastAsia="黑体" w:cs="黑体"/>
          <w:sz w:val="32"/>
          <w:szCs w:val="32"/>
        </w:rPr>
        <w:t>无废城市</w:t>
      </w:r>
      <w:r>
        <w:rPr>
          <w:rFonts w:hint="eastAsia" w:ascii="黑体" w:hAnsi="黑体" w:cs="黑体"/>
          <w:sz w:val="32"/>
          <w:szCs w:val="32"/>
          <w:lang w:eastAsia="zh-CN"/>
        </w:rPr>
        <w:t>”</w:t>
      </w:r>
      <w:r>
        <w:rPr>
          <w:rFonts w:hint="eastAsia" w:ascii="黑体" w:hAnsi="黑体" w:eastAsia="黑体" w:cs="黑体"/>
          <w:sz w:val="32"/>
          <w:szCs w:val="32"/>
        </w:rPr>
        <w:t>技术体系建设任务清单</w:t>
      </w:r>
    </w:p>
    <w:tbl>
      <w:tblPr>
        <w:tblStyle w:val="8"/>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4129"/>
        <w:gridCol w:w="4172"/>
        <w:gridCol w:w="2897"/>
        <w:gridCol w:w="2092"/>
      </w:tblGrid>
      <w:tr w14:paraId="006F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81" w:type="dxa"/>
            <w:shd w:val="clear" w:color="auto" w:fill="auto"/>
            <w:vAlign w:val="center"/>
          </w:tcPr>
          <w:p w14:paraId="38D710B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ascii="Times New Roman" w:hAnsi="Times New Roman" w:cs="Times New Roman"/>
                <w:b/>
                <w:bCs/>
                <w:sz w:val="24"/>
                <w:szCs w:val="24"/>
              </w:rPr>
              <w:t>序号</w:t>
            </w:r>
          </w:p>
        </w:tc>
        <w:tc>
          <w:tcPr>
            <w:tcW w:w="4129" w:type="dxa"/>
            <w:shd w:val="clear" w:color="auto" w:fill="auto"/>
            <w:vAlign w:val="center"/>
          </w:tcPr>
          <w:p w14:paraId="2A98F2A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ascii="Times New Roman" w:hAnsi="Times New Roman" w:cs="Times New Roman"/>
                <w:b/>
                <w:bCs/>
                <w:sz w:val="24"/>
                <w:szCs w:val="24"/>
              </w:rPr>
              <w:t>任务清单</w:t>
            </w:r>
          </w:p>
        </w:tc>
        <w:tc>
          <w:tcPr>
            <w:tcW w:w="4172" w:type="dxa"/>
            <w:shd w:val="clear" w:color="auto" w:fill="auto"/>
            <w:vAlign w:val="center"/>
          </w:tcPr>
          <w:p w14:paraId="5DF6877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ascii="Times New Roman" w:hAnsi="Times New Roman" w:cs="Times New Roman"/>
                <w:b/>
                <w:bCs/>
                <w:sz w:val="24"/>
                <w:szCs w:val="24"/>
              </w:rPr>
              <w:t>主要内容</w:t>
            </w:r>
          </w:p>
        </w:tc>
        <w:tc>
          <w:tcPr>
            <w:tcW w:w="2897" w:type="dxa"/>
            <w:shd w:val="clear" w:color="auto" w:fill="auto"/>
            <w:vAlign w:val="center"/>
          </w:tcPr>
          <w:p w14:paraId="5BDA349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ascii="Times New Roman" w:hAnsi="Times New Roman" w:cs="Times New Roman"/>
                <w:b/>
                <w:bCs/>
                <w:sz w:val="24"/>
                <w:szCs w:val="24"/>
              </w:rPr>
              <w:t>责任主体</w:t>
            </w:r>
          </w:p>
        </w:tc>
        <w:tc>
          <w:tcPr>
            <w:tcW w:w="2092" w:type="dxa"/>
            <w:shd w:val="clear" w:color="auto" w:fill="auto"/>
            <w:vAlign w:val="center"/>
          </w:tcPr>
          <w:p w14:paraId="1874C9D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b/>
                <w:bCs/>
                <w:kern w:val="2"/>
                <w:sz w:val="24"/>
                <w:szCs w:val="24"/>
                <w:lang w:val="en-US" w:eastAsia="zh-CN" w:bidi="ar-SA"/>
              </w:rPr>
            </w:pPr>
            <w:r>
              <w:rPr>
                <w:rFonts w:ascii="Times New Roman" w:hAnsi="Times New Roman" w:cs="Times New Roman"/>
                <w:b/>
                <w:bCs/>
                <w:sz w:val="24"/>
                <w:szCs w:val="24"/>
              </w:rPr>
              <w:t>完成时限</w:t>
            </w:r>
          </w:p>
        </w:tc>
      </w:tr>
      <w:tr w14:paraId="3045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56A1C37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1</w:t>
            </w:r>
          </w:p>
        </w:tc>
        <w:tc>
          <w:tcPr>
            <w:tcW w:w="4129" w:type="dxa"/>
            <w:shd w:val="clear" w:color="auto" w:fill="auto"/>
            <w:vAlign w:val="center"/>
          </w:tcPr>
          <w:p w14:paraId="224CE18D">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培育大宗固体废物综合利用技术</w:t>
            </w:r>
          </w:p>
        </w:tc>
        <w:tc>
          <w:tcPr>
            <w:tcW w:w="4172" w:type="dxa"/>
            <w:shd w:val="clear" w:color="auto" w:fill="auto"/>
            <w:vAlign w:val="center"/>
          </w:tcPr>
          <w:p w14:paraId="3AFC8F4C">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培育煤矸石、粉煤灰、脱硫石膏等大宗固体废物综合利用技术，培育粉煤灰中有价元素的提取与高值化利用技术</w:t>
            </w:r>
            <w:r>
              <w:rPr>
                <w:rFonts w:hint="eastAsia" w:ascii="Times New Roman" w:hAnsi="Times New Roman" w:cs="Times New Roman"/>
                <w:sz w:val="24"/>
                <w:szCs w:val="24"/>
                <w:lang w:eastAsia="zh-CN"/>
              </w:rPr>
              <w:t>。</w:t>
            </w:r>
          </w:p>
        </w:tc>
        <w:tc>
          <w:tcPr>
            <w:tcW w:w="2897" w:type="dxa"/>
            <w:shd w:val="clear" w:color="auto" w:fill="auto"/>
            <w:vAlign w:val="center"/>
          </w:tcPr>
          <w:p w14:paraId="543DED6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产废企业、市生态环境局、市科技局</w:t>
            </w:r>
          </w:p>
        </w:tc>
        <w:tc>
          <w:tcPr>
            <w:tcW w:w="2092" w:type="dxa"/>
            <w:shd w:val="clear" w:color="auto" w:fill="auto"/>
            <w:vAlign w:val="center"/>
          </w:tcPr>
          <w:p w14:paraId="7BDE28E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长期</w:t>
            </w:r>
          </w:p>
        </w:tc>
      </w:tr>
      <w:tr w14:paraId="2996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119382A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2</w:t>
            </w:r>
          </w:p>
        </w:tc>
        <w:tc>
          <w:tcPr>
            <w:tcW w:w="4129" w:type="dxa"/>
            <w:shd w:val="clear" w:color="auto" w:fill="auto"/>
            <w:vAlign w:val="center"/>
          </w:tcPr>
          <w:p w14:paraId="746ED4B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畜禽粪污资源化利用技术集成</w:t>
            </w:r>
          </w:p>
        </w:tc>
        <w:tc>
          <w:tcPr>
            <w:tcW w:w="4172" w:type="dxa"/>
            <w:shd w:val="clear" w:color="auto" w:fill="auto"/>
            <w:vAlign w:val="center"/>
          </w:tcPr>
          <w:p w14:paraId="4DEDF156">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加强畜禽粪污处理效果、臭气控制和资源化利用等方面研究和技术指导，加快先进、经济、适用技术的试验示范和推广应用，推广应用有机肥、水肥一体化等关键技术和装备</w:t>
            </w:r>
            <w:r>
              <w:rPr>
                <w:rFonts w:hint="eastAsia" w:ascii="Times New Roman" w:hAnsi="Times New Roman" w:cs="Times New Roman"/>
                <w:sz w:val="24"/>
                <w:szCs w:val="24"/>
                <w:lang w:eastAsia="zh-CN"/>
              </w:rPr>
              <w:t>。</w:t>
            </w:r>
          </w:p>
        </w:tc>
        <w:tc>
          <w:tcPr>
            <w:tcW w:w="2897" w:type="dxa"/>
            <w:shd w:val="clear" w:color="auto" w:fill="auto"/>
            <w:vAlign w:val="center"/>
          </w:tcPr>
          <w:p w14:paraId="3F6A380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市农业农村局、市科技局</w:t>
            </w:r>
          </w:p>
        </w:tc>
        <w:tc>
          <w:tcPr>
            <w:tcW w:w="2092" w:type="dxa"/>
            <w:shd w:val="clear" w:color="auto" w:fill="auto"/>
            <w:vAlign w:val="center"/>
          </w:tcPr>
          <w:p w14:paraId="2094456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2025年</w:t>
            </w:r>
          </w:p>
        </w:tc>
      </w:tr>
      <w:tr w14:paraId="6B73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5B6FDBF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3</w:t>
            </w:r>
          </w:p>
        </w:tc>
        <w:tc>
          <w:tcPr>
            <w:tcW w:w="4129" w:type="dxa"/>
            <w:shd w:val="clear" w:color="auto" w:fill="auto"/>
            <w:vAlign w:val="center"/>
          </w:tcPr>
          <w:p w14:paraId="1A9BBBA9">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zh-CN" w:eastAsia="zh-CN" w:bidi="ar-SA"/>
              </w:rPr>
            </w:pPr>
            <w:r>
              <w:rPr>
                <w:rFonts w:ascii="Times New Roman" w:hAnsi="Times New Roman" w:cs="Times New Roman"/>
                <w:sz w:val="24"/>
                <w:szCs w:val="24"/>
              </w:rPr>
              <w:t>生态种养循环农业模式</w:t>
            </w:r>
          </w:p>
        </w:tc>
        <w:tc>
          <w:tcPr>
            <w:tcW w:w="4172" w:type="dxa"/>
            <w:shd w:val="clear" w:color="auto" w:fill="auto"/>
            <w:vAlign w:val="center"/>
          </w:tcPr>
          <w:p w14:paraId="1555D6CC">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zh-CN" w:eastAsia="zh-CN" w:bidi="ar-SA"/>
              </w:rPr>
            </w:pPr>
            <w:r>
              <w:rPr>
                <w:rFonts w:ascii="Times New Roman" w:hAnsi="Times New Roman" w:cs="Times New Roman"/>
                <w:sz w:val="24"/>
                <w:szCs w:val="24"/>
              </w:rPr>
              <w:t>推</w:t>
            </w:r>
            <w:r>
              <w:rPr>
                <w:rFonts w:hint="eastAsia" w:asciiTheme="minorEastAsia" w:hAnsiTheme="minorEastAsia" w:eastAsiaTheme="minorEastAsia" w:cstheme="minorEastAsia"/>
                <w:sz w:val="24"/>
                <w:szCs w:val="24"/>
              </w:rPr>
              <w:t>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畜禽粪便—沼气—沼渣、沼液—农林作物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畜禽粪便—生物有机肥料—农林作物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等生态种养循环模式</w:t>
            </w:r>
            <w:r>
              <w:rPr>
                <w:rFonts w:hint="eastAsia" w:asciiTheme="minorEastAsia" w:hAnsiTheme="minorEastAsia" w:eastAsiaTheme="minorEastAsia" w:cstheme="minorEastAsia"/>
                <w:sz w:val="24"/>
                <w:szCs w:val="24"/>
                <w:lang w:eastAsia="zh-CN"/>
              </w:rPr>
              <w:t>。</w:t>
            </w:r>
          </w:p>
        </w:tc>
        <w:tc>
          <w:tcPr>
            <w:tcW w:w="2897" w:type="dxa"/>
            <w:shd w:val="clear" w:color="auto" w:fill="auto"/>
            <w:vAlign w:val="center"/>
          </w:tcPr>
          <w:p w14:paraId="597B8EB7">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市农业农村局</w:t>
            </w:r>
          </w:p>
        </w:tc>
        <w:tc>
          <w:tcPr>
            <w:tcW w:w="2092" w:type="dxa"/>
            <w:shd w:val="clear" w:color="auto" w:fill="auto"/>
            <w:vAlign w:val="center"/>
          </w:tcPr>
          <w:p w14:paraId="2139AB82">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长期</w:t>
            </w:r>
          </w:p>
        </w:tc>
      </w:tr>
      <w:tr w14:paraId="6F01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2CED8D5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4</w:t>
            </w:r>
          </w:p>
        </w:tc>
        <w:tc>
          <w:tcPr>
            <w:tcW w:w="4129" w:type="dxa"/>
            <w:shd w:val="clear" w:color="auto" w:fill="auto"/>
            <w:vAlign w:val="center"/>
          </w:tcPr>
          <w:p w14:paraId="3519DEE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生活垃圾焚烧飞灰处置技术探索应用</w:t>
            </w:r>
          </w:p>
        </w:tc>
        <w:tc>
          <w:tcPr>
            <w:tcW w:w="4172" w:type="dxa"/>
            <w:shd w:val="clear" w:color="auto" w:fill="auto"/>
            <w:vAlign w:val="center"/>
          </w:tcPr>
          <w:p w14:paraId="49B7B8E4">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协同拓展生活垃圾焚烧飞灰除固化填埋外，其他如水泥窑协同、低温热分解、高温烧结、高温熔融、酸洗利用、飞灰机械化学处置工艺等资源化利用方式，打通危险废物减量化、资源化通道</w:t>
            </w:r>
            <w:r>
              <w:rPr>
                <w:rFonts w:hint="eastAsia" w:ascii="Times New Roman" w:hAnsi="Times New Roman" w:cs="Times New Roman"/>
                <w:sz w:val="24"/>
                <w:szCs w:val="24"/>
                <w:lang w:eastAsia="zh-CN"/>
              </w:rPr>
              <w:t>。</w:t>
            </w:r>
          </w:p>
        </w:tc>
        <w:tc>
          <w:tcPr>
            <w:tcW w:w="2897" w:type="dxa"/>
            <w:shd w:val="clear" w:color="auto" w:fill="auto"/>
            <w:vAlign w:val="center"/>
          </w:tcPr>
          <w:p w14:paraId="78B729A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市生态环境局</w:t>
            </w:r>
          </w:p>
        </w:tc>
        <w:tc>
          <w:tcPr>
            <w:tcW w:w="2092" w:type="dxa"/>
            <w:shd w:val="clear" w:color="auto" w:fill="auto"/>
            <w:vAlign w:val="center"/>
          </w:tcPr>
          <w:p w14:paraId="0F2AED4A">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2027年</w:t>
            </w:r>
          </w:p>
        </w:tc>
      </w:tr>
      <w:tr w14:paraId="530E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6BF85CB0">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5</w:t>
            </w:r>
          </w:p>
        </w:tc>
        <w:tc>
          <w:tcPr>
            <w:tcW w:w="4129" w:type="dxa"/>
            <w:shd w:val="clear" w:color="auto" w:fill="auto"/>
            <w:vAlign w:val="center"/>
          </w:tcPr>
          <w:p w14:paraId="29415CDE">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铝灰资源化再利用技术研发应用</w:t>
            </w:r>
          </w:p>
        </w:tc>
        <w:tc>
          <w:tcPr>
            <w:tcW w:w="4172" w:type="dxa"/>
            <w:shd w:val="clear" w:color="auto" w:fill="auto"/>
            <w:vAlign w:val="center"/>
          </w:tcPr>
          <w:p w14:paraId="5F67CCA0">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推动安徽元禾泰盛环保科技有限公司铝灰资源化再利用项目</w:t>
            </w:r>
            <w:r>
              <w:rPr>
                <w:rFonts w:hint="eastAsia" w:ascii="Times New Roman" w:hAnsi="Times New Roman" w:cs="Times New Roman"/>
                <w:sz w:val="24"/>
                <w:szCs w:val="24"/>
                <w:lang w:eastAsia="zh-CN"/>
              </w:rPr>
              <w:t>。</w:t>
            </w:r>
          </w:p>
        </w:tc>
        <w:tc>
          <w:tcPr>
            <w:tcW w:w="2897" w:type="dxa"/>
            <w:shd w:val="clear" w:color="auto" w:fill="auto"/>
            <w:vAlign w:val="center"/>
          </w:tcPr>
          <w:p w14:paraId="6A0C0BF6">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市生态环境局</w:t>
            </w:r>
          </w:p>
        </w:tc>
        <w:tc>
          <w:tcPr>
            <w:tcW w:w="2092" w:type="dxa"/>
            <w:shd w:val="clear" w:color="auto" w:fill="auto"/>
            <w:vAlign w:val="center"/>
          </w:tcPr>
          <w:p w14:paraId="4903BE2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2025年</w:t>
            </w:r>
          </w:p>
        </w:tc>
      </w:tr>
      <w:tr w14:paraId="084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shd w:val="clear" w:color="auto" w:fill="auto"/>
            <w:vAlign w:val="center"/>
          </w:tcPr>
          <w:p w14:paraId="731D1FBF">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6</w:t>
            </w:r>
          </w:p>
        </w:tc>
        <w:tc>
          <w:tcPr>
            <w:tcW w:w="4129" w:type="dxa"/>
            <w:shd w:val="clear" w:color="auto" w:fill="auto"/>
            <w:vAlign w:val="center"/>
          </w:tcPr>
          <w:p w14:paraId="7446390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zh-CN" w:eastAsia="zh-CN" w:bidi="ar-SA"/>
              </w:rPr>
            </w:pPr>
            <w:r>
              <w:rPr>
                <w:rFonts w:ascii="Times New Roman" w:hAnsi="Times New Roman" w:cs="Times New Roman"/>
                <w:sz w:val="24"/>
                <w:szCs w:val="24"/>
              </w:rPr>
              <w:t>加速固废领域技术成果转化</w:t>
            </w:r>
          </w:p>
        </w:tc>
        <w:tc>
          <w:tcPr>
            <w:tcW w:w="4172" w:type="dxa"/>
            <w:shd w:val="clear" w:color="auto" w:fill="auto"/>
            <w:vAlign w:val="center"/>
          </w:tcPr>
          <w:p w14:paraId="4D8274A5">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实施关键技</w:t>
            </w:r>
            <w:r>
              <w:rPr>
                <w:rFonts w:hint="eastAsia" w:asciiTheme="minorEastAsia" w:hAnsiTheme="minorEastAsia" w:eastAsiaTheme="minorEastAsia" w:cstheme="minorEastAsia"/>
                <w:sz w:val="24"/>
                <w:szCs w:val="24"/>
              </w:rPr>
              <w:t>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揭榜挂帅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机制，支持成果就地转化场景应用，探索成果沿途转化机制，加快推进</w:t>
            </w:r>
            <w:r>
              <w:rPr>
                <w:rFonts w:ascii="Times New Roman" w:hAnsi="Times New Roman" w:cs="Times New Roman"/>
                <w:sz w:val="24"/>
                <w:szCs w:val="24"/>
              </w:rPr>
              <w:t>节能环保技术产品产业化</w:t>
            </w:r>
            <w:r>
              <w:rPr>
                <w:rFonts w:hint="eastAsia" w:ascii="Times New Roman" w:hAnsi="Times New Roman" w:cs="Times New Roman"/>
                <w:sz w:val="24"/>
                <w:szCs w:val="24"/>
                <w:lang w:eastAsia="zh-CN"/>
              </w:rPr>
              <w:t>。</w:t>
            </w:r>
          </w:p>
        </w:tc>
        <w:tc>
          <w:tcPr>
            <w:tcW w:w="2897" w:type="dxa"/>
            <w:shd w:val="clear" w:color="auto" w:fill="auto"/>
            <w:vAlign w:val="center"/>
          </w:tcPr>
          <w:p w14:paraId="4E6ABBEC">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市科技局、市工信局</w:t>
            </w:r>
          </w:p>
        </w:tc>
        <w:tc>
          <w:tcPr>
            <w:tcW w:w="2092" w:type="dxa"/>
            <w:shd w:val="clear" w:color="auto" w:fill="auto"/>
            <w:vAlign w:val="center"/>
          </w:tcPr>
          <w:p w14:paraId="5388D6E4">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eastAsia" w:ascii="Times New Roman" w:hAnsi="Times New Roman" w:eastAsia="宋体" w:cs="Times New Roman"/>
                <w:kern w:val="2"/>
                <w:sz w:val="24"/>
                <w:szCs w:val="24"/>
                <w:lang w:val="en-US" w:eastAsia="zh-CN" w:bidi="ar-SA"/>
              </w:rPr>
            </w:pPr>
            <w:r>
              <w:rPr>
                <w:rFonts w:ascii="Times New Roman" w:hAnsi="Times New Roman" w:cs="Times New Roman"/>
                <w:sz w:val="24"/>
                <w:szCs w:val="24"/>
              </w:rPr>
              <w:t>长期</w:t>
            </w:r>
          </w:p>
        </w:tc>
      </w:tr>
    </w:tbl>
    <w:p w14:paraId="00171CD8">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rPr>
      </w:pPr>
    </w:p>
    <w:p w14:paraId="7A89B864">
      <w:pPr>
        <w:pStyle w:val="3"/>
        <w:pageBreakBefore w:val="0"/>
        <w:kinsoku/>
        <w:wordWrap/>
        <w:overflowPunct/>
        <w:topLinePunct w:val="0"/>
        <w:bidi w:val="0"/>
        <w:snapToGrid/>
        <w:spacing w:line="590" w:lineRule="exact"/>
        <w:jc w:val="center"/>
        <w:textAlignment w:val="auto"/>
        <w:rPr>
          <w:rFonts w:ascii="Times New Roman" w:hAnsi="Times New Roman" w:cs="Times New Roman"/>
        </w:rPr>
      </w:pPr>
    </w:p>
    <w:p w14:paraId="531BCDA5">
      <w:pPr>
        <w:pageBreakBefore w:val="0"/>
        <w:kinsoku/>
        <w:wordWrap/>
        <w:overflowPunct/>
        <w:topLinePunct w:val="0"/>
        <w:bidi w:val="0"/>
        <w:snapToGrid/>
        <w:spacing w:line="590" w:lineRule="exact"/>
        <w:textAlignment w:val="auto"/>
        <w:rPr>
          <w:rFonts w:ascii="Times New Roman" w:hAnsi="Times New Roman" w:cs="Times New Roman"/>
        </w:rPr>
      </w:pPr>
    </w:p>
    <w:p w14:paraId="7E9683E7">
      <w:pPr>
        <w:pageBreakBefore w:val="0"/>
        <w:kinsoku/>
        <w:wordWrap/>
        <w:overflowPunct/>
        <w:topLinePunct w:val="0"/>
        <w:bidi w:val="0"/>
        <w:snapToGrid/>
        <w:spacing w:line="590" w:lineRule="exact"/>
        <w:textAlignment w:val="auto"/>
        <w:rPr>
          <w:rFonts w:ascii="Times New Roman" w:hAnsi="Times New Roman" w:cs="Times New Roman"/>
        </w:rPr>
      </w:pPr>
    </w:p>
    <w:p w14:paraId="53554B64">
      <w:pPr>
        <w:pageBreakBefore w:val="0"/>
        <w:kinsoku/>
        <w:wordWrap/>
        <w:overflowPunct/>
        <w:topLinePunct w:val="0"/>
        <w:bidi w:val="0"/>
        <w:snapToGrid/>
        <w:spacing w:line="590" w:lineRule="exact"/>
        <w:textAlignment w:val="auto"/>
        <w:rPr>
          <w:rFonts w:ascii="Times New Roman" w:hAnsi="Times New Roman" w:cs="Times New Roman"/>
        </w:rPr>
      </w:pPr>
    </w:p>
    <w:p w14:paraId="2D57FEC2">
      <w:pPr>
        <w:pageBreakBefore w:val="0"/>
        <w:kinsoku/>
        <w:wordWrap/>
        <w:overflowPunct/>
        <w:topLinePunct w:val="0"/>
        <w:bidi w:val="0"/>
        <w:snapToGrid/>
        <w:spacing w:line="590" w:lineRule="exact"/>
        <w:textAlignment w:val="auto"/>
        <w:rPr>
          <w:rFonts w:ascii="Times New Roman" w:hAnsi="Times New Roman" w:cs="Times New Roman"/>
        </w:rPr>
      </w:pPr>
    </w:p>
    <w:p w14:paraId="50C4C9AE">
      <w:pPr>
        <w:pStyle w:val="3"/>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cs="Times New Roman"/>
          <w:sz w:val="32"/>
          <w:szCs w:val="32"/>
        </w:rPr>
      </w:pPr>
      <w:r>
        <w:rPr>
          <w:rFonts w:hint="eastAsia" w:ascii="黑体" w:hAnsi="黑体" w:eastAsia="黑体" w:cs="黑体"/>
          <w:sz w:val="32"/>
          <w:szCs w:val="32"/>
        </w:rPr>
        <w:t xml:space="preserve">表3 </w:t>
      </w:r>
      <w:r>
        <w:rPr>
          <w:rFonts w:hint="eastAsia" w:ascii="黑体" w:hAnsi="黑体" w:cs="黑体"/>
          <w:sz w:val="32"/>
          <w:szCs w:val="32"/>
          <w:lang w:eastAsia="zh-CN"/>
        </w:rPr>
        <w:t>“</w:t>
      </w:r>
      <w:r>
        <w:rPr>
          <w:rFonts w:hint="eastAsia" w:ascii="黑体" w:hAnsi="黑体" w:eastAsia="黑体" w:cs="黑体"/>
          <w:sz w:val="32"/>
          <w:szCs w:val="32"/>
        </w:rPr>
        <w:t>无废城市</w:t>
      </w:r>
      <w:r>
        <w:rPr>
          <w:rFonts w:hint="eastAsia" w:ascii="黑体" w:hAnsi="黑体" w:cs="黑体"/>
          <w:sz w:val="32"/>
          <w:szCs w:val="32"/>
          <w:lang w:eastAsia="zh-CN"/>
        </w:rPr>
        <w:t>”</w:t>
      </w:r>
      <w:r>
        <w:rPr>
          <w:rFonts w:hint="eastAsia" w:ascii="黑体" w:hAnsi="黑体" w:eastAsia="黑体" w:cs="黑体"/>
          <w:sz w:val="32"/>
          <w:szCs w:val="32"/>
        </w:rPr>
        <w:t>市场体系建设任务清单</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140"/>
        <w:gridCol w:w="4203"/>
        <w:gridCol w:w="2885"/>
        <w:gridCol w:w="2080"/>
      </w:tblGrid>
      <w:tr w14:paraId="3E3D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2" w:type="pct"/>
            <w:vAlign w:val="center"/>
          </w:tcPr>
          <w:p w14:paraId="73F54CEB">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序号</w:t>
            </w:r>
          </w:p>
        </w:tc>
        <w:tc>
          <w:tcPr>
            <w:tcW w:w="1461" w:type="pct"/>
            <w:vAlign w:val="center"/>
          </w:tcPr>
          <w:p w14:paraId="5A998D72">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任务清单</w:t>
            </w:r>
          </w:p>
        </w:tc>
        <w:tc>
          <w:tcPr>
            <w:tcW w:w="1483" w:type="pct"/>
            <w:vAlign w:val="center"/>
          </w:tcPr>
          <w:p w14:paraId="7667F7BF">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主要内容</w:t>
            </w:r>
          </w:p>
        </w:tc>
        <w:tc>
          <w:tcPr>
            <w:tcW w:w="1018" w:type="pct"/>
            <w:vAlign w:val="center"/>
          </w:tcPr>
          <w:p w14:paraId="4B7FF1C1">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责任主体</w:t>
            </w:r>
          </w:p>
        </w:tc>
        <w:tc>
          <w:tcPr>
            <w:tcW w:w="734" w:type="pct"/>
            <w:vAlign w:val="center"/>
          </w:tcPr>
          <w:p w14:paraId="7B11206B">
            <w:pPr>
              <w:pageBreakBefore w:val="0"/>
              <w:kinsoku/>
              <w:wordWrap/>
              <w:overflowPunct/>
              <w:topLinePunct w:val="0"/>
              <w:bidi w:val="0"/>
              <w:snapToGrid/>
              <w:spacing w:line="590" w:lineRule="exact"/>
              <w:ind w:firstLine="0" w:firstLineChars="0"/>
              <w:jc w:val="center"/>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完成时限</w:t>
            </w:r>
          </w:p>
        </w:tc>
      </w:tr>
      <w:tr w14:paraId="1975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2" w:type="pct"/>
            <w:vAlign w:val="center"/>
          </w:tcPr>
          <w:p w14:paraId="606F1D2B">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61" w:type="pct"/>
            <w:vAlign w:val="center"/>
          </w:tcPr>
          <w:p w14:paraId="276B391B">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发展新型建材产业</w:t>
            </w:r>
          </w:p>
        </w:tc>
        <w:tc>
          <w:tcPr>
            <w:tcW w:w="1483" w:type="pct"/>
            <w:vAlign w:val="center"/>
          </w:tcPr>
          <w:p w14:paraId="73ABCCD8">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发展建筑围护墙材、铝合金装饰装修材料、塑料管道、建筑再生骨料、生态修复材料和海绵城市材料等功能性材料，培育新型建材产业</w:t>
            </w:r>
            <w:r>
              <w:rPr>
                <w:rFonts w:hint="eastAsia" w:asciiTheme="minorEastAsia" w:hAnsiTheme="minorEastAsia" w:eastAsiaTheme="minorEastAsia" w:cstheme="minorEastAsia"/>
                <w:sz w:val="24"/>
                <w:szCs w:val="24"/>
                <w:lang w:eastAsia="zh-CN"/>
              </w:rPr>
              <w:t>。</w:t>
            </w:r>
          </w:p>
        </w:tc>
        <w:tc>
          <w:tcPr>
            <w:tcW w:w="1018" w:type="pct"/>
            <w:vAlign w:val="center"/>
          </w:tcPr>
          <w:p w14:paraId="1759461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市住建局、市城市管理局</w:t>
            </w:r>
          </w:p>
        </w:tc>
        <w:tc>
          <w:tcPr>
            <w:tcW w:w="734" w:type="pct"/>
            <w:vAlign w:val="center"/>
          </w:tcPr>
          <w:p w14:paraId="3502547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44CF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02" w:type="pct"/>
            <w:vAlign w:val="center"/>
          </w:tcPr>
          <w:p w14:paraId="1C31566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61" w:type="pct"/>
            <w:vAlign w:val="center"/>
          </w:tcPr>
          <w:p w14:paraId="66A2D578">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深入推进工业节能与绿色制造试点示范建设</w:t>
            </w:r>
          </w:p>
        </w:tc>
        <w:tc>
          <w:tcPr>
            <w:tcW w:w="1483" w:type="pct"/>
            <w:vAlign w:val="center"/>
          </w:tcPr>
          <w:p w14:paraId="247FFB06">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引导企业开展绿色标志认证工作，建设培育一批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绿色企业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，从源头减少固废产生。到2027年，新增6个省级及以上绿色工厂</w:t>
            </w:r>
            <w:r>
              <w:rPr>
                <w:rFonts w:hint="eastAsia" w:asciiTheme="minorEastAsia" w:hAnsiTheme="minorEastAsia" w:eastAsiaTheme="minorEastAsia" w:cstheme="minorEastAsia"/>
                <w:sz w:val="24"/>
                <w:szCs w:val="24"/>
                <w:lang w:eastAsia="zh-CN"/>
              </w:rPr>
              <w:t>。</w:t>
            </w:r>
          </w:p>
        </w:tc>
        <w:tc>
          <w:tcPr>
            <w:tcW w:w="1018" w:type="pct"/>
            <w:vAlign w:val="center"/>
          </w:tcPr>
          <w:p w14:paraId="170D8BD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市工信局</w:t>
            </w:r>
          </w:p>
        </w:tc>
        <w:tc>
          <w:tcPr>
            <w:tcW w:w="734" w:type="pct"/>
            <w:vAlign w:val="center"/>
          </w:tcPr>
          <w:p w14:paraId="285163F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2AB2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7DB7CB8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61" w:type="pct"/>
            <w:vAlign w:val="center"/>
          </w:tcPr>
          <w:p w14:paraId="00EF7F3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统筹资金支持畜禽养殖废弃物资源化利用，落实沼气发电上网电价政策</w:t>
            </w:r>
          </w:p>
        </w:tc>
        <w:tc>
          <w:tcPr>
            <w:tcW w:w="1483" w:type="pct"/>
            <w:vAlign w:val="center"/>
          </w:tcPr>
          <w:p w14:paraId="48B6E597">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对符合条件的养殖户，给予相应的奖补</w:t>
            </w:r>
            <w:r>
              <w:rPr>
                <w:rFonts w:hint="eastAsia" w:asciiTheme="minorEastAsia" w:hAnsiTheme="minorEastAsia" w:eastAsiaTheme="minorEastAsia" w:cstheme="minorEastAsia"/>
                <w:sz w:val="24"/>
                <w:szCs w:val="24"/>
                <w:lang w:eastAsia="zh-CN"/>
              </w:rPr>
              <w:t>。</w:t>
            </w:r>
          </w:p>
        </w:tc>
        <w:tc>
          <w:tcPr>
            <w:tcW w:w="1018" w:type="pct"/>
            <w:vAlign w:val="center"/>
          </w:tcPr>
          <w:p w14:paraId="1AEF557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734" w:type="pct"/>
            <w:vAlign w:val="center"/>
          </w:tcPr>
          <w:p w14:paraId="59B9458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2026年</w:t>
            </w:r>
          </w:p>
        </w:tc>
      </w:tr>
      <w:tr w14:paraId="0D05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2DA12E7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61" w:type="pct"/>
            <w:vAlign w:val="center"/>
          </w:tcPr>
          <w:p w14:paraId="534D572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落实农膜、农药包装回收补贴政策</w:t>
            </w:r>
          </w:p>
        </w:tc>
        <w:tc>
          <w:tcPr>
            <w:tcW w:w="1483" w:type="pct"/>
            <w:vAlign w:val="center"/>
          </w:tcPr>
          <w:p w14:paraId="59F67CDB">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针对农户、经营者、园区出台农膜及农药包装回收利用补贴政策</w:t>
            </w:r>
            <w:r>
              <w:rPr>
                <w:rFonts w:hint="eastAsia" w:asciiTheme="minorEastAsia" w:hAnsiTheme="minorEastAsia" w:eastAsiaTheme="minorEastAsia" w:cstheme="minorEastAsia"/>
                <w:sz w:val="24"/>
                <w:szCs w:val="24"/>
                <w:lang w:eastAsia="zh-CN"/>
              </w:rPr>
              <w:t>。</w:t>
            </w:r>
          </w:p>
        </w:tc>
        <w:tc>
          <w:tcPr>
            <w:tcW w:w="1018" w:type="pct"/>
            <w:vAlign w:val="center"/>
          </w:tcPr>
          <w:p w14:paraId="5D0FD16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734" w:type="pct"/>
            <w:vAlign w:val="center"/>
          </w:tcPr>
          <w:p w14:paraId="603C59A8">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2026年</w:t>
            </w:r>
          </w:p>
        </w:tc>
      </w:tr>
      <w:tr w14:paraId="0065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7ED8988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61" w:type="pct"/>
            <w:vAlign w:val="center"/>
          </w:tcPr>
          <w:p w14:paraId="4C72AC57">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积极落实秸秆产业化利用奖补政策</w:t>
            </w:r>
          </w:p>
        </w:tc>
        <w:tc>
          <w:tcPr>
            <w:tcW w:w="1483" w:type="pct"/>
            <w:vAlign w:val="center"/>
          </w:tcPr>
          <w:p w14:paraId="5E18A19A">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对符合条件的秸秆产业化利用、秸秆标准化收储点（中心）等项目以及市委、市政府确定的其他秸秆综合利用重点事项进行奖补</w:t>
            </w:r>
            <w:r>
              <w:rPr>
                <w:rFonts w:hint="eastAsia" w:asciiTheme="minorEastAsia" w:hAnsiTheme="minorEastAsia" w:eastAsiaTheme="minorEastAsia" w:cstheme="minorEastAsia"/>
                <w:sz w:val="24"/>
                <w:szCs w:val="24"/>
                <w:lang w:eastAsia="zh-CN"/>
              </w:rPr>
              <w:t>。</w:t>
            </w:r>
          </w:p>
        </w:tc>
        <w:tc>
          <w:tcPr>
            <w:tcW w:w="1018" w:type="pct"/>
            <w:vAlign w:val="center"/>
          </w:tcPr>
          <w:p w14:paraId="63350228">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734" w:type="pct"/>
            <w:vAlign w:val="center"/>
          </w:tcPr>
          <w:p w14:paraId="4E5D5F44">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2026年</w:t>
            </w:r>
          </w:p>
        </w:tc>
      </w:tr>
      <w:tr w14:paraId="11FC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77C5154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61" w:type="pct"/>
            <w:vAlign w:val="center"/>
          </w:tcPr>
          <w:p w14:paraId="5B8802FA">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危险废物收集利用处置设施建设投资引导性公告</w:t>
            </w:r>
          </w:p>
        </w:tc>
        <w:tc>
          <w:tcPr>
            <w:tcW w:w="1483" w:type="pct"/>
            <w:vAlign w:val="center"/>
          </w:tcPr>
          <w:p w14:paraId="51DBEF74">
            <w:pPr>
              <w:pageBreakBefore w:val="0"/>
              <w:widowControl/>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进一步引导社会资本有针对性地投入危险废物收集利用处置项目建设，优化危险废物收集利用处置设施布局，推动危险废物减量化、资源化和无害化处理</w:t>
            </w:r>
            <w:r>
              <w:rPr>
                <w:rFonts w:hint="eastAsia" w:asciiTheme="minorEastAsia" w:hAnsiTheme="minorEastAsia" w:eastAsiaTheme="minorEastAsia" w:cstheme="minorEastAsia"/>
                <w:sz w:val="24"/>
                <w:szCs w:val="24"/>
                <w:lang w:eastAsia="zh-CN"/>
              </w:rPr>
              <w:t>。</w:t>
            </w:r>
          </w:p>
        </w:tc>
        <w:tc>
          <w:tcPr>
            <w:tcW w:w="1018" w:type="pct"/>
            <w:vAlign w:val="center"/>
          </w:tcPr>
          <w:p w14:paraId="7F051D0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c>
          <w:tcPr>
            <w:tcW w:w="734" w:type="pct"/>
            <w:vAlign w:val="center"/>
          </w:tcPr>
          <w:p w14:paraId="61FD407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w:t>
            </w:r>
          </w:p>
        </w:tc>
      </w:tr>
      <w:tr w14:paraId="2A40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1C5334B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61" w:type="pct"/>
            <w:vAlign w:val="center"/>
          </w:tcPr>
          <w:p w14:paraId="7C485ED6">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出台病死畜禽无害化补贴政策</w:t>
            </w:r>
          </w:p>
        </w:tc>
        <w:tc>
          <w:tcPr>
            <w:tcW w:w="1483" w:type="pct"/>
            <w:vAlign w:val="center"/>
          </w:tcPr>
          <w:p w14:paraId="4408882C">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对于猪、牛等畜禽的补贴，优化养殖、收集、无害化处理不同环节补助比例</w:t>
            </w:r>
            <w:r>
              <w:rPr>
                <w:rFonts w:hint="eastAsia" w:asciiTheme="minorEastAsia" w:hAnsiTheme="minorEastAsia" w:eastAsiaTheme="minorEastAsia" w:cstheme="minorEastAsia"/>
                <w:sz w:val="24"/>
                <w:szCs w:val="24"/>
                <w:lang w:eastAsia="zh-CN"/>
              </w:rPr>
              <w:t>。</w:t>
            </w:r>
          </w:p>
        </w:tc>
        <w:tc>
          <w:tcPr>
            <w:tcW w:w="1018" w:type="pct"/>
            <w:vAlign w:val="center"/>
          </w:tcPr>
          <w:p w14:paraId="5FEEC88A">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734" w:type="pct"/>
            <w:vAlign w:val="center"/>
          </w:tcPr>
          <w:p w14:paraId="40D7888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2027年</w:t>
            </w:r>
          </w:p>
        </w:tc>
      </w:tr>
      <w:tr w14:paraId="063A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02" w:type="pct"/>
            <w:vAlign w:val="center"/>
          </w:tcPr>
          <w:p w14:paraId="6993FEA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461" w:type="pct"/>
            <w:vAlign w:val="center"/>
          </w:tcPr>
          <w:p w14:paraId="7C620E5F">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落实再生资源综合利用增值税减免政策</w:t>
            </w:r>
          </w:p>
        </w:tc>
        <w:tc>
          <w:tcPr>
            <w:tcW w:w="1483" w:type="pct"/>
            <w:vAlign w:val="center"/>
          </w:tcPr>
          <w:p w14:paraId="45C3110C">
            <w:pPr>
              <w:pageBreakBefore w:val="0"/>
              <w:kinsoku/>
              <w:wordWrap/>
              <w:overflowPunct/>
              <w:topLinePunct w:val="0"/>
              <w:bidi w:val="0"/>
              <w:snapToGrid/>
              <w:spacing w:line="590" w:lineRule="exact"/>
              <w:ind w:firstLine="0" w:firstLineChars="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落实再生资源综合利用增值税减免政策</w:t>
            </w:r>
            <w:r>
              <w:rPr>
                <w:rFonts w:hint="eastAsia" w:asciiTheme="minorEastAsia" w:hAnsiTheme="minorEastAsia" w:eastAsiaTheme="minorEastAsia" w:cstheme="minorEastAsia"/>
                <w:sz w:val="24"/>
                <w:szCs w:val="24"/>
                <w:lang w:eastAsia="zh-CN"/>
              </w:rPr>
              <w:t>。</w:t>
            </w:r>
          </w:p>
        </w:tc>
        <w:tc>
          <w:tcPr>
            <w:tcW w:w="1018" w:type="pct"/>
            <w:vAlign w:val="center"/>
          </w:tcPr>
          <w:p w14:paraId="591C44F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市税务局</w:t>
            </w:r>
          </w:p>
        </w:tc>
        <w:tc>
          <w:tcPr>
            <w:tcW w:w="734" w:type="pct"/>
            <w:vAlign w:val="center"/>
          </w:tcPr>
          <w:p w14:paraId="172CC7A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2027年</w:t>
            </w:r>
          </w:p>
        </w:tc>
      </w:tr>
    </w:tbl>
    <w:p w14:paraId="28B99198">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p>
    <w:p w14:paraId="60FCBD35">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p>
    <w:p w14:paraId="21041F77">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p>
    <w:p w14:paraId="4527B4B1">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p>
    <w:p w14:paraId="7A0653E9">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p>
    <w:p w14:paraId="746F4029">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表4 </w:t>
      </w:r>
      <w:r>
        <w:rPr>
          <w:rFonts w:hint="eastAsia" w:ascii="黑体" w:hAnsi="黑体" w:cs="黑体"/>
          <w:sz w:val="32"/>
          <w:szCs w:val="32"/>
          <w:lang w:eastAsia="zh-CN"/>
        </w:rPr>
        <w:t>“</w:t>
      </w:r>
      <w:r>
        <w:rPr>
          <w:rFonts w:hint="eastAsia" w:ascii="黑体" w:hAnsi="黑体" w:eastAsia="黑体" w:cs="黑体"/>
          <w:sz w:val="32"/>
          <w:szCs w:val="32"/>
        </w:rPr>
        <w:t>无废城市</w:t>
      </w:r>
      <w:r>
        <w:rPr>
          <w:rFonts w:hint="eastAsia" w:ascii="黑体" w:hAnsi="黑体" w:cs="黑体"/>
          <w:sz w:val="32"/>
          <w:szCs w:val="32"/>
          <w:lang w:eastAsia="zh-CN"/>
        </w:rPr>
        <w:t>”</w:t>
      </w:r>
      <w:r>
        <w:rPr>
          <w:rFonts w:hint="eastAsia" w:ascii="黑体" w:hAnsi="黑体" w:eastAsia="黑体" w:cs="黑体"/>
          <w:sz w:val="32"/>
          <w:szCs w:val="32"/>
        </w:rPr>
        <w:t>监管体系建设任务清单</w:t>
      </w:r>
    </w:p>
    <w:tbl>
      <w:tblPr>
        <w:tblStyle w:val="7"/>
        <w:tblW w:w="4996" w:type="pct"/>
        <w:jc w:val="center"/>
        <w:tblLayout w:type="autofit"/>
        <w:tblCellMar>
          <w:top w:w="0" w:type="dxa"/>
          <w:left w:w="108" w:type="dxa"/>
          <w:bottom w:w="0" w:type="dxa"/>
          <w:right w:w="108" w:type="dxa"/>
        </w:tblCellMar>
      </w:tblPr>
      <w:tblGrid>
        <w:gridCol w:w="867"/>
        <w:gridCol w:w="4127"/>
        <w:gridCol w:w="4192"/>
        <w:gridCol w:w="2908"/>
        <w:gridCol w:w="2069"/>
      </w:tblGrid>
      <w:tr w14:paraId="3A1ECBF4">
        <w:tblPrEx>
          <w:tblCellMar>
            <w:top w:w="0" w:type="dxa"/>
            <w:left w:w="108" w:type="dxa"/>
            <w:bottom w:w="0" w:type="dxa"/>
            <w:right w:w="108" w:type="dxa"/>
          </w:tblCellMar>
        </w:tblPrEx>
        <w:trPr>
          <w:trHeight w:val="751" w:hRule="atLeast"/>
          <w:tblHeader/>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44B4F3D">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b/>
                <w:bCs/>
                <w:kern w:val="0"/>
                <w:sz w:val="24"/>
                <w:szCs w:val="24"/>
              </w:rPr>
            </w:pPr>
            <w:bookmarkStart w:id="0" w:name="_Toc15683"/>
            <w:r>
              <w:rPr>
                <w:rFonts w:hint="eastAsia" w:asciiTheme="minorEastAsia" w:hAnsiTheme="minorEastAsia" w:eastAsiaTheme="minorEastAsia" w:cstheme="minorEastAsia"/>
                <w:b/>
                <w:bCs/>
                <w:kern w:val="0"/>
                <w:sz w:val="24"/>
                <w:szCs w:val="24"/>
              </w:rPr>
              <w:t>序号</w:t>
            </w:r>
          </w:p>
        </w:tc>
        <w:tc>
          <w:tcPr>
            <w:tcW w:w="1456" w:type="pct"/>
            <w:tcBorders>
              <w:top w:val="single" w:color="auto" w:sz="4" w:space="0"/>
              <w:left w:val="nil"/>
              <w:bottom w:val="single" w:color="auto" w:sz="4" w:space="0"/>
              <w:right w:val="single" w:color="auto" w:sz="4" w:space="0"/>
            </w:tcBorders>
            <w:shd w:val="clear" w:color="auto" w:fill="auto"/>
            <w:vAlign w:val="center"/>
          </w:tcPr>
          <w:p w14:paraId="3461C5A8">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任务清单</w:t>
            </w:r>
          </w:p>
        </w:tc>
        <w:tc>
          <w:tcPr>
            <w:tcW w:w="1479" w:type="pct"/>
            <w:tcBorders>
              <w:top w:val="single" w:color="auto" w:sz="4" w:space="0"/>
              <w:left w:val="nil"/>
              <w:bottom w:val="single" w:color="auto" w:sz="4" w:space="0"/>
              <w:right w:val="single" w:color="auto" w:sz="4" w:space="0"/>
            </w:tcBorders>
            <w:shd w:val="clear" w:color="auto" w:fill="auto"/>
            <w:vAlign w:val="center"/>
          </w:tcPr>
          <w:p w14:paraId="645A7AB7">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主要内容</w:t>
            </w:r>
          </w:p>
        </w:tc>
        <w:tc>
          <w:tcPr>
            <w:tcW w:w="1026" w:type="pct"/>
            <w:tcBorders>
              <w:top w:val="single" w:color="auto" w:sz="4" w:space="0"/>
              <w:left w:val="nil"/>
              <w:bottom w:val="single" w:color="auto" w:sz="4" w:space="0"/>
              <w:right w:val="single" w:color="auto" w:sz="4" w:space="0"/>
            </w:tcBorders>
            <w:shd w:val="clear" w:color="auto" w:fill="auto"/>
            <w:vAlign w:val="center"/>
          </w:tcPr>
          <w:p w14:paraId="146CE4C0">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责任主体</w:t>
            </w:r>
          </w:p>
        </w:tc>
        <w:tc>
          <w:tcPr>
            <w:tcW w:w="730" w:type="pct"/>
            <w:tcBorders>
              <w:top w:val="single" w:color="auto" w:sz="4" w:space="0"/>
              <w:left w:val="nil"/>
              <w:bottom w:val="single" w:color="auto" w:sz="4" w:space="0"/>
              <w:right w:val="single" w:color="auto" w:sz="4" w:space="0"/>
            </w:tcBorders>
            <w:shd w:val="clear" w:color="auto" w:fill="auto"/>
            <w:vAlign w:val="center"/>
          </w:tcPr>
          <w:p w14:paraId="34C1E765">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b/>
                <w:bCs/>
                <w:kern w:val="0"/>
                <w:sz w:val="24"/>
                <w:szCs w:val="24"/>
                <w:lang w:val="zh-CN" w:bidi="zh-CN"/>
              </w:rPr>
            </w:pPr>
            <w:r>
              <w:rPr>
                <w:rFonts w:hint="eastAsia" w:asciiTheme="minorEastAsia" w:hAnsiTheme="minorEastAsia" w:eastAsiaTheme="minorEastAsia" w:cstheme="minorEastAsia"/>
                <w:b/>
                <w:bCs/>
                <w:kern w:val="0"/>
                <w:sz w:val="24"/>
                <w:szCs w:val="24"/>
              </w:rPr>
              <w:t>完成时限</w:t>
            </w:r>
          </w:p>
        </w:tc>
      </w:tr>
      <w:tr w14:paraId="7C5B4EE9">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0F94E5B">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456" w:type="pct"/>
            <w:tcBorders>
              <w:top w:val="single" w:color="auto" w:sz="4" w:space="0"/>
              <w:left w:val="nil"/>
              <w:bottom w:val="single" w:color="auto" w:sz="4" w:space="0"/>
              <w:right w:val="single" w:color="auto" w:sz="4" w:space="0"/>
            </w:tcBorders>
            <w:shd w:val="clear" w:color="auto" w:fill="auto"/>
            <w:vAlign w:val="center"/>
          </w:tcPr>
          <w:p w14:paraId="7FF33CE1">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开展一般工业固废全过程管理核查</w:t>
            </w:r>
          </w:p>
        </w:tc>
        <w:tc>
          <w:tcPr>
            <w:tcW w:w="1479" w:type="pct"/>
            <w:tcBorders>
              <w:top w:val="single" w:color="auto" w:sz="4" w:space="0"/>
              <w:left w:val="nil"/>
              <w:bottom w:val="single" w:color="auto" w:sz="4" w:space="0"/>
              <w:right w:val="single" w:color="auto" w:sz="4" w:space="0"/>
            </w:tcBorders>
            <w:shd w:val="clear" w:color="auto" w:fill="auto"/>
            <w:vAlign w:val="center"/>
          </w:tcPr>
          <w:p w14:paraId="2521E9DD">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开展一般工业固废全过程管理核查，详细掌握涉固废企业数量、类别以及固废种类、产生量、贮存情况、综合利用和处置等基本情况</w:t>
            </w:r>
            <w:r>
              <w:rPr>
                <w:rFonts w:hint="eastAsia" w:asciiTheme="minorEastAsia" w:hAnsiTheme="minorEastAsia" w:eastAsiaTheme="minorEastAsia" w:cstheme="minorEastAsia"/>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680101C4">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市生态环境局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1F6A9F0C">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2025年</w:t>
            </w:r>
          </w:p>
        </w:tc>
      </w:tr>
      <w:tr w14:paraId="1591CED6">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0A402FEB">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1456" w:type="pct"/>
            <w:tcBorders>
              <w:top w:val="single" w:color="auto" w:sz="4" w:space="0"/>
              <w:left w:val="nil"/>
              <w:bottom w:val="single" w:color="auto" w:sz="4" w:space="0"/>
              <w:right w:val="single" w:color="auto" w:sz="4" w:space="0"/>
            </w:tcBorders>
            <w:shd w:val="clear" w:color="auto" w:fill="auto"/>
            <w:vAlign w:val="center"/>
          </w:tcPr>
          <w:p w14:paraId="42BFCE36">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探索建设固废信息化管理平台</w:t>
            </w:r>
          </w:p>
        </w:tc>
        <w:tc>
          <w:tcPr>
            <w:tcW w:w="1479" w:type="pct"/>
            <w:tcBorders>
              <w:top w:val="single" w:color="auto" w:sz="4" w:space="0"/>
              <w:left w:val="nil"/>
              <w:bottom w:val="single" w:color="auto" w:sz="4" w:space="0"/>
              <w:right w:val="single" w:color="auto" w:sz="4" w:space="0"/>
            </w:tcBorders>
            <w:shd w:val="clear" w:color="auto" w:fill="auto"/>
            <w:vAlign w:val="center"/>
          </w:tcPr>
          <w:p w14:paraId="187B880F">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包括对一般工业固废、危险废物经营、危险废物产</w:t>
            </w:r>
            <w:r>
              <w:rPr>
                <w:rFonts w:hint="eastAsia" w:asciiTheme="minorEastAsia" w:hAnsiTheme="minorEastAsia" w:eastAsiaTheme="minorEastAsia" w:cstheme="minorEastAsia"/>
                <w:kern w:val="0"/>
                <w:sz w:val="24"/>
                <w:szCs w:val="24"/>
                <w:highlight w:val="none"/>
                <w:lang w:val="en-US" w:eastAsia="zh-CN"/>
              </w:rPr>
              <w:t>生</w:t>
            </w:r>
            <w:r>
              <w:rPr>
                <w:rFonts w:hint="eastAsia" w:asciiTheme="minorEastAsia" w:hAnsiTheme="minorEastAsia" w:eastAsiaTheme="minorEastAsia" w:cstheme="minorEastAsia"/>
                <w:kern w:val="0"/>
                <w:sz w:val="24"/>
                <w:szCs w:val="24"/>
                <w:highlight w:val="none"/>
              </w:rPr>
              <w:t>单位监管；接入数字环卫综合应用平台；接入再生资源回收智慧云控制中心；接入农业废弃物统计数据；预留各区县固体废物信息化平台接口</w:t>
            </w:r>
            <w:r>
              <w:rPr>
                <w:rFonts w:hint="eastAsia" w:asciiTheme="minorEastAsia" w:hAnsiTheme="minorEastAsia" w:eastAsiaTheme="minorEastAsia" w:cstheme="minorEastAsia"/>
                <w:kern w:val="0"/>
                <w:sz w:val="24"/>
                <w:szCs w:val="24"/>
                <w:highlight w:val="none"/>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7942934E">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市生态环境局、市城管局、市农业农村局、市商务局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1F7D3E35">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lang w:bidi="zh-CN"/>
              </w:rPr>
            </w:pPr>
            <w:r>
              <w:rPr>
                <w:rFonts w:hint="eastAsia" w:asciiTheme="minorEastAsia" w:hAnsiTheme="minorEastAsia" w:eastAsiaTheme="minorEastAsia" w:cstheme="minorEastAsia"/>
                <w:kern w:val="0"/>
                <w:sz w:val="24"/>
                <w:szCs w:val="24"/>
                <w:highlight w:val="none"/>
                <w:lang w:bidi="zh-CN"/>
              </w:rPr>
              <w:t>长期</w:t>
            </w:r>
          </w:p>
        </w:tc>
      </w:tr>
      <w:tr w14:paraId="5F7C5FBC">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7DA54239">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456" w:type="pct"/>
            <w:tcBorders>
              <w:top w:val="single" w:color="auto" w:sz="4" w:space="0"/>
              <w:left w:val="nil"/>
              <w:bottom w:val="single" w:color="auto" w:sz="4" w:space="0"/>
              <w:right w:val="single" w:color="auto" w:sz="4" w:space="0"/>
            </w:tcBorders>
            <w:shd w:val="clear" w:color="auto" w:fill="auto"/>
            <w:vAlign w:val="center"/>
          </w:tcPr>
          <w:p w14:paraId="29442246">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建立绿色矿山管理机制</w:t>
            </w:r>
          </w:p>
        </w:tc>
        <w:tc>
          <w:tcPr>
            <w:tcW w:w="1479" w:type="pct"/>
            <w:tcBorders>
              <w:top w:val="single" w:color="auto" w:sz="4" w:space="0"/>
              <w:left w:val="nil"/>
              <w:bottom w:val="single" w:color="auto" w:sz="4" w:space="0"/>
              <w:right w:val="single" w:color="auto" w:sz="4" w:space="0"/>
            </w:tcBorders>
            <w:shd w:val="clear" w:color="auto" w:fill="auto"/>
            <w:vAlign w:val="center"/>
          </w:tcPr>
          <w:p w14:paraId="06323726">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建立政府引导、部门协作、企业主建、第三方评估、定期复核、社会监督的绿色矿山管理机制，推进绿色矿山建设和管理工作</w:t>
            </w:r>
            <w:r>
              <w:rPr>
                <w:rFonts w:hint="eastAsia" w:asciiTheme="minorEastAsia" w:hAnsiTheme="minorEastAsia" w:eastAsiaTheme="minorEastAsia" w:cstheme="minorEastAsia"/>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2FDC4EA8">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市自然资源和规划局、市工信局、市财政局、市生态环境局等</w:t>
            </w:r>
          </w:p>
        </w:tc>
        <w:tc>
          <w:tcPr>
            <w:tcW w:w="730" w:type="pct"/>
            <w:tcBorders>
              <w:top w:val="single" w:color="auto" w:sz="4" w:space="0"/>
              <w:left w:val="nil"/>
              <w:bottom w:val="single" w:color="auto" w:sz="4" w:space="0"/>
              <w:right w:val="single" w:color="auto" w:sz="4" w:space="0"/>
            </w:tcBorders>
            <w:shd w:val="clear" w:color="auto" w:fill="auto"/>
            <w:vAlign w:val="center"/>
          </w:tcPr>
          <w:p w14:paraId="3C178C23">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2025年</w:t>
            </w:r>
          </w:p>
        </w:tc>
      </w:tr>
      <w:tr w14:paraId="6AF8B655">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3D8FB0B4">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456" w:type="pct"/>
            <w:tcBorders>
              <w:top w:val="single" w:color="auto" w:sz="4" w:space="0"/>
              <w:left w:val="nil"/>
              <w:bottom w:val="single" w:color="auto" w:sz="4" w:space="0"/>
              <w:right w:val="single" w:color="auto" w:sz="4" w:space="0"/>
            </w:tcBorders>
            <w:shd w:val="clear" w:color="auto" w:fill="auto"/>
            <w:vAlign w:val="center"/>
          </w:tcPr>
          <w:p w14:paraId="439FBB64">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加强农资废弃物全过程监管</w:t>
            </w:r>
          </w:p>
        </w:tc>
        <w:tc>
          <w:tcPr>
            <w:tcW w:w="1479" w:type="pct"/>
            <w:tcBorders>
              <w:top w:val="single" w:color="auto" w:sz="4" w:space="0"/>
              <w:left w:val="nil"/>
              <w:bottom w:val="single" w:color="auto" w:sz="4" w:space="0"/>
              <w:right w:val="single" w:color="auto" w:sz="4" w:space="0"/>
            </w:tcBorders>
            <w:shd w:val="clear" w:color="auto" w:fill="auto"/>
            <w:vAlign w:val="center"/>
          </w:tcPr>
          <w:p w14:paraId="5CC950AB">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建立农资废弃包装分类回收台账，加强农膜、农药生产、销售、使用、回收等全过程监管体系建设</w:t>
            </w:r>
            <w:r>
              <w:rPr>
                <w:rFonts w:hint="eastAsia" w:asciiTheme="minorEastAsia" w:hAnsiTheme="minorEastAsia" w:eastAsiaTheme="minorEastAsia" w:cstheme="minorEastAsia"/>
                <w:kern w:val="0"/>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1198CBB4">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市农业农村局、市工信局、市市场监管局、市供销社</w:t>
            </w:r>
          </w:p>
        </w:tc>
        <w:tc>
          <w:tcPr>
            <w:tcW w:w="730" w:type="pct"/>
            <w:tcBorders>
              <w:top w:val="single" w:color="auto" w:sz="4" w:space="0"/>
              <w:left w:val="nil"/>
              <w:bottom w:val="single" w:color="auto" w:sz="4" w:space="0"/>
              <w:right w:val="single" w:color="auto" w:sz="4" w:space="0"/>
            </w:tcBorders>
            <w:shd w:val="clear" w:color="auto" w:fill="auto"/>
            <w:vAlign w:val="center"/>
          </w:tcPr>
          <w:p w14:paraId="2F56A0C9">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2025年</w:t>
            </w:r>
          </w:p>
        </w:tc>
      </w:tr>
      <w:tr w14:paraId="6F1A79FD">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5F1F6F1">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1456" w:type="pct"/>
            <w:tcBorders>
              <w:top w:val="single" w:color="auto" w:sz="4" w:space="0"/>
              <w:left w:val="nil"/>
              <w:bottom w:val="single" w:color="auto" w:sz="4" w:space="0"/>
              <w:right w:val="single" w:color="auto" w:sz="4" w:space="0"/>
            </w:tcBorders>
            <w:shd w:val="clear" w:color="auto" w:fill="auto"/>
            <w:vAlign w:val="center"/>
          </w:tcPr>
          <w:p w14:paraId="78F0664C">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加强畜禽粪污全链条监管</w:t>
            </w:r>
          </w:p>
        </w:tc>
        <w:tc>
          <w:tcPr>
            <w:tcW w:w="1479" w:type="pct"/>
            <w:tcBorders>
              <w:top w:val="single" w:color="auto" w:sz="4" w:space="0"/>
              <w:left w:val="nil"/>
              <w:bottom w:val="single" w:color="auto" w:sz="4" w:space="0"/>
              <w:right w:val="single" w:color="auto" w:sz="4" w:space="0"/>
            </w:tcBorders>
            <w:shd w:val="clear" w:color="auto" w:fill="auto"/>
            <w:vAlign w:val="center"/>
          </w:tcPr>
          <w:p w14:paraId="192E145B">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重点检查污染防治设置配套不到位、粪污未经无害化处理直排外环境等违法行为，</w:t>
            </w:r>
            <w:r>
              <w:rPr>
                <w:rFonts w:hint="eastAsia" w:asciiTheme="minorEastAsia" w:hAnsiTheme="minorEastAsia" w:eastAsiaTheme="minorEastAsia" w:cstheme="minorEastAsia"/>
                <w:color w:val="000000"/>
                <w:sz w:val="24"/>
                <w:szCs w:val="24"/>
                <w:shd w:val="clear" w:color="auto" w:fill="FFFFFF"/>
              </w:rPr>
              <w:t>开展粪肥养分管理、质量控制与监测评价，提高还田规范化水平</w:t>
            </w:r>
            <w:r>
              <w:rPr>
                <w:rFonts w:hint="eastAsia" w:asciiTheme="minorEastAsia" w:hAnsiTheme="minorEastAsia" w:eastAsiaTheme="minorEastAsia" w:cstheme="minorEastAsia"/>
                <w:color w:val="000000"/>
                <w:sz w:val="24"/>
                <w:szCs w:val="24"/>
                <w:shd w:val="clear" w:color="auto" w:fill="FFFFFF"/>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50D6484D">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市农业农村局</w:t>
            </w:r>
            <w:r>
              <w:rPr>
                <w:rFonts w:hint="eastAsia" w:asciiTheme="minorEastAsia" w:hAnsiTheme="minorEastAsia" w:eastAsiaTheme="minorEastAsia" w:cstheme="minorEastAsia"/>
                <w:sz w:val="24"/>
                <w:szCs w:val="24"/>
                <w:lang w:eastAsia="zh-CN"/>
              </w:rPr>
              <w:t>、</w:t>
            </w:r>
          </w:p>
          <w:p w14:paraId="3673250C">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66CADBF0">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长期</w:t>
            </w:r>
          </w:p>
        </w:tc>
      </w:tr>
      <w:tr w14:paraId="2FD91164">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452595DF">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1456" w:type="pct"/>
            <w:tcBorders>
              <w:top w:val="single" w:color="auto" w:sz="4" w:space="0"/>
              <w:left w:val="nil"/>
              <w:bottom w:val="single" w:color="auto" w:sz="4" w:space="0"/>
              <w:right w:val="single" w:color="auto" w:sz="4" w:space="0"/>
            </w:tcBorders>
            <w:shd w:val="clear" w:color="auto" w:fill="auto"/>
          </w:tcPr>
          <w:p w14:paraId="6FD0E945">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完善生活垃圾分类监管体系</w:t>
            </w:r>
          </w:p>
        </w:tc>
        <w:tc>
          <w:tcPr>
            <w:tcW w:w="1479" w:type="pct"/>
            <w:tcBorders>
              <w:top w:val="single" w:color="auto" w:sz="4" w:space="0"/>
              <w:left w:val="nil"/>
              <w:bottom w:val="single" w:color="auto" w:sz="4" w:space="0"/>
              <w:right w:val="single" w:color="auto" w:sz="4" w:space="0"/>
            </w:tcBorders>
            <w:shd w:val="clear" w:color="auto" w:fill="auto"/>
          </w:tcPr>
          <w:p w14:paraId="214EC53D">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完善垃圾分类监管体系，实现生活垃圾分类、投放、收集、运输、处置等环节的高效监管</w:t>
            </w:r>
            <w:r>
              <w:rPr>
                <w:rFonts w:hint="eastAsia" w:asciiTheme="minorEastAsia" w:hAnsiTheme="minorEastAsia" w:eastAsiaTheme="minorEastAsia" w:cstheme="minorEastAsia"/>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61967354">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市城市管理局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7A4DA241">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长期</w:t>
            </w:r>
          </w:p>
        </w:tc>
      </w:tr>
      <w:tr w14:paraId="5E90594F">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7C5D21F2">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1456" w:type="pct"/>
            <w:tcBorders>
              <w:top w:val="single" w:color="auto" w:sz="4" w:space="0"/>
              <w:left w:val="nil"/>
              <w:bottom w:val="single" w:color="auto" w:sz="4" w:space="0"/>
              <w:right w:val="single" w:color="auto" w:sz="4" w:space="0"/>
            </w:tcBorders>
            <w:shd w:val="clear" w:color="auto" w:fill="auto"/>
            <w:vAlign w:val="center"/>
          </w:tcPr>
          <w:p w14:paraId="1D0C2717">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加强渣土运输管理</w:t>
            </w:r>
          </w:p>
        </w:tc>
        <w:tc>
          <w:tcPr>
            <w:tcW w:w="1479" w:type="pct"/>
            <w:tcBorders>
              <w:top w:val="single" w:color="auto" w:sz="4" w:space="0"/>
              <w:left w:val="nil"/>
              <w:bottom w:val="single" w:color="auto" w:sz="4" w:space="0"/>
              <w:right w:val="single" w:color="auto" w:sz="4" w:space="0"/>
            </w:tcBorders>
            <w:shd w:val="clear" w:color="auto" w:fill="auto"/>
          </w:tcPr>
          <w:p w14:paraId="27053F0C">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加强建筑垃圾运输车辆管理，查处不按规定行驶、私拉乱倒等违规行为，严厉查处私设渣土弃置场等不法行为</w:t>
            </w:r>
            <w:r>
              <w:rPr>
                <w:rFonts w:hint="eastAsia" w:asciiTheme="minorEastAsia" w:hAnsiTheme="minorEastAsia" w:eastAsiaTheme="minorEastAsia" w:cstheme="minorEastAsia"/>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679D28E2">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市城市管理局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178510F5">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长期</w:t>
            </w:r>
          </w:p>
        </w:tc>
      </w:tr>
      <w:tr w14:paraId="6A1FB70B">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12A93AE2">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8</w:t>
            </w:r>
          </w:p>
        </w:tc>
        <w:tc>
          <w:tcPr>
            <w:tcW w:w="1456" w:type="pct"/>
            <w:tcBorders>
              <w:top w:val="single" w:color="auto" w:sz="4" w:space="0"/>
              <w:left w:val="nil"/>
              <w:bottom w:val="single" w:color="auto" w:sz="4" w:space="0"/>
              <w:right w:val="single" w:color="auto" w:sz="4" w:space="0"/>
            </w:tcBorders>
            <w:shd w:val="clear" w:color="auto" w:fill="auto"/>
            <w:vAlign w:val="center"/>
          </w:tcPr>
          <w:p w14:paraId="2ABF9FF8">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探索建立危险废物生命周期全过程监管于一体的全市综合性信息化监管和服务平台</w:t>
            </w:r>
          </w:p>
        </w:tc>
        <w:tc>
          <w:tcPr>
            <w:tcW w:w="1479" w:type="pct"/>
            <w:tcBorders>
              <w:top w:val="single" w:color="auto" w:sz="4" w:space="0"/>
              <w:left w:val="nil"/>
              <w:bottom w:val="single" w:color="auto" w:sz="4" w:space="0"/>
              <w:right w:val="single" w:color="auto" w:sz="4" w:space="0"/>
            </w:tcBorders>
            <w:shd w:val="clear" w:color="auto" w:fill="auto"/>
            <w:vAlign w:val="center"/>
          </w:tcPr>
          <w:p w14:paraId="74925A33">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sz w:val="24"/>
                <w:szCs w:val="24"/>
                <w:highlight w:val="none"/>
              </w:rPr>
              <w:t>运用视频监控、电子标签等智能手段，推进危废全过程信息化监管，形成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来源可查、去向可追、监督留痕、责任可究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的完整信息链条，推进实现危险废物重点监管单位的可视化监管</w:t>
            </w:r>
            <w:r>
              <w:rPr>
                <w:rFonts w:hint="eastAsia" w:asciiTheme="minorEastAsia" w:hAnsiTheme="minorEastAsia" w:eastAsiaTheme="minorEastAsia" w:cstheme="minorEastAsia"/>
                <w:sz w:val="24"/>
                <w:szCs w:val="24"/>
                <w:highlight w:val="none"/>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66886342">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rPr>
              <w:t>市生态环境局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7DCFBF4B">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highlight w:val="none"/>
                <w:lang w:val="zh-CN" w:bidi="zh-CN"/>
              </w:rPr>
            </w:pPr>
            <w:r>
              <w:rPr>
                <w:rFonts w:hint="eastAsia" w:asciiTheme="minorEastAsia" w:hAnsiTheme="minorEastAsia" w:eastAsiaTheme="minorEastAsia" w:cstheme="minorEastAsia"/>
                <w:kern w:val="0"/>
                <w:sz w:val="24"/>
                <w:szCs w:val="24"/>
                <w:highlight w:val="none"/>
              </w:rPr>
              <w:t>长期</w:t>
            </w:r>
          </w:p>
        </w:tc>
      </w:tr>
      <w:tr w14:paraId="6AC35A36">
        <w:tblPrEx>
          <w:tblCellMar>
            <w:top w:w="0" w:type="dxa"/>
            <w:left w:w="108" w:type="dxa"/>
            <w:bottom w:w="0" w:type="dxa"/>
            <w:right w:w="108" w:type="dxa"/>
          </w:tblCellMar>
        </w:tblPrEx>
        <w:trPr>
          <w:trHeight w:val="540"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auto"/>
            <w:vAlign w:val="center"/>
          </w:tcPr>
          <w:p w14:paraId="1B85C583">
            <w:pPr>
              <w:pStyle w:val="10"/>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1456" w:type="pct"/>
            <w:tcBorders>
              <w:top w:val="single" w:color="auto" w:sz="4" w:space="0"/>
              <w:left w:val="nil"/>
              <w:bottom w:val="single" w:color="auto" w:sz="4" w:space="0"/>
              <w:right w:val="single" w:color="auto" w:sz="4" w:space="0"/>
            </w:tcBorders>
            <w:shd w:val="clear" w:color="auto" w:fill="auto"/>
            <w:vAlign w:val="center"/>
          </w:tcPr>
          <w:p w14:paraId="4BF3C13F">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sz w:val="24"/>
                <w:szCs w:val="24"/>
              </w:rPr>
              <w:t>加强危险废物环境安全隐患排查整治，推动部门间建立监管协作和联合执法机制</w:t>
            </w:r>
          </w:p>
        </w:tc>
        <w:tc>
          <w:tcPr>
            <w:tcW w:w="1479" w:type="pct"/>
            <w:tcBorders>
              <w:top w:val="single" w:color="auto" w:sz="4" w:space="0"/>
              <w:left w:val="nil"/>
              <w:bottom w:val="single" w:color="auto" w:sz="4" w:space="0"/>
              <w:right w:val="single" w:color="auto" w:sz="4" w:space="0"/>
            </w:tcBorders>
            <w:shd w:val="clear" w:color="auto" w:fill="auto"/>
            <w:vAlign w:val="center"/>
          </w:tcPr>
          <w:p w14:paraId="79081D6D">
            <w:pPr>
              <w:pageBreakBefore w:val="0"/>
              <w:widowControl/>
              <w:kinsoku/>
              <w:wordWrap/>
              <w:overflowPunct/>
              <w:topLinePunct w:val="0"/>
              <w:autoSpaceDE w:val="0"/>
              <w:autoSpaceDN w:val="0"/>
              <w:bidi w:val="0"/>
              <w:adjustRightInd w:val="0"/>
              <w:snapToGrid/>
              <w:spacing w:line="590" w:lineRule="exact"/>
              <w:ind w:firstLine="0" w:firstLineChars="0"/>
              <w:jc w:val="both"/>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000000"/>
                <w:sz w:val="24"/>
                <w:szCs w:val="24"/>
              </w:rPr>
              <w:t>生态环境部门与法院、检察院、公安、交通、</w:t>
            </w:r>
            <w:r>
              <w:rPr>
                <w:rFonts w:hint="eastAsia" w:asciiTheme="minorEastAsia" w:hAnsiTheme="minorEastAsia" w:eastAsiaTheme="minorEastAsia" w:cstheme="minorEastAsia"/>
                <w:color w:val="auto"/>
                <w:sz w:val="24"/>
                <w:szCs w:val="24"/>
                <w:lang w:eastAsia="zh-CN"/>
              </w:rPr>
              <w:t>应急</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000000"/>
                <w:sz w:val="24"/>
                <w:szCs w:val="24"/>
              </w:rPr>
              <w:t>卫健委、市场监管等部门合作，依据权责清单，明确各部门监管职责，加大对危险废物执法的检查力度，严格查处无证从事危险废物收集、贮存、利用、处置经营活动的行为，严厉打击跨区域非法转移倾倒危险废物的环境违法犯罪行为</w:t>
            </w:r>
            <w:r>
              <w:rPr>
                <w:rFonts w:hint="eastAsia" w:asciiTheme="minorEastAsia" w:hAnsiTheme="minorEastAsia" w:eastAsiaTheme="minorEastAsia" w:cstheme="minorEastAsia"/>
                <w:color w:val="000000"/>
                <w:sz w:val="24"/>
                <w:szCs w:val="24"/>
                <w:lang w:eastAsia="zh-CN"/>
              </w:rPr>
              <w:t>。</w:t>
            </w:r>
          </w:p>
        </w:tc>
        <w:tc>
          <w:tcPr>
            <w:tcW w:w="1026" w:type="pct"/>
            <w:tcBorders>
              <w:top w:val="single" w:color="auto" w:sz="4" w:space="0"/>
              <w:left w:val="nil"/>
              <w:bottom w:val="single" w:color="auto" w:sz="4" w:space="0"/>
              <w:right w:val="single" w:color="auto" w:sz="4" w:space="0"/>
            </w:tcBorders>
            <w:shd w:val="clear" w:color="auto" w:fill="auto"/>
            <w:vAlign w:val="center"/>
          </w:tcPr>
          <w:p w14:paraId="75EC1917">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市生态环境局</w:t>
            </w:r>
          </w:p>
        </w:tc>
        <w:tc>
          <w:tcPr>
            <w:tcW w:w="730" w:type="pct"/>
            <w:tcBorders>
              <w:top w:val="single" w:color="auto" w:sz="4" w:space="0"/>
              <w:left w:val="nil"/>
              <w:bottom w:val="single" w:color="auto" w:sz="4" w:space="0"/>
              <w:right w:val="single" w:color="auto" w:sz="4" w:space="0"/>
            </w:tcBorders>
            <w:shd w:val="clear" w:color="auto" w:fill="auto"/>
            <w:vAlign w:val="center"/>
          </w:tcPr>
          <w:p w14:paraId="6E56A807">
            <w:pPr>
              <w:pageBreakBefore w:val="0"/>
              <w:widowControl/>
              <w:kinsoku/>
              <w:wordWrap/>
              <w:overflowPunct/>
              <w:topLinePunct w:val="0"/>
              <w:autoSpaceDE w:val="0"/>
              <w:autoSpaceDN w:val="0"/>
              <w:bidi w:val="0"/>
              <w:adjustRightInd w:val="0"/>
              <w:snapToGrid/>
              <w:spacing w:line="590" w:lineRule="exact"/>
              <w:ind w:firstLine="0" w:firstLineChars="0"/>
              <w:jc w:val="center"/>
              <w:textAlignment w:val="auto"/>
              <w:rPr>
                <w:rFonts w:hint="eastAsia" w:asciiTheme="minorEastAsia" w:hAnsiTheme="minorEastAsia" w:eastAsiaTheme="minorEastAsia" w:cstheme="minorEastAsia"/>
                <w:kern w:val="0"/>
                <w:sz w:val="24"/>
                <w:szCs w:val="24"/>
                <w:lang w:val="zh-CN" w:bidi="zh-CN"/>
              </w:rPr>
            </w:pPr>
            <w:r>
              <w:rPr>
                <w:rFonts w:hint="eastAsia" w:asciiTheme="minorEastAsia" w:hAnsiTheme="minorEastAsia" w:eastAsiaTheme="minorEastAsia" w:cstheme="minorEastAsia"/>
                <w:kern w:val="0"/>
                <w:sz w:val="24"/>
                <w:szCs w:val="24"/>
              </w:rPr>
              <w:t>长期</w:t>
            </w:r>
          </w:p>
        </w:tc>
      </w:tr>
    </w:tbl>
    <w:p w14:paraId="0B945378">
      <w:pPr>
        <w:pStyle w:val="3"/>
        <w:pageBreakBefore w:val="0"/>
        <w:kinsoku/>
        <w:wordWrap/>
        <w:overflowPunct/>
        <w:topLinePunct w:val="0"/>
        <w:bidi w:val="0"/>
        <w:snapToGrid/>
        <w:spacing w:line="590" w:lineRule="exact"/>
        <w:textAlignment w:val="auto"/>
        <w:rPr>
          <w:rFonts w:hint="eastAsia" w:asciiTheme="minorEastAsia" w:hAnsiTheme="minorEastAsia" w:eastAsiaTheme="minorEastAsia" w:cstheme="minorEastAsia"/>
          <w:sz w:val="24"/>
          <w:szCs w:val="24"/>
        </w:rPr>
      </w:pPr>
    </w:p>
    <w:p w14:paraId="76D4C294">
      <w:pPr>
        <w:pStyle w:val="3"/>
        <w:pageBreakBefore w:val="0"/>
        <w:kinsoku/>
        <w:wordWrap/>
        <w:overflowPunct/>
        <w:topLinePunct w:val="0"/>
        <w:bidi w:val="0"/>
        <w:snapToGrid/>
        <w:spacing w:line="590" w:lineRule="exact"/>
        <w:textAlignment w:val="auto"/>
        <w:rPr>
          <w:rFonts w:hint="eastAsia" w:asciiTheme="minorEastAsia" w:hAnsiTheme="minorEastAsia" w:eastAsiaTheme="minorEastAsia" w:cstheme="minorEastAsia"/>
          <w:sz w:val="24"/>
          <w:szCs w:val="24"/>
        </w:rPr>
      </w:pPr>
    </w:p>
    <w:p w14:paraId="341242DA">
      <w:pPr>
        <w:pageBreakBefore w:val="0"/>
        <w:kinsoku/>
        <w:wordWrap/>
        <w:overflowPunct/>
        <w:topLinePunct w:val="0"/>
        <w:bidi w:val="0"/>
        <w:snapToGrid/>
        <w:spacing w:line="590" w:lineRule="exact"/>
        <w:textAlignment w:val="auto"/>
        <w:rPr>
          <w:rFonts w:hint="eastAsia" w:asciiTheme="minorEastAsia" w:hAnsiTheme="minorEastAsia" w:eastAsiaTheme="minorEastAsia" w:cstheme="minorEastAsia"/>
          <w:sz w:val="24"/>
          <w:szCs w:val="24"/>
        </w:rPr>
      </w:pPr>
    </w:p>
    <w:p w14:paraId="0377BE46">
      <w:pPr>
        <w:pageBreakBefore w:val="0"/>
        <w:kinsoku/>
        <w:wordWrap/>
        <w:overflowPunct/>
        <w:topLinePunct w:val="0"/>
        <w:bidi w:val="0"/>
        <w:snapToGrid/>
        <w:spacing w:line="590" w:lineRule="exact"/>
        <w:textAlignment w:val="auto"/>
        <w:rPr>
          <w:rFonts w:hint="eastAsia" w:asciiTheme="minorEastAsia" w:hAnsiTheme="minorEastAsia" w:eastAsiaTheme="minorEastAsia" w:cstheme="minorEastAsia"/>
          <w:sz w:val="24"/>
          <w:szCs w:val="24"/>
        </w:rPr>
      </w:pPr>
    </w:p>
    <w:p w14:paraId="1E073BB6">
      <w:pPr>
        <w:pageBreakBefore w:val="0"/>
        <w:kinsoku/>
        <w:wordWrap/>
        <w:overflowPunct/>
        <w:topLinePunct w:val="0"/>
        <w:bidi w:val="0"/>
        <w:snapToGrid/>
        <w:spacing w:line="590" w:lineRule="exact"/>
        <w:textAlignment w:val="auto"/>
        <w:rPr>
          <w:rFonts w:hint="eastAsia" w:asciiTheme="minorEastAsia" w:hAnsiTheme="minorEastAsia" w:eastAsiaTheme="minorEastAsia" w:cstheme="minorEastAsia"/>
          <w:sz w:val="24"/>
          <w:szCs w:val="24"/>
        </w:rPr>
      </w:pPr>
    </w:p>
    <w:p w14:paraId="71892501">
      <w:pPr>
        <w:pStyle w:val="3"/>
        <w:pageBreakBefore w:val="0"/>
        <w:kinsoku/>
        <w:wordWrap/>
        <w:overflowPunct/>
        <w:topLinePunct w:val="0"/>
        <w:bidi w:val="0"/>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表5 </w:t>
      </w:r>
      <w:r>
        <w:rPr>
          <w:rFonts w:hint="eastAsia" w:ascii="黑体" w:hAnsi="黑体" w:cs="黑体"/>
          <w:sz w:val="32"/>
          <w:szCs w:val="32"/>
          <w:lang w:eastAsia="zh-CN"/>
        </w:rPr>
        <w:t>“</w:t>
      </w:r>
      <w:r>
        <w:rPr>
          <w:rFonts w:hint="eastAsia" w:ascii="黑体" w:hAnsi="黑体" w:eastAsia="黑体" w:cs="黑体"/>
          <w:sz w:val="32"/>
          <w:szCs w:val="32"/>
        </w:rPr>
        <w:t>无废城市</w:t>
      </w:r>
      <w:r>
        <w:rPr>
          <w:rFonts w:hint="eastAsia" w:ascii="黑体" w:hAnsi="黑体" w:cs="黑体"/>
          <w:sz w:val="32"/>
          <w:szCs w:val="32"/>
          <w:lang w:eastAsia="zh-CN"/>
        </w:rPr>
        <w:t>”</w:t>
      </w:r>
      <w:r>
        <w:rPr>
          <w:rFonts w:hint="eastAsia" w:ascii="黑体" w:hAnsi="黑体" w:eastAsia="黑体" w:cs="黑体"/>
          <w:sz w:val="32"/>
          <w:szCs w:val="32"/>
        </w:rPr>
        <w:t>重点工程项目建设</w:t>
      </w:r>
      <w:bookmarkEnd w:id="0"/>
      <w:r>
        <w:rPr>
          <w:rFonts w:hint="eastAsia" w:ascii="黑体" w:hAnsi="黑体" w:eastAsia="黑体" w:cs="黑体"/>
          <w:sz w:val="32"/>
          <w:szCs w:val="32"/>
        </w:rPr>
        <w:t>清单</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160"/>
        <w:gridCol w:w="2063"/>
        <w:gridCol w:w="4577"/>
        <w:gridCol w:w="1459"/>
        <w:gridCol w:w="2055"/>
      </w:tblGrid>
      <w:tr w14:paraId="7E91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0" w:type="pct"/>
            <w:vAlign w:val="center"/>
          </w:tcPr>
          <w:p w14:paraId="71AC0B3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15" w:type="pct"/>
            <w:vAlign w:val="center"/>
          </w:tcPr>
          <w:p w14:paraId="13F054D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728" w:type="pct"/>
            <w:vAlign w:val="center"/>
          </w:tcPr>
          <w:p w14:paraId="3AE071D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责任单位</w:t>
            </w:r>
          </w:p>
        </w:tc>
        <w:tc>
          <w:tcPr>
            <w:tcW w:w="1615" w:type="pct"/>
            <w:vAlign w:val="center"/>
          </w:tcPr>
          <w:p w14:paraId="20967F37">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工程建设内容</w:t>
            </w:r>
          </w:p>
        </w:tc>
        <w:tc>
          <w:tcPr>
            <w:tcW w:w="515" w:type="pct"/>
            <w:vAlign w:val="center"/>
          </w:tcPr>
          <w:p w14:paraId="3181215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总投资/亿元</w:t>
            </w:r>
          </w:p>
        </w:tc>
        <w:tc>
          <w:tcPr>
            <w:tcW w:w="725" w:type="pct"/>
            <w:vAlign w:val="center"/>
          </w:tcPr>
          <w:p w14:paraId="52D7EB57">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完成时限</w:t>
            </w:r>
          </w:p>
        </w:tc>
      </w:tr>
      <w:tr w14:paraId="428D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7E18508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15" w:type="pct"/>
            <w:vAlign w:val="center"/>
          </w:tcPr>
          <w:p w14:paraId="10A90E21">
            <w:pPr>
              <w:pageBreakBefore w:val="0"/>
              <w:kinsoku/>
              <w:wordWrap/>
              <w:overflowPunct/>
              <w:topLinePunct w:val="0"/>
              <w:bidi w:val="0"/>
              <w:snapToGrid/>
              <w:spacing w:line="590" w:lineRule="exact"/>
              <w:ind w:firstLine="42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淮北市小微企业及社会源类危险废物收集贮存转运项目</w:t>
            </w:r>
          </w:p>
        </w:tc>
        <w:tc>
          <w:tcPr>
            <w:tcW w:w="728" w:type="pct"/>
            <w:vAlign w:val="center"/>
          </w:tcPr>
          <w:p w14:paraId="2B951E9B">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淮北澳新环保科技有限公司</w:t>
            </w:r>
          </w:p>
        </w:tc>
        <w:tc>
          <w:tcPr>
            <w:tcW w:w="1615" w:type="pct"/>
            <w:vAlign w:val="center"/>
          </w:tcPr>
          <w:p w14:paraId="44F897EE">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占地5978平方米，建筑面积2000平方米，建设厂房、办公楼等，拟购置磅秤等设备，配套建设环保、供配电等公用工程。涉及的原料来自于淮北市小微企业和社会源类危险废物。涉及工序收集、贮存、转运（不涉及处置工序）。项目建成后可达到年收集贮存转运5000吨危险废物的生产能力</w:t>
            </w:r>
            <w:r>
              <w:rPr>
                <w:rFonts w:hint="eastAsia" w:asciiTheme="minorEastAsia" w:hAnsiTheme="minorEastAsia" w:eastAsiaTheme="minorEastAsia" w:cstheme="minorEastAsia"/>
                <w:sz w:val="24"/>
                <w:szCs w:val="24"/>
                <w:lang w:eastAsia="zh-CN"/>
              </w:rPr>
              <w:t>。</w:t>
            </w:r>
          </w:p>
        </w:tc>
        <w:tc>
          <w:tcPr>
            <w:tcW w:w="515" w:type="pct"/>
            <w:vAlign w:val="center"/>
          </w:tcPr>
          <w:p w14:paraId="35D550C4">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w:t>
            </w:r>
          </w:p>
        </w:tc>
        <w:tc>
          <w:tcPr>
            <w:tcW w:w="725" w:type="pct"/>
            <w:vAlign w:val="center"/>
          </w:tcPr>
          <w:p w14:paraId="2528C7B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7344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62304877">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15" w:type="pct"/>
            <w:vAlign w:val="center"/>
          </w:tcPr>
          <w:p w14:paraId="63DCAB7C">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color w:val="000000"/>
                <w:sz w:val="24"/>
                <w:szCs w:val="24"/>
              </w:rPr>
              <w:t>畜禽粪污资源化利用设施装备提升改造工程</w:t>
            </w:r>
          </w:p>
        </w:tc>
        <w:tc>
          <w:tcPr>
            <w:tcW w:w="728" w:type="pct"/>
            <w:vAlign w:val="center"/>
          </w:tcPr>
          <w:p w14:paraId="394F729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1615" w:type="pct"/>
            <w:vAlign w:val="center"/>
          </w:tcPr>
          <w:p w14:paraId="2F674D5D">
            <w:pPr>
              <w:pageBreakBefore w:val="0"/>
              <w:widowControl/>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推进各县区规模养殖场设施装备的改造升级</w:t>
            </w:r>
            <w:r>
              <w:rPr>
                <w:rFonts w:hint="eastAsia" w:asciiTheme="minorEastAsia" w:hAnsiTheme="minorEastAsia" w:eastAsiaTheme="minorEastAsia" w:cstheme="minorEastAsia"/>
                <w:color w:val="000000"/>
                <w:sz w:val="24"/>
                <w:szCs w:val="24"/>
                <w:lang w:eastAsia="zh-CN"/>
              </w:rPr>
              <w:t>。</w:t>
            </w:r>
          </w:p>
        </w:tc>
        <w:tc>
          <w:tcPr>
            <w:tcW w:w="515" w:type="pct"/>
            <w:vAlign w:val="center"/>
          </w:tcPr>
          <w:p w14:paraId="71EA18B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0.15</w:t>
            </w:r>
          </w:p>
        </w:tc>
        <w:tc>
          <w:tcPr>
            <w:tcW w:w="725" w:type="pct"/>
            <w:vAlign w:val="center"/>
          </w:tcPr>
          <w:p w14:paraId="34C1016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2446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1E1161D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3</w:t>
            </w:r>
          </w:p>
        </w:tc>
        <w:tc>
          <w:tcPr>
            <w:tcW w:w="1115" w:type="pct"/>
            <w:vAlign w:val="center"/>
          </w:tcPr>
          <w:p w14:paraId="077894C1">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商品有机肥推广应用工程及扶持有机肥龙头企业工程</w:t>
            </w:r>
          </w:p>
        </w:tc>
        <w:tc>
          <w:tcPr>
            <w:tcW w:w="728" w:type="pct"/>
            <w:vAlign w:val="center"/>
          </w:tcPr>
          <w:p w14:paraId="74937F9A">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市农业农村局</w:t>
            </w:r>
          </w:p>
        </w:tc>
        <w:tc>
          <w:tcPr>
            <w:tcW w:w="1615" w:type="pct"/>
            <w:vAlign w:val="center"/>
          </w:tcPr>
          <w:p w14:paraId="7C3889C9">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推广商品有机肥应用，培育有机肥企业</w:t>
            </w:r>
            <w:r>
              <w:rPr>
                <w:rFonts w:hint="eastAsia" w:asciiTheme="minorEastAsia" w:hAnsiTheme="minorEastAsia" w:eastAsiaTheme="minorEastAsia" w:cstheme="minorEastAsia"/>
                <w:sz w:val="24"/>
                <w:szCs w:val="24"/>
                <w:lang w:eastAsia="zh-CN"/>
              </w:rPr>
              <w:t>。</w:t>
            </w:r>
          </w:p>
        </w:tc>
        <w:tc>
          <w:tcPr>
            <w:tcW w:w="515" w:type="pct"/>
            <w:vAlign w:val="center"/>
          </w:tcPr>
          <w:p w14:paraId="04CBF4E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0.14</w:t>
            </w:r>
          </w:p>
        </w:tc>
        <w:tc>
          <w:tcPr>
            <w:tcW w:w="725" w:type="pct"/>
            <w:vAlign w:val="center"/>
          </w:tcPr>
          <w:p w14:paraId="0E80ACC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3523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5D2E24DB">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w:t>
            </w:r>
          </w:p>
        </w:tc>
        <w:tc>
          <w:tcPr>
            <w:tcW w:w="1115" w:type="pct"/>
            <w:vAlign w:val="center"/>
          </w:tcPr>
          <w:p w14:paraId="62756F61">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餐厨垃圾处置项目二期</w:t>
            </w:r>
          </w:p>
        </w:tc>
        <w:tc>
          <w:tcPr>
            <w:tcW w:w="728" w:type="pct"/>
            <w:vAlign w:val="center"/>
          </w:tcPr>
          <w:p w14:paraId="464A43E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市城市管理局</w:t>
            </w:r>
          </w:p>
        </w:tc>
        <w:tc>
          <w:tcPr>
            <w:tcW w:w="1615" w:type="pct"/>
            <w:vAlign w:val="center"/>
          </w:tcPr>
          <w:p w14:paraId="4F6401D2">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设计规模100吨/日</w:t>
            </w:r>
            <w:r>
              <w:rPr>
                <w:rFonts w:hint="eastAsia" w:asciiTheme="minorEastAsia" w:hAnsiTheme="minorEastAsia" w:eastAsiaTheme="minorEastAsia" w:cstheme="minorEastAsia"/>
                <w:sz w:val="24"/>
                <w:szCs w:val="24"/>
                <w:lang w:eastAsia="zh-CN"/>
              </w:rPr>
              <w:t>。</w:t>
            </w:r>
          </w:p>
        </w:tc>
        <w:tc>
          <w:tcPr>
            <w:tcW w:w="515" w:type="pct"/>
            <w:vAlign w:val="center"/>
          </w:tcPr>
          <w:p w14:paraId="1F0B8D1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0.52</w:t>
            </w:r>
          </w:p>
        </w:tc>
        <w:tc>
          <w:tcPr>
            <w:tcW w:w="725" w:type="pct"/>
            <w:vAlign w:val="center"/>
          </w:tcPr>
          <w:p w14:paraId="6DF7704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0DEA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426BA88D">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5</w:t>
            </w:r>
          </w:p>
        </w:tc>
        <w:tc>
          <w:tcPr>
            <w:tcW w:w="1115" w:type="pct"/>
            <w:vAlign w:val="center"/>
          </w:tcPr>
          <w:p w14:paraId="19BD283A">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元禾年处理5万吨铝灰资源化再利用项目</w:t>
            </w:r>
          </w:p>
        </w:tc>
        <w:tc>
          <w:tcPr>
            <w:tcW w:w="728" w:type="pct"/>
            <w:vAlign w:val="center"/>
          </w:tcPr>
          <w:p w14:paraId="1143B30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安徽元禾泰盛环保科技有限公司</w:t>
            </w:r>
          </w:p>
        </w:tc>
        <w:tc>
          <w:tcPr>
            <w:tcW w:w="1615" w:type="pct"/>
            <w:vAlign w:val="center"/>
          </w:tcPr>
          <w:p w14:paraId="56F35062">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占地约40亩，建筑物总面积约20000平方米，建设预处理车间、焙烧车间、原料仓库、成品仓库及其他配套设施</w:t>
            </w:r>
            <w:r>
              <w:rPr>
                <w:rFonts w:hint="eastAsia" w:asciiTheme="minorEastAsia" w:hAnsiTheme="minorEastAsia" w:eastAsiaTheme="minorEastAsia" w:cstheme="minorEastAsia"/>
                <w:sz w:val="24"/>
                <w:szCs w:val="24"/>
                <w:lang w:eastAsia="zh-CN"/>
              </w:rPr>
              <w:t>。</w:t>
            </w:r>
          </w:p>
        </w:tc>
        <w:tc>
          <w:tcPr>
            <w:tcW w:w="515" w:type="pct"/>
            <w:vAlign w:val="center"/>
          </w:tcPr>
          <w:p w14:paraId="52665C1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25" w:type="pct"/>
            <w:vAlign w:val="center"/>
          </w:tcPr>
          <w:p w14:paraId="2E47C4C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2024年</w:t>
            </w:r>
          </w:p>
        </w:tc>
      </w:tr>
      <w:tr w14:paraId="3A20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496C3D65">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6</w:t>
            </w:r>
          </w:p>
        </w:tc>
        <w:tc>
          <w:tcPr>
            <w:tcW w:w="1115" w:type="pct"/>
            <w:vAlign w:val="center"/>
          </w:tcPr>
          <w:p w14:paraId="27AE45AA">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淮北市资源化处置中心</w:t>
            </w:r>
          </w:p>
          <w:p w14:paraId="5894D285">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（一期）项目</w:t>
            </w:r>
          </w:p>
        </w:tc>
        <w:tc>
          <w:tcPr>
            <w:tcW w:w="728" w:type="pct"/>
            <w:vAlign w:val="center"/>
          </w:tcPr>
          <w:p w14:paraId="5125887C">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市城市管理局</w:t>
            </w:r>
          </w:p>
        </w:tc>
        <w:tc>
          <w:tcPr>
            <w:tcW w:w="1615" w:type="pct"/>
            <w:vAlign w:val="center"/>
          </w:tcPr>
          <w:p w14:paraId="3C127C63">
            <w:pPr>
              <w:pageBreakBefore w:val="0"/>
              <w:widowControl/>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设计一条建筑垃圾处理线，处理规模5万吨/年；设计一条装修垃圾处理线，处理规模2万吨/年；设计一条大件垃圾处理线，处理规模2000吨/年；设计一条园林垃圾处理线，处理规模500吨/年；设计一座渗滤液处理站，处理规模100吨/天。</w:t>
            </w:r>
          </w:p>
        </w:tc>
        <w:tc>
          <w:tcPr>
            <w:tcW w:w="515" w:type="pct"/>
            <w:vAlign w:val="center"/>
          </w:tcPr>
          <w:p w14:paraId="62BC1B69">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0.52</w:t>
            </w:r>
          </w:p>
        </w:tc>
        <w:tc>
          <w:tcPr>
            <w:tcW w:w="725" w:type="pct"/>
            <w:vAlign w:val="center"/>
          </w:tcPr>
          <w:p w14:paraId="57D22942">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2024年</w:t>
            </w:r>
          </w:p>
        </w:tc>
      </w:tr>
      <w:tr w14:paraId="3635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DA2D70B">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7</w:t>
            </w:r>
          </w:p>
        </w:tc>
        <w:tc>
          <w:tcPr>
            <w:tcW w:w="1115" w:type="pct"/>
            <w:vAlign w:val="center"/>
          </w:tcPr>
          <w:p w14:paraId="0FF5A2CB">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安徽省绿康金属材料有限公司年回收加工利用4万吨铝灰渣无害化处理建设项目</w:t>
            </w:r>
          </w:p>
        </w:tc>
        <w:tc>
          <w:tcPr>
            <w:tcW w:w="728" w:type="pct"/>
            <w:vAlign w:val="center"/>
          </w:tcPr>
          <w:p w14:paraId="42771C2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安徽省绿康金属材料有限公司</w:t>
            </w:r>
          </w:p>
        </w:tc>
        <w:tc>
          <w:tcPr>
            <w:tcW w:w="1615" w:type="pct"/>
            <w:vAlign w:val="center"/>
          </w:tcPr>
          <w:p w14:paraId="46BE1343">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年综合利用4万吨铝灰渣（危险废物）生产工艺</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11F3900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25" w:type="pct"/>
            <w:vAlign w:val="center"/>
          </w:tcPr>
          <w:p w14:paraId="63AE82D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5F2A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D744BD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8</w:t>
            </w:r>
          </w:p>
        </w:tc>
        <w:tc>
          <w:tcPr>
            <w:tcW w:w="1115" w:type="pct"/>
            <w:vAlign w:val="center"/>
          </w:tcPr>
          <w:p w14:paraId="4966A191">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污泥基生物质燃料项目</w:t>
            </w:r>
          </w:p>
        </w:tc>
        <w:tc>
          <w:tcPr>
            <w:tcW w:w="728" w:type="pct"/>
            <w:vAlign w:val="center"/>
          </w:tcPr>
          <w:p w14:paraId="0170488A">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bidi="zh-CN"/>
              </w:rPr>
            </w:pPr>
            <w:r>
              <w:rPr>
                <w:rFonts w:hint="eastAsia" w:asciiTheme="minorEastAsia" w:hAnsiTheme="minorEastAsia" w:eastAsiaTheme="minorEastAsia" w:cstheme="minorEastAsia"/>
                <w:sz w:val="24"/>
                <w:szCs w:val="24"/>
              </w:rPr>
              <w:t>市高新区</w:t>
            </w:r>
          </w:p>
        </w:tc>
        <w:tc>
          <w:tcPr>
            <w:tcW w:w="1615" w:type="pct"/>
            <w:vAlign w:val="center"/>
          </w:tcPr>
          <w:p w14:paraId="7BD188B7">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val="zh-CN" w:eastAsia="zh-CN" w:bidi="zh-CN"/>
              </w:rPr>
            </w:pPr>
            <w:r>
              <w:rPr>
                <w:rFonts w:hint="eastAsia" w:asciiTheme="minorEastAsia" w:hAnsiTheme="minorEastAsia" w:eastAsiaTheme="minorEastAsia" w:cstheme="minorEastAsia"/>
                <w:sz w:val="24"/>
                <w:szCs w:val="24"/>
                <w:shd w:val="clear" w:color="auto" w:fill="FFFFFF"/>
              </w:rPr>
              <w:t>占地约40亩，总建筑面积约20000平方米，年处置15万吨市政污泥</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5A7A06F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rPr>
              <w:t>2</w:t>
            </w:r>
          </w:p>
        </w:tc>
        <w:tc>
          <w:tcPr>
            <w:tcW w:w="725" w:type="pct"/>
            <w:vAlign w:val="center"/>
          </w:tcPr>
          <w:p w14:paraId="3DCC737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rPr>
              <w:t>2025年底</w:t>
            </w:r>
          </w:p>
        </w:tc>
      </w:tr>
      <w:tr w14:paraId="691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896FCE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9</w:t>
            </w:r>
          </w:p>
        </w:tc>
        <w:tc>
          <w:tcPr>
            <w:tcW w:w="1115" w:type="pct"/>
            <w:vAlign w:val="center"/>
          </w:tcPr>
          <w:p w14:paraId="5F316A60">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bidi="zh-CN"/>
              </w:rPr>
            </w:pPr>
            <w:r>
              <w:rPr>
                <w:rFonts w:hint="eastAsia" w:asciiTheme="minorEastAsia" w:hAnsiTheme="minorEastAsia" w:eastAsiaTheme="minorEastAsia" w:cstheme="minorEastAsia"/>
                <w:sz w:val="24"/>
                <w:szCs w:val="24"/>
                <w:shd w:val="clear" w:color="auto" w:fill="FFFFFF"/>
              </w:rPr>
              <w:t>安徽理银环境科技有限公司危险废弃资源化处置项目</w:t>
            </w:r>
          </w:p>
        </w:tc>
        <w:tc>
          <w:tcPr>
            <w:tcW w:w="728" w:type="pct"/>
            <w:vAlign w:val="center"/>
          </w:tcPr>
          <w:p w14:paraId="059933D4">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安徽理银环境科技有限公司</w:t>
            </w:r>
          </w:p>
        </w:tc>
        <w:tc>
          <w:tcPr>
            <w:tcW w:w="1615" w:type="pct"/>
            <w:vAlign w:val="center"/>
          </w:tcPr>
          <w:p w14:paraId="44E0C721">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bidi="zh-CN"/>
              </w:rPr>
            </w:pPr>
            <w:r>
              <w:rPr>
                <w:rFonts w:hint="eastAsia" w:asciiTheme="minorEastAsia" w:hAnsiTheme="minorEastAsia" w:eastAsiaTheme="minorEastAsia" w:cstheme="minorEastAsia"/>
                <w:sz w:val="24"/>
                <w:szCs w:val="24"/>
                <w:shd w:val="clear" w:color="auto" w:fill="FFFFFF"/>
              </w:rPr>
              <w:t>处置铝灰渣，含油硅藻土废旧电容器</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3F855FC2">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5</w:t>
            </w:r>
          </w:p>
        </w:tc>
        <w:tc>
          <w:tcPr>
            <w:tcW w:w="725" w:type="pct"/>
            <w:vAlign w:val="center"/>
          </w:tcPr>
          <w:p w14:paraId="4F1C63E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sz w:val="24"/>
                <w:szCs w:val="24"/>
              </w:rPr>
              <w:t>2025年</w:t>
            </w:r>
          </w:p>
        </w:tc>
      </w:tr>
      <w:tr w14:paraId="3883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484628AB">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10</w:t>
            </w:r>
          </w:p>
        </w:tc>
        <w:tc>
          <w:tcPr>
            <w:tcW w:w="1115" w:type="pct"/>
            <w:vAlign w:val="center"/>
          </w:tcPr>
          <w:p w14:paraId="7EF78445">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苏高新（安徽）材料科技有限公司年处理250000吨新能源汽车退役动力蓄电池综合利用项目（一期）</w:t>
            </w:r>
          </w:p>
        </w:tc>
        <w:tc>
          <w:tcPr>
            <w:tcW w:w="728" w:type="pct"/>
            <w:vAlign w:val="center"/>
          </w:tcPr>
          <w:p w14:paraId="4CFF6AD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lang w:val="zh-CN" w:bidi="zh-CN"/>
              </w:rPr>
              <w:t>苏高新（安徽）材料科技有限公司</w:t>
            </w:r>
          </w:p>
        </w:tc>
        <w:tc>
          <w:tcPr>
            <w:tcW w:w="1615" w:type="pct"/>
            <w:vAlign w:val="center"/>
          </w:tcPr>
          <w:p w14:paraId="1E8FADD3">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一期工程：处理废旧磷酸铁锂电池150000t/a、磷酸铁锂极粉20000t/a、粗制碳酸锂19400t/a、铝电解质10000t/a、卤水16500m3/a、含锂玻璃粉2000t/a。其中100000t/a废旧磷酸铁锂电池进行梯次利用，50000t/a废旧磷酸铁锂电池进行资源化回收利用</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2DC75138">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w:t>
            </w:r>
          </w:p>
        </w:tc>
        <w:tc>
          <w:tcPr>
            <w:tcW w:w="725" w:type="pct"/>
            <w:vAlign w:val="center"/>
          </w:tcPr>
          <w:p w14:paraId="3D6A9A6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30D1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472EB4E4">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11</w:t>
            </w:r>
          </w:p>
        </w:tc>
        <w:tc>
          <w:tcPr>
            <w:tcW w:w="1115" w:type="pct"/>
            <w:vAlign w:val="center"/>
          </w:tcPr>
          <w:p w14:paraId="0B89D488">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安徽泽君新能源科技有限公司动力锂电池梯次利用项目</w:t>
            </w:r>
          </w:p>
        </w:tc>
        <w:tc>
          <w:tcPr>
            <w:tcW w:w="728" w:type="pct"/>
            <w:vAlign w:val="center"/>
          </w:tcPr>
          <w:p w14:paraId="0DD0B81E">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安徽泽君新能源科技有限公司</w:t>
            </w:r>
          </w:p>
        </w:tc>
        <w:tc>
          <w:tcPr>
            <w:tcW w:w="1615" w:type="pct"/>
            <w:vAlign w:val="center"/>
          </w:tcPr>
          <w:p w14:paraId="4400113F">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产品规模：年处理废旧锂电池4000吨，生产工艺：将原材料（废旧锂电池）撕破、烘干、破碎、筛选、分选、磁选、破碎、筛选，合格产品检查包装、入库</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6E21B56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w:t>
            </w:r>
          </w:p>
        </w:tc>
        <w:tc>
          <w:tcPr>
            <w:tcW w:w="725" w:type="pct"/>
            <w:vAlign w:val="center"/>
          </w:tcPr>
          <w:p w14:paraId="4F8DBB2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3E08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489F7E59">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12</w:t>
            </w:r>
          </w:p>
        </w:tc>
        <w:tc>
          <w:tcPr>
            <w:tcW w:w="1115" w:type="pct"/>
            <w:vAlign w:val="center"/>
          </w:tcPr>
          <w:p w14:paraId="2A2C0670">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安徽理士资源循环利用科技有限公司年处理5万吨废旧锂电池清洁回收综合利用项目</w:t>
            </w:r>
          </w:p>
        </w:tc>
        <w:tc>
          <w:tcPr>
            <w:tcW w:w="728" w:type="pct"/>
            <w:vAlign w:val="center"/>
          </w:tcPr>
          <w:p w14:paraId="6DA7756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安徽理士资源循环利用科技有限公司</w:t>
            </w:r>
          </w:p>
        </w:tc>
        <w:tc>
          <w:tcPr>
            <w:tcW w:w="1615" w:type="pct"/>
            <w:vAlign w:val="center"/>
          </w:tcPr>
          <w:p w14:paraId="7B479059">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产品规模：年处理5万吨废旧锂电池，生产工艺：检测、预处理（撕碎、破碎、筛分、热解）、浸出除杂、萃取、浓缩析出等</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0678072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14.97</w:t>
            </w:r>
          </w:p>
        </w:tc>
        <w:tc>
          <w:tcPr>
            <w:tcW w:w="725" w:type="pct"/>
            <w:vAlign w:val="center"/>
          </w:tcPr>
          <w:p w14:paraId="418D14B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5DAD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66862FFC">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13</w:t>
            </w:r>
          </w:p>
        </w:tc>
        <w:tc>
          <w:tcPr>
            <w:tcW w:w="1115" w:type="pct"/>
            <w:vAlign w:val="center"/>
          </w:tcPr>
          <w:p w14:paraId="25342A5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萃星（安徽）循环科技有限公司萃星循环年回收处理4万吨废旧锂电池及材料制备项目（一二期）</w:t>
            </w:r>
          </w:p>
        </w:tc>
        <w:tc>
          <w:tcPr>
            <w:tcW w:w="728" w:type="pct"/>
            <w:vAlign w:val="center"/>
          </w:tcPr>
          <w:p w14:paraId="7F89FAD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萃星（安徽）循环科技有限公司</w:t>
            </w:r>
          </w:p>
        </w:tc>
        <w:tc>
          <w:tcPr>
            <w:tcW w:w="1615" w:type="pct"/>
            <w:vAlign w:val="center"/>
          </w:tcPr>
          <w:p w14:paraId="64BCCDBB">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项目工程分两期实施，其中一期工程年处理废旧锂电池规模1.3万吨，二期工程年处理废旧锂电池规模1.3万吨，项目全部建成后，可形成年处理2.6万吨废旧锂电池的生产能力。</w:t>
            </w:r>
          </w:p>
          <w:p w14:paraId="01E143F9">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一期工程生产工艺</w:t>
            </w:r>
          </w:p>
          <w:p w14:paraId="5F7E0CFE">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①三元锂电池回收生产线：预处理-混酸焙烧-水浸除杂-酸浸除杂-萃取-蒸发结晶。</w:t>
            </w:r>
          </w:p>
          <w:p w14:paraId="4E0C076B">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②LFP电池回收生产线：预处理-混酸焙烧-水浸除杂。</w:t>
            </w:r>
          </w:p>
          <w:p w14:paraId="293BF510">
            <w:pPr>
              <w:pageBreakBefore w:val="0"/>
              <w:kinsoku/>
              <w:wordWrap/>
              <w:overflowPunct/>
              <w:topLinePunct w:val="0"/>
              <w:bidi w:val="0"/>
              <w:snapToGrid/>
              <w:spacing w:line="590" w:lineRule="exact"/>
              <w:ind w:firstLine="0" w:firstLineChars="0"/>
              <w:jc w:val="left"/>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③正、负极片再生生产线：清洗搅拌-筛分-干燥-溶解-振动筛分-蒸发-搅拌-分离-干燥-研磨。                                                                              二期工程生产工艺（同一期）</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7DEE2B7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lang w:val="en-US" w:eastAsia="zh-CN"/>
              </w:rPr>
              <w:t>1</w:t>
            </w:r>
          </w:p>
        </w:tc>
        <w:tc>
          <w:tcPr>
            <w:tcW w:w="725" w:type="pct"/>
            <w:vAlign w:val="center"/>
          </w:tcPr>
          <w:p w14:paraId="39702EE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322A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C3D2F23">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14</w:t>
            </w:r>
          </w:p>
        </w:tc>
        <w:tc>
          <w:tcPr>
            <w:tcW w:w="1115" w:type="pct"/>
            <w:vAlign w:val="center"/>
          </w:tcPr>
          <w:p w14:paraId="50FC215D">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安徽易辰新材料有限公司四万吨废旧锂电池正负极片综合利用项目</w:t>
            </w:r>
          </w:p>
        </w:tc>
        <w:tc>
          <w:tcPr>
            <w:tcW w:w="728" w:type="pct"/>
            <w:vAlign w:val="center"/>
          </w:tcPr>
          <w:p w14:paraId="1DF9883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安徽易辰新材料有限公司</w:t>
            </w:r>
          </w:p>
        </w:tc>
        <w:tc>
          <w:tcPr>
            <w:tcW w:w="1615" w:type="pct"/>
            <w:vAlign w:val="center"/>
          </w:tcPr>
          <w:p w14:paraId="0E656125">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产品规模：年处理废旧锂电池电极片40000吨，生产工艺：将原材料（废旧锂电池正负极片）粗破、细碎、筛分，产品检查包装、入库</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756FA37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w:t>
            </w:r>
          </w:p>
        </w:tc>
        <w:tc>
          <w:tcPr>
            <w:tcW w:w="725" w:type="pct"/>
            <w:vAlign w:val="center"/>
          </w:tcPr>
          <w:p w14:paraId="4E4D465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12E0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6EE631C">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15</w:t>
            </w:r>
          </w:p>
        </w:tc>
        <w:tc>
          <w:tcPr>
            <w:tcW w:w="1115" w:type="pct"/>
            <w:vAlign w:val="center"/>
          </w:tcPr>
          <w:p w14:paraId="1C997814">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安徽隆生新能源科技有限公司废旧锂电池回收处理项目</w:t>
            </w:r>
          </w:p>
        </w:tc>
        <w:tc>
          <w:tcPr>
            <w:tcW w:w="728" w:type="pct"/>
            <w:vAlign w:val="center"/>
          </w:tcPr>
          <w:p w14:paraId="49EDDD4A">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lang w:val="zh-CN" w:bidi="zh-CN"/>
              </w:rPr>
            </w:pPr>
            <w:r>
              <w:rPr>
                <w:rFonts w:hint="eastAsia" w:asciiTheme="minorEastAsia" w:hAnsiTheme="minorEastAsia" w:eastAsiaTheme="minorEastAsia" w:cstheme="minorEastAsia"/>
                <w:sz w:val="24"/>
                <w:szCs w:val="24"/>
                <w:shd w:val="clear" w:color="auto" w:fill="FFFFFF"/>
              </w:rPr>
              <w:t>安徽隆生新能源科技有限公司</w:t>
            </w:r>
          </w:p>
        </w:tc>
        <w:tc>
          <w:tcPr>
            <w:tcW w:w="1615" w:type="pct"/>
            <w:vAlign w:val="center"/>
          </w:tcPr>
          <w:p w14:paraId="3445E99E">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建设两条锂电池破碎生产线及相关环保设施，将废旧锂电池经人工拆解-破碎-烘干-筛分分选-干法剥离-色选，得到铜箔和铝箔，项目建成后可年处理10000吨废旧锂电池</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5933138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25" w:type="pct"/>
            <w:vAlign w:val="center"/>
          </w:tcPr>
          <w:p w14:paraId="25418C4C">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2484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2667C1F2">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16</w:t>
            </w:r>
          </w:p>
        </w:tc>
        <w:tc>
          <w:tcPr>
            <w:tcW w:w="1115" w:type="pct"/>
            <w:vAlign w:val="center"/>
          </w:tcPr>
          <w:p w14:paraId="1436B983">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安徽省茂鑫金属制品有限公司年拆解15000辆报废汽车项目</w:t>
            </w:r>
          </w:p>
        </w:tc>
        <w:tc>
          <w:tcPr>
            <w:tcW w:w="728" w:type="pct"/>
            <w:vAlign w:val="center"/>
          </w:tcPr>
          <w:p w14:paraId="174FE40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安徽省茂鑫金属制品有限公司</w:t>
            </w:r>
          </w:p>
        </w:tc>
        <w:tc>
          <w:tcPr>
            <w:tcW w:w="1615" w:type="pct"/>
            <w:vAlign w:val="center"/>
          </w:tcPr>
          <w:p w14:paraId="6B3C383E">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建设1#生产车间、1栋综合楼，购置汽车拆解流水线、破碎机、打包机等生产设备和配套辅助设备，年拆解15000辆报废汽车项目</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68C03487">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725" w:type="pct"/>
            <w:vAlign w:val="center"/>
          </w:tcPr>
          <w:p w14:paraId="28724FC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2024年</w:t>
            </w:r>
          </w:p>
        </w:tc>
      </w:tr>
      <w:tr w14:paraId="1ACF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5021D504">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17</w:t>
            </w:r>
          </w:p>
        </w:tc>
        <w:tc>
          <w:tcPr>
            <w:tcW w:w="1115" w:type="pct"/>
            <w:vAlign w:val="center"/>
          </w:tcPr>
          <w:p w14:paraId="151BC576">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安徽隆正环保科技有限公司隆正再生资源回收利用建设项目</w:t>
            </w:r>
          </w:p>
        </w:tc>
        <w:tc>
          <w:tcPr>
            <w:tcW w:w="728" w:type="pct"/>
            <w:vAlign w:val="center"/>
          </w:tcPr>
          <w:p w14:paraId="58114BC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安徽隆正环保科技有限公司</w:t>
            </w:r>
          </w:p>
        </w:tc>
        <w:tc>
          <w:tcPr>
            <w:tcW w:w="1615" w:type="pct"/>
            <w:vAlign w:val="center"/>
          </w:tcPr>
          <w:p w14:paraId="09A7EFBC">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新建1#厂房、2#厂房，用于建设1条燃油车辆拆解生产线、1条新能源车辆拆解生产线，购置废铝回收打包设备、拆解预处理平台、自动化拆解设备等，年回收废铝100000吨、年拆解车辆10000辆的生产能力。</w:t>
            </w:r>
          </w:p>
        </w:tc>
        <w:tc>
          <w:tcPr>
            <w:tcW w:w="515" w:type="pct"/>
            <w:vAlign w:val="center"/>
          </w:tcPr>
          <w:p w14:paraId="17DB899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725" w:type="pct"/>
            <w:vAlign w:val="center"/>
          </w:tcPr>
          <w:p w14:paraId="71E80615">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6A28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3F53A67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18</w:t>
            </w:r>
          </w:p>
        </w:tc>
        <w:tc>
          <w:tcPr>
            <w:tcW w:w="1115" w:type="pct"/>
            <w:vAlign w:val="center"/>
          </w:tcPr>
          <w:p w14:paraId="02BE184A">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安徽省富美金属制品有限公司报废汽车回收拆解项目</w:t>
            </w:r>
          </w:p>
        </w:tc>
        <w:tc>
          <w:tcPr>
            <w:tcW w:w="728" w:type="pct"/>
            <w:vAlign w:val="center"/>
          </w:tcPr>
          <w:p w14:paraId="0B702D7D">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安徽省富美金属制品有限公司</w:t>
            </w:r>
          </w:p>
        </w:tc>
        <w:tc>
          <w:tcPr>
            <w:tcW w:w="1615" w:type="pct"/>
            <w:vAlign w:val="center"/>
          </w:tcPr>
          <w:p w14:paraId="34C66D0E">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建设1#车间、2#车间、3#车间、1#机动车库房、2#机动车库房及辅助用房等，购置废油液抽取机、安全气囊引爆器、扒胎机、举升机、总成拆解平台、剪切机、等离子切割机等设备，年拆解15000辆报废汽车的生产能力</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58EDBB1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0.06</w:t>
            </w:r>
          </w:p>
        </w:tc>
        <w:tc>
          <w:tcPr>
            <w:tcW w:w="725" w:type="pct"/>
            <w:vAlign w:val="center"/>
          </w:tcPr>
          <w:p w14:paraId="402DE389">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5884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662F929A">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19</w:t>
            </w:r>
          </w:p>
        </w:tc>
        <w:tc>
          <w:tcPr>
            <w:tcW w:w="1115" w:type="pct"/>
            <w:vAlign w:val="center"/>
          </w:tcPr>
          <w:p w14:paraId="46271A15">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安徽越江环保科技有限公司环保新材料项目</w:t>
            </w:r>
          </w:p>
        </w:tc>
        <w:tc>
          <w:tcPr>
            <w:tcW w:w="728" w:type="pct"/>
            <w:vAlign w:val="center"/>
          </w:tcPr>
          <w:p w14:paraId="105470A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安徽越江环保科技有限公司</w:t>
            </w:r>
          </w:p>
        </w:tc>
        <w:tc>
          <w:tcPr>
            <w:tcW w:w="1615" w:type="pct"/>
            <w:vAlign w:val="center"/>
          </w:tcPr>
          <w:p w14:paraId="603E1682">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建设3条胶粉生产线和4条再生胶生产线，并购置相关生产设备，年处理6万吨废橡胶和年生产3万吨再生胶的生产能力</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53590BF2">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p>
        </w:tc>
        <w:tc>
          <w:tcPr>
            <w:tcW w:w="725" w:type="pct"/>
            <w:vAlign w:val="center"/>
          </w:tcPr>
          <w:p w14:paraId="39054E96">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r w14:paraId="0CBD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67FDF751">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20</w:t>
            </w:r>
          </w:p>
        </w:tc>
        <w:tc>
          <w:tcPr>
            <w:tcW w:w="1115" w:type="pct"/>
            <w:vAlign w:val="center"/>
          </w:tcPr>
          <w:p w14:paraId="0DF22987">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淮北龙腾坤鑫新材料科技有限公司年处理40万吨废轮胎高值化循环再生项目</w:t>
            </w:r>
          </w:p>
        </w:tc>
        <w:tc>
          <w:tcPr>
            <w:tcW w:w="728" w:type="pct"/>
            <w:vAlign w:val="center"/>
          </w:tcPr>
          <w:p w14:paraId="28D103F0">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淮北龙腾坤鑫新材料科技有限公司</w:t>
            </w:r>
          </w:p>
        </w:tc>
        <w:tc>
          <w:tcPr>
            <w:tcW w:w="1615" w:type="pct"/>
            <w:vAlign w:val="center"/>
          </w:tcPr>
          <w:p w14:paraId="62FB4D29">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sz w:val="24"/>
                <w:szCs w:val="24"/>
                <w:shd w:val="clear" w:color="auto" w:fill="FFFFFF"/>
              </w:rPr>
              <w:t>建设淮北龙腾坤鑫年处理40万吨废轮胎高值化循环再生项目。项目分两期建设，一期建设20万t/a轮胎破碎裂解装置、15万t/a炭黑深加工装置、20万t/a轮胎再生油加氢改质装置、1万t/a柠檬烯装置、8000Nmh甲醇制氢装置，配套环保、公用工程、罐区、储运等装置和设施</w:t>
            </w:r>
            <w:r>
              <w:rPr>
                <w:rFonts w:hint="eastAsia" w:asciiTheme="minorEastAsia" w:hAnsiTheme="minorEastAsia" w:eastAsiaTheme="minorEastAsia" w:cstheme="minorEastAsia"/>
                <w:sz w:val="24"/>
                <w:szCs w:val="24"/>
                <w:shd w:val="clear" w:color="auto" w:fill="FFFFFF"/>
                <w:lang w:eastAsia="zh-CN"/>
              </w:rPr>
              <w:t>；</w:t>
            </w:r>
            <w:r>
              <w:rPr>
                <w:rFonts w:hint="eastAsia" w:asciiTheme="minorEastAsia" w:hAnsiTheme="minorEastAsia" w:eastAsiaTheme="minorEastAsia" w:cstheme="minorEastAsia"/>
                <w:sz w:val="24"/>
                <w:szCs w:val="24"/>
                <w:shd w:val="clear" w:color="auto" w:fill="FFFFFF"/>
              </w:rPr>
              <w:t>二期新建20万t/a轮胎破碎裂解装置。一期建成后可年产裂解碳黑7.1万吨、钢丝2.5万吨、柠檬烯0.8万吨、精制废轮胎再生油23万吨。二期建成后可年产裂解碳黑14.20万吨、钢丝5.0万吨、柠檬烯0.8万吨、精制废轮胎再生油23万吨</w:t>
            </w:r>
            <w:r>
              <w:rPr>
                <w:rFonts w:hint="eastAsia" w:asciiTheme="minorEastAsia" w:hAnsiTheme="minorEastAsia" w:eastAsiaTheme="minorEastAsia" w:cstheme="minorEastAsia"/>
                <w:sz w:val="24"/>
                <w:szCs w:val="24"/>
                <w:shd w:val="clear" w:color="auto" w:fill="FFFFFF"/>
                <w:lang w:eastAsia="zh-CN"/>
              </w:rPr>
              <w:t>。</w:t>
            </w:r>
          </w:p>
        </w:tc>
        <w:tc>
          <w:tcPr>
            <w:tcW w:w="515" w:type="pct"/>
            <w:vAlign w:val="center"/>
          </w:tcPr>
          <w:p w14:paraId="7BDCB15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15.0</w:t>
            </w:r>
            <w:r>
              <w:rPr>
                <w:rFonts w:hint="eastAsia" w:asciiTheme="minorEastAsia" w:hAnsiTheme="minorEastAsia" w:eastAsiaTheme="minorEastAsia" w:cstheme="minorEastAsia"/>
                <w:sz w:val="24"/>
                <w:szCs w:val="24"/>
                <w:lang w:val="en-US" w:eastAsia="zh-CN"/>
              </w:rPr>
              <w:t>2</w:t>
            </w:r>
          </w:p>
        </w:tc>
        <w:tc>
          <w:tcPr>
            <w:tcW w:w="725" w:type="pct"/>
            <w:vAlign w:val="center"/>
          </w:tcPr>
          <w:p w14:paraId="6F83A223">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2026年</w:t>
            </w:r>
          </w:p>
        </w:tc>
      </w:tr>
      <w:tr w14:paraId="59DD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0" w:type="pct"/>
            <w:vAlign w:val="center"/>
          </w:tcPr>
          <w:p w14:paraId="0AC9A684">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21</w:t>
            </w:r>
          </w:p>
        </w:tc>
        <w:tc>
          <w:tcPr>
            <w:tcW w:w="1115" w:type="pct"/>
            <w:vAlign w:val="center"/>
          </w:tcPr>
          <w:p w14:paraId="67D3DC84">
            <w:pPr>
              <w:pageBreakBefore w:val="0"/>
              <w:widowControl/>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淮北创源汽车科技有限公司废旧汽车资源化绿色循环利用项目</w:t>
            </w:r>
          </w:p>
        </w:tc>
        <w:tc>
          <w:tcPr>
            <w:tcW w:w="728" w:type="pct"/>
            <w:vAlign w:val="center"/>
          </w:tcPr>
          <w:p w14:paraId="2318F5DF">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淮北创源汽车科技有限公司</w:t>
            </w:r>
          </w:p>
        </w:tc>
        <w:tc>
          <w:tcPr>
            <w:tcW w:w="1615" w:type="pct"/>
            <w:vAlign w:val="center"/>
          </w:tcPr>
          <w:p w14:paraId="2FD5F8A5">
            <w:pPr>
              <w:pageBreakBefore w:val="0"/>
              <w:kinsoku/>
              <w:wordWrap/>
              <w:overflowPunct/>
              <w:topLinePunct w:val="0"/>
              <w:bidi w:val="0"/>
              <w:snapToGrid/>
              <w:spacing w:line="59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主要对传统燃料机动车和新能源汽车进行拆解前预处理、总成及零件拆解和切割打包等，形成年拆解20000辆机动车的拆解能力。</w:t>
            </w:r>
          </w:p>
        </w:tc>
        <w:tc>
          <w:tcPr>
            <w:tcW w:w="515" w:type="pct"/>
            <w:vAlign w:val="center"/>
          </w:tcPr>
          <w:p w14:paraId="5BE534F4">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725" w:type="pct"/>
            <w:vAlign w:val="center"/>
          </w:tcPr>
          <w:p w14:paraId="59F10D61">
            <w:pPr>
              <w:pageBreakBefore w:val="0"/>
              <w:kinsoku/>
              <w:wordWrap/>
              <w:overflowPunct/>
              <w:topLinePunct w:val="0"/>
              <w:bidi w:val="0"/>
              <w:snapToGrid/>
              <w:spacing w:line="59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w:t>
            </w:r>
          </w:p>
        </w:tc>
      </w:tr>
    </w:tbl>
    <w:p w14:paraId="46692F91">
      <w:pPr>
        <w:bidi w:val="0"/>
        <w:ind w:left="0" w:leftChars="0" w:firstLine="0" w:firstLineChars="0"/>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21BA4"/>
    <w:rsid w:val="01921BA4"/>
    <w:rsid w:val="1978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2">
    <w:name w:val="heading 1"/>
    <w:next w:val="1"/>
    <w:qFormat/>
    <w:uiPriority w:val="0"/>
    <w:pPr>
      <w:keepNext/>
      <w:keepLines/>
      <w:widowControl w:val="0"/>
      <w:spacing w:line="360" w:lineRule="auto"/>
      <w:ind w:firstLine="0" w:firstLineChars="0"/>
      <w:jc w:val="both"/>
      <w:outlineLvl w:val="0"/>
    </w:pPr>
    <w:rPr>
      <w:rFonts w:eastAsia="宋体" w:asciiTheme="minorHAnsi" w:hAnsiTheme="minorHAnsi" w:cstheme="minorBidi"/>
      <w:b/>
      <w:kern w:val="44"/>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caption"/>
    <w:next w:val="1"/>
    <w:unhideWhenUsed/>
    <w:qFormat/>
    <w:uiPriority w:val="0"/>
    <w:pPr>
      <w:widowControl w:val="0"/>
      <w:spacing w:line="360" w:lineRule="auto"/>
      <w:ind w:firstLine="0" w:firstLineChars="0"/>
      <w:jc w:val="center"/>
    </w:pPr>
    <w:rPr>
      <w:rFonts w:eastAsia="黑体" w:asciiTheme="minorHAnsi" w:hAnsiTheme="minorHAnsi" w:cstheme="minorBidi"/>
      <w:kern w:val="2"/>
      <w:sz w:val="24"/>
      <w:szCs w:val="24"/>
      <w:lang w:val="en-US" w:eastAsia="zh-CN" w:bidi="ar-SA"/>
    </w:rPr>
  </w:style>
  <w:style w:type="paragraph" w:styleId="4">
    <w:name w:val="footer"/>
    <w:qFormat/>
    <w:uiPriority w:val="0"/>
    <w:pPr>
      <w:widowControl w:val="0"/>
      <w:tabs>
        <w:tab w:val="center" w:pos="4153"/>
        <w:tab w:val="right" w:pos="8306"/>
      </w:tabs>
      <w:snapToGrid w:val="0"/>
      <w:spacing w:line="360" w:lineRule="auto"/>
      <w:ind w:firstLine="480" w:firstLineChars="200"/>
      <w:jc w:val="left"/>
    </w:pPr>
    <w:rPr>
      <w:rFonts w:eastAsia="宋体" w:asciiTheme="minorHAnsi" w:hAnsiTheme="minorHAnsi" w:cstheme="minorBidi"/>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480" w:firstLineChars="200"/>
      <w:jc w:val="both"/>
    </w:pPr>
    <w:rPr>
      <w:rFonts w:eastAsia="宋体" w:asciiTheme="minorHAnsi" w:hAnsiTheme="minorHAnsi" w:cstheme="minorBidi"/>
      <w:kern w:val="2"/>
      <w:sz w:val="18"/>
      <w:szCs w:val="24"/>
      <w:lang w:val="en-US" w:eastAsia="zh-CN" w:bidi="ar-SA"/>
    </w:rPr>
  </w:style>
  <w:style w:type="paragraph" w:styleId="6">
    <w:name w:val="Normal (Web)"/>
    <w:qFormat/>
    <w:uiPriority w:val="0"/>
    <w:pPr>
      <w:widowControl w:val="0"/>
      <w:spacing w:beforeAutospacing="1" w:afterAutospacing="1" w:line="360" w:lineRule="auto"/>
      <w:ind w:firstLine="480" w:firstLineChars="200"/>
      <w:jc w:val="left"/>
    </w:pPr>
    <w:rPr>
      <w:rFonts w:eastAsia="宋体" w:cs="Times New Roman" w:asciiTheme="minorHAnsi" w:hAnsiTheme="minorHAnsi"/>
      <w:kern w:val="0"/>
      <w:sz w:val="24"/>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qFormat/>
    <w:uiPriority w:val="34"/>
    <w:pPr>
      <w:widowControl w:val="0"/>
      <w:spacing w:line="360" w:lineRule="auto"/>
      <w:ind w:firstLine="420" w:firstLineChars="200"/>
      <w:jc w:val="both"/>
    </w:pPr>
    <w:rPr>
      <w:rFonts w:eastAsia="宋体" w:asciiTheme="minorHAnsi"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2025-06-27T08:47:00Z</dcterms:created>
  <dc:creator>遇健不散</dc:creator>
  <cp:lastModifiedBy>遇健不散</cp:lastModifiedBy>
  <dcterms:modified xsi:type="dcterms:W3CDTF">2025-06-27T08:49:00Z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E4F47F7969FB432DA3FABC9DC81F09DE_13</vt:lpwstr>
  </property>
  <property fmtid="{D5CDD505-2E9C-101B-9397-08002B2CF9AE}" pid="4" name="KSOTemplateDocerSaveRecord">
    <vt:lpwstr>eyJoZGlkIjoiYzhkZWZmYzUzNTU0YTFiOTZlYTZhNzlmNzU1YjU2ZTIiLCJ1c2VySWQiOiIxMjExNjY3MTg0In0=</vt:lpwstr>
  </property>
</Properties>
</file>