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B3D47">
      <w:pPr>
        <w:pStyle w:val="2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</w:t>
      </w:r>
    </w:p>
    <w:p w14:paraId="03BF6D42">
      <w:pPr>
        <w:pStyle w:val="2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淮北市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无废城市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建设指标体系</w:t>
      </w:r>
    </w:p>
    <w:tbl>
      <w:tblPr>
        <w:tblStyle w:val="6"/>
        <w:tblW w:w="457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322"/>
        <w:gridCol w:w="1143"/>
        <w:gridCol w:w="3977"/>
        <w:gridCol w:w="789"/>
        <w:gridCol w:w="945"/>
        <w:gridCol w:w="1183"/>
        <w:gridCol w:w="2774"/>
      </w:tblGrid>
      <w:tr w14:paraId="093E1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AE0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315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4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84C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4C4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427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76B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现状值</w:t>
            </w:r>
          </w:p>
          <w:p w14:paraId="545A9C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54C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目标值</w:t>
            </w:r>
          </w:p>
          <w:p w14:paraId="4702DF9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2027年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B5E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数据来源</w:t>
            </w:r>
          </w:p>
        </w:tc>
      </w:tr>
      <w:tr w14:paraId="2F55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C3E1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5DB4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固体废物源头减量</w:t>
            </w:r>
          </w:p>
          <w:p w14:paraId="75C3FCB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B9A4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工业源头减量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FB77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一般工业固体废物产生强度★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CC22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t/万元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E8CC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5F88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F5B2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市统计局</w:t>
            </w:r>
          </w:p>
        </w:tc>
      </w:tr>
      <w:tr w14:paraId="5052E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E2F3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8DB2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D57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45C3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工业危险废物产生强度★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72DB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t/万元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A1B6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C5B6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≤0.013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0F44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市统计局</w:t>
            </w:r>
          </w:p>
        </w:tc>
      </w:tr>
      <w:tr w14:paraId="1CD9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B551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114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80AD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F13F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通过清洁生产审核评估工业企业占比★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2212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1F3E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00F2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逐步提升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5F1B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、市发改委</w:t>
            </w:r>
          </w:p>
        </w:tc>
      </w:tr>
      <w:tr w14:paraId="31C7F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BDC4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5E39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01A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01F3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开展生态工业园区建设、循环化改造、绿色园区建设的工业园区占比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13E2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4C8C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F3DB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逐步提升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B689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市生态环境局、市发改委、市工信局</w:t>
            </w:r>
          </w:p>
        </w:tc>
      </w:tr>
      <w:tr w14:paraId="70E03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A34D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EB42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C946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EB97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绿色矿山建成率★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A17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EA2A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35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DD29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B5B4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市自然资源和规划局</w:t>
            </w:r>
          </w:p>
        </w:tc>
      </w:tr>
      <w:tr w14:paraId="5707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5C65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48DB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40B1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农业源头减量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AAF1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绿色食品、有机农产品种植推广面积占比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3083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04CA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F770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2.2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BCEE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21BBF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EFB0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6736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0756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4354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畜禽养殖标准化示范场占比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BB49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D009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F6B9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3BC9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2058E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FE5C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DBC4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508C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建筑业源头减量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76B0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绿色建筑占新建建筑的比例★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D304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A466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7D76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1422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市住建局</w:t>
            </w:r>
          </w:p>
        </w:tc>
      </w:tr>
      <w:tr w14:paraId="7F2BD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1CEF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9F4A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A668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5C4A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装配式建筑占新建建筑的比例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D87E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BE10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36.77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A730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FE4D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市住建局</w:t>
            </w:r>
          </w:p>
        </w:tc>
      </w:tr>
      <w:tr w14:paraId="1A7FF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E777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387B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B925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生活领域源头减量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67A5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生活垃圾清运量★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2A68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万t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5695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51.63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DFC3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52.47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2B3D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市城市管理局</w:t>
            </w:r>
          </w:p>
        </w:tc>
      </w:tr>
      <w:tr w14:paraId="5878A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2477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C516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505C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2BA9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城市居民小区生活垃圾分类覆盖率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C760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484F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93.5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08EC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F442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市城市管理局</w:t>
            </w:r>
          </w:p>
        </w:tc>
      </w:tr>
      <w:tr w14:paraId="57DE2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94EA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1D09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8CD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1051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快递绿色包装使用率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0767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A8C4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79C1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FFE1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市邮政管理局</w:t>
            </w:r>
          </w:p>
        </w:tc>
      </w:tr>
      <w:tr w14:paraId="70969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8BDC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9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AFC5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固体废物资源化利用</w:t>
            </w: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6A9D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工业固体废物资源化利用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825D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一般工业固体废物综合利用率★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1640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81C1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85.62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A740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＞86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7419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</w:p>
        </w:tc>
      </w:tr>
      <w:tr w14:paraId="0DC71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8CC7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0786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17FC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F351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工业危险废物综合利用率★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DEDB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A810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A3E1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CCA6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</w:p>
        </w:tc>
      </w:tr>
      <w:tr w14:paraId="41AE1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8F74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BD49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B596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农业固体废物资源化利用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5899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秸秆综合利用率★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29E8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0AE5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96.21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C169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稳定在95以上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7B70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2D5F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F531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6881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295A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2D2C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畜禽粪污综合利用率★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9E98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0939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6A0F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稳定在90以上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CD38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43AF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F89F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D859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A81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DF33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农膜回收率★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07C0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077D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83.8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7727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B93D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41348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1BBE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E246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A9FB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49AC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农药包装废弃物回收率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7F54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F517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E67A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稳定在85以上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E301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706DC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3DC2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96F2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2F4A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建筑垃圾资源化利用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BC60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highlight w:val="none"/>
              </w:rPr>
              <w:t>建筑垃圾资源化利用率★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3E98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B01F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10.94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AD72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20E9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市城市管理局、市住建局</w:t>
            </w:r>
          </w:p>
        </w:tc>
      </w:tr>
      <w:tr w14:paraId="78F5B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AAFA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68B5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7F75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生活领域固体废物资源化利用率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6E7B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城市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highlight w:val="none"/>
              </w:rPr>
              <w:t>生活垃圾回收利用率★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F3BA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CE33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D6D4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8FA1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市城市管理局</w:t>
            </w:r>
          </w:p>
        </w:tc>
      </w:tr>
      <w:tr w14:paraId="3113E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4208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D065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0F29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CFAC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医疗卫生机构可回收物回收率★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88E5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077E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2016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逐步提升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E23F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市卫生健康委、市商务局</w:t>
            </w:r>
          </w:p>
        </w:tc>
      </w:tr>
      <w:tr w14:paraId="1705A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9DF6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833C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固体废物最终处置</w:t>
            </w: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9414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危险废物处置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5DB7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工业危险废物填埋处置量下降幅度★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A125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ED6C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ED27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0681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</w:p>
        </w:tc>
      </w:tr>
      <w:tr w14:paraId="003DB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1A92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F90E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598E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9258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医疗废物收集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处置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体系覆盖率★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D1E4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2CFC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8AE2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C680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市卫生健康委</w:t>
            </w:r>
          </w:p>
        </w:tc>
      </w:tr>
      <w:tr w14:paraId="0DC1A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4314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6F8D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A66A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7D19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社会源危险废物收集处置体系覆盖率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3A20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F009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5FFF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64FD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涉及社会源危险废物的主管部门</w:t>
            </w:r>
          </w:p>
        </w:tc>
      </w:tr>
      <w:tr w14:paraId="4DC52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AB89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C8BA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FA2D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一般工业固体废物贮存处置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DA62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一般工业固体废物贮存处置量下降幅度★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DCF5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76E0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AFF0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8B99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</w:p>
        </w:tc>
      </w:tr>
      <w:tr w14:paraId="7B0F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41DE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6462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CFD2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农业固体废物处置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924E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规模化养殖场病死畜禽集中无害化处理率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7027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6BB3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D823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97AB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市农业农村局</w:t>
            </w:r>
          </w:p>
        </w:tc>
      </w:tr>
      <w:tr w14:paraId="06769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75AF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37D9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562F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生活领域固废废物处置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B453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生活垃圾焚烧处理能力占比★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B6D9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04FA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90.91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3D1B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85.71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F257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市城市管理局、市农业农村局</w:t>
            </w:r>
          </w:p>
        </w:tc>
      </w:tr>
      <w:tr w14:paraId="3EACC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B368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28BC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27F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E2AD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城镇污水污泥无害化处置率★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C218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93A5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0F64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61FE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市住建局</w:t>
            </w:r>
          </w:p>
        </w:tc>
      </w:tr>
      <w:tr w14:paraId="28F3F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7A98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9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FD55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保障能力</w:t>
            </w: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395C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制度体系建设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79E0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建设相关的地方性法规、政策性文件及有关规划制定★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32D9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797D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A636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长期推动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8ED7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建设工作专班</w:t>
            </w:r>
          </w:p>
        </w:tc>
      </w:tr>
      <w:tr w14:paraId="5FF7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C0C0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3833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A83F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7CBE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建设推进协调机制☆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8645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389C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BDCE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建立协调机制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A7E5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建设工作专班</w:t>
            </w:r>
          </w:p>
        </w:tc>
      </w:tr>
      <w:tr w14:paraId="21689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04C41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2ECFC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0154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7381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开展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无废城市细胞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建设的单位数量（机关、企事业单位、饭店、商场、集贸市场、社区、村镇）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AB4D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3755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8FA6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E746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建设工作专班</w:t>
            </w:r>
          </w:p>
        </w:tc>
      </w:tr>
      <w:tr w14:paraId="58935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A56A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09C9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CFA1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市场体系建设</w:t>
            </w:r>
          </w:p>
        </w:tc>
        <w:tc>
          <w:tcPr>
            <w:tcW w:w="1532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EE17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建设项目投资总额★</w:t>
            </w:r>
          </w:p>
        </w:tc>
        <w:tc>
          <w:tcPr>
            <w:tcW w:w="304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95CE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亿元</w:t>
            </w:r>
          </w:p>
        </w:tc>
        <w:tc>
          <w:tcPr>
            <w:tcW w:w="364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7B61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FA30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8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A6AE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市生态环境局、当地人民银行分支机构</w:t>
            </w:r>
          </w:p>
        </w:tc>
      </w:tr>
      <w:tr w14:paraId="050BB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1E2B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A594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890A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61AF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7ADF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8C21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6425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</w:p>
        </w:tc>
        <w:tc>
          <w:tcPr>
            <w:tcW w:w="1068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D4A3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</w:p>
        </w:tc>
      </w:tr>
      <w:tr w14:paraId="5F479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FF78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9CF0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69FA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技术体系建设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30F82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固体废物回收利用处置关键技术工艺、设备研发及成果转化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E715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642F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53E2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≥4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912E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各领域主管部门、市科技局、市发改委</w:t>
            </w:r>
          </w:p>
        </w:tc>
      </w:tr>
      <w:tr w14:paraId="5FBE9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5C343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9484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8400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监管体系建设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9E08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固体废物管理信息化监管情况★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64F5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59F5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4C55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逐步完善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7E56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建设工作专班</w:t>
            </w:r>
          </w:p>
        </w:tc>
      </w:tr>
      <w:tr w14:paraId="5B89B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7EED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7511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2226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3A75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危险废物规范化管理抽查合格率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5298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460D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BD66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EBA4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市生态环境局</w:t>
            </w:r>
          </w:p>
        </w:tc>
      </w:tr>
      <w:tr w14:paraId="3199A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5433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C341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6EDD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6C28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固体废物环境污染刑事案件立案率★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78B78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F227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C954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EA0F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市公安局、市生态环境局</w:t>
            </w:r>
          </w:p>
        </w:tc>
      </w:tr>
      <w:tr w14:paraId="4D457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9F38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E5B2E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51DB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群众获得感</w:t>
            </w: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0E4C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建设宣传教育培训普及率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9BA9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DDC7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447D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≥90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68EA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第三方调查</w:t>
            </w:r>
          </w:p>
        </w:tc>
      </w:tr>
      <w:tr w14:paraId="1FCEB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59E0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89919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19C7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0CD86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政府、企事业单位、非政府环境组织、公众对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建设的全民参与程度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3B8DB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BFBF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CE1C0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≥90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248AC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第三方调查</w:t>
            </w:r>
          </w:p>
        </w:tc>
      </w:tr>
      <w:tr w14:paraId="1327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58004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9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A2BE7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2441F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F54E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公众对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无废城市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</w:rPr>
              <w:t>建设成效的满意程度★</w:t>
            </w:r>
          </w:p>
        </w:tc>
        <w:tc>
          <w:tcPr>
            <w:tcW w:w="3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6FCAD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062A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15EFA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＞90</w:t>
            </w:r>
          </w:p>
        </w:tc>
        <w:tc>
          <w:tcPr>
            <w:tcW w:w="10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6CFB5">
            <w:pPr>
              <w:pStyle w:val="5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9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第三方调查</w:t>
            </w:r>
          </w:p>
        </w:tc>
      </w:tr>
    </w:tbl>
    <w:p w14:paraId="002A3D2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21BA4"/>
    <w:rsid w:val="019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360" w:lineRule="auto"/>
      <w:ind w:firstLine="0" w:firstLineChars="0"/>
      <w:jc w:val="both"/>
      <w:outlineLvl w:val="0"/>
    </w:pPr>
    <w:rPr>
      <w:rFonts w:eastAsia="宋体" w:asciiTheme="minorHAnsi" w:hAnsiTheme="minorHAnsi" w:cstheme="minorBidi"/>
      <w:b/>
      <w:kern w:val="44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360" w:lineRule="auto"/>
      <w:ind w:firstLine="480" w:firstLineChars="200"/>
      <w:jc w:val="left"/>
    </w:pPr>
    <w:rPr>
      <w:rFonts w:eastAsia="宋体" w:asciiTheme="minorHAnsi" w:hAnsiTheme="minorHAnsi" w:cstheme="minorBidi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80" w:firstLineChars="200"/>
      <w:jc w:val="both"/>
    </w:pPr>
    <w:rPr>
      <w:rFonts w:eastAsia="宋体" w:asciiTheme="minorHAnsi" w:hAnsiTheme="minorHAnsi" w:cstheme="minorBidi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Autospacing="1" w:afterAutospacing="1" w:line="360" w:lineRule="auto"/>
      <w:ind w:firstLine="480" w:firstLineChars="200"/>
      <w:jc w:val="left"/>
    </w:pPr>
    <w:rPr>
      <w:rFonts w:eastAsia="宋体" w:cs="Times New Roman" w:asciiTheme="minorHAnsi" w:hAnsiTheme="minorHAns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2025-06-27T08:47:00Z</dcterms:created>
  <dc:creator>遇健不散</dc:creator>
  <cp:lastModifiedBy>遇健不散</cp:lastModifiedBy>
  <dcterms:modified xsi:type="dcterms:W3CDTF">2025-06-27T08:48:12Z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91954BC772614993B4A9BDA88D81EEE5_11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