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41E">
      <w:pPr>
        <w:spacing w:line="560" w:lineRule="exact"/>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rPr>
        <w:t>1</w:t>
      </w:r>
      <w:r>
        <w:rPr>
          <w:rFonts w:hint="eastAsia" w:ascii="黑体" w:hAnsi="黑体" w:eastAsia="黑体" w:cs="黑体"/>
          <w:szCs w:val="32"/>
        </w:rPr>
        <w:t>-</w:t>
      </w:r>
      <w:r>
        <w:rPr>
          <w:rFonts w:hint="eastAsia" w:ascii="黑体" w:hAnsi="黑体" w:eastAsia="黑体" w:cs="黑体"/>
          <w:szCs w:val="32"/>
        </w:rPr>
        <w:t>1</w:t>
      </w:r>
    </w:p>
    <w:p w14:paraId="3F88B5C7"/>
    <w:p w14:paraId="6AC82D26"/>
    <w:p w14:paraId="55A15039"/>
    <w:p w14:paraId="0E398EA4"/>
    <w:p w14:paraId="5CF10D27"/>
    <w:p w14:paraId="038AC173"/>
    <w:p w14:paraId="357AFE20"/>
    <w:p w14:paraId="4B6D758D"/>
    <w:p w14:paraId="62A4316F">
      <w:pPr>
        <w:spacing w:line="560" w:lineRule="exact"/>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淮北市烈山区生态环境分局</w:t>
      </w:r>
    </w:p>
    <w:p w14:paraId="7A4B23CA">
      <w:pPr>
        <w:spacing w:line="560" w:lineRule="exact"/>
        <w:jc w:val="center"/>
        <w:rPr>
          <w:rFonts w:hint="eastAsia" w:ascii="黑体" w:hAnsi="黑体" w:eastAsia="黑体" w:cs="黑体"/>
          <w:b/>
          <w:sz w:val="44"/>
          <w:szCs w:val="44"/>
        </w:rPr>
      </w:pPr>
      <w:r>
        <w:rPr>
          <w:rFonts w:hint="eastAsia" w:ascii="黑体" w:hAnsi="黑体" w:eastAsia="黑体" w:cs="黑体"/>
          <w:b/>
          <w:bCs w:val="0"/>
          <w:kern w:val="0"/>
          <w:sz w:val="44"/>
          <w:szCs w:val="44"/>
          <w:lang w:val="en-US" w:eastAsia="zh-CN" w:bidi="ar-SA"/>
        </w:rPr>
        <w:t>2025</w:t>
      </w:r>
      <w:r>
        <w:rPr>
          <w:rFonts w:hint="eastAsia" w:ascii="黑体" w:hAnsi="黑体" w:eastAsia="黑体" w:cs="黑体"/>
          <w:b/>
          <w:sz w:val="44"/>
          <w:szCs w:val="44"/>
        </w:rPr>
        <w:t>年</w:t>
      </w:r>
      <w:r>
        <w:rPr>
          <w:rFonts w:hint="eastAsia" w:ascii="黑体" w:hAnsi="黑体" w:eastAsia="黑体" w:cs="黑体"/>
          <w:b/>
          <w:sz w:val="44"/>
          <w:szCs w:val="44"/>
          <w:lang w:eastAsia="zh-CN"/>
        </w:rPr>
        <w:t>单位</w:t>
      </w:r>
      <w:r>
        <w:rPr>
          <w:rFonts w:hint="eastAsia" w:ascii="黑体" w:hAnsi="黑体" w:eastAsia="黑体" w:cs="黑体"/>
          <w:b/>
          <w:sz w:val="44"/>
          <w:szCs w:val="44"/>
        </w:rPr>
        <w:t>预算</w:t>
      </w:r>
    </w:p>
    <w:p w14:paraId="6C53CCC8"/>
    <w:p w14:paraId="664BF447"/>
    <w:p w14:paraId="5245BD1B"/>
    <w:p w14:paraId="0F38D5DF"/>
    <w:p w14:paraId="0BB78164"/>
    <w:p w14:paraId="788344DF"/>
    <w:p w14:paraId="3D6FD47C"/>
    <w:p w14:paraId="0C44EE07"/>
    <w:p w14:paraId="52FB6C68"/>
    <w:p w14:paraId="420777CF"/>
    <w:p w14:paraId="4B23F9F9"/>
    <w:p w14:paraId="24A728B5"/>
    <w:p w14:paraId="796A2845"/>
    <w:p w14:paraId="5A72650E"/>
    <w:p w14:paraId="2644FE09"/>
    <w:p w14:paraId="52B4E7E0"/>
    <w:p w14:paraId="6B98A330"/>
    <w:p w14:paraId="55BE00DD"/>
    <w:p w14:paraId="710B8B94"/>
    <w:p w14:paraId="0EC58C75"/>
    <w:p w14:paraId="36820615"/>
    <w:p w14:paraId="2C869962"/>
    <w:p w14:paraId="4B677695">
      <w:pPr>
        <w:rPr>
          <w:rFonts w:hint="eastAsia" w:eastAsiaTheme="minorEastAsia"/>
          <w:lang w:eastAsia="zh-CN"/>
        </w:rPr>
      </w:pPr>
    </w:p>
    <w:p w14:paraId="12B4C100">
      <w:pPr>
        <w:rPr>
          <w:rFonts w:hint="eastAsia" w:eastAsiaTheme="minorEastAsia"/>
          <w:lang w:eastAsia="zh-CN"/>
        </w:rPr>
      </w:pPr>
    </w:p>
    <w:p w14:paraId="129FFFAB">
      <w:pPr>
        <w:pStyle w:val="6"/>
        <w:adjustRightInd w:val="0"/>
        <w:snapToGrid w:val="0"/>
        <w:spacing w:line="560" w:lineRule="exact"/>
        <w:jc w:val="center"/>
        <w:rPr>
          <w:rFonts w:ascii="TimesNewRoman" w:hAnsi="TimesNewRoman" w:eastAsia="黑体" w:cs="TimesNewRoman"/>
          <w:bCs/>
          <w:sz w:val="44"/>
          <w:szCs w:val="44"/>
        </w:rPr>
      </w:pPr>
    </w:p>
    <w:p w14:paraId="485A4089">
      <w:pPr>
        <w:pStyle w:val="6"/>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eastAsia="zh-CN"/>
        </w:rPr>
        <w:t>2025</w:t>
      </w:r>
      <w:r>
        <w:rPr>
          <w:rFonts w:hint="eastAsia" w:ascii="黑体" w:hAnsi="黑体" w:eastAsia="黑体" w:cs="黑体"/>
          <w:b/>
          <w:bCs w:val="0"/>
          <w:sz w:val="44"/>
          <w:szCs w:val="44"/>
        </w:rPr>
        <w:t>年</w:t>
      </w:r>
      <w:r>
        <w:rPr>
          <w:rFonts w:hint="eastAsia" w:ascii="黑体" w:hAnsi="黑体" w:eastAsia="黑体" w:cs="黑体"/>
          <w:b/>
          <w:bCs w:val="0"/>
          <w:sz w:val="44"/>
          <w:szCs w:val="44"/>
          <w:lang w:val="en-US" w:eastAsia="zh-CN"/>
        </w:rPr>
        <w:t>2</w:t>
      </w:r>
      <w:r>
        <w:rPr>
          <w:rFonts w:hint="eastAsia" w:ascii="黑体" w:hAnsi="黑体" w:eastAsia="黑体" w:cs="黑体"/>
          <w:b/>
          <w:bCs w:val="0"/>
          <w:sz w:val="44"/>
          <w:szCs w:val="44"/>
        </w:rPr>
        <w:t>月</w:t>
      </w:r>
    </w:p>
    <w:p w14:paraId="0A2CEA73"/>
    <w:p w14:paraId="5B208FB3"/>
    <w:p w14:paraId="3D58C39C">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D7A14F2"/>
    <w:p w14:paraId="70F1F0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第一部分 </w:t>
      </w:r>
      <w:r>
        <w:rPr>
          <w:rFonts w:hint="eastAsia" w:ascii="仿宋" w:hAnsi="仿宋" w:eastAsia="仿宋" w:cs="仿宋"/>
          <w:b/>
          <w:sz w:val="32"/>
          <w:szCs w:val="32"/>
          <w:lang w:eastAsia="zh-CN"/>
        </w:rPr>
        <w:t>单位</w:t>
      </w:r>
      <w:r>
        <w:rPr>
          <w:rFonts w:hint="eastAsia" w:ascii="仿宋" w:hAnsi="仿宋" w:eastAsia="仿宋" w:cs="仿宋"/>
          <w:b/>
          <w:sz w:val="32"/>
          <w:szCs w:val="32"/>
        </w:rPr>
        <w:t>概况</w:t>
      </w:r>
    </w:p>
    <w:p w14:paraId="25A4DA9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1、主要职责</w:t>
      </w:r>
    </w:p>
    <w:p w14:paraId="6B1B77A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2、单位预算构成</w:t>
      </w:r>
    </w:p>
    <w:p w14:paraId="3182CE5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3、2025年度主要工作任务</w:t>
      </w:r>
    </w:p>
    <w:p w14:paraId="2400CCE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第二部分 2025年单位预算表</w:t>
      </w:r>
    </w:p>
    <w:p w14:paraId="1014BA1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1、淮北市烈山区生态环境分局2025年收支总表</w:t>
      </w:r>
    </w:p>
    <w:p w14:paraId="1A3C267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2、淮北市烈山区生态环境分局2025年收入总表</w:t>
      </w:r>
    </w:p>
    <w:p w14:paraId="60D831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3、淮北市烈山区生态环境分局2025年支出总表</w:t>
      </w:r>
    </w:p>
    <w:p w14:paraId="674C04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4、淮北市烈山区生态环境分局2025年财政拨款收支总表</w:t>
      </w:r>
    </w:p>
    <w:p w14:paraId="53732C4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5、淮北市烈山区生态环境分局2025年一般公共预算支出表</w:t>
      </w:r>
    </w:p>
    <w:p w14:paraId="09B485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6、淮北市烈山区生态环境分局2025年一般公共预算基本支出表</w:t>
      </w:r>
    </w:p>
    <w:p w14:paraId="0D83825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7、淮北市烈山区生态环境分局2025年政府性基金预算支出表</w:t>
      </w:r>
    </w:p>
    <w:p w14:paraId="6DAFD4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8、淮北市烈山区生态环境分局2025年国有资本经营预算支出表</w:t>
      </w:r>
    </w:p>
    <w:p w14:paraId="54B7B7E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9、淮北市烈山区生态环境分局2025年项目支出表</w:t>
      </w:r>
    </w:p>
    <w:p w14:paraId="7DF7CE1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10、淮北市烈山区生态环境分局2025年政府采购支出表</w:t>
      </w:r>
    </w:p>
    <w:p w14:paraId="10C942B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11、淮北市烈山区生态环境分局2025年政府购买服务支出表</w:t>
      </w:r>
    </w:p>
    <w:p w14:paraId="0CBCF7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12、淮北市烈山区生态环境分局2025年通用资产配置支出表</w:t>
      </w:r>
    </w:p>
    <w:p w14:paraId="71E4C28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第三部分 2025年单位预算情况说明</w:t>
      </w:r>
    </w:p>
    <w:p w14:paraId="7D46B9D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1、关于2025年收支总表的说明</w:t>
      </w:r>
    </w:p>
    <w:p w14:paraId="458E5E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2、关于2025年收入总表的说明</w:t>
      </w:r>
    </w:p>
    <w:p w14:paraId="68DBCF8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3、关于2025年支出总表的说明</w:t>
      </w:r>
    </w:p>
    <w:p w14:paraId="70BE78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4、关于2025年财政拨款收支总表的说明</w:t>
      </w:r>
    </w:p>
    <w:p w14:paraId="6121601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5、关于2025年一般公共预算支出表的说明</w:t>
      </w:r>
    </w:p>
    <w:p w14:paraId="4020BA9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6、关于2025年一般公共预算基本支出表的说明</w:t>
      </w:r>
    </w:p>
    <w:p w14:paraId="00C4CDD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7、关于2025年政府性基金预算支出表的说明</w:t>
      </w:r>
    </w:p>
    <w:p w14:paraId="38DD905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8、关于2025年国有资本经营预算支出表的说明</w:t>
      </w:r>
    </w:p>
    <w:p w14:paraId="0E44342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9、关于2025年项目支出表的说明</w:t>
      </w:r>
    </w:p>
    <w:p w14:paraId="3E61BAB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10、关于2025年政府采购支出表的说明</w:t>
      </w:r>
    </w:p>
    <w:p w14:paraId="338FF7F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11、关于2025年政府购买服务支出表的说明</w:t>
      </w:r>
    </w:p>
    <w:p w14:paraId="7D5585D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12、关于2025年通用资产配置支出表的说明</w:t>
      </w:r>
    </w:p>
    <w:p w14:paraId="344F020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、其他重要事项情况说明</w:t>
      </w:r>
    </w:p>
    <w:p w14:paraId="2559517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第四部分 名词解释</w:t>
      </w:r>
    </w:p>
    <w:p w14:paraId="17A13B1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第五部分 其它公开事项</w:t>
      </w:r>
    </w:p>
    <w:p w14:paraId="7F636E7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1、淮北市烈山区生态环境分局2025年部门预算纳入绩效考评项目表</w:t>
      </w:r>
    </w:p>
    <w:p w14:paraId="60F89A6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2、淮北市烈山区生态环境分局2025年部门预算专项资金管理清单（专栏公开）</w:t>
      </w:r>
    </w:p>
    <w:p w14:paraId="40E56281">
      <w:pPr>
        <w:pStyle w:val="6"/>
        <w:adjustRightInd w:val="0"/>
        <w:snapToGrid w:val="0"/>
        <w:spacing w:line="400" w:lineRule="exact"/>
        <w:ind w:firstLine="800" w:firstLineChars="250"/>
        <w:rPr>
          <w:rFonts w:ascii="TimesNewRoman" w:hAnsi="TimesNewRoman" w:eastAsia="仿宋_GB2312" w:cs="TimesNewRoman"/>
          <w:bCs/>
          <w:sz w:val="32"/>
          <w:szCs w:val="32"/>
        </w:rPr>
      </w:pPr>
    </w:p>
    <w:p w14:paraId="62C4D8E8">
      <w:pPr>
        <w:pStyle w:val="6"/>
        <w:adjustRightInd w:val="0"/>
        <w:snapToGrid w:val="0"/>
        <w:spacing w:line="400" w:lineRule="exact"/>
        <w:ind w:firstLine="800" w:firstLineChars="250"/>
        <w:rPr>
          <w:rFonts w:ascii="TimesNewRoman" w:hAnsi="TimesNewRoman" w:eastAsia="仿宋_GB2312" w:cs="TimesNewRoman"/>
          <w:bCs/>
          <w:sz w:val="32"/>
          <w:szCs w:val="32"/>
        </w:rPr>
      </w:pPr>
    </w:p>
    <w:p w14:paraId="4EA092A3">
      <w:pPr>
        <w:pStyle w:val="6"/>
        <w:adjustRightInd w:val="0"/>
        <w:snapToGrid w:val="0"/>
        <w:spacing w:line="400" w:lineRule="exact"/>
        <w:ind w:firstLine="800" w:firstLineChars="250"/>
        <w:rPr>
          <w:rFonts w:ascii="TimesNewRoman" w:hAnsi="TimesNewRoman" w:eastAsia="仿宋_GB2312" w:cs="TimesNewRoman"/>
          <w:bCs/>
          <w:sz w:val="32"/>
          <w:szCs w:val="32"/>
        </w:rPr>
      </w:pPr>
    </w:p>
    <w:p w14:paraId="7207854C">
      <w:pPr>
        <w:pStyle w:val="6"/>
        <w:adjustRightInd w:val="0"/>
        <w:snapToGrid w:val="0"/>
        <w:spacing w:line="400" w:lineRule="exact"/>
        <w:ind w:firstLine="800" w:firstLineChars="250"/>
        <w:rPr>
          <w:rFonts w:ascii="TimesNewRoman" w:hAnsi="TimesNewRoman" w:eastAsia="仿宋_GB2312" w:cs="TimesNewRoman"/>
          <w:bCs/>
          <w:sz w:val="32"/>
          <w:szCs w:val="32"/>
        </w:rPr>
      </w:pPr>
    </w:p>
    <w:p w14:paraId="6A12A5CB">
      <w:pPr>
        <w:pStyle w:val="6"/>
        <w:adjustRightInd w:val="0"/>
        <w:snapToGrid w:val="0"/>
        <w:spacing w:line="400" w:lineRule="exact"/>
        <w:ind w:firstLine="800" w:firstLineChars="250"/>
        <w:rPr>
          <w:rFonts w:ascii="TimesNewRoman" w:hAnsi="TimesNewRoman" w:eastAsia="仿宋_GB2312" w:cs="TimesNewRoman"/>
          <w:bCs/>
          <w:sz w:val="32"/>
          <w:szCs w:val="32"/>
        </w:rPr>
      </w:pPr>
    </w:p>
    <w:p w14:paraId="7EB5DD18">
      <w:pPr>
        <w:pStyle w:val="6"/>
        <w:adjustRightInd w:val="0"/>
        <w:snapToGrid w:val="0"/>
        <w:spacing w:line="400" w:lineRule="exact"/>
        <w:ind w:firstLine="800" w:firstLineChars="250"/>
        <w:rPr>
          <w:rFonts w:ascii="TimesNewRoman" w:hAnsi="TimesNewRoman" w:eastAsia="仿宋_GB2312" w:cs="TimesNewRoman"/>
          <w:bCs/>
          <w:sz w:val="32"/>
          <w:szCs w:val="32"/>
        </w:rPr>
      </w:pPr>
    </w:p>
    <w:p w14:paraId="709545AA">
      <w:pPr>
        <w:pStyle w:val="6"/>
        <w:adjustRightInd w:val="0"/>
        <w:snapToGrid w:val="0"/>
        <w:spacing w:line="400" w:lineRule="exact"/>
        <w:ind w:firstLine="800" w:firstLineChars="250"/>
        <w:rPr>
          <w:rFonts w:ascii="TimesNewRoman" w:hAnsi="TimesNewRoman" w:eastAsia="仿宋_GB2312" w:cs="TimesNewRoman"/>
          <w:bCs/>
          <w:sz w:val="32"/>
          <w:szCs w:val="32"/>
        </w:rPr>
      </w:pPr>
    </w:p>
    <w:p w14:paraId="087F044D">
      <w:pPr>
        <w:pStyle w:val="6"/>
        <w:adjustRightInd w:val="0"/>
        <w:snapToGrid w:val="0"/>
        <w:spacing w:line="400" w:lineRule="exact"/>
        <w:ind w:firstLine="800" w:firstLineChars="250"/>
        <w:rPr>
          <w:rFonts w:ascii="TimesNewRoman" w:hAnsi="TimesNewRoman" w:eastAsia="仿宋_GB2312" w:cs="TimesNewRoman"/>
          <w:bCs/>
          <w:sz w:val="32"/>
          <w:szCs w:val="32"/>
        </w:rPr>
      </w:pPr>
    </w:p>
    <w:p w14:paraId="3194BB98">
      <w:pPr>
        <w:pStyle w:val="6"/>
        <w:adjustRightInd w:val="0"/>
        <w:snapToGrid w:val="0"/>
        <w:spacing w:line="400" w:lineRule="exact"/>
        <w:ind w:firstLine="800" w:firstLineChars="250"/>
        <w:rPr>
          <w:rFonts w:ascii="TimesNewRoman" w:hAnsi="TimesNewRoman" w:eastAsia="仿宋_GB2312" w:cs="TimesNewRoman"/>
          <w:bCs/>
          <w:sz w:val="32"/>
          <w:szCs w:val="32"/>
        </w:rPr>
      </w:pPr>
    </w:p>
    <w:p w14:paraId="3D86057C">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2F4CC1E"/>
    <w:p w14:paraId="7206B98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Chars="0"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一、主要职责</w:t>
      </w:r>
    </w:p>
    <w:p w14:paraId="6AC8CA46">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牵头辖区地表水生态环境监管工作，监督实施重点流域生态环境规划，指导入河排污口设置。监督管理饮用水水源地生态环境保护工作；</w:t>
      </w:r>
    </w:p>
    <w:p w14:paraId="3481A4CB">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牵头辖区土壤、地下水等污染防治和生态保护的监督管理，承担土壤污染状况调查工作；</w:t>
      </w:r>
    </w:p>
    <w:p w14:paraId="3404CE4C">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组织指导农业农村生态环境保护、农村环境综合整治，监督指导养殖污染综合防治、农村面源污染防治等工作。承担自然保护地、生态保护红线相关监管工作。</w:t>
      </w:r>
    </w:p>
    <w:p w14:paraId="4386D0CE">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牵头本部门行政许可事项的咨询、受理、审核、反馈与组织协调工作；</w:t>
      </w:r>
    </w:p>
    <w:p w14:paraId="53E8F853">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负责本部门驻区政务服务大厅窗口的日常工作；</w:t>
      </w:r>
    </w:p>
    <w:p w14:paraId="0A5B6094">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承担区政务服务管理中心交办的其他事项；</w:t>
      </w:r>
    </w:p>
    <w:p w14:paraId="46ACE2B4">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承担规划环境影响评价、政策环境影响评价、项目环境影响评价工作，组织实施建设项目环境保护设施同时设计、同时施工、同时投产使用制度；</w:t>
      </w:r>
    </w:p>
    <w:p w14:paraId="0B3BB8CC">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承担排污许可综合协调和管理工作；</w:t>
      </w:r>
    </w:p>
    <w:p w14:paraId="5CBD491D">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承担营商环境建设工作；</w:t>
      </w:r>
    </w:p>
    <w:p w14:paraId="4D9AA3DB">
      <w:pPr>
        <w:keepNext w:val="0"/>
        <w:keepLines w:val="0"/>
        <w:pageBreakBefore w:val="0"/>
        <w:kinsoku/>
        <w:wordWrap/>
        <w:overflowPunct/>
        <w:topLinePunct w:val="0"/>
        <w:autoSpaceDE/>
        <w:autoSpaceDN/>
        <w:bidi w:val="0"/>
        <w:adjustRightInd/>
        <w:spacing w:beforeAutospacing="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z w:val="32"/>
          <w:szCs w:val="32"/>
        </w:rPr>
        <w:t>组织生态环境统计和污染源普查工作。</w:t>
      </w:r>
    </w:p>
    <w:p w14:paraId="53EA6D40">
      <w:pPr>
        <w:pStyle w:val="6"/>
        <w:keepNext w:val="0"/>
        <w:keepLines w:val="0"/>
        <w:pageBreakBefore w:val="0"/>
        <w:kinsoku/>
        <w:wordWrap/>
        <w:autoSpaceDE/>
        <w:autoSpaceDN/>
        <w:bidi w:val="0"/>
        <w:adjustRightInd/>
        <w:snapToGrid w:val="0"/>
        <w:spacing w:before="0" w:beforeAutospacing="0" w:after="0" w:afterAutospacing="0" w:line="560" w:lineRule="exact"/>
        <w:ind w:leftChars="0"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w:t>
      </w:r>
      <w:r>
        <w:rPr>
          <w:rFonts w:hint="eastAsia" w:ascii="仿宋" w:hAnsi="仿宋" w:eastAsia="仿宋" w:cs="仿宋"/>
          <w:b/>
          <w:bCs w:val="0"/>
          <w:sz w:val="32"/>
          <w:szCs w:val="32"/>
          <w:lang w:eastAsia="zh-CN"/>
        </w:rPr>
        <w:t>单位</w:t>
      </w:r>
      <w:r>
        <w:rPr>
          <w:rFonts w:hint="eastAsia" w:ascii="仿宋" w:hAnsi="仿宋" w:eastAsia="仿宋" w:cs="仿宋"/>
          <w:b/>
          <w:bCs w:val="0"/>
          <w:sz w:val="32"/>
          <w:szCs w:val="32"/>
        </w:rPr>
        <w:t>预算构成</w:t>
      </w:r>
    </w:p>
    <w:p w14:paraId="5FA67598">
      <w:pPr>
        <w:pStyle w:val="6"/>
        <w:keepNext w:val="0"/>
        <w:keepLines w:val="0"/>
        <w:pageBreakBefore w:val="0"/>
        <w:kinsoku/>
        <w:wordWrap/>
        <w:autoSpaceDE/>
        <w:autoSpaceDN/>
        <w:bidi w:val="0"/>
        <w:adjustRightInd/>
        <w:snapToGrid w:val="0"/>
        <w:spacing w:before="0" w:beforeAutospacing="0" w:after="0" w:afterAutospacing="0"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bCs/>
          <w:sz w:val="32"/>
          <w:szCs w:val="32"/>
          <w:lang w:eastAsia="zh-CN"/>
        </w:rPr>
        <w:t>淮北市烈山区生态环境分局</w:t>
      </w:r>
      <w:r>
        <w:rPr>
          <w:rFonts w:hint="eastAsia" w:ascii="仿宋" w:hAnsi="仿宋" w:eastAsia="仿宋" w:cs="仿宋"/>
          <w:sz w:val="32"/>
          <w:szCs w:val="32"/>
        </w:rPr>
        <w:t>2025年度部门预算仅包括局本级预算，无其他下属单位预算。</w:t>
      </w:r>
    </w:p>
    <w:p w14:paraId="64065A6B">
      <w:pPr>
        <w:pStyle w:val="6"/>
        <w:keepNext w:val="0"/>
        <w:keepLines w:val="0"/>
        <w:pageBreakBefore w:val="0"/>
        <w:kinsoku/>
        <w:wordWrap/>
        <w:autoSpaceDE/>
        <w:autoSpaceDN/>
        <w:bidi w:val="0"/>
        <w:adjustRightInd/>
        <w:snapToGrid w:val="0"/>
        <w:spacing w:before="0" w:beforeAutospacing="0" w:after="0" w:afterAutospacing="0" w:line="560" w:lineRule="exact"/>
        <w:ind w:lef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三、2025年度主要工作任务</w:t>
      </w:r>
    </w:p>
    <w:p w14:paraId="656BDE2B">
      <w:pPr>
        <w:keepNext w:val="0"/>
        <w:keepLines w:val="0"/>
        <w:pageBreakBefore w:val="0"/>
        <w:widowControl w:val="0"/>
        <w:numPr>
          <w:ilvl w:val="0"/>
          <w:numId w:val="1"/>
        </w:numPr>
        <w:kinsoku/>
        <w:wordWrap/>
        <w:overflowPunct w:val="0"/>
        <w:topLinePunct/>
        <w:autoSpaceDE/>
        <w:autoSpaceDN/>
        <w:bidi w:val="0"/>
        <w:adjustRightInd/>
        <w:snapToGrid w:val="0"/>
        <w:spacing w:beforeAutospacing="0" w:afterAutospacing="0" w:line="56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大气环境方面，谋划实施分区域重点管控措施，压实属地和部门监管职责，常态化推进涉气污染源排查整治，强化重点施工项目扬尘监管和重点道路道路运输扬尘管控，坚决取缔“散乱污”点位，督促做好全年全域秸秆禁烧工作。</w:t>
      </w:r>
    </w:p>
    <w:p w14:paraId="04DF5877">
      <w:pPr>
        <w:keepNext w:val="0"/>
        <w:keepLines w:val="0"/>
        <w:pageBreakBefore w:val="0"/>
        <w:widowControl w:val="0"/>
        <w:numPr>
          <w:ilvl w:val="0"/>
          <w:numId w:val="1"/>
        </w:numPr>
        <w:kinsoku/>
        <w:wordWrap/>
        <w:overflowPunct w:val="0"/>
        <w:topLinePunct/>
        <w:autoSpaceDE/>
        <w:autoSpaceDN/>
        <w:bidi w:val="0"/>
        <w:adjustRightInd/>
        <w:snapToGrid w:val="0"/>
        <w:spacing w:beforeAutospacing="0" w:afterAutospacing="0" w:line="56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水环境方面，充分发挥“河长制”作用，强化入河排污口管理和涉水企业环境监管，会同周边县区适时开展汛期加密监测预警，着力改善重点河流水质状况。</w:t>
      </w:r>
    </w:p>
    <w:p w14:paraId="5D43FED5">
      <w:pPr>
        <w:keepNext w:val="0"/>
        <w:keepLines w:val="0"/>
        <w:pageBreakBefore w:val="0"/>
        <w:widowControl w:val="0"/>
        <w:numPr>
          <w:ilvl w:val="0"/>
          <w:numId w:val="1"/>
        </w:numPr>
        <w:kinsoku/>
        <w:wordWrap/>
        <w:overflowPunct w:val="0"/>
        <w:topLinePunct/>
        <w:autoSpaceDE/>
        <w:autoSpaceDN/>
        <w:bidi w:val="0"/>
        <w:adjustRightInd/>
        <w:snapToGrid w:val="0"/>
        <w:spacing w:beforeAutospacing="0" w:afterAutospacing="0" w:line="56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土壤环境方面，加快农村环境整治任务推进，深入推进土壤污染状况调查，完善“人防+技防”固废倾倒监管长效机制，严厉打击危废非法倾倒行为，确保完成年度各项目标任务。</w:t>
      </w:r>
    </w:p>
    <w:p w14:paraId="345117D1">
      <w:pPr>
        <w:keepNext w:val="0"/>
        <w:keepLines w:val="0"/>
        <w:pageBreakBefore w:val="0"/>
        <w:widowControl w:val="0"/>
        <w:numPr>
          <w:numId w:val="0"/>
        </w:numPr>
        <w:kinsoku/>
        <w:wordWrap/>
        <w:overflowPunct w:val="0"/>
        <w:topLinePunct/>
        <w:autoSpaceDE/>
        <w:autoSpaceDN/>
        <w:bidi w:val="0"/>
        <w:adjustRightInd/>
        <w:snapToGrid w:val="0"/>
        <w:spacing w:beforeAutospacing="0" w:afterAutospacing="0" w:line="560" w:lineRule="exact"/>
        <w:ind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4、严实推进突出生态环境问题整改。扎实做好中央生态环境保护督察“后半篇文章”，全力以赴抓好交办信访件整改验收销号。对于已经解决的问题，定期组织开展“回头看”，严防出现反弹现象。</w:t>
      </w:r>
    </w:p>
    <w:p w14:paraId="1BEF47ED">
      <w:pPr>
        <w:ind w:firstLine="420" w:firstLineChars="200"/>
        <w:rPr>
          <w:rFonts w:hint="eastAsia"/>
          <w:highlight w:val="none"/>
          <w:lang w:val="en-US" w:eastAsia="zh-CN"/>
        </w:rPr>
      </w:pPr>
    </w:p>
    <w:p w14:paraId="5A9CE4C8">
      <w:pPr>
        <w:pStyle w:val="6"/>
        <w:adjustRightInd w:val="0"/>
        <w:snapToGrid w:val="0"/>
        <w:spacing w:line="560" w:lineRule="exact"/>
        <w:ind w:firstLine="640" w:firstLineChars="200"/>
        <w:jc w:val="left"/>
        <w:rPr>
          <w:rFonts w:hint="eastAsia" w:ascii="TimesNewRoman" w:hAnsi="TimesNewRoman" w:eastAsia="仿宋_GB2312" w:cs="TimesNewRoman"/>
          <w:bCs/>
          <w:sz w:val="32"/>
          <w:szCs w:val="32"/>
        </w:rPr>
      </w:pPr>
    </w:p>
    <w:p w14:paraId="6759A84D"/>
    <w:p w14:paraId="360874E0">
      <w:pPr>
        <w:pStyle w:val="6"/>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预算表</w:t>
      </w:r>
    </w:p>
    <w:p w14:paraId="54453BB2">
      <w:pPr>
        <w:pStyle w:val="6"/>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p>
    <w:p w14:paraId="27E3EDCD">
      <w:r>
        <w:t xml:space="preserve">                                        </w:t>
      </w:r>
    </w:p>
    <w:p w14:paraId="79EF27DD">
      <w:pPr>
        <w:pStyle w:val="6"/>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预算情况说明</w:t>
      </w:r>
    </w:p>
    <w:p w14:paraId="408F2464"/>
    <w:p w14:paraId="415A117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val="0"/>
          <w:sz w:val="32"/>
          <w:szCs w:val="32"/>
        </w:rPr>
        <w:t>一、关于2025年收支总表的说明</w:t>
      </w:r>
    </w:p>
    <w:p w14:paraId="5D56F9D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淮北市烈山区生态环境分局</w:t>
      </w:r>
      <w:r>
        <w:rPr>
          <w:rFonts w:hint="eastAsia" w:ascii="仿宋" w:hAnsi="仿宋" w:eastAsia="仿宋" w:cs="仿宋"/>
          <w:sz w:val="32"/>
          <w:szCs w:val="32"/>
        </w:rPr>
        <w:t>所有收入和支出均纳入</w:t>
      </w:r>
      <w:r>
        <w:rPr>
          <w:rFonts w:hint="eastAsia" w:ascii="仿宋" w:hAnsi="仿宋" w:eastAsia="仿宋" w:cs="仿宋"/>
          <w:sz w:val="32"/>
          <w:szCs w:val="32"/>
          <w:lang w:eastAsia="zh-CN"/>
        </w:rPr>
        <w:t>单位</w:t>
      </w:r>
      <w:r>
        <w:rPr>
          <w:rFonts w:hint="eastAsia" w:ascii="仿宋" w:hAnsi="仿宋" w:eastAsia="仿宋" w:cs="仿宋"/>
          <w:sz w:val="32"/>
          <w:szCs w:val="32"/>
        </w:rPr>
        <w:t>预算管理。</w:t>
      </w:r>
      <w:r>
        <w:rPr>
          <w:rFonts w:hint="eastAsia" w:ascii="仿宋" w:hAnsi="仿宋" w:eastAsia="仿宋" w:cs="仿宋"/>
          <w:sz w:val="32"/>
          <w:szCs w:val="32"/>
          <w:lang w:eastAsia="zh-CN"/>
        </w:rPr>
        <w:t>淮北市烈山区生态环境分局</w:t>
      </w:r>
      <w:r>
        <w:rPr>
          <w:rFonts w:hint="eastAsia" w:ascii="仿宋" w:hAnsi="仿宋" w:eastAsia="仿宋" w:cs="仿宋"/>
          <w:kern w:val="0"/>
          <w:sz w:val="32"/>
          <w:szCs w:val="32"/>
          <w:lang w:val="en-US" w:eastAsia="zh-CN" w:bidi="ar-SA"/>
        </w:rPr>
        <w:t>2025</w:t>
      </w:r>
      <w:r>
        <w:rPr>
          <w:rFonts w:hint="eastAsia" w:ascii="仿宋" w:hAnsi="仿宋" w:eastAsia="仿宋" w:cs="仿宋"/>
          <w:sz w:val="32"/>
          <w:szCs w:val="32"/>
        </w:rPr>
        <w:t>年收支总预算</w:t>
      </w:r>
      <w:r>
        <w:rPr>
          <w:rFonts w:hint="eastAsia" w:ascii="仿宋" w:hAnsi="仿宋" w:eastAsia="仿宋" w:cs="仿宋"/>
          <w:sz w:val="32"/>
          <w:szCs w:val="32"/>
          <w:lang w:eastAsia="zh-CN"/>
        </w:rPr>
        <w:t>315.7</w:t>
      </w:r>
      <w:r>
        <w:rPr>
          <w:rFonts w:hint="eastAsia" w:ascii="仿宋" w:hAnsi="仿宋" w:eastAsia="仿宋" w:cs="仿宋"/>
          <w:sz w:val="32"/>
          <w:szCs w:val="32"/>
        </w:rPr>
        <w:t>万元，收入全部是一般公共预算拨款收入，支出包括：社会保障和就业支出、卫生健康支出、节能环保支出、住房保障支出。</w:t>
      </w:r>
    </w:p>
    <w:p w14:paraId="76811ED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二、关于2025年收入总表的说明</w:t>
      </w:r>
    </w:p>
    <w:p w14:paraId="3C6E945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2025年收入预算</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万元，其中，本年收入</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w:t>
      </w:r>
    </w:p>
    <w:p w14:paraId="4AA3453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（一）本年收入</w:t>
      </w:r>
      <w:r>
        <w:rPr>
          <w:rFonts w:hint="eastAsia" w:ascii="仿宋" w:hAnsi="仿宋" w:eastAsia="仿宋" w:cs="仿宋"/>
          <w:sz w:val="32"/>
          <w:szCs w:val="32"/>
          <w:lang w:eastAsia="zh-CN"/>
        </w:rPr>
        <w:t>315.70</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主要包括：一般公共预算拨款收入</w:t>
      </w:r>
      <w:r>
        <w:rPr>
          <w:rFonts w:hint="eastAsia" w:ascii="仿宋" w:hAnsi="仿宋" w:eastAsia="仿宋" w:cs="仿宋"/>
          <w:sz w:val="32"/>
          <w:szCs w:val="32"/>
          <w:lang w:eastAsia="zh-CN"/>
        </w:rPr>
        <w:t>315.70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20.73万元，下降6.16%，</w:t>
      </w:r>
      <w:r>
        <w:rPr>
          <w:rFonts w:hint="eastAsia" w:ascii="仿宋" w:hAnsi="仿宋" w:eastAsia="仿宋" w:cs="仿宋"/>
          <w:kern w:val="0"/>
          <w:sz w:val="32"/>
          <w:szCs w:val="32"/>
          <w:lang w:eastAsia="zh-CN"/>
        </w:rPr>
        <w:t>原因主要是</w:t>
      </w:r>
      <w:r>
        <w:rPr>
          <w:rFonts w:hint="eastAsia" w:ascii="仿宋" w:hAnsi="仿宋" w:eastAsia="仿宋" w:cs="仿宋"/>
          <w:color w:val="auto"/>
          <w:kern w:val="0"/>
          <w:sz w:val="32"/>
          <w:szCs w:val="32"/>
          <w:lang w:eastAsia="zh-CN"/>
        </w:rPr>
        <w:t>人员调出，项目金额减少</w:t>
      </w:r>
      <w:r>
        <w:rPr>
          <w:rFonts w:hint="eastAsia" w:ascii="仿宋" w:hAnsi="仿宋" w:eastAsia="仿宋" w:cs="仿宋"/>
          <w:kern w:val="0"/>
          <w:sz w:val="32"/>
          <w:szCs w:val="32"/>
        </w:rPr>
        <w:t>；政府性基金预算拨款收入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%，原因主要是无政府性基金预算拨款收入；财政专户管理资金收入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%，原因主要是无财政专户管理资金收入。</w:t>
      </w:r>
    </w:p>
    <w:p w14:paraId="77C9665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三、关于2025年支出总表的说明</w:t>
      </w:r>
    </w:p>
    <w:p w14:paraId="1A0E3F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2025年支出预算</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20.73万元，下降6.16%</w:t>
      </w:r>
      <w:r>
        <w:rPr>
          <w:rFonts w:hint="eastAsia" w:ascii="仿宋" w:hAnsi="仿宋" w:eastAsia="仿宋" w:cs="仿宋"/>
          <w:kern w:val="0"/>
          <w:sz w:val="32"/>
          <w:szCs w:val="32"/>
          <w:lang w:eastAsia="zh-CN"/>
        </w:rPr>
        <w:t>，原因主要是</w:t>
      </w:r>
      <w:r>
        <w:rPr>
          <w:rFonts w:hint="eastAsia" w:ascii="仿宋" w:hAnsi="仿宋" w:eastAsia="仿宋" w:cs="仿宋"/>
          <w:color w:val="auto"/>
          <w:kern w:val="0"/>
          <w:sz w:val="32"/>
          <w:szCs w:val="32"/>
          <w:lang w:eastAsia="zh-CN"/>
        </w:rPr>
        <w:t>人员调出，项目支出安排减少</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eastAsia="zh-CN"/>
        </w:rPr>
        <w:t>245.28</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77.69</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，主要用于保障机构日常运转、完成日常工作任务；项目支出</w:t>
      </w:r>
      <w:r>
        <w:rPr>
          <w:rFonts w:hint="eastAsia" w:ascii="仿宋" w:hAnsi="仿宋" w:eastAsia="仿宋" w:cs="仿宋"/>
          <w:kern w:val="0"/>
          <w:sz w:val="32"/>
          <w:szCs w:val="32"/>
          <w:lang w:eastAsia="zh-CN"/>
        </w:rPr>
        <w:t>70.42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22.31</w:t>
      </w:r>
      <w:r>
        <w:rPr>
          <w:rFonts w:hint="eastAsia" w:ascii="仿宋" w:hAnsi="仿宋" w:eastAsia="仿宋" w:cs="仿宋"/>
          <w:kern w:val="0"/>
          <w:sz w:val="32"/>
          <w:szCs w:val="32"/>
        </w:rPr>
        <w:t>%，主要用于节能环保支出。</w:t>
      </w:r>
    </w:p>
    <w:p w14:paraId="103A45B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四、关于2025年财政拨款收支总表的说明</w:t>
      </w:r>
    </w:p>
    <w:p w14:paraId="2AFCB09C">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2025年财政拨款收支预算</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万元。收入按资金来源分为：一般公共预算拨款</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万元；按资金年度分为：本年财政拨款收入</w:t>
      </w:r>
      <w:r>
        <w:rPr>
          <w:rFonts w:hint="eastAsia" w:ascii="仿宋" w:hAnsi="仿宋" w:eastAsia="仿宋" w:cs="仿宋"/>
          <w:kern w:val="0"/>
          <w:sz w:val="32"/>
          <w:szCs w:val="32"/>
          <w:lang w:eastAsia="zh-CN"/>
        </w:rPr>
        <w:t>315.7</w:t>
      </w:r>
      <w:r>
        <w:rPr>
          <w:rFonts w:hint="eastAsia" w:ascii="仿宋" w:hAnsi="仿宋" w:eastAsia="仿宋" w:cs="仿宋"/>
          <w:kern w:val="0"/>
          <w:sz w:val="32"/>
          <w:szCs w:val="32"/>
        </w:rPr>
        <w:t>万元。支出按功能分类分为：</w:t>
      </w:r>
      <w:r>
        <w:rPr>
          <w:rFonts w:hint="eastAsia" w:ascii="仿宋" w:hAnsi="仿宋" w:eastAsia="仿宋" w:cs="仿宋"/>
          <w:kern w:val="0"/>
          <w:sz w:val="32"/>
          <w:szCs w:val="32"/>
          <w:lang w:val="en-US" w:eastAsia="zh-CN"/>
        </w:rPr>
        <w:t>社会保障和就业支出38.47万元，占12.19%；卫生健康支出10.86万元，占3.44%；节能环保支出260.36万元，占82.47%；住房保障支出6.02万元，占1.9%。</w:t>
      </w:r>
      <w:r>
        <w:rPr>
          <w:rFonts w:hint="eastAsia" w:ascii="仿宋" w:hAnsi="仿宋" w:eastAsia="仿宋" w:cs="仿宋"/>
          <w:sz w:val="32"/>
          <w:szCs w:val="32"/>
          <w:lang w:val="en-US" w:eastAsia="zh-CN"/>
        </w:rPr>
        <w:t>备注“因四舍五入可能存在尾数误差”。</w:t>
      </w:r>
    </w:p>
    <w:p w14:paraId="4E5A45A5">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五、关于2025年一般公共预算支出表的说明</w:t>
      </w:r>
    </w:p>
    <w:p w14:paraId="6FA491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（一）一般公共预算支出规模变化情况。</w:t>
      </w:r>
    </w:p>
    <w:p w14:paraId="793558D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2025年一般公共预算支出</w:t>
      </w:r>
      <w:r>
        <w:rPr>
          <w:rFonts w:hint="eastAsia" w:ascii="仿宋" w:hAnsi="仿宋" w:eastAsia="仿宋" w:cs="仿宋"/>
          <w:sz w:val="32"/>
          <w:szCs w:val="32"/>
          <w:lang w:eastAsia="zh-CN"/>
        </w:rPr>
        <w:t>315.7</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减少20.73万元，下降6.16%，原因主要是</w:t>
      </w:r>
      <w:r>
        <w:rPr>
          <w:rFonts w:hint="eastAsia" w:ascii="仿宋" w:hAnsi="仿宋" w:eastAsia="仿宋" w:cs="仿宋"/>
          <w:color w:val="auto"/>
          <w:kern w:val="0"/>
          <w:sz w:val="32"/>
          <w:szCs w:val="32"/>
          <w:lang w:eastAsia="zh-CN"/>
        </w:rPr>
        <w:t>人员调出，项目支出安排减少</w:t>
      </w:r>
      <w:r>
        <w:rPr>
          <w:rFonts w:hint="eastAsia" w:ascii="仿宋" w:hAnsi="仿宋" w:eastAsia="仿宋" w:cs="仿宋"/>
          <w:kern w:val="0"/>
          <w:sz w:val="32"/>
          <w:szCs w:val="32"/>
          <w:lang w:eastAsia="zh-CN"/>
        </w:rPr>
        <w:t>。</w:t>
      </w:r>
    </w:p>
    <w:p w14:paraId="781D8A9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（二）一般公共预算支出结构情况。</w:t>
      </w:r>
    </w:p>
    <w:p w14:paraId="5FC0A8B2">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社会保障和就业支出38.47万元，占12.19%；卫生健康支出10.86万元，占3.44%；节能环保支出260.36万元，占82.47%；住房保障支出6.02万元，占1.9%。</w:t>
      </w:r>
    </w:p>
    <w:p w14:paraId="10D6838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（三）一般公共预算支出具体使用情况。</w:t>
      </w:r>
    </w:p>
    <w:p w14:paraId="06ACDE63">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社会保障和就业支出（类）行政事业单位养老支出（款）行政单位离退休（项）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4.78</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预算增加</w:t>
      </w:r>
      <w:r>
        <w:rPr>
          <w:rFonts w:hint="eastAsia" w:ascii="仿宋" w:hAnsi="仿宋" w:eastAsia="仿宋" w:cs="仿宋"/>
          <w:kern w:val="0"/>
          <w:sz w:val="32"/>
          <w:szCs w:val="32"/>
          <w:lang w:val="en-US" w:eastAsia="zh-CN"/>
        </w:rPr>
        <w:t>3.8</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387.76%</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2024年</w:t>
      </w:r>
      <w:r>
        <w:rPr>
          <w:rFonts w:hint="eastAsia" w:ascii="仿宋" w:hAnsi="仿宋" w:eastAsia="仿宋" w:cs="仿宋"/>
          <w:sz w:val="32"/>
          <w:szCs w:val="32"/>
          <w:lang w:eastAsia="zh-CN"/>
        </w:rPr>
        <w:t>退休人员基础性奖金预算漏编</w:t>
      </w:r>
      <w:r>
        <w:rPr>
          <w:rFonts w:hint="eastAsia" w:ascii="仿宋" w:hAnsi="仿宋" w:eastAsia="仿宋" w:cs="仿宋"/>
          <w:kern w:val="0"/>
          <w:sz w:val="32"/>
          <w:szCs w:val="32"/>
        </w:rPr>
        <w:t>。</w:t>
      </w:r>
    </w:p>
    <w:p w14:paraId="0A1A3AF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社会保障和就业支出（类）行政事业单位养老支出（款）机关事业单位基本养老保险缴费支出（项）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22.03</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减少1.17万</w:t>
      </w:r>
      <w:r>
        <w:rPr>
          <w:rFonts w:hint="eastAsia" w:ascii="仿宋" w:hAnsi="仿宋" w:eastAsia="仿宋" w:cs="仿宋"/>
          <w:kern w:val="0"/>
          <w:sz w:val="32"/>
          <w:szCs w:val="32"/>
        </w:rPr>
        <w:t>元，</w:t>
      </w:r>
      <w:r>
        <w:rPr>
          <w:rFonts w:hint="eastAsia" w:ascii="仿宋" w:hAnsi="仿宋" w:eastAsia="仿宋" w:cs="仿宋"/>
          <w:kern w:val="0"/>
          <w:sz w:val="32"/>
          <w:szCs w:val="32"/>
          <w:lang w:val="en-US" w:eastAsia="zh-CN"/>
        </w:rPr>
        <w:t>下降5.04%</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人员变动</w:t>
      </w:r>
      <w:r>
        <w:rPr>
          <w:rFonts w:hint="eastAsia" w:ascii="仿宋" w:hAnsi="仿宋" w:eastAsia="仿宋" w:cs="仿宋"/>
          <w:kern w:val="0"/>
          <w:sz w:val="32"/>
          <w:szCs w:val="32"/>
        </w:rPr>
        <w:t>。</w:t>
      </w:r>
    </w:p>
    <w:p w14:paraId="2F6AD4AF">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社会保障和就业支出（类）行政事业单位养老支出（款）机关事业单位职业年金缴费支出（项）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11.01</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减少0.59万</w:t>
      </w:r>
      <w:r>
        <w:rPr>
          <w:rFonts w:hint="eastAsia" w:ascii="仿宋" w:hAnsi="仿宋" w:eastAsia="仿宋" w:cs="仿宋"/>
          <w:kern w:val="0"/>
          <w:sz w:val="32"/>
          <w:szCs w:val="32"/>
        </w:rPr>
        <w:t>元，</w:t>
      </w:r>
      <w:r>
        <w:rPr>
          <w:rFonts w:hint="eastAsia" w:ascii="仿宋" w:hAnsi="仿宋" w:eastAsia="仿宋" w:cs="仿宋"/>
          <w:kern w:val="0"/>
          <w:sz w:val="32"/>
          <w:szCs w:val="32"/>
          <w:lang w:val="en-US" w:eastAsia="zh-CN"/>
        </w:rPr>
        <w:t>下降5.09%</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人员变动</w:t>
      </w:r>
      <w:r>
        <w:rPr>
          <w:rFonts w:hint="eastAsia" w:ascii="仿宋" w:hAnsi="仿宋" w:eastAsia="仿宋" w:cs="仿宋"/>
          <w:kern w:val="0"/>
          <w:sz w:val="32"/>
          <w:szCs w:val="32"/>
        </w:rPr>
        <w:t>。</w:t>
      </w:r>
    </w:p>
    <w:p w14:paraId="1B94570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社会保障和就业支出（类）其他社会保障和就业支出（款）其他社会保障和就业支出（项）</w:t>
      </w:r>
      <w:r>
        <w:rPr>
          <w:rFonts w:hint="eastAsia" w:ascii="仿宋" w:hAnsi="仿宋" w:eastAsia="仿宋" w:cs="仿宋"/>
          <w:kern w:val="0"/>
          <w:sz w:val="32"/>
          <w:szCs w:val="32"/>
          <w:lang w:val="en-US" w:eastAsia="zh-CN"/>
        </w:rPr>
        <w:t>2025年预算0.64万元，减少0万元，下降0%，原因主要是与2024年</w:t>
      </w:r>
      <w:r>
        <w:rPr>
          <w:rFonts w:hint="eastAsia" w:ascii="仿宋" w:hAnsi="仿宋" w:eastAsia="仿宋" w:cs="仿宋"/>
          <w:kern w:val="0"/>
          <w:sz w:val="32"/>
          <w:szCs w:val="32"/>
        </w:rPr>
        <w:t>预算</w:t>
      </w:r>
      <w:r>
        <w:rPr>
          <w:rFonts w:hint="eastAsia" w:ascii="仿宋" w:hAnsi="仿宋" w:eastAsia="仿宋" w:cs="仿宋"/>
          <w:kern w:val="0"/>
          <w:sz w:val="32"/>
          <w:szCs w:val="32"/>
          <w:lang w:eastAsia="zh-CN"/>
        </w:rPr>
        <w:t>相同</w:t>
      </w:r>
      <w:r>
        <w:rPr>
          <w:rFonts w:hint="eastAsia" w:ascii="仿宋" w:hAnsi="仿宋" w:eastAsia="仿宋" w:cs="仿宋"/>
          <w:kern w:val="0"/>
          <w:sz w:val="32"/>
          <w:szCs w:val="32"/>
        </w:rPr>
        <w:t>。</w:t>
      </w:r>
    </w:p>
    <w:p w14:paraId="3A80F0E6">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卫生健康支出（类）行政事业单位医疗（款）行政单位医疗（项）</w:t>
      </w:r>
      <w:r>
        <w:rPr>
          <w:rFonts w:hint="eastAsia" w:ascii="仿宋" w:hAnsi="仿宋" w:eastAsia="仿宋" w:cs="仿宋"/>
          <w:kern w:val="0"/>
          <w:sz w:val="32"/>
          <w:szCs w:val="32"/>
          <w:lang w:val="en-US" w:eastAsia="zh-CN"/>
        </w:rPr>
        <w:t>2025年预算7.41万元，比2024年预算减少1.62万元，下降17.94%</w:t>
      </w:r>
      <w:r>
        <w:rPr>
          <w:rFonts w:hint="eastAsia" w:ascii="仿宋" w:hAnsi="仿宋" w:eastAsia="仿宋" w:cs="仿宋"/>
          <w:kern w:val="0"/>
          <w:sz w:val="32"/>
          <w:szCs w:val="32"/>
        </w:rPr>
        <w:t>，原因主要是</w:t>
      </w:r>
      <w:r>
        <w:rPr>
          <w:rFonts w:hint="eastAsia" w:ascii="仿宋" w:hAnsi="仿宋" w:eastAsia="仿宋" w:cs="仿宋"/>
          <w:kern w:val="0"/>
          <w:sz w:val="32"/>
          <w:szCs w:val="32"/>
          <w:lang w:eastAsia="zh-CN"/>
        </w:rPr>
        <w:t>政策性调整</w:t>
      </w:r>
      <w:r>
        <w:rPr>
          <w:rFonts w:hint="eastAsia" w:ascii="仿宋" w:hAnsi="仿宋" w:eastAsia="仿宋" w:cs="仿宋"/>
          <w:kern w:val="0"/>
          <w:sz w:val="32"/>
          <w:szCs w:val="32"/>
        </w:rPr>
        <w:t>。</w:t>
      </w:r>
    </w:p>
    <w:p w14:paraId="793AA389">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卫生健康支出（类）行政事业单位医疗（款）公务员医疗补助（项）</w:t>
      </w:r>
      <w:r>
        <w:rPr>
          <w:rFonts w:hint="eastAsia" w:ascii="仿宋" w:hAnsi="仿宋" w:eastAsia="仿宋" w:cs="仿宋"/>
          <w:kern w:val="0"/>
          <w:sz w:val="32"/>
          <w:szCs w:val="32"/>
          <w:lang w:val="en-US" w:eastAsia="zh-CN"/>
        </w:rPr>
        <w:t>2025年预算3.45</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2024年预算减少0.12</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下降3.36%</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人员变动</w:t>
      </w:r>
      <w:r>
        <w:rPr>
          <w:rFonts w:hint="eastAsia" w:ascii="仿宋" w:hAnsi="仿宋" w:eastAsia="仿宋" w:cs="仿宋"/>
          <w:kern w:val="0"/>
          <w:sz w:val="32"/>
          <w:szCs w:val="32"/>
        </w:rPr>
        <w:t>。</w:t>
      </w:r>
    </w:p>
    <w:p w14:paraId="780C577A">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节能环保支出（类）环境保护管理事务（款）行政运行（项）</w:t>
      </w:r>
      <w:r>
        <w:rPr>
          <w:rFonts w:hint="eastAsia" w:ascii="仿宋" w:hAnsi="仿宋" w:eastAsia="仿宋" w:cs="仿宋"/>
          <w:kern w:val="0"/>
          <w:sz w:val="32"/>
          <w:szCs w:val="32"/>
          <w:lang w:val="en-US" w:eastAsia="zh-CN"/>
        </w:rPr>
        <w:t>2025年预算189.94万元，比2024年预算增加40.11万元，增长26.77%，原因主要是功能科目调整</w:t>
      </w:r>
      <w:r>
        <w:rPr>
          <w:rFonts w:hint="eastAsia" w:ascii="仿宋" w:hAnsi="仿宋" w:eastAsia="仿宋" w:cs="仿宋"/>
          <w:kern w:val="0"/>
          <w:sz w:val="32"/>
          <w:szCs w:val="32"/>
        </w:rPr>
        <w:t>。</w:t>
      </w:r>
    </w:p>
    <w:p w14:paraId="1671454E">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节能环保支出（类）环境监测与监察（款）其他环境监测与监察支出（项）</w:t>
      </w:r>
      <w:r>
        <w:rPr>
          <w:rFonts w:hint="eastAsia" w:ascii="仿宋" w:hAnsi="仿宋" w:eastAsia="仿宋" w:cs="仿宋"/>
          <w:kern w:val="0"/>
          <w:sz w:val="32"/>
          <w:szCs w:val="32"/>
          <w:lang w:val="en-US" w:eastAsia="zh-CN"/>
        </w:rPr>
        <w:t>2025年预算70.42万元，比2024年预算减少9.98万元，下降12.41%，原因主要是减少单位日常工作经费</w:t>
      </w:r>
      <w:r>
        <w:rPr>
          <w:rFonts w:hint="eastAsia" w:ascii="仿宋" w:hAnsi="仿宋" w:eastAsia="仿宋" w:cs="仿宋"/>
          <w:kern w:val="0"/>
          <w:sz w:val="32"/>
          <w:szCs w:val="32"/>
        </w:rPr>
        <w:t>。</w:t>
      </w:r>
    </w:p>
    <w:p w14:paraId="61EA093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住房保障支出（类）住房改革支出（款）</w:t>
      </w:r>
      <w:r>
        <w:rPr>
          <w:rFonts w:hint="eastAsia" w:ascii="仿宋" w:hAnsi="仿宋" w:eastAsia="仿宋" w:cs="仿宋"/>
          <w:b/>
          <w:bCs/>
          <w:kern w:val="0"/>
          <w:sz w:val="32"/>
          <w:szCs w:val="32"/>
          <w:lang w:val="en-US" w:eastAsia="zh-CN"/>
        </w:rPr>
        <w:t>提租补贴</w:t>
      </w:r>
      <w:r>
        <w:rPr>
          <w:rFonts w:hint="eastAsia" w:ascii="仿宋" w:hAnsi="仿宋" w:eastAsia="仿宋" w:cs="仿宋"/>
          <w:b/>
          <w:bCs/>
          <w:kern w:val="0"/>
          <w:sz w:val="32"/>
          <w:szCs w:val="32"/>
        </w:rPr>
        <w:t>（项）</w:t>
      </w:r>
      <w:r>
        <w:rPr>
          <w:rFonts w:hint="eastAsia" w:ascii="仿宋" w:hAnsi="仿宋" w:eastAsia="仿宋" w:cs="仿宋"/>
          <w:kern w:val="0"/>
          <w:sz w:val="32"/>
          <w:szCs w:val="32"/>
          <w:lang w:val="en-US" w:eastAsia="zh-CN"/>
        </w:rPr>
        <w:t>2025年预算6.02万元，比2024年预算增加0.27万元，增长4.7%</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正常性基数调整</w:t>
      </w:r>
      <w:r>
        <w:rPr>
          <w:rFonts w:hint="eastAsia" w:ascii="仿宋" w:hAnsi="仿宋" w:eastAsia="仿宋" w:cs="仿宋"/>
          <w:kern w:val="0"/>
          <w:sz w:val="32"/>
          <w:szCs w:val="32"/>
        </w:rPr>
        <w:t>。</w:t>
      </w:r>
    </w:p>
    <w:p w14:paraId="4DECDE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六、关于2025年一般公共预算基本支出表的说明</w:t>
      </w:r>
    </w:p>
    <w:p w14:paraId="3169BD7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2025年一般公共预算基本支出</w:t>
      </w:r>
      <w:r>
        <w:rPr>
          <w:rFonts w:hint="eastAsia" w:ascii="仿宋" w:hAnsi="仿宋" w:eastAsia="仿宋" w:cs="仿宋"/>
          <w:kern w:val="0"/>
          <w:sz w:val="32"/>
          <w:szCs w:val="32"/>
          <w:lang w:eastAsia="zh-CN"/>
        </w:rPr>
        <w:t>245.28</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eastAsia="zh-CN"/>
        </w:rPr>
        <w:t>227.38</w:t>
      </w:r>
      <w:r>
        <w:rPr>
          <w:rFonts w:hint="eastAsia" w:ascii="仿宋" w:hAnsi="仿宋" w:eastAsia="仿宋" w:cs="仿宋"/>
          <w:kern w:val="0"/>
          <w:sz w:val="32"/>
          <w:szCs w:val="32"/>
        </w:rPr>
        <w:t>万元，公用经费</w:t>
      </w:r>
      <w:r>
        <w:rPr>
          <w:rFonts w:hint="eastAsia" w:ascii="仿宋" w:hAnsi="仿宋" w:eastAsia="仿宋" w:cs="仿宋"/>
          <w:kern w:val="0"/>
          <w:sz w:val="32"/>
          <w:szCs w:val="32"/>
          <w:lang w:eastAsia="zh-CN"/>
        </w:rPr>
        <w:t>17.9</w:t>
      </w:r>
      <w:r>
        <w:rPr>
          <w:rFonts w:hint="eastAsia" w:ascii="仿宋" w:hAnsi="仿宋" w:eastAsia="仿宋" w:cs="仿宋"/>
          <w:kern w:val="0"/>
          <w:sz w:val="32"/>
          <w:szCs w:val="32"/>
        </w:rPr>
        <w:t>万元。</w:t>
      </w:r>
    </w:p>
    <w:p w14:paraId="1B5B95C4">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（一）人员经费</w:t>
      </w:r>
      <w:r>
        <w:rPr>
          <w:rFonts w:hint="eastAsia" w:ascii="仿宋" w:hAnsi="仿宋" w:eastAsia="仿宋" w:cs="仿宋"/>
          <w:kern w:val="0"/>
          <w:sz w:val="32"/>
          <w:szCs w:val="32"/>
          <w:lang w:eastAsia="zh-CN"/>
        </w:rPr>
        <w:t>227.38</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主要包括:基本工资、津贴补贴、奖金、绩效工资、机关事业单位基本养老保险费、职业年金缴费、职工基本医疗保险缴费、公务员医疗补助缴费、其他社会保障缴费、办公费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工会经费、福利费、住房公积金、其他工资福利支出、其他商品和服务支出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退休费、医疗费补助、奖励金。</w:t>
      </w:r>
    </w:p>
    <w:p w14:paraId="37FABFF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（二）公用经费</w:t>
      </w:r>
      <w:r>
        <w:rPr>
          <w:rFonts w:hint="eastAsia" w:ascii="仿宋" w:hAnsi="仿宋" w:eastAsia="仿宋" w:cs="仿宋"/>
          <w:kern w:val="0"/>
          <w:sz w:val="32"/>
          <w:szCs w:val="32"/>
          <w:lang w:eastAsia="zh-CN"/>
        </w:rPr>
        <w:t>17.90</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w:t>
      </w:r>
      <w:r>
        <w:rPr>
          <w:rFonts w:hint="eastAsia" w:ascii="仿宋" w:hAnsi="仿宋" w:eastAsia="仿宋" w:cs="仿宋"/>
          <w:kern w:val="0"/>
          <w:sz w:val="32"/>
          <w:szCs w:val="32"/>
          <w:lang w:eastAsia="zh-CN"/>
        </w:rPr>
        <w:t>办公费、公务接待费、</w:t>
      </w:r>
      <w:r>
        <w:rPr>
          <w:rFonts w:hint="eastAsia" w:ascii="仿宋" w:hAnsi="仿宋" w:eastAsia="仿宋" w:cs="仿宋"/>
          <w:kern w:val="0"/>
          <w:sz w:val="32"/>
          <w:szCs w:val="32"/>
        </w:rPr>
        <w:t>其他交通费用、其他商品服务支出。</w:t>
      </w:r>
    </w:p>
    <w:p w14:paraId="0517B55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七、关于2025年政府性基金预算支出表的说明</w:t>
      </w:r>
    </w:p>
    <w:p w14:paraId="56F8F0A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2025年没有政府性基金预算拨款收入，也没有使用政府性基金预算拨款安排的支出。</w:t>
      </w:r>
    </w:p>
    <w:p w14:paraId="42CD52E2">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八、关于2025年国有资本经营预算支出表的说明</w:t>
      </w:r>
    </w:p>
    <w:p w14:paraId="1FD28D7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2025年没有国有资本经营预算拨款收入，也没有使用国有资本经营预算拨款安排的支出。</w:t>
      </w:r>
    </w:p>
    <w:p w14:paraId="4E7FF0D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九、关于2025年项目支出表的说明</w:t>
      </w:r>
    </w:p>
    <w:p w14:paraId="0F7FD71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2025年预算共安排项目支出</w:t>
      </w:r>
      <w:r>
        <w:rPr>
          <w:rFonts w:hint="eastAsia" w:ascii="仿宋" w:hAnsi="仿宋" w:eastAsia="仿宋" w:cs="仿宋"/>
          <w:kern w:val="0"/>
          <w:sz w:val="32"/>
          <w:szCs w:val="32"/>
          <w:lang w:eastAsia="zh-CN"/>
        </w:rPr>
        <w:t>70.42</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val="en-US" w:eastAsia="zh-CN"/>
        </w:rPr>
        <w:t>减少9.98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下降12.41</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单位日常运行经费减少</w:t>
      </w:r>
      <w:r>
        <w:rPr>
          <w:rFonts w:hint="eastAsia" w:ascii="仿宋" w:hAnsi="仿宋" w:eastAsia="仿宋" w:cs="仿宋"/>
          <w:kern w:val="0"/>
          <w:sz w:val="32"/>
          <w:szCs w:val="32"/>
        </w:rPr>
        <w:t>。主要包括：本年财政拨款安排</w:t>
      </w:r>
      <w:r>
        <w:rPr>
          <w:rFonts w:hint="eastAsia" w:ascii="仿宋" w:hAnsi="仿宋" w:eastAsia="仿宋" w:cs="仿宋"/>
          <w:kern w:val="0"/>
          <w:sz w:val="32"/>
          <w:szCs w:val="32"/>
          <w:lang w:eastAsia="zh-CN"/>
        </w:rPr>
        <w:t>70.42</w:t>
      </w:r>
      <w:r>
        <w:rPr>
          <w:rFonts w:hint="eastAsia" w:ascii="仿宋" w:hAnsi="仿宋" w:eastAsia="仿宋" w:cs="仿宋"/>
          <w:kern w:val="0"/>
          <w:sz w:val="32"/>
          <w:szCs w:val="32"/>
        </w:rPr>
        <w:t>万元（其中，一般公共预算拨款安排</w:t>
      </w:r>
      <w:r>
        <w:rPr>
          <w:rFonts w:hint="eastAsia" w:ascii="仿宋" w:hAnsi="仿宋" w:eastAsia="仿宋" w:cs="仿宋"/>
          <w:kern w:val="0"/>
          <w:sz w:val="32"/>
          <w:szCs w:val="32"/>
          <w:lang w:eastAsia="zh-CN"/>
        </w:rPr>
        <w:t>70.42</w:t>
      </w:r>
      <w:r>
        <w:rPr>
          <w:rFonts w:hint="eastAsia" w:ascii="仿宋" w:hAnsi="仿宋" w:eastAsia="仿宋" w:cs="仿宋"/>
          <w:kern w:val="0"/>
          <w:sz w:val="32"/>
          <w:szCs w:val="32"/>
        </w:rPr>
        <w:t>万元，政府性基金预算拨款安排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3FE5A72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十、关于2025年政府采购支出表的说明</w:t>
      </w:r>
    </w:p>
    <w:p w14:paraId="1CB05E7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2025年没有使用一般公共预算拨款、政府性基金预算拨款、国有资本经营预算拨款、财政专户管理资金和单位资金安排的政府采购支出。</w:t>
      </w:r>
    </w:p>
    <w:p w14:paraId="6FF0B39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十一、关于2025年政府购买服务支出表的说明</w:t>
      </w:r>
    </w:p>
    <w:p w14:paraId="259A20E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2025年没有安排政府购买服务支出。</w:t>
      </w:r>
    </w:p>
    <w:p w14:paraId="172C4FF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十二、关于2025年通用资产配置支出表的说明</w:t>
      </w:r>
    </w:p>
    <w:p w14:paraId="0E88C06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0"/>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sz w:val="32"/>
          <w:szCs w:val="32"/>
        </w:rPr>
        <w:t>2025年没有安排通用资产配置支出。</w:t>
      </w:r>
    </w:p>
    <w:p w14:paraId="6FAD717F">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50FC1C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4512B1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“单位运行经费”项目。</w:t>
      </w:r>
    </w:p>
    <w:p w14:paraId="77DFA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（1）项目概述。</w:t>
      </w:r>
      <w:r>
        <w:rPr>
          <w:rFonts w:hint="eastAsia" w:ascii="仿宋" w:hAnsi="仿宋" w:eastAsia="仿宋" w:cs="仿宋"/>
          <w:sz w:val="32"/>
          <w:szCs w:val="32"/>
          <w:lang w:eastAsia="zh-CN"/>
        </w:rPr>
        <w:t>主要是</w:t>
      </w:r>
      <w:r>
        <w:rPr>
          <w:rFonts w:hint="eastAsia" w:ascii="仿宋" w:hAnsi="仿宋" w:eastAsia="仿宋" w:cs="仿宋"/>
          <w:kern w:val="0"/>
          <w:sz w:val="32"/>
          <w:szCs w:val="32"/>
          <w:lang w:eastAsia="zh-CN"/>
        </w:rPr>
        <w:t>保障全区生态环境保护工作正常运行的需要。</w:t>
      </w:r>
    </w:p>
    <w:p w14:paraId="55186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（2）立项依据。</w:t>
      </w:r>
      <w:r>
        <w:rPr>
          <w:rFonts w:hint="eastAsia" w:ascii="仿宋" w:hAnsi="仿宋" w:eastAsia="仿宋" w:cs="仿宋"/>
          <w:sz w:val="32"/>
          <w:szCs w:val="32"/>
          <w:lang w:val="en-US" w:eastAsia="zh-CN"/>
        </w:rPr>
        <w:t>生态环境分局部门职责。</w:t>
      </w:r>
    </w:p>
    <w:p w14:paraId="2C395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（3）实施主体。</w:t>
      </w:r>
      <w:r>
        <w:rPr>
          <w:rFonts w:hint="eastAsia" w:ascii="仿宋" w:hAnsi="仿宋" w:eastAsia="仿宋" w:cs="仿宋"/>
          <w:sz w:val="32"/>
          <w:szCs w:val="32"/>
          <w:lang w:eastAsia="zh-CN"/>
        </w:rPr>
        <w:t>淮北市烈山区生态环境分局</w:t>
      </w:r>
    </w:p>
    <w:p w14:paraId="0073D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（4）起止时间。</w:t>
      </w:r>
      <w:r>
        <w:rPr>
          <w:rFonts w:hint="eastAsia" w:ascii="仿宋" w:hAnsi="仿宋" w:eastAsia="仿宋" w:cs="仿宋"/>
          <w:kern w:val="0"/>
          <w:sz w:val="32"/>
          <w:szCs w:val="32"/>
          <w:lang w:val="en-US" w:eastAsia="zh-CN"/>
        </w:rPr>
        <w:t>2025.1-12</w:t>
      </w:r>
    </w:p>
    <w:p w14:paraId="6446F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（5）项目内容。</w:t>
      </w:r>
      <w:r>
        <w:rPr>
          <w:rFonts w:hint="eastAsia" w:ascii="仿宋" w:hAnsi="仿宋" w:eastAsia="仿宋" w:cs="仿宋"/>
          <w:sz w:val="32"/>
          <w:szCs w:val="32"/>
        </w:rPr>
        <w:t>保障</w:t>
      </w:r>
      <w:r>
        <w:rPr>
          <w:rFonts w:hint="eastAsia" w:ascii="仿宋" w:hAnsi="仿宋" w:eastAsia="仿宋" w:cs="仿宋"/>
          <w:sz w:val="32"/>
          <w:szCs w:val="32"/>
          <w:lang w:eastAsia="zh-CN"/>
        </w:rPr>
        <w:t>单位</w:t>
      </w:r>
      <w:r>
        <w:rPr>
          <w:rFonts w:hint="eastAsia" w:ascii="仿宋" w:hAnsi="仿宋" w:eastAsia="仿宋" w:cs="仿宋"/>
          <w:sz w:val="32"/>
          <w:szCs w:val="32"/>
        </w:rPr>
        <w:t>正常运转、完成日常工作任务而发生的公用支出。</w:t>
      </w:r>
    </w:p>
    <w:p w14:paraId="7476F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预算资金</w:t>
      </w:r>
      <w:r>
        <w:rPr>
          <w:rFonts w:hint="eastAsia" w:ascii="仿宋" w:hAnsi="仿宋" w:eastAsia="仿宋" w:cs="仿宋"/>
          <w:kern w:val="0"/>
          <w:sz w:val="32"/>
          <w:szCs w:val="32"/>
          <w:lang w:val="en-US" w:eastAsia="zh-CN"/>
        </w:rPr>
        <w:t>70.42万元</w:t>
      </w:r>
    </w:p>
    <w:p w14:paraId="068DC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38E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E1CC8A2">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062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9E66B0E">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4770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4E0DC4A">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8F20314">
            <w:pPr>
              <w:jc w:val="center"/>
              <w:rPr>
                <w:rFonts w:ascii="宋体" w:cs="宋体"/>
                <w:sz w:val="20"/>
              </w:rPr>
            </w:pPr>
            <w:r>
              <w:rPr>
                <w:rFonts w:hint="eastAsia" w:ascii="宋体" w:hAnsi="宋体" w:cs="宋体"/>
                <w:color w:val="000000"/>
                <w:sz w:val="20"/>
                <w:szCs w:val="20"/>
                <w:lang w:eastAsia="zh-CN"/>
              </w:rPr>
              <w:t>单位运行经费</w:t>
            </w:r>
          </w:p>
        </w:tc>
      </w:tr>
      <w:tr w14:paraId="3AB0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236FC6A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B3E9F24">
            <w:pPr>
              <w:jc w:val="center"/>
              <w:rPr>
                <w:rFonts w:hint="default" w:ascii="宋体" w:cs="宋体" w:eastAsiaTheme="minorEastAsia"/>
                <w:sz w:val="20"/>
                <w:lang w:val="en-US" w:eastAsia="zh-CN"/>
              </w:rPr>
            </w:pPr>
            <w:r>
              <w:rPr>
                <w:rFonts w:hint="eastAsia" w:ascii="宋体" w:cs="宋体"/>
                <w:sz w:val="20"/>
                <w:lang w:val="en-US" w:eastAsia="zh-CN"/>
              </w:rPr>
              <w:t>264-淮北市生态环境局</w:t>
            </w:r>
          </w:p>
        </w:tc>
        <w:tc>
          <w:tcPr>
            <w:tcW w:w="1848" w:type="dxa"/>
            <w:tcBorders>
              <w:tl2br w:val="nil"/>
              <w:tr2bl w:val="nil"/>
            </w:tcBorders>
            <w:vAlign w:val="center"/>
          </w:tcPr>
          <w:p w14:paraId="55CBD7E4">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D7F0C53">
            <w:pPr>
              <w:jc w:val="center"/>
            </w:pPr>
            <w:r>
              <w:rPr>
                <w:rFonts w:hint="eastAsia" w:ascii="宋体" w:hAnsi="宋体" w:eastAsia="宋体" w:cs="宋体"/>
                <w:sz w:val="20"/>
                <w:szCs w:val="20"/>
                <w:lang w:eastAsia="zh-CN"/>
              </w:rPr>
              <w:t>淮北市烈山区生态环境分局</w:t>
            </w:r>
          </w:p>
        </w:tc>
      </w:tr>
      <w:tr w14:paraId="13E3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0F13C2F">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4F277AC">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14:paraId="18CD7410">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0D06F62">
            <w:pPr>
              <w:jc w:val="center"/>
              <w:rPr>
                <w:rFonts w:hint="default" w:eastAsiaTheme="minorEastAsia"/>
                <w:lang w:val="en-US" w:eastAsia="zh-CN"/>
              </w:rPr>
            </w:pPr>
            <w:r>
              <w:rPr>
                <w:rFonts w:hint="eastAsia"/>
                <w:lang w:val="en-US" w:eastAsia="zh-CN"/>
              </w:rPr>
              <w:t>2025.1-12</w:t>
            </w:r>
          </w:p>
        </w:tc>
      </w:tr>
      <w:tr w14:paraId="0B85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5EC3C4D">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1B9C5A5D">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A5A3157">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235F682">
            <w:pPr>
              <w:jc w:val="center"/>
              <w:rPr>
                <w:rFonts w:hint="default" w:ascii="宋体" w:cs="宋体" w:eastAsiaTheme="minorEastAsia"/>
                <w:sz w:val="20"/>
                <w:lang w:val="en-US" w:eastAsia="zh-CN"/>
              </w:rPr>
            </w:pPr>
            <w:r>
              <w:rPr>
                <w:rFonts w:hint="eastAsia" w:ascii="宋体" w:cs="宋体"/>
                <w:sz w:val="20"/>
                <w:lang w:val="en-US" w:eastAsia="zh-CN"/>
              </w:rPr>
              <w:t>70.42</w:t>
            </w:r>
          </w:p>
        </w:tc>
      </w:tr>
      <w:tr w14:paraId="102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BC13842">
            <w:pPr>
              <w:jc w:val="center"/>
              <w:rPr>
                <w:rFonts w:ascii="宋体" w:cs="宋体"/>
                <w:sz w:val="20"/>
              </w:rPr>
            </w:pPr>
          </w:p>
        </w:tc>
        <w:tc>
          <w:tcPr>
            <w:tcW w:w="3349" w:type="dxa"/>
            <w:gridSpan w:val="2"/>
            <w:tcBorders>
              <w:tl2br w:val="nil"/>
              <w:tr2bl w:val="nil"/>
            </w:tcBorders>
            <w:vAlign w:val="center"/>
          </w:tcPr>
          <w:p w14:paraId="2C782CE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3584309">
            <w:pPr>
              <w:jc w:val="center"/>
              <w:rPr>
                <w:rFonts w:hint="default" w:ascii="宋体" w:cs="宋体" w:eastAsiaTheme="minorEastAsia"/>
                <w:sz w:val="20"/>
                <w:lang w:val="en-US" w:eastAsia="zh-CN"/>
              </w:rPr>
            </w:pPr>
            <w:r>
              <w:rPr>
                <w:rFonts w:hint="eastAsia" w:ascii="宋体" w:cs="宋体"/>
                <w:sz w:val="20"/>
                <w:lang w:val="en-US" w:eastAsia="zh-CN"/>
              </w:rPr>
              <w:t>70.42</w:t>
            </w:r>
          </w:p>
        </w:tc>
      </w:tr>
      <w:tr w14:paraId="3A6F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43C099D">
            <w:pPr>
              <w:jc w:val="center"/>
              <w:rPr>
                <w:rFonts w:ascii="宋体" w:cs="宋体"/>
                <w:sz w:val="20"/>
              </w:rPr>
            </w:pPr>
          </w:p>
        </w:tc>
        <w:tc>
          <w:tcPr>
            <w:tcW w:w="3349" w:type="dxa"/>
            <w:gridSpan w:val="2"/>
            <w:tcBorders>
              <w:tl2br w:val="nil"/>
              <w:tr2bl w:val="nil"/>
            </w:tcBorders>
            <w:vAlign w:val="center"/>
          </w:tcPr>
          <w:p w14:paraId="024765D6">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21B4C7F">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4D49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1CCDD65">
            <w:pPr>
              <w:jc w:val="center"/>
              <w:rPr>
                <w:rFonts w:ascii="宋体" w:cs="宋体"/>
                <w:sz w:val="20"/>
              </w:rPr>
            </w:pPr>
          </w:p>
        </w:tc>
        <w:tc>
          <w:tcPr>
            <w:tcW w:w="3349" w:type="dxa"/>
            <w:gridSpan w:val="2"/>
            <w:tcBorders>
              <w:tl2br w:val="nil"/>
              <w:tr2bl w:val="nil"/>
            </w:tcBorders>
            <w:vAlign w:val="center"/>
          </w:tcPr>
          <w:p w14:paraId="1218FCF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308DA9EA">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6D53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3014FCE">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2F5D288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387E1C4">
            <w:pPr>
              <w:adjustRightInd w:val="0"/>
              <w:snapToGrid w:val="0"/>
              <w:spacing w:line="600" w:lineRule="exact"/>
              <w:ind w:firstLine="400" w:firstLineChars="200"/>
              <w:rPr>
                <w:rFonts w:hint="eastAsia" w:ascii="宋体" w:hAnsi="宋体" w:eastAsia="宋体" w:cs="宋体"/>
                <w:sz w:val="20"/>
                <w:szCs w:val="20"/>
                <w:lang w:eastAsia="zh-CN"/>
              </w:rPr>
            </w:pPr>
            <w:r>
              <w:rPr>
                <w:rFonts w:hint="eastAsia" w:ascii="宋体" w:hAnsi="宋体" w:eastAsia="宋体" w:cs="宋体"/>
                <w:kern w:val="2"/>
                <w:sz w:val="20"/>
                <w:szCs w:val="20"/>
                <w:shd w:val="clear" w:color="auto" w:fill="FFFFFF"/>
                <w:lang w:val="en-US" w:eastAsia="zh-CN" w:bidi="ar-SA"/>
              </w:rPr>
              <w:t>对生态和城乡各类污染排放监管，全面落实大气、水、土壤污染防治行动计划，</w:t>
            </w:r>
            <w:r>
              <w:rPr>
                <w:rFonts w:hint="eastAsia" w:ascii="宋体" w:hAnsi="宋体" w:eastAsia="宋体" w:cs="宋体"/>
                <w:sz w:val="20"/>
                <w:szCs w:val="20"/>
              </w:rPr>
              <w:t>改善</w:t>
            </w:r>
            <w:r>
              <w:rPr>
                <w:rFonts w:hint="eastAsia" w:ascii="宋体" w:hAnsi="宋体" w:eastAsia="宋体" w:cs="宋体"/>
                <w:sz w:val="20"/>
                <w:szCs w:val="20"/>
                <w:lang w:val="en-US" w:eastAsia="zh-CN"/>
              </w:rPr>
              <w:t>环境</w:t>
            </w:r>
            <w:r>
              <w:rPr>
                <w:rFonts w:hint="eastAsia" w:ascii="宋体" w:hAnsi="宋体" w:eastAsia="宋体" w:cs="宋体"/>
                <w:sz w:val="20"/>
                <w:szCs w:val="20"/>
              </w:rPr>
              <w:t>质量，创造良好生态环境</w:t>
            </w:r>
            <w:r>
              <w:rPr>
                <w:rFonts w:hint="eastAsia" w:ascii="宋体" w:hAnsi="宋体" w:eastAsia="宋体" w:cs="宋体"/>
                <w:sz w:val="20"/>
                <w:szCs w:val="20"/>
                <w:lang w:eastAsia="zh-CN"/>
              </w:rPr>
              <w:t>。</w:t>
            </w:r>
          </w:p>
          <w:p w14:paraId="789A45FA">
            <w:pPr>
              <w:jc w:val="left"/>
              <w:rPr>
                <w:rFonts w:ascii="宋体" w:cs="宋体"/>
                <w:sz w:val="20"/>
              </w:rPr>
            </w:pPr>
          </w:p>
        </w:tc>
      </w:tr>
      <w:tr w14:paraId="358D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912482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1C3CFB53">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7EE871C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2BCA3D7A">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213519E">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032494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61FA7D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FE5B846">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FF5642A">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BCC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20544C2D">
            <w:pPr>
              <w:jc w:val="center"/>
              <w:rPr>
                <w:rFonts w:ascii="宋体" w:cs="宋体"/>
                <w:sz w:val="20"/>
              </w:rPr>
            </w:pPr>
          </w:p>
        </w:tc>
        <w:tc>
          <w:tcPr>
            <w:tcW w:w="723" w:type="dxa"/>
            <w:vMerge w:val="restart"/>
            <w:tcBorders>
              <w:tl2br w:val="nil"/>
              <w:tr2bl w:val="nil"/>
            </w:tcBorders>
            <w:vAlign w:val="center"/>
          </w:tcPr>
          <w:p w14:paraId="5F01C479">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140F0A5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67A945E">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经费支出月数</w:t>
            </w:r>
          </w:p>
        </w:tc>
        <w:tc>
          <w:tcPr>
            <w:tcW w:w="4228" w:type="dxa"/>
            <w:gridSpan w:val="2"/>
            <w:tcBorders>
              <w:tl2br w:val="nil"/>
              <w:tr2bl w:val="nil"/>
            </w:tcBorders>
            <w:vAlign w:val="center"/>
          </w:tcPr>
          <w:p w14:paraId="03D5E53F">
            <w:pPr>
              <w:keepNext w:val="0"/>
              <w:keepLines w:val="0"/>
              <w:widowControl/>
              <w:suppressLineNumbers w:val="0"/>
              <w:jc w:val="center"/>
              <w:textAlignment w:val="center"/>
              <w:rPr>
                <w:rFonts w:hint="default" w:ascii="宋体" w:cs="宋体" w:eastAsiaTheme="minorEastAsia"/>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6535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9B55164">
            <w:pPr>
              <w:jc w:val="center"/>
              <w:rPr>
                <w:rFonts w:ascii="宋体" w:cs="宋体"/>
                <w:sz w:val="20"/>
              </w:rPr>
            </w:pPr>
          </w:p>
        </w:tc>
        <w:tc>
          <w:tcPr>
            <w:tcW w:w="723" w:type="dxa"/>
            <w:vMerge w:val="continue"/>
            <w:tcBorders>
              <w:tl2br w:val="nil"/>
              <w:tr2bl w:val="nil"/>
            </w:tcBorders>
            <w:vAlign w:val="center"/>
          </w:tcPr>
          <w:p w14:paraId="00E39E3E">
            <w:pPr>
              <w:jc w:val="center"/>
              <w:rPr>
                <w:rFonts w:ascii="宋体" w:cs="宋体"/>
                <w:sz w:val="20"/>
              </w:rPr>
            </w:pPr>
          </w:p>
        </w:tc>
        <w:tc>
          <w:tcPr>
            <w:tcW w:w="759" w:type="dxa"/>
            <w:gridSpan w:val="2"/>
            <w:vMerge w:val="restart"/>
            <w:tcBorders>
              <w:tl2br w:val="nil"/>
              <w:tr2bl w:val="nil"/>
            </w:tcBorders>
            <w:vAlign w:val="center"/>
          </w:tcPr>
          <w:p w14:paraId="0C1F556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4DC55C4C">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27390BED">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14:paraId="1F6E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16D120F4">
            <w:pPr>
              <w:jc w:val="center"/>
              <w:rPr>
                <w:rFonts w:ascii="宋体" w:cs="宋体"/>
                <w:sz w:val="20"/>
              </w:rPr>
            </w:pPr>
          </w:p>
        </w:tc>
        <w:tc>
          <w:tcPr>
            <w:tcW w:w="723" w:type="dxa"/>
            <w:vMerge w:val="continue"/>
            <w:tcBorders>
              <w:tl2br w:val="nil"/>
              <w:tr2bl w:val="nil"/>
            </w:tcBorders>
            <w:vAlign w:val="center"/>
          </w:tcPr>
          <w:p w14:paraId="017015F2">
            <w:pPr>
              <w:jc w:val="center"/>
              <w:rPr>
                <w:rFonts w:ascii="宋体" w:cs="宋体"/>
                <w:sz w:val="20"/>
              </w:rPr>
            </w:pPr>
          </w:p>
        </w:tc>
        <w:tc>
          <w:tcPr>
            <w:tcW w:w="759" w:type="dxa"/>
            <w:gridSpan w:val="2"/>
            <w:vMerge w:val="restart"/>
            <w:tcBorders>
              <w:tl2br w:val="nil"/>
              <w:tr2bl w:val="nil"/>
            </w:tcBorders>
            <w:vAlign w:val="center"/>
          </w:tcPr>
          <w:p w14:paraId="6E3479A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1301CF71">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2C5E8313">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及时、序时</w:t>
            </w:r>
          </w:p>
        </w:tc>
      </w:tr>
      <w:tr w14:paraId="2A71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33B9B763">
            <w:pPr>
              <w:jc w:val="center"/>
              <w:rPr>
                <w:rFonts w:ascii="宋体" w:cs="宋体"/>
                <w:sz w:val="20"/>
              </w:rPr>
            </w:pPr>
          </w:p>
        </w:tc>
        <w:tc>
          <w:tcPr>
            <w:tcW w:w="723" w:type="dxa"/>
            <w:vMerge w:val="continue"/>
            <w:tcBorders>
              <w:tl2br w:val="nil"/>
              <w:tr2bl w:val="nil"/>
            </w:tcBorders>
            <w:vAlign w:val="center"/>
          </w:tcPr>
          <w:p w14:paraId="705A508A">
            <w:pPr>
              <w:jc w:val="center"/>
              <w:rPr>
                <w:rFonts w:ascii="宋体" w:cs="宋体"/>
                <w:sz w:val="20"/>
              </w:rPr>
            </w:pPr>
          </w:p>
        </w:tc>
        <w:tc>
          <w:tcPr>
            <w:tcW w:w="759" w:type="dxa"/>
            <w:gridSpan w:val="2"/>
            <w:tcBorders>
              <w:tl2br w:val="nil"/>
              <w:tr2bl w:val="nil"/>
            </w:tcBorders>
            <w:vAlign w:val="center"/>
          </w:tcPr>
          <w:p w14:paraId="772EB4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66B94C85">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经费总额</w:t>
            </w:r>
          </w:p>
        </w:tc>
        <w:tc>
          <w:tcPr>
            <w:tcW w:w="4228" w:type="dxa"/>
            <w:gridSpan w:val="2"/>
            <w:tcBorders>
              <w:tl2br w:val="nil"/>
              <w:tr2bl w:val="nil"/>
            </w:tcBorders>
            <w:vAlign w:val="center"/>
          </w:tcPr>
          <w:p w14:paraId="5DF96D9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≦70.42</w:t>
            </w:r>
          </w:p>
        </w:tc>
      </w:tr>
      <w:tr w14:paraId="276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00FDD2C">
            <w:pPr>
              <w:jc w:val="center"/>
              <w:rPr>
                <w:rFonts w:ascii="宋体" w:cs="宋体"/>
                <w:sz w:val="20"/>
              </w:rPr>
            </w:pPr>
          </w:p>
        </w:tc>
        <w:tc>
          <w:tcPr>
            <w:tcW w:w="723" w:type="dxa"/>
            <w:vMerge w:val="restart"/>
            <w:tcBorders>
              <w:tl2br w:val="nil"/>
              <w:tr2bl w:val="nil"/>
            </w:tcBorders>
            <w:vAlign w:val="center"/>
          </w:tcPr>
          <w:p w14:paraId="4793044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1DAB2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FB9D504">
            <w:pPr>
              <w:keepNext w:val="0"/>
              <w:keepLines w:val="0"/>
              <w:widowControl/>
              <w:suppressLineNumbers w:val="0"/>
              <w:jc w:val="left"/>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对社会经济发展的影响</w:t>
            </w:r>
          </w:p>
        </w:tc>
        <w:tc>
          <w:tcPr>
            <w:tcW w:w="4228" w:type="dxa"/>
            <w:gridSpan w:val="2"/>
            <w:tcBorders>
              <w:tl2br w:val="nil"/>
              <w:tr2bl w:val="nil"/>
            </w:tcBorders>
            <w:vAlign w:val="center"/>
          </w:tcPr>
          <w:p w14:paraId="1F2DC1CD">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较高</w:t>
            </w:r>
          </w:p>
        </w:tc>
      </w:tr>
      <w:tr w14:paraId="4DAB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C19E3A1">
            <w:pPr>
              <w:jc w:val="center"/>
              <w:rPr>
                <w:rFonts w:ascii="宋体" w:cs="宋体"/>
                <w:sz w:val="20"/>
              </w:rPr>
            </w:pPr>
          </w:p>
        </w:tc>
        <w:tc>
          <w:tcPr>
            <w:tcW w:w="723" w:type="dxa"/>
            <w:vMerge w:val="continue"/>
            <w:tcBorders>
              <w:tl2br w:val="nil"/>
              <w:tr2bl w:val="nil"/>
            </w:tcBorders>
            <w:vAlign w:val="center"/>
          </w:tcPr>
          <w:p w14:paraId="22C6A208">
            <w:pPr>
              <w:jc w:val="center"/>
              <w:rPr>
                <w:rFonts w:ascii="宋体" w:cs="宋体"/>
                <w:sz w:val="20"/>
              </w:rPr>
            </w:pPr>
          </w:p>
        </w:tc>
        <w:tc>
          <w:tcPr>
            <w:tcW w:w="759" w:type="dxa"/>
            <w:gridSpan w:val="2"/>
            <w:vMerge w:val="restart"/>
            <w:tcBorders>
              <w:tl2br w:val="nil"/>
              <w:tr2bl w:val="nil"/>
            </w:tcBorders>
            <w:vAlign w:val="center"/>
          </w:tcPr>
          <w:p w14:paraId="00D251F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F9B06B7">
            <w:pPr>
              <w:keepNext w:val="0"/>
              <w:keepLines w:val="0"/>
              <w:widowControl/>
              <w:suppressLineNumbers w:val="0"/>
              <w:jc w:val="left"/>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公众对生态环境保护意识的提升</w:t>
            </w:r>
          </w:p>
        </w:tc>
        <w:tc>
          <w:tcPr>
            <w:tcW w:w="4228" w:type="dxa"/>
            <w:gridSpan w:val="2"/>
            <w:tcBorders>
              <w:tl2br w:val="nil"/>
              <w:tr2bl w:val="nil"/>
            </w:tcBorders>
            <w:vAlign w:val="center"/>
          </w:tcPr>
          <w:p w14:paraId="09F8B2D2">
            <w:pPr>
              <w:keepNext w:val="0"/>
              <w:keepLines w:val="0"/>
              <w:widowControl/>
              <w:suppressLineNumbers w:val="0"/>
              <w:jc w:val="center"/>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明显</w:t>
            </w:r>
          </w:p>
        </w:tc>
      </w:tr>
      <w:tr w14:paraId="7F52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1831E3E7">
            <w:pPr>
              <w:jc w:val="center"/>
              <w:rPr>
                <w:rFonts w:ascii="宋体" w:cs="宋体"/>
                <w:sz w:val="20"/>
              </w:rPr>
            </w:pPr>
          </w:p>
        </w:tc>
        <w:tc>
          <w:tcPr>
            <w:tcW w:w="723" w:type="dxa"/>
            <w:vMerge w:val="continue"/>
            <w:tcBorders>
              <w:tl2br w:val="nil"/>
              <w:tr2bl w:val="nil"/>
            </w:tcBorders>
            <w:vAlign w:val="center"/>
          </w:tcPr>
          <w:p w14:paraId="0DCDBDC7">
            <w:pPr>
              <w:jc w:val="center"/>
              <w:rPr>
                <w:rFonts w:ascii="宋体" w:cs="宋体"/>
                <w:sz w:val="20"/>
              </w:rPr>
            </w:pPr>
          </w:p>
        </w:tc>
        <w:tc>
          <w:tcPr>
            <w:tcW w:w="759" w:type="dxa"/>
            <w:gridSpan w:val="2"/>
            <w:vMerge w:val="restart"/>
            <w:tcBorders>
              <w:tl2br w:val="nil"/>
              <w:tr2bl w:val="nil"/>
            </w:tcBorders>
            <w:vAlign w:val="center"/>
          </w:tcPr>
          <w:p w14:paraId="315EF16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684A8538">
            <w:pPr>
              <w:keepNext w:val="0"/>
              <w:keepLines w:val="0"/>
              <w:widowControl/>
              <w:suppressLineNumbers w:val="0"/>
              <w:jc w:val="left"/>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对生态环境的改善</w:t>
            </w:r>
          </w:p>
        </w:tc>
        <w:tc>
          <w:tcPr>
            <w:tcW w:w="4228" w:type="dxa"/>
            <w:gridSpan w:val="2"/>
            <w:tcBorders>
              <w:tl2br w:val="nil"/>
              <w:tr2bl w:val="nil"/>
            </w:tcBorders>
            <w:vAlign w:val="center"/>
          </w:tcPr>
          <w:p w14:paraId="4955FDC8">
            <w:pPr>
              <w:keepNext w:val="0"/>
              <w:keepLines w:val="0"/>
              <w:widowControl/>
              <w:suppressLineNumbers w:val="0"/>
              <w:jc w:val="center"/>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明显</w:t>
            </w:r>
          </w:p>
        </w:tc>
      </w:tr>
      <w:tr w14:paraId="44A2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01B0F89F">
            <w:pPr>
              <w:jc w:val="center"/>
              <w:rPr>
                <w:rFonts w:ascii="宋体" w:cs="宋体"/>
                <w:sz w:val="20"/>
              </w:rPr>
            </w:pPr>
          </w:p>
        </w:tc>
        <w:tc>
          <w:tcPr>
            <w:tcW w:w="723" w:type="dxa"/>
            <w:vMerge w:val="continue"/>
            <w:tcBorders>
              <w:tl2br w:val="nil"/>
              <w:tr2bl w:val="nil"/>
            </w:tcBorders>
            <w:vAlign w:val="center"/>
          </w:tcPr>
          <w:p w14:paraId="5BF6D2C7">
            <w:pPr>
              <w:jc w:val="center"/>
              <w:rPr>
                <w:rFonts w:ascii="宋体" w:cs="宋体"/>
                <w:sz w:val="20"/>
              </w:rPr>
            </w:pPr>
          </w:p>
        </w:tc>
        <w:tc>
          <w:tcPr>
            <w:tcW w:w="759" w:type="dxa"/>
            <w:gridSpan w:val="2"/>
            <w:tcBorders>
              <w:tl2br w:val="nil"/>
              <w:tr2bl w:val="nil"/>
            </w:tcBorders>
            <w:vAlign w:val="center"/>
          </w:tcPr>
          <w:p w14:paraId="48C538D9">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8B0E11A">
            <w:pPr>
              <w:keepNext w:val="0"/>
              <w:keepLines w:val="0"/>
              <w:widowControl/>
              <w:suppressLineNumbers w:val="0"/>
              <w:jc w:val="left"/>
              <w:textAlignment w:val="center"/>
              <w:rPr>
                <w:rFonts w:hint="eastAsia"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对水、空气等环境保护及生态治理的持续影响程度</w:t>
            </w:r>
          </w:p>
        </w:tc>
        <w:tc>
          <w:tcPr>
            <w:tcW w:w="4228" w:type="dxa"/>
            <w:gridSpan w:val="2"/>
            <w:tcBorders>
              <w:tl2br w:val="nil"/>
              <w:tr2bl w:val="nil"/>
            </w:tcBorders>
            <w:vAlign w:val="center"/>
          </w:tcPr>
          <w:p w14:paraId="7EFEA0D0">
            <w:pPr>
              <w:keepNext w:val="0"/>
              <w:keepLines w:val="0"/>
              <w:widowControl/>
              <w:suppressLineNumbers w:val="0"/>
              <w:jc w:val="center"/>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明显</w:t>
            </w:r>
          </w:p>
        </w:tc>
      </w:tr>
      <w:tr w14:paraId="74DE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vAlign w:val="center"/>
          </w:tcPr>
          <w:p w14:paraId="7182D5FF">
            <w:pPr>
              <w:jc w:val="center"/>
              <w:rPr>
                <w:rFonts w:ascii="宋体" w:cs="宋体"/>
                <w:sz w:val="20"/>
              </w:rPr>
            </w:pPr>
          </w:p>
        </w:tc>
        <w:tc>
          <w:tcPr>
            <w:tcW w:w="723" w:type="dxa"/>
            <w:tcBorders>
              <w:tl2br w:val="nil"/>
              <w:tr2bl w:val="nil"/>
            </w:tcBorders>
            <w:vAlign w:val="center"/>
          </w:tcPr>
          <w:p w14:paraId="5A7CE1D8">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4FD3AFB">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4779C1E5">
            <w:pPr>
              <w:keepNext w:val="0"/>
              <w:keepLines w:val="0"/>
              <w:widowControl/>
              <w:suppressLineNumbers w:val="0"/>
              <w:jc w:val="left"/>
              <w:textAlignment w:val="center"/>
              <w:rPr>
                <w:rFonts w:hint="eastAsia"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41A4D654">
            <w:pPr>
              <w:keepNext w:val="0"/>
              <w:keepLines w:val="0"/>
              <w:widowControl/>
              <w:suppressLineNumbers w:val="0"/>
              <w:jc w:val="center"/>
              <w:textAlignment w:val="center"/>
              <w:rPr>
                <w:rFonts w:ascii="宋体" w:hAnsi="宋体" w:cs="宋体" w:eastAsiaTheme="minorEastAsia"/>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≧95%</w:t>
            </w:r>
          </w:p>
        </w:tc>
      </w:tr>
    </w:tbl>
    <w:p w14:paraId="68CE575C">
      <w:pPr>
        <w:ind w:firstLine="420" w:firstLineChars="200"/>
      </w:pPr>
      <w:bookmarkStart w:id="0" w:name="_GoBack"/>
      <w:bookmarkEnd w:id="0"/>
    </w:p>
    <w:p w14:paraId="5803B03E">
      <w:pPr>
        <w:ind w:firstLine="420" w:firstLineChars="200"/>
      </w:pPr>
    </w:p>
    <w:p w14:paraId="142342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（二）机关运行经费。</w:t>
      </w:r>
    </w:p>
    <w:p w14:paraId="6F18FE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lang w:val="en-US" w:eastAsia="zh-CN"/>
        </w:rPr>
        <w:t>2025年机关运行经费财政拨款预算17.9万元，比2024年预算减少2.69万元，下降13.06%，原因主要是人员调出。</w:t>
      </w:r>
    </w:p>
    <w:p w14:paraId="69351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（三）政府采购情况。</w:t>
      </w:r>
    </w:p>
    <w:p w14:paraId="755131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2025年政府采购预算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万元。其中：政府采购货物预算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AF5E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（四）国有资产占有使用情况。</w:t>
      </w:r>
    </w:p>
    <w:p w14:paraId="1C0AF9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截至2024年12月31日，</w:t>
      </w: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辆，其中：其他用车</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辆。单价50万元以上的通用设备0台（套），单价100万元以上的专用设备0台（套）。</w:t>
      </w:r>
    </w:p>
    <w:p w14:paraId="4FA72A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预算安排购置公务用车0辆，购置费0万元，安排购置单价50万元以上的通用设备0台（套），购置费0万元；安排购置单价100万元以上专用设备0台（套），购置费0万元。</w:t>
      </w:r>
    </w:p>
    <w:p w14:paraId="27C553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（五）绩效目标设置情况。</w:t>
      </w:r>
    </w:p>
    <w:p w14:paraId="49736B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淮北市烈山区生态环境分局</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个项目实行了绩效目标管理，涉及一般公共预算当年财政拨款</w:t>
      </w:r>
      <w:r>
        <w:rPr>
          <w:rFonts w:hint="eastAsia" w:ascii="仿宋" w:hAnsi="仿宋" w:eastAsia="仿宋" w:cs="仿宋"/>
          <w:kern w:val="0"/>
          <w:sz w:val="32"/>
          <w:szCs w:val="32"/>
          <w:lang w:eastAsia="zh-CN"/>
        </w:rPr>
        <w:t xml:space="preserve">70.42 </w:t>
      </w:r>
      <w:r>
        <w:rPr>
          <w:rFonts w:hint="eastAsia" w:ascii="仿宋" w:hAnsi="仿宋" w:eastAsia="仿宋" w:cs="仿宋"/>
          <w:kern w:val="0"/>
          <w:sz w:val="32"/>
          <w:szCs w:val="32"/>
        </w:rPr>
        <w:t>万元、政府性基金预算当年财政拨款0万元、财政专户管理资金当年安排0万元。</w:t>
      </w:r>
    </w:p>
    <w:p w14:paraId="7B029F5D">
      <w:pPr>
        <w:pStyle w:val="6"/>
        <w:adjustRightInd w:val="0"/>
        <w:snapToGrid w:val="0"/>
        <w:spacing w:line="560" w:lineRule="exact"/>
        <w:jc w:val="center"/>
        <w:rPr>
          <w:rFonts w:ascii="TimesNewRoman" w:hAnsi="TimesNewRoman" w:eastAsia="黑体" w:cs="TimesNewRoman"/>
          <w:bCs/>
          <w:sz w:val="36"/>
          <w:szCs w:val="36"/>
        </w:rPr>
      </w:pPr>
    </w:p>
    <w:p w14:paraId="0E6836FA">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5EE8B07"/>
    <w:p w14:paraId="622E34A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36F349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5EB2676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5455AD0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00A693F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3ED26D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0DE651C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3EBAB3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1A325B9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33A719F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C1A89"/>
    <w:multiLevelType w:val="singleLevel"/>
    <w:tmpl w:val="3C5C1A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172E78"/>
    <w:rsid w:val="00267E33"/>
    <w:rsid w:val="003C28DE"/>
    <w:rsid w:val="004A4DC6"/>
    <w:rsid w:val="0057562B"/>
    <w:rsid w:val="006546AF"/>
    <w:rsid w:val="00704336"/>
    <w:rsid w:val="00726D96"/>
    <w:rsid w:val="00740B10"/>
    <w:rsid w:val="008F6D1A"/>
    <w:rsid w:val="009168AC"/>
    <w:rsid w:val="009A3CA3"/>
    <w:rsid w:val="00AE3242"/>
    <w:rsid w:val="00B964EC"/>
    <w:rsid w:val="00BD640A"/>
    <w:rsid w:val="00DB2A5C"/>
    <w:rsid w:val="00E907C4"/>
    <w:rsid w:val="00EC7755"/>
    <w:rsid w:val="00F45ECB"/>
    <w:rsid w:val="00F974AD"/>
    <w:rsid w:val="01F86CD9"/>
    <w:rsid w:val="02B0310F"/>
    <w:rsid w:val="0365214C"/>
    <w:rsid w:val="040A2CF3"/>
    <w:rsid w:val="0449381C"/>
    <w:rsid w:val="04A86794"/>
    <w:rsid w:val="050A5978"/>
    <w:rsid w:val="064222D0"/>
    <w:rsid w:val="06606BFB"/>
    <w:rsid w:val="069114AA"/>
    <w:rsid w:val="07E775D3"/>
    <w:rsid w:val="08762705"/>
    <w:rsid w:val="09710468"/>
    <w:rsid w:val="0A2040E9"/>
    <w:rsid w:val="0A652A31"/>
    <w:rsid w:val="0ABA1C9E"/>
    <w:rsid w:val="0B422D73"/>
    <w:rsid w:val="0B61144B"/>
    <w:rsid w:val="0BF64289"/>
    <w:rsid w:val="0C3152F9"/>
    <w:rsid w:val="0C847C19"/>
    <w:rsid w:val="0CAC2B9A"/>
    <w:rsid w:val="0E1C5AFD"/>
    <w:rsid w:val="0E8A6F0A"/>
    <w:rsid w:val="0E9D4E90"/>
    <w:rsid w:val="0F1862C4"/>
    <w:rsid w:val="101919DF"/>
    <w:rsid w:val="1102722C"/>
    <w:rsid w:val="11DA7031"/>
    <w:rsid w:val="129D0028"/>
    <w:rsid w:val="12FB03D7"/>
    <w:rsid w:val="13124FA4"/>
    <w:rsid w:val="14067033"/>
    <w:rsid w:val="158B2D0B"/>
    <w:rsid w:val="15AD5D05"/>
    <w:rsid w:val="1617338D"/>
    <w:rsid w:val="167A2A3F"/>
    <w:rsid w:val="16F72C63"/>
    <w:rsid w:val="17343EB7"/>
    <w:rsid w:val="184E0FA9"/>
    <w:rsid w:val="18584AAF"/>
    <w:rsid w:val="18E6075A"/>
    <w:rsid w:val="19434886"/>
    <w:rsid w:val="1AE31E7C"/>
    <w:rsid w:val="1B1E53A3"/>
    <w:rsid w:val="1B6F1962"/>
    <w:rsid w:val="1BC20431"/>
    <w:rsid w:val="1C76287C"/>
    <w:rsid w:val="1C7738F0"/>
    <w:rsid w:val="1D772EB6"/>
    <w:rsid w:val="1D9901E0"/>
    <w:rsid w:val="1DAA4ED3"/>
    <w:rsid w:val="1DEF0BDF"/>
    <w:rsid w:val="1E281CF1"/>
    <w:rsid w:val="1F4924CA"/>
    <w:rsid w:val="1F4B4494"/>
    <w:rsid w:val="1FFD5AFC"/>
    <w:rsid w:val="2091237A"/>
    <w:rsid w:val="20AC0F62"/>
    <w:rsid w:val="20C75C68"/>
    <w:rsid w:val="20E029BA"/>
    <w:rsid w:val="221C1380"/>
    <w:rsid w:val="223034CD"/>
    <w:rsid w:val="23151041"/>
    <w:rsid w:val="23BD0B35"/>
    <w:rsid w:val="23C54F36"/>
    <w:rsid w:val="2504136D"/>
    <w:rsid w:val="25050C41"/>
    <w:rsid w:val="255D6CCF"/>
    <w:rsid w:val="26404B7C"/>
    <w:rsid w:val="26435EC5"/>
    <w:rsid w:val="264E03C6"/>
    <w:rsid w:val="2657371E"/>
    <w:rsid w:val="26753BA5"/>
    <w:rsid w:val="268D3834"/>
    <w:rsid w:val="268D5392"/>
    <w:rsid w:val="28D23530"/>
    <w:rsid w:val="290D7FA6"/>
    <w:rsid w:val="299B2F17"/>
    <w:rsid w:val="299B6018"/>
    <w:rsid w:val="29CE29B6"/>
    <w:rsid w:val="29E63B44"/>
    <w:rsid w:val="2A102562"/>
    <w:rsid w:val="2A2E49E7"/>
    <w:rsid w:val="2A336250"/>
    <w:rsid w:val="2A451994"/>
    <w:rsid w:val="2B1F2E8D"/>
    <w:rsid w:val="2BCE6231"/>
    <w:rsid w:val="2C1D0F66"/>
    <w:rsid w:val="2D6D604F"/>
    <w:rsid w:val="2DD50D15"/>
    <w:rsid w:val="2DE01426"/>
    <w:rsid w:val="2E551796"/>
    <w:rsid w:val="2E81758A"/>
    <w:rsid w:val="2ED55B28"/>
    <w:rsid w:val="2FFE2468"/>
    <w:rsid w:val="312A0A2A"/>
    <w:rsid w:val="31666F0B"/>
    <w:rsid w:val="31C854D0"/>
    <w:rsid w:val="31ED1BA5"/>
    <w:rsid w:val="33064502"/>
    <w:rsid w:val="340D7B12"/>
    <w:rsid w:val="35537627"/>
    <w:rsid w:val="35B244CD"/>
    <w:rsid w:val="35ED383F"/>
    <w:rsid w:val="36251143"/>
    <w:rsid w:val="378C0D4E"/>
    <w:rsid w:val="382F62A9"/>
    <w:rsid w:val="38827460"/>
    <w:rsid w:val="39FF7EFD"/>
    <w:rsid w:val="3A105C66"/>
    <w:rsid w:val="3A5003C2"/>
    <w:rsid w:val="3BF00C95"/>
    <w:rsid w:val="3C1C4D96"/>
    <w:rsid w:val="3C710B37"/>
    <w:rsid w:val="3C855259"/>
    <w:rsid w:val="3CAA05F4"/>
    <w:rsid w:val="3CD46098"/>
    <w:rsid w:val="3D9C1345"/>
    <w:rsid w:val="3DE713D4"/>
    <w:rsid w:val="3E546D33"/>
    <w:rsid w:val="3F446727"/>
    <w:rsid w:val="40902A85"/>
    <w:rsid w:val="41200E85"/>
    <w:rsid w:val="41391F47"/>
    <w:rsid w:val="43374264"/>
    <w:rsid w:val="44A02888"/>
    <w:rsid w:val="455B0133"/>
    <w:rsid w:val="46565349"/>
    <w:rsid w:val="4665558C"/>
    <w:rsid w:val="467714A8"/>
    <w:rsid w:val="46B5206F"/>
    <w:rsid w:val="46DA1AD6"/>
    <w:rsid w:val="475F0627"/>
    <w:rsid w:val="482D407D"/>
    <w:rsid w:val="488351EA"/>
    <w:rsid w:val="495C67D2"/>
    <w:rsid w:val="49836455"/>
    <w:rsid w:val="4A1E617D"/>
    <w:rsid w:val="4A4C6847"/>
    <w:rsid w:val="4AE26B3A"/>
    <w:rsid w:val="4AF34F14"/>
    <w:rsid w:val="4B136EED"/>
    <w:rsid w:val="4B6B08DB"/>
    <w:rsid w:val="4BBD03AE"/>
    <w:rsid w:val="4BE8259F"/>
    <w:rsid w:val="4C365A00"/>
    <w:rsid w:val="4C467F77"/>
    <w:rsid w:val="4C7C7C39"/>
    <w:rsid w:val="4D6D5452"/>
    <w:rsid w:val="4E9609D8"/>
    <w:rsid w:val="4EA03786"/>
    <w:rsid w:val="4FB46DE1"/>
    <w:rsid w:val="501E2A33"/>
    <w:rsid w:val="51516E38"/>
    <w:rsid w:val="52EB5DC6"/>
    <w:rsid w:val="531B76FE"/>
    <w:rsid w:val="53262E4E"/>
    <w:rsid w:val="54216F96"/>
    <w:rsid w:val="54977258"/>
    <w:rsid w:val="54A96590"/>
    <w:rsid w:val="570D1327"/>
    <w:rsid w:val="573945F7"/>
    <w:rsid w:val="58311772"/>
    <w:rsid w:val="591F15CA"/>
    <w:rsid w:val="59BD150F"/>
    <w:rsid w:val="5A47702B"/>
    <w:rsid w:val="5A4A6167"/>
    <w:rsid w:val="5AAC5686"/>
    <w:rsid w:val="5CBA7F88"/>
    <w:rsid w:val="5D3F189C"/>
    <w:rsid w:val="5E19304C"/>
    <w:rsid w:val="5E53715D"/>
    <w:rsid w:val="5EA44872"/>
    <w:rsid w:val="5F0B11F1"/>
    <w:rsid w:val="60362443"/>
    <w:rsid w:val="60FB0B6F"/>
    <w:rsid w:val="61021EFD"/>
    <w:rsid w:val="61C55405"/>
    <w:rsid w:val="62E95123"/>
    <w:rsid w:val="6347009B"/>
    <w:rsid w:val="635244A2"/>
    <w:rsid w:val="63D06D5A"/>
    <w:rsid w:val="65BE4D8B"/>
    <w:rsid w:val="663712F3"/>
    <w:rsid w:val="66CD6DA9"/>
    <w:rsid w:val="66DB3D6B"/>
    <w:rsid w:val="66E55C01"/>
    <w:rsid w:val="67DA328C"/>
    <w:rsid w:val="6828049B"/>
    <w:rsid w:val="68B735CD"/>
    <w:rsid w:val="69407A67"/>
    <w:rsid w:val="6962178B"/>
    <w:rsid w:val="696C3BCA"/>
    <w:rsid w:val="69F148BD"/>
    <w:rsid w:val="6B594E10"/>
    <w:rsid w:val="6BD03361"/>
    <w:rsid w:val="6CF01952"/>
    <w:rsid w:val="6D0843F7"/>
    <w:rsid w:val="6D433955"/>
    <w:rsid w:val="6D6C5A23"/>
    <w:rsid w:val="6E8F5554"/>
    <w:rsid w:val="6F5D3CD8"/>
    <w:rsid w:val="6F683873"/>
    <w:rsid w:val="6FC5169B"/>
    <w:rsid w:val="701E3F32"/>
    <w:rsid w:val="70352007"/>
    <w:rsid w:val="709D579F"/>
    <w:rsid w:val="70CE5958"/>
    <w:rsid w:val="70F37F6F"/>
    <w:rsid w:val="710E63F5"/>
    <w:rsid w:val="718C1A9B"/>
    <w:rsid w:val="72210599"/>
    <w:rsid w:val="724F2AC9"/>
    <w:rsid w:val="72F773E8"/>
    <w:rsid w:val="731004AA"/>
    <w:rsid w:val="73905147"/>
    <w:rsid w:val="7416093F"/>
    <w:rsid w:val="744B62D0"/>
    <w:rsid w:val="74A92964"/>
    <w:rsid w:val="750330C7"/>
    <w:rsid w:val="767E397C"/>
    <w:rsid w:val="76FB6D7B"/>
    <w:rsid w:val="77022032"/>
    <w:rsid w:val="77674410"/>
    <w:rsid w:val="77905B03"/>
    <w:rsid w:val="77F80F29"/>
    <w:rsid w:val="798B2638"/>
    <w:rsid w:val="7B1C5B54"/>
    <w:rsid w:val="7B2C2ECA"/>
    <w:rsid w:val="7B533629"/>
    <w:rsid w:val="7D6A4C5A"/>
    <w:rsid w:val="7F89586C"/>
    <w:rsid w:val="7FB908DD"/>
    <w:rsid w:val="7FE415D3"/>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Body Text Indent 2"/>
    <w:basedOn w:val="1"/>
    <w:next w:val="1"/>
    <w:qFormat/>
    <w:uiPriority w:val="99"/>
    <w:pPr>
      <w:spacing w:after="120" w:line="480" w:lineRule="auto"/>
      <w:ind w:left="420" w:leftChars="200"/>
    </w:pPr>
    <w:rPr>
      <w:rFonts w:ascii="Calibri" w:hAnsi="Calibri" w:eastAsia="宋体" w:cs="Times New Roman"/>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45"/>
      <w:textAlignment w:val="baseline"/>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5005</Words>
  <Characters>5660</Characters>
  <Lines>46</Lines>
  <Paragraphs>13</Paragraphs>
  <TotalTime>0</TotalTime>
  <ScaleCrop>false</ScaleCrop>
  <LinksUpToDate>false</LinksUpToDate>
  <CharactersWithSpaces>5803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周超</cp:lastModifiedBy>
  <dcterms:modified xsi:type="dcterms:W3CDTF">2025-02-20T08:22:17Z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2052-12.1.0.19302</vt:lpwstr>
  </property>
  <property fmtid="{D5CDD505-2E9C-101B-9397-08002B2CF9AE}" pid="4" name="ICV">
    <vt:lpwstr>95632D49CA804573A93A2BB126BCF6A5_12</vt:lpwstr>
  </property>
</Properties>
</file>