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B341E">
      <w:pPr>
        <w:spacing w:line="560" w:lineRule="exact"/>
        <w:rPr>
          <w:rFonts w:hint="eastAsia" w:ascii="黑体" w:hAnsi="黑体" w:eastAsia="黑体" w:cs="黑体"/>
          <w:szCs w:val="32"/>
        </w:rPr>
      </w:pPr>
      <w:r>
        <w:rPr>
          <w:rFonts w:hint="eastAsia" w:ascii="黑体" w:hAnsi="黑体" w:eastAsia="黑体" w:cs="黑体"/>
          <w:szCs w:val="32"/>
        </w:rPr>
        <w:t>附件1-1</w:t>
      </w:r>
    </w:p>
    <w:p w14:paraId="3F88B5C7"/>
    <w:p w14:paraId="6AC82D26"/>
    <w:p w14:paraId="55A15039"/>
    <w:p w14:paraId="0E398EA4"/>
    <w:p w14:paraId="5CF10D27"/>
    <w:p w14:paraId="038AC173"/>
    <w:p w14:paraId="357AFE20"/>
    <w:p w14:paraId="4B6D758D"/>
    <w:p w14:paraId="15E753C8">
      <w:pPr>
        <w:spacing w:line="560" w:lineRule="exact"/>
        <w:jc w:val="center"/>
        <w:rPr>
          <w:rFonts w:hint="eastAsia" w:ascii="黑体" w:hAnsi="黑体" w:eastAsia="黑体" w:cs="黑体"/>
          <w:b/>
          <w:sz w:val="44"/>
          <w:szCs w:val="44"/>
          <w:lang w:eastAsia="zh-CN"/>
        </w:rPr>
      </w:pPr>
      <w:r>
        <w:rPr>
          <w:rFonts w:hint="eastAsia" w:ascii="黑体" w:hAnsi="黑体" w:eastAsia="黑体" w:cs="黑体"/>
          <w:b/>
          <w:sz w:val="44"/>
          <w:szCs w:val="44"/>
          <w:lang w:eastAsia="zh-CN"/>
        </w:rPr>
        <w:t>淮北市相山区生态环境分局</w:t>
      </w:r>
    </w:p>
    <w:p w14:paraId="7A4B23CA">
      <w:pPr>
        <w:spacing w:line="560" w:lineRule="exact"/>
        <w:jc w:val="center"/>
        <w:rPr>
          <w:rFonts w:hint="eastAsia" w:ascii="黑体" w:hAnsi="黑体" w:eastAsia="黑体" w:cs="黑体"/>
          <w:b/>
          <w:sz w:val="44"/>
          <w:szCs w:val="44"/>
        </w:rPr>
      </w:pPr>
      <w:r>
        <w:rPr>
          <w:rFonts w:hint="eastAsia" w:ascii="黑体" w:hAnsi="黑体" w:eastAsia="黑体" w:cs="黑体"/>
          <w:b/>
          <w:bCs w:val="0"/>
          <w:kern w:val="0"/>
          <w:sz w:val="44"/>
          <w:szCs w:val="44"/>
          <w:lang w:val="en-US" w:eastAsia="zh-CN" w:bidi="ar-SA"/>
        </w:rPr>
        <w:t>2025</w:t>
      </w:r>
      <w:r>
        <w:rPr>
          <w:rFonts w:hint="eastAsia" w:ascii="黑体" w:hAnsi="黑体" w:eastAsia="黑体" w:cs="黑体"/>
          <w:b/>
          <w:sz w:val="44"/>
          <w:szCs w:val="44"/>
        </w:rPr>
        <w:t>年</w:t>
      </w:r>
      <w:r>
        <w:rPr>
          <w:rFonts w:hint="eastAsia" w:ascii="黑体" w:hAnsi="黑体" w:eastAsia="黑体" w:cs="黑体"/>
          <w:b/>
          <w:sz w:val="44"/>
          <w:szCs w:val="44"/>
          <w:lang w:eastAsia="zh-CN"/>
        </w:rPr>
        <w:t>单位</w:t>
      </w:r>
      <w:r>
        <w:rPr>
          <w:rFonts w:hint="eastAsia" w:ascii="黑体" w:hAnsi="黑体" w:eastAsia="黑体" w:cs="黑体"/>
          <w:b/>
          <w:sz w:val="44"/>
          <w:szCs w:val="44"/>
        </w:rPr>
        <w:t>预算</w:t>
      </w:r>
    </w:p>
    <w:p w14:paraId="6C53CCC8">
      <w:pPr>
        <w:rPr>
          <w:rFonts w:hint="eastAsia" w:ascii="黑体" w:hAnsi="黑体" w:eastAsia="黑体" w:cs="黑体"/>
          <w:sz w:val="44"/>
          <w:szCs w:val="44"/>
        </w:rPr>
      </w:pPr>
    </w:p>
    <w:p w14:paraId="664BF447"/>
    <w:p w14:paraId="5245BD1B"/>
    <w:p w14:paraId="0F38D5DF"/>
    <w:p w14:paraId="0BB78164"/>
    <w:p w14:paraId="788344DF"/>
    <w:p w14:paraId="3D6FD47C"/>
    <w:p w14:paraId="0C44EE07"/>
    <w:p w14:paraId="52FB6C68"/>
    <w:p w14:paraId="420777CF"/>
    <w:p w14:paraId="4B23F9F9"/>
    <w:p w14:paraId="24A728B5"/>
    <w:p w14:paraId="796A2845"/>
    <w:p w14:paraId="5A72650E"/>
    <w:p w14:paraId="2644FE09"/>
    <w:p w14:paraId="52B4E7E0"/>
    <w:p w14:paraId="6B98A330"/>
    <w:p w14:paraId="55BE00DD"/>
    <w:p w14:paraId="710B8B94"/>
    <w:p w14:paraId="0EC58C75"/>
    <w:p w14:paraId="36820615"/>
    <w:p w14:paraId="2C869962"/>
    <w:p w14:paraId="129FFFAB">
      <w:pPr>
        <w:pStyle w:val="12"/>
        <w:adjustRightInd w:val="0"/>
        <w:snapToGrid w:val="0"/>
        <w:spacing w:line="560" w:lineRule="exact"/>
        <w:jc w:val="center"/>
        <w:rPr>
          <w:rFonts w:ascii="TimesNewRoman" w:hAnsi="TimesNewRoman" w:eastAsia="黑体" w:cs="TimesNewRoman"/>
          <w:bCs/>
          <w:sz w:val="44"/>
          <w:szCs w:val="44"/>
        </w:rPr>
      </w:pPr>
    </w:p>
    <w:p w14:paraId="5B208FB3">
      <w:pPr>
        <w:pStyle w:val="12"/>
        <w:adjustRightInd w:val="0"/>
        <w:snapToGrid w:val="0"/>
        <w:spacing w:line="560" w:lineRule="exact"/>
        <w:jc w:val="center"/>
      </w:pPr>
      <w:r>
        <w:rPr>
          <w:rFonts w:hint="eastAsia" w:ascii="黑体" w:hAnsi="黑体" w:eastAsia="黑体" w:cs="黑体"/>
          <w:b/>
          <w:bCs w:val="0"/>
          <w:sz w:val="44"/>
          <w:szCs w:val="44"/>
          <w:lang w:eastAsia="zh-CN"/>
        </w:rPr>
        <w:t>2025</w:t>
      </w:r>
      <w:r>
        <w:rPr>
          <w:rFonts w:hint="eastAsia" w:ascii="黑体" w:hAnsi="黑体" w:eastAsia="黑体" w:cs="黑体"/>
          <w:b/>
          <w:bCs w:val="0"/>
          <w:sz w:val="44"/>
          <w:szCs w:val="44"/>
        </w:rPr>
        <w:t>年</w:t>
      </w:r>
      <w:r>
        <w:rPr>
          <w:rFonts w:hint="eastAsia" w:ascii="黑体" w:hAnsi="黑体" w:eastAsia="黑体" w:cs="黑体"/>
          <w:b/>
          <w:bCs w:val="0"/>
          <w:sz w:val="44"/>
          <w:szCs w:val="44"/>
          <w:lang w:val="en-US" w:eastAsia="zh-CN"/>
        </w:rPr>
        <w:t>2</w:t>
      </w:r>
      <w:r>
        <w:rPr>
          <w:rFonts w:hint="eastAsia" w:ascii="黑体" w:hAnsi="黑体" w:eastAsia="黑体" w:cs="黑体"/>
          <w:b/>
          <w:bCs w:val="0"/>
          <w:sz w:val="44"/>
          <w:szCs w:val="44"/>
        </w:rPr>
        <w:t>月</w:t>
      </w:r>
    </w:p>
    <w:p w14:paraId="5C6F95D8">
      <w:pPr>
        <w:pStyle w:val="12"/>
        <w:adjustRightInd w:val="0"/>
        <w:snapToGrid w:val="0"/>
        <w:spacing w:line="560" w:lineRule="exact"/>
        <w:jc w:val="center"/>
        <w:rPr>
          <w:rFonts w:hint="eastAsia" w:ascii="TimesNewRoman" w:hAnsi="TimesNewRoman" w:eastAsia="黑体" w:cs="TimesNewRoman"/>
          <w:bCs/>
          <w:sz w:val="44"/>
          <w:szCs w:val="44"/>
        </w:rPr>
      </w:pPr>
    </w:p>
    <w:p w14:paraId="3F3E704A">
      <w:pPr>
        <w:pStyle w:val="12"/>
        <w:adjustRightInd w:val="0"/>
        <w:snapToGrid w:val="0"/>
        <w:spacing w:line="560" w:lineRule="exact"/>
        <w:jc w:val="center"/>
        <w:rPr>
          <w:rFonts w:hint="eastAsia" w:ascii="TimesNewRoman" w:hAnsi="TimesNewRoman" w:eastAsia="黑体" w:cs="TimesNewRoman"/>
          <w:bCs/>
          <w:sz w:val="44"/>
          <w:szCs w:val="44"/>
        </w:rPr>
      </w:pPr>
    </w:p>
    <w:p w14:paraId="3D58C39C">
      <w:pPr>
        <w:pStyle w:val="12"/>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2D7A14F2"/>
    <w:p w14:paraId="70F1F036">
      <w:pPr>
        <w:pStyle w:val="12"/>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概况</w:t>
      </w:r>
    </w:p>
    <w:p w14:paraId="25A4DA9C">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1</w:t>
      </w:r>
      <w:r>
        <w:rPr>
          <w:rFonts w:hint="eastAsia" w:ascii="TimesNewRoman" w:hAnsi="TimesNewRoman" w:eastAsia="仿宋_GB2312" w:cs="TimesNewRoman"/>
          <w:bCs/>
          <w:sz w:val="32"/>
          <w:szCs w:val="32"/>
          <w:lang w:eastAsia="zh-CN"/>
        </w:rPr>
        <w:t>、主要职责</w:t>
      </w:r>
    </w:p>
    <w:p w14:paraId="6B1B77A4">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2</w:t>
      </w:r>
      <w:r>
        <w:rPr>
          <w:rFonts w:hint="eastAsia" w:ascii="TimesNewRoman" w:hAnsi="TimesNewRoman" w:eastAsia="仿宋_GB2312" w:cs="TimesNewRoman"/>
          <w:bCs/>
          <w:sz w:val="32"/>
          <w:szCs w:val="32"/>
          <w:lang w:eastAsia="zh-CN"/>
        </w:rPr>
        <w:t>、单位预算构成</w:t>
      </w:r>
    </w:p>
    <w:p w14:paraId="3182CE51">
      <w:pPr>
        <w:pStyle w:val="12"/>
        <w:adjustRightInd w:val="0"/>
        <w:snapToGrid w:val="0"/>
        <w:spacing w:line="400" w:lineRule="exact"/>
        <w:ind w:firstLine="803" w:firstLineChars="250"/>
        <w:rPr>
          <w:rFonts w:hint="eastAsia" w:ascii="TimesNewRoman" w:hAnsi="TimesNewRoman" w:eastAsia="仿宋_GB2312" w:cs="TimesNewRoman"/>
          <w:b/>
          <w:bCs w:val="0"/>
          <w:sz w:val="32"/>
          <w:szCs w:val="32"/>
          <w:lang w:eastAsia="zh-CN"/>
        </w:rPr>
      </w:pPr>
      <w:r>
        <w:rPr>
          <w:rFonts w:hint="default" w:ascii="Times New Roman" w:hAnsi="Times New Roman" w:eastAsia="仿宋_GB2312" w:cs="Times New Roman"/>
          <w:b/>
          <w:bCs w:val="0"/>
          <w:sz w:val="32"/>
          <w:szCs w:val="32"/>
          <w:lang w:eastAsia="zh-CN"/>
        </w:rPr>
        <w:t>3</w:t>
      </w:r>
      <w:r>
        <w:rPr>
          <w:rFonts w:hint="eastAsia" w:ascii="TimesNewRoman" w:hAnsi="TimesNewRoman" w:eastAsia="仿宋_GB2312" w:cs="TimesNewRoman"/>
          <w:b/>
          <w:bCs w:val="0"/>
          <w:sz w:val="32"/>
          <w:szCs w:val="32"/>
          <w:lang w:eastAsia="zh-CN"/>
        </w:rPr>
        <w:t xml:space="preserve"> 、</w:t>
      </w:r>
      <w:r>
        <w:rPr>
          <w:rFonts w:hint="default" w:ascii="Times New Roman" w:hAnsi="Times New Roman" w:eastAsia="仿宋_GB2312" w:cs="Times New Roman"/>
          <w:b/>
          <w:bCs w:val="0"/>
          <w:sz w:val="32"/>
          <w:szCs w:val="32"/>
          <w:lang w:eastAsia="zh-CN"/>
        </w:rPr>
        <w:t>2025</w:t>
      </w:r>
      <w:r>
        <w:rPr>
          <w:rFonts w:hint="eastAsia" w:ascii="TimesNewRoman" w:hAnsi="TimesNewRoman" w:eastAsia="仿宋_GB2312" w:cs="TimesNewRoman"/>
          <w:b/>
          <w:bCs w:val="0"/>
          <w:sz w:val="32"/>
          <w:szCs w:val="32"/>
          <w:lang w:eastAsia="zh-CN"/>
        </w:rPr>
        <w:t>年度主要工作任务</w:t>
      </w:r>
    </w:p>
    <w:p w14:paraId="2400CCE2">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lang w:eastAsia="zh-CN"/>
        </w:rPr>
        <w:t xml:space="preserve">第二部分 </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年单位预算表</w:t>
      </w:r>
    </w:p>
    <w:p w14:paraId="1014BA16">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1</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年收支总表</w:t>
      </w:r>
    </w:p>
    <w:p w14:paraId="1A3C2671">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2</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年收入总表</w:t>
      </w:r>
    </w:p>
    <w:p w14:paraId="60D8311C">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3</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年支出总表</w:t>
      </w:r>
    </w:p>
    <w:p w14:paraId="674C0461">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4</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年财政拨款收支总表</w:t>
      </w:r>
    </w:p>
    <w:p w14:paraId="53732C4D">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5</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年一般公共预算支出表</w:t>
      </w:r>
    </w:p>
    <w:p w14:paraId="09B48575">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6</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年一般公共预算基本支出表</w:t>
      </w:r>
    </w:p>
    <w:p w14:paraId="0D838250">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7</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年政府性基金预算支出表</w:t>
      </w:r>
    </w:p>
    <w:p w14:paraId="6DAFD418">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8</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年国有资本经营预算支出表</w:t>
      </w:r>
    </w:p>
    <w:p w14:paraId="54B7B7E0">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9</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年项目支出表</w:t>
      </w:r>
    </w:p>
    <w:p w14:paraId="7DF7CE16">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10</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年政府采购支出表</w:t>
      </w:r>
    </w:p>
    <w:p w14:paraId="10C942BB">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11</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年政府购买服务支出表</w:t>
      </w:r>
    </w:p>
    <w:p w14:paraId="0CBCF76C">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12</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年通用资产配置支出表</w:t>
      </w:r>
    </w:p>
    <w:p w14:paraId="71E4C285">
      <w:pPr>
        <w:pStyle w:val="12"/>
        <w:adjustRightInd w:val="0"/>
        <w:snapToGrid w:val="0"/>
        <w:spacing w:line="400" w:lineRule="exact"/>
        <w:ind w:firstLine="803" w:firstLineChars="250"/>
        <w:rPr>
          <w:rFonts w:hint="eastAsia" w:ascii="TimesNewRoman" w:hAnsi="TimesNewRoman" w:eastAsia="仿宋_GB2312" w:cs="TimesNewRoman"/>
          <w:b/>
          <w:bCs w:val="0"/>
          <w:sz w:val="32"/>
          <w:szCs w:val="32"/>
          <w:lang w:eastAsia="zh-CN"/>
        </w:rPr>
      </w:pPr>
      <w:r>
        <w:rPr>
          <w:rFonts w:hint="eastAsia" w:ascii="TimesNewRoman" w:hAnsi="TimesNewRoman" w:eastAsia="仿宋_GB2312" w:cs="TimesNewRoman"/>
          <w:b/>
          <w:bCs w:val="0"/>
          <w:sz w:val="32"/>
          <w:szCs w:val="32"/>
          <w:lang w:eastAsia="zh-CN"/>
        </w:rPr>
        <w:t xml:space="preserve">第三部分 </w:t>
      </w:r>
      <w:r>
        <w:rPr>
          <w:rFonts w:hint="default" w:ascii="Times New Roman" w:hAnsi="Times New Roman" w:eastAsia="仿宋_GB2312" w:cs="Times New Roman"/>
          <w:b/>
          <w:bCs w:val="0"/>
          <w:sz w:val="32"/>
          <w:szCs w:val="32"/>
          <w:lang w:eastAsia="zh-CN"/>
        </w:rPr>
        <w:t>2025</w:t>
      </w:r>
      <w:r>
        <w:rPr>
          <w:rFonts w:hint="eastAsia" w:ascii="TimesNewRoman" w:hAnsi="TimesNewRoman" w:eastAsia="仿宋_GB2312" w:cs="TimesNewRoman"/>
          <w:b/>
          <w:bCs w:val="0"/>
          <w:sz w:val="32"/>
          <w:szCs w:val="32"/>
          <w:lang w:eastAsia="zh-CN"/>
        </w:rPr>
        <w:t>年单位预算情况说明</w:t>
      </w:r>
    </w:p>
    <w:p w14:paraId="7D46B9D4">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1</w:t>
      </w:r>
      <w:r>
        <w:rPr>
          <w:rFonts w:hint="eastAsia" w:ascii="TimesNewRoman" w:hAnsi="TimesNewRoman" w:eastAsia="仿宋_GB2312" w:cs="TimesNewRoman"/>
          <w:bCs/>
          <w:sz w:val="32"/>
          <w:szCs w:val="32"/>
          <w:lang w:eastAsia="zh-CN"/>
        </w:rPr>
        <w:t>、关于</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年收支总表的说明</w:t>
      </w:r>
    </w:p>
    <w:p w14:paraId="458E5EDB">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2</w:t>
      </w:r>
      <w:r>
        <w:rPr>
          <w:rFonts w:hint="eastAsia" w:ascii="TimesNewRoman" w:hAnsi="TimesNewRoman" w:eastAsia="仿宋_GB2312" w:cs="TimesNewRoman"/>
          <w:bCs/>
          <w:sz w:val="32"/>
          <w:szCs w:val="32"/>
          <w:lang w:eastAsia="zh-CN"/>
        </w:rPr>
        <w:t>、关于</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年收入总表的说明</w:t>
      </w:r>
    </w:p>
    <w:p w14:paraId="68DBCF8C">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3</w:t>
      </w:r>
      <w:r>
        <w:rPr>
          <w:rFonts w:hint="eastAsia" w:ascii="TimesNewRoman" w:hAnsi="TimesNewRoman" w:eastAsia="仿宋_GB2312" w:cs="TimesNewRoman"/>
          <w:bCs/>
          <w:sz w:val="32"/>
          <w:szCs w:val="32"/>
          <w:lang w:eastAsia="zh-CN"/>
        </w:rPr>
        <w:t>、关于</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年支出总表的说明</w:t>
      </w:r>
    </w:p>
    <w:p w14:paraId="70BE78DA">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4</w:t>
      </w:r>
      <w:r>
        <w:rPr>
          <w:rFonts w:hint="eastAsia" w:ascii="TimesNewRoman" w:hAnsi="TimesNewRoman" w:eastAsia="仿宋_GB2312" w:cs="TimesNewRoman"/>
          <w:bCs/>
          <w:sz w:val="32"/>
          <w:szCs w:val="32"/>
          <w:lang w:eastAsia="zh-CN"/>
        </w:rPr>
        <w:t>、关于</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年财政拨款收支总表的说明</w:t>
      </w:r>
    </w:p>
    <w:p w14:paraId="6121601C">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5</w:t>
      </w:r>
      <w:r>
        <w:rPr>
          <w:rFonts w:hint="eastAsia" w:ascii="TimesNewRoman" w:hAnsi="TimesNewRoman" w:eastAsia="仿宋_GB2312" w:cs="TimesNewRoman"/>
          <w:bCs/>
          <w:sz w:val="32"/>
          <w:szCs w:val="32"/>
          <w:lang w:eastAsia="zh-CN"/>
        </w:rPr>
        <w:t>、关于</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年一般公共预算支出表的说明</w:t>
      </w:r>
    </w:p>
    <w:p w14:paraId="4020BA96">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6</w:t>
      </w:r>
      <w:r>
        <w:rPr>
          <w:rFonts w:hint="eastAsia" w:ascii="TimesNewRoman" w:hAnsi="TimesNewRoman" w:eastAsia="仿宋_GB2312" w:cs="TimesNewRoman"/>
          <w:bCs/>
          <w:sz w:val="32"/>
          <w:szCs w:val="32"/>
          <w:lang w:eastAsia="zh-CN"/>
        </w:rPr>
        <w:t>、关于</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年一般公共预算基本支出表的说明</w:t>
      </w:r>
    </w:p>
    <w:p w14:paraId="00C4CDD8">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7</w:t>
      </w:r>
      <w:r>
        <w:rPr>
          <w:rFonts w:hint="eastAsia" w:ascii="TimesNewRoman" w:hAnsi="TimesNewRoman" w:eastAsia="仿宋_GB2312" w:cs="TimesNewRoman"/>
          <w:bCs/>
          <w:sz w:val="32"/>
          <w:szCs w:val="32"/>
          <w:lang w:eastAsia="zh-CN"/>
        </w:rPr>
        <w:t>、关于</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年政府性基金预算支出表的说明</w:t>
      </w:r>
    </w:p>
    <w:p w14:paraId="38DD9051">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8</w:t>
      </w:r>
      <w:r>
        <w:rPr>
          <w:rFonts w:hint="eastAsia" w:ascii="TimesNewRoman" w:hAnsi="TimesNewRoman" w:eastAsia="仿宋_GB2312" w:cs="TimesNewRoman"/>
          <w:bCs/>
          <w:sz w:val="32"/>
          <w:szCs w:val="32"/>
          <w:lang w:eastAsia="zh-CN"/>
        </w:rPr>
        <w:t>、关于</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年国有资本经营预算支出表的说明</w:t>
      </w:r>
    </w:p>
    <w:p w14:paraId="0E443421">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9</w:t>
      </w:r>
      <w:r>
        <w:rPr>
          <w:rFonts w:hint="eastAsia" w:ascii="TimesNewRoman" w:hAnsi="TimesNewRoman" w:eastAsia="仿宋_GB2312" w:cs="TimesNewRoman"/>
          <w:bCs/>
          <w:sz w:val="32"/>
          <w:szCs w:val="32"/>
          <w:lang w:eastAsia="zh-CN"/>
        </w:rPr>
        <w:t>、关于</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年项目支出表的说明</w:t>
      </w:r>
    </w:p>
    <w:p w14:paraId="3E61BAB1">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10</w:t>
      </w:r>
      <w:r>
        <w:rPr>
          <w:rFonts w:hint="eastAsia" w:ascii="TimesNewRoman" w:hAnsi="TimesNewRoman" w:eastAsia="仿宋_GB2312" w:cs="TimesNewRoman"/>
          <w:bCs/>
          <w:sz w:val="32"/>
          <w:szCs w:val="32"/>
          <w:lang w:eastAsia="zh-CN"/>
        </w:rPr>
        <w:t>、关于</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年政府采购支出表的说明</w:t>
      </w:r>
    </w:p>
    <w:p w14:paraId="338FF7F5">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11</w:t>
      </w:r>
      <w:r>
        <w:rPr>
          <w:rFonts w:hint="eastAsia" w:ascii="TimesNewRoman" w:hAnsi="TimesNewRoman" w:eastAsia="仿宋_GB2312" w:cs="TimesNewRoman"/>
          <w:bCs/>
          <w:sz w:val="32"/>
          <w:szCs w:val="32"/>
          <w:lang w:eastAsia="zh-CN"/>
        </w:rPr>
        <w:t>、关于</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年政府购买服务支出表的说明</w:t>
      </w:r>
    </w:p>
    <w:p w14:paraId="7D5585D2">
      <w:pPr>
        <w:pStyle w:val="12"/>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rPr>
        <w:t>12、关于2025年通用资产配置支出表的说明</w:t>
      </w:r>
    </w:p>
    <w:p w14:paraId="344F0204">
      <w:pPr>
        <w:pStyle w:val="12"/>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1</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、其他重要事项情况说明</w:t>
      </w:r>
    </w:p>
    <w:p w14:paraId="25595177">
      <w:pPr>
        <w:pStyle w:val="12"/>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17A13B14">
      <w:pPr>
        <w:pStyle w:val="12"/>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7F636E79">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1</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年部门预算纳入绩效考评项目表</w:t>
      </w:r>
    </w:p>
    <w:p w14:paraId="60F89A6D">
      <w:pPr>
        <w:pStyle w:val="12"/>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default" w:ascii="Times New Roman" w:hAnsi="Times New Roman" w:eastAsia="仿宋_GB2312" w:cs="Times New Roman"/>
          <w:bCs/>
          <w:sz w:val="32"/>
          <w:szCs w:val="32"/>
          <w:lang w:eastAsia="zh-CN"/>
        </w:rPr>
        <w:t>2</w:t>
      </w:r>
      <w:r>
        <w:rPr>
          <w:rFonts w:hint="eastAsia" w:ascii="TimesNewRoman" w:hAnsi="TimesNewRoman" w:eastAsia="仿宋_GB2312" w:cs="TimesNewRoman"/>
          <w:bCs/>
          <w:sz w:val="32"/>
          <w:szCs w:val="32"/>
          <w:lang w:eastAsia="zh-CN"/>
        </w:rPr>
        <w:t>、淮北市相山区生态环境分局</w:t>
      </w:r>
      <w:r>
        <w:rPr>
          <w:rFonts w:hint="default" w:ascii="Times New Roman" w:hAnsi="Times New Roman" w:eastAsia="仿宋_GB2312" w:cs="Times New Roman"/>
          <w:bCs/>
          <w:sz w:val="32"/>
          <w:szCs w:val="32"/>
          <w:lang w:eastAsia="zh-CN"/>
        </w:rPr>
        <w:t>2025</w:t>
      </w:r>
      <w:r>
        <w:rPr>
          <w:rFonts w:hint="eastAsia" w:ascii="TimesNewRoman" w:hAnsi="TimesNewRoman" w:eastAsia="仿宋_GB2312" w:cs="TimesNewRoman"/>
          <w:bCs/>
          <w:sz w:val="32"/>
          <w:szCs w:val="32"/>
          <w:lang w:eastAsia="zh-CN"/>
        </w:rPr>
        <w:t>年部门预算专项资金管理清单（专栏公开）</w:t>
      </w:r>
    </w:p>
    <w:p w14:paraId="40E56281">
      <w:pPr>
        <w:pStyle w:val="12"/>
        <w:adjustRightInd w:val="0"/>
        <w:snapToGrid w:val="0"/>
        <w:spacing w:line="400" w:lineRule="exact"/>
        <w:ind w:firstLine="800" w:firstLineChars="250"/>
        <w:rPr>
          <w:rFonts w:ascii="TimesNewRoman" w:hAnsi="TimesNewRoman" w:eastAsia="仿宋_GB2312" w:cs="TimesNewRoman"/>
          <w:bCs/>
          <w:sz w:val="32"/>
          <w:szCs w:val="32"/>
        </w:rPr>
      </w:pPr>
    </w:p>
    <w:p w14:paraId="62C4D8E8">
      <w:pPr>
        <w:pStyle w:val="12"/>
        <w:adjustRightInd w:val="0"/>
        <w:snapToGrid w:val="0"/>
        <w:spacing w:line="400" w:lineRule="exact"/>
        <w:ind w:firstLine="800" w:firstLineChars="250"/>
        <w:rPr>
          <w:rFonts w:ascii="TimesNewRoman" w:hAnsi="TimesNewRoman" w:eastAsia="仿宋_GB2312" w:cs="TimesNewRoman"/>
          <w:bCs/>
          <w:sz w:val="32"/>
          <w:szCs w:val="32"/>
        </w:rPr>
      </w:pPr>
    </w:p>
    <w:p w14:paraId="4EA092A3">
      <w:pPr>
        <w:pStyle w:val="12"/>
        <w:adjustRightInd w:val="0"/>
        <w:snapToGrid w:val="0"/>
        <w:spacing w:line="400" w:lineRule="exact"/>
        <w:ind w:firstLine="800" w:firstLineChars="250"/>
        <w:rPr>
          <w:rFonts w:ascii="TimesNewRoman" w:hAnsi="TimesNewRoman" w:eastAsia="仿宋_GB2312" w:cs="TimesNewRoman"/>
          <w:bCs/>
          <w:sz w:val="32"/>
          <w:szCs w:val="32"/>
        </w:rPr>
      </w:pPr>
    </w:p>
    <w:p w14:paraId="7207854C">
      <w:pPr>
        <w:pStyle w:val="12"/>
        <w:adjustRightInd w:val="0"/>
        <w:snapToGrid w:val="0"/>
        <w:spacing w:line="400" w:lineRule="exact"/>
        <w:ind w:firstLine="800" w:firstLineChars="250"/>
        <w:rPr>
          <w:rFonts w:ascii="TimesNewRoman" w:hAnsi="TimesNewRoman" w:eastAsia="仿宋_GB2312" w:cs="TimesNewRoman"/>
          <w:bCs/>
          <w:sz w:val="32"/>
          <w:szCs w:val="32"/>
        </w:rPr>
      </w:pPr>
    </w:p>
    <w:p w14:paraId="3D86057C">
      <w:pPr>
        <w:pStyle w:val="12"/>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概况</w:t>
      </w:r>
    </w:p>
    <w:p w14:paraId="02F4CC1E"/>
    <w:p w14:paraId="7206B98F">
      <w:pPr>
        <w:pStyle w:val="12"/>
        <w:keepNext w:val="0"/>
        <w:keepLines w:val="0"/>
        <w:pageBreakBefore w:val="0"/>
        <w:kinsoku/>
        <w:wordWrap/>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bookmarkStart w:id="0" w:name="_GoBack"/>
      <w:r>
        <w:rPr>
          <w:rFonts w:hint="eastAsia" w:ascii="仿宋" w:hAnsi="仿宋" w:eastAsia="仿宋" w:cs="仿宋"/>
          <w:b/>
          <w:bCs w:val="0"/>
          <w:sz w:val="32"/>
          <w:szCs w:val="32"/>
        </w:rPr>
        <w:t>一、主要职责</w:t>
      </w:r>
    </w:p>
    <w:bookmarkEnd w:id="0"/>
    <w:p w14:paraId="22322FD9">
      <w:pPr>
        <w:pStyle w:val="12"/>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执行生态环境基本制度。会同有关部门拟订生态环境政策、规划并组织实施，贯彻执行生态环境法律法规规章和标准规范等，起草相关地方性法规规章草案。会同有关部门编制并监督实施重点区域、流域、饮用水水源地生态环境规划和水功能区划。</w:t>
      </w:r>
    </w:p>
    <w:p w14:paraId="269AB814">
      <w:pPr>
        <w:pStyle w:val="12"/>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负责生态环境问题的统筹协调和监督管理。牵头协调环境污染事故和生态破坏事件的调查处理，指导协调县区政府对突发生态环境事件的应急、预警工作，牵头指导实施生态环境损害赔偿制度，协调解决有关跨区域、跨流域环境污染纠纷，统筹协调全市重点区域、流域生态环境保护工作。</w:t>
      </w:r>
    </w:p>
    <w:p w14:paraId="104AA1E7">
      <w:pPr>
        <w:pStyle w:val="12"/>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负责监督管理减排目标的落实。组织制定各类污染物排放总量控制制度并监督实施，组织实施和监督排污许可证制度，确定大气、水等纳污能力，提出实施总量控制的污染物名称和控制指标，监督检查全市污染物减排任务完成情况，实施生态环境保护目标责任制。</w:t>
      </w:r>
    </w:p>
    <w:p w14:paraId="079C364F">
      <w:pPr>
        <w:pStyle w:val="12"/>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负责提出生态环境领域固定资产投资规模和方向、市财政性资金安排的意见，按规定权限审批、核准市规划内和年度计划规模内固定资产投资项目，配合有关部门做好组织实施和监督工作。参与指导推动循环经济和生态环保产业发展。</w:t>
      </w:r>
    </w:p>
    <w:p w14:paraId="13CE77E3">
      <w:pPr>
        <w:pStyle w:val="12"/>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负责环境污染防治的监督管理。制定大气、水、土壤、噪声、光、恶臭、固体废物、化学品、机动车等的污染防治管理制度并监督实施。会同有关部门监督管理饮用水水源地生态环境保护工作，组织指导城乡生态环境综合整治工作，监督指导农业面源污染治理工作。监督指导区域大气环境保护工作，组织实施区域大气污染联防联控协作机制。</w:t>
      </w:r>
    </w:p>
    <w:p w14:paraId="63C83FD7">
      <w:pPr>
        <w:pStyle w:val="12"/>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指导协调和监督生态保护修复工作。组织编制生态保护规划，监督对生态环境有影响的自然资源开发利用活动、重要生态环境建设和生态破坏恢复工作。组织制定各类自然保护地生态环境监管制度并监督执法。指导、协调、监督各种类型的生态红线区域的环境保护工作。监督野生动植物保护、湿地生态环境保护、荒漠化防治等工作。指导协调和监督农村生态环境保护，监督生物技术环境安全，承担生物物种（含遗传资源）管理相关工作，组织协调生物多样性保护工作，参与生态保护补偿工作。</w:t>
      </w:r>
    </w:p>
    <w:p w14:paraId="53EA6D40">
      <w:pPr>
        <w:pStyle w:val="12"/>
        <w:keepNext w:val="0"/>
        <w:keepLines w:val="0"/>
        <w:pageBreakBefore w:val="0"/>
        <w:kinsoku/>
        <w:wordWrap/>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w:t>
      </w:r>
      <w:r>
        <w:rPr>
          <w:rFonts w:hint="eastAsia" w:ascii="仿宋" w:hAnsi="仿宋" w:eastAsia="仿宋" w:cs="仿宋"/>
          <w:b/>
          <w:bCs w:val="0"/>
          <w:sz w:val="32"/>
          <w:szCs w:val="32"/>
          <w:lang w:eastAsia="zh-CN"/>
        </w:rPr>
        <w:t>单位</w:t>
      </w:r>
      <w:r>
        <w:rPr>
          <w:rFonts w:hint="eastAsia" w:ascii="仿宋" w:hAnsi="仿宋" w:eastAsia="仿宋" w:cs="仿宋"/>
          <w:b/>
          <w:bCs w:val="0"/>
          <w:sz w:val="32"/>
          <w:szCs w:val="32"/>
        </w:rPr>
        <w:t>预算构成</w:t>
      </w:r>
    </w:p>
    <w:p w14:paraId="5FA67598">
      <w:pPr>
        <w:pStyle w:val="12"/>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从预算单位构成看，</w:t>
      </w:r>
      <w:r>
        <w:rPr>
          <w:rFonts w:hint="eastAsia" w:ascii="仿宋" w:hAnsi="仿宋" w:eastAsia="仿宋" w:cs="仿宋"/>
          <w:bCs/>
          <w:sz w:val="32"/>
          <w:szCs w:val="32"/>
          <w:lang w:eastAsia="zh-CN"/>
        </w:rPr>
        <w:t>淮北市相山区生态环境分局</w:t>
      </w:r>
      <w:r>
        <w:rPr>
          <w:rFonts w:hint="eastAsia" w:ascii="仿宋" w:hAnsi="仿宋" w:eastAsia="仿宋" w:cs="仿宋"/>
          <w:sz w:val="32"/>
          <w:szCs w:val="32"/>
        </w:rPr>
        <w:t>2025年度部门预算仅包括局本级预算，无其他下属单位预算。</w:t>
      </w:r>
    </w:p>
    <w:p w14:paraId="64065A6B">
      <w:pPr>
        <w:pStyle w:val="12"/>
        <w:keepNext w:val="0"/>
        <w:keepLines w:val="0"/>
        <w:pageBreakBefore w:val="0"/>
        <w:kinsoku/>
        <w:wordWrap/>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三、2025年度主要工作任务</w:t>
      </w:r>
    </w:p>
    <w:p w14:paraId="07C94E55">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（一）高标准打好蓝天保卫战。</w:t>
      </w:r>
      <w:r>
        <w:rPr>
          <w:rFonts w:hint="eastAsia" w:ascii="仿宋" w:hAnsi="仿宋" w:eastAsia="仿宋" w:cs="仿宋"/>
          <w:color w:val="auto"/>
          <w:sz w:val="32"/>
          <w:szCs w:val="32"/>
        </w:rPr>
        <w:t>加强大气智能管控平台运用，精准分析、精准治污，提升智能化管控水平。重点做好大气污染综合治理攻坚行动，抓好秋冬季大气污染防治，强化企业分级管控，推进空气质量持续改善。专项推进夏季臭氧防治攻坚，开展VOCs专项治理行动，全面排查涉VOCs行业企业，严格落实臭氧污染防治预警管控措施，协同推进挥发性有机物与氮氧化物治理。严格落实“五控”措施，推动餐饮油烟、建筑工地、工业企业等重点领域大气污染深度治理。持续推进非道路移动机械登记申报工作，加大园区涉气企业监管、帮扶力度。多方协同，以月保年，坚决完成年度考核指标任务。</w:t>
      </w:r>
    </w:p>
    <w:p w14:paraId="5F7DC02C">
      <w:pPr>
        <w:pStyle w:val="13"/>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（二）多举措打好碧水保卫战。</w:t>
      </w:r>
      <w:r>
        <w:rPr>
          <w:rFonts w:hint="eastAsia" w:ascii="仿宋" w:hAnsi="仿宋" w:eastAsia="仿宋" w:cs="仿宋"/>
          <w:color w:val="auto"/>
          <w:sz w:val="32"/>
          <w:szCs w:val="32"/>
        </w:rPr>
        <w:t>加强与上游萧县联防联治，积极组织开展联合巡查、联合监测，推动洪减河、萧濉新河考核断面水质稳定达标。加大浍楼闸、淮纺闸周边巡查力度，加强入河排污口巡查，积极推动全域河塘沟渠治理，消除污水直排入沟现象，确保浍楼闸、淮纺闸考核断面稳定达标。统筹推进洪碱河生态修复项目、渠沟镇西片区水系水质提升及生态修复项目，提升全区水生态环境。深入推进园区涉水企业达标升级行动计划，依托在线监控平台，强化监管，提升涉水企业治污能力。</w:t>
      </w:r>
    </w:p>
    <w:p w14:paraId="2219D4A5">
      <w:pPr>
        <w:pStyle w:val="13"/>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（三）全方位推进净土保卫战。</w:t>
      </w:r>
      <w:r>
        <w:rPr>
          <w:rFonts w:hint="eastAsia" w:ascii="仿宋" w:hAnsi="仿宋" w:eastAsia="仿宋" w:cs="仿宋"/>
          <w:color w:val="auto"/>
          <w:sz w:val="32"/>
          <w:szCs w:val="32"/>
        </w:rPr>
        <w:t>加强土壤污染风险管控，持续推进农用地土壤镉等重金属源头防治行动。持续做好土地性质转为“一住两公”污染调查工作，完善疑似污染地块土壤信息登记并健全工作台账。加强农村环境整治，按要求完成农村生活污水和黑臭水体治理任务，提升农村生态环境。加快省级农村黑臭水体治理试点项目，力争2025年底前完成7处农村黑臭水体治理任务（2024年底前完成青阳沟、合众沟、新庄青阳坑3处，2025年底前完成大梁楼庄坑、郭庄里坑、徐洼沟、李楼塘4处）。开展危废、医疗废物专项检查，持续落实土地性质转为“一住两公”地块土壤污染调查。强化危险废物、医疗废物全流程规范化管理，全面提升产废单位管理能力，筑牢环境安全屏障。</w:t>
      </w:r>
    </w:p>
    <w:p w14:paraId="37A486BF">
      <w:pPr>
        <w:keepNext w:val="0"/>
        <w:keepLines w:val="0"/>
        <w:pageBreakBefore w:val="0"/>
        <w:widowControl w:val="0"/>
        <w:kinsoku/>
        <w:wordWrap/>
        <w:overflowPunct w:val="0"/>
        <w:topLinePunct/>
        <w:autoSpaceDE/>
        <w:autoSpaceDN/>
        <w:bidi w:val="0"/>
        <w:adjustRightInd/>
        <w:snapToGrid w:val="0"/>
        <w:spacing w:beforeAutospacing="0" w:afterAutospacing="0" w:line="56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color w:val="auto"/>
          <w:sz w:val="32"/>
          <w:szCs w:val="32"/>
        </w:rPr>
        <w:t>（四）聚焦突出环境问题整改。</w:t>
      </w:r>
      <w:r>
        <w:rPr>
          <w:rFonts w:hint="eastAsia" w:ascii="仿宋" w:hAnsi="仿宋" w:eastAsia="仿宋" w:cs="仿宋"/>
          <w:color w:val="auto"/>
          <w:sz w:val="32"/>
          <w:szCs w:val="32"/>
        </w:rPr>
        <w:t>持续深入加快生态环境问题排查整改，不断提高人民群众满意度。坚持以人民为中心，加大排查治理力度，强化督查调度，有力有序推进群众身边环境问题整改，及时消除化解各类环境风险隐患。狠抓中央层面问题整改，特别是</w:t>
      </w:r>
      <w:r>
        <w:rPr>
          <w:rFonts w:hint="eastAsia" w:ascii="仿宋" w:hAnsi="仿宋" w:eastAsia="仿宋" w:cs="仿宋"/>
          <w:color w:val="auto"/>
          <w:sz w:val="32"/>
          <w:szCs w:val="32"/>
          <w:lang w:eastAsia="zh-CN"/>
        </w:rPr>
        <w:t>中央第三轮</w:t>
      </w:r>
      <w:r>
        <w:rPr>
          <w:rFonts w:hint="eastAsia" w:ascii="仿宋" w:hAnsi="仿宋" w:eastAsia="仿宋" w:cs="仿宋"/>
          <w:color w:val="auto"/>
          <w:sz w:val="32"/>
          <w:szCs w:val="32"/>
        </w:rPr>
        <w:t>生态环境保护督察反馈问题的整改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对标对表完善整改举措，做好</w:t>
      </w:r>
      <w:r>
        <w:rPr>
          <w:rFonts w:hint="eastAsia" w:ascii="仿宋" w:hAnsi="仿宋" w:eastAsia="仿宋" w:cs="仿宋"/>
          <w:color w:val="auto"/>
          <w:sz w:val="32"/>
          <w:szCs w:val="32"/>
          <w:lang w:eastAsia="zh-CN"/>
        </w:rPr>
        <w:t>中央</w:t>
      </w:r>
      <w:r>
        <w:rPr>
          <w:rFonts w:hint="eastAsia" w:ascii="仿宋" w:hAnsi="仿宋" w:eastAsia="仿宋" w:cs="仿宋"/>
          <w:color w:val="auto"/>
          <w:sz w:val="32"/>
          <w:szCs w:val="32"/>
        </w:rPr>
        <w:t>环保督察“后半篇文章”。深入开展突出生态环境问题</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排查工作，持续开展已完成问题“回头看”核查，跟踪督查，确保整改成效，严防问题反弹。</w:t>
      </w:r>
    </w:p>
    <w:p w14:paraId="1BEF47ED">
      <w:pPr>
        <w:ind w:firstLine="420" w:firstLineChars="200"/>
        <w:rPr>
          <w:rFonts w:hint="eastAsia"/>
          <w:highlight w:val="none"/>
          <w:lang w:val="en-US" w:eastAsia="zh-CN"/>
        </w:rPr>
      </w:pPr>
    </w:p>
    <w:p w14:paraId="5A9CE4C8">
      <w:pPr>
        <w:pStyle w:val="12"/>
        <w:adjustRightInd w:val="0"/>
        <w:snapToGrid w:val="0"/>
        <w:spacing w:line="560" w:lineRule="exact"/>
        <w:ind w:firstLine="640" w:firstLineChars="200"/>
        <w:jc w:val="left"/>
        <w:rPr>
          <w:rFonts w:hint="eastAsia" w:ascii="TimesNewRoman" w:hAnsi="TimesNewRoman" w:eastAsia="仿宋_GB2312" w:cs="TimesNewRoman"/>
          <w:bCs/>
          <w:sz w:val="32"/>
          <w:szCs w:val="32"/>
        </w:rPr>
      </w:pPr>
    </w:p>
    <w:p w14:paraId="6759A84D"/>
    <w:p w14:paraId="360874E0">
      <w:pPr>
        <w:pStyle w:val="12"/>
        <w:adjustRightInd w:val="0"/>
        <w:snapToGrid w:val="0"/>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第二部分 2025年</w:t>
      </w:r>
      <w:r>
        <w:rPr>
          <w:rFonts w:hint="eastAsia" w:ascii="黑体" w:hAnsi="黑体" w:eastAsia="黑体" w:cs="黑体"/>
          <w:bCs/>
          <w:sz w:val="36"/>
          <w:szCs w:val="36"/>
          <w:lang w:eastAsia="zh-CN"/>
        </w:rPr>
        <w:t>单位</w:t>
      </w:r>
      <w:r>
        <w:rPr>
          <w:rFonts w:hint="eastAsia" w:ascii="黑体" w:hAnsi="黑体" w:eastAsia="黑体" w:cs="黑体"/>
          <w:bCs/>
          <w:sz w:val="36"/>
          <w:szCs w:val="36"/>
        </w:rPr>
        <w:t>预算表</w:t>
      </w:r>
    </w:p>
    <w:p w14:paraId="54453BB2">
      <w:pPr>
        <w:pStyle w:val="12"/>
        <w:adjustRightInd w:val="0"/>
        <w:snapToGrid w:val="0"/>
        <w:spacing w:line="560" w:lineRule="exact"/>
        <w:ind w:firstLine="627" w:firstLineChars="196"/>
        <w:jc w:val="center"/>
        <w:rPr>
          <w:rFonts w:hint="eastAsia" w:ascii="黑体" w:hAnsi="黑体" w:eastAsia="黑体" w:cs="黑体"/>
          <w:bCs/>
          <w:sz w:val="32"/>
          <w:szCs w:val="32"/>
        </w:rPr>
      </w:pPr>
      <w:r>
        <w:rPr>
          <w:rFonts w:hint="eastAsia" w:ascii="黑体" w:hAnsi="黑体" w:eastAsia="黑体" w:cs="黑体"/>
          <w:bCs/>
          <w:sz w:val="32"/>
          <w:szCs w:val="32"/>
        </w:rPr>
        <w:t>见附件1-2</w:t>
      </w:r>
    </w:p>
    <w:p w14:paraId="27E3EDCD">
      <w:r>
        <w:t xml:space="preserve">                                        </w:t>
      </w:r>
    </w:p>
    <w:p w14:paraId="79EF27DD">
      <w:pPr>
        <w:pStyle w:val="12"/>
        <w:adjustRightInd w:val="0"/>
        <w:snapToGrid w:val="0"/>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第三部分 2025年</w:t>
      </w:r>
      <w:r>
        <w:rPr>
          <w:rFonts w:hint="eastAsia" w:ascii="黑体" w:hAnsi="黑体" w:eastAsia="黑体" w:cs="黑体"/>
          <w:bCs/>
          <w:sz w:val="36"/>
          <w:szCs w:val="36"/>
          <w:lang w:eastAsia="zh-CN"/>
        </w:rPr>
        <w:t>单位</w:t>
      </w:r>
      <w:r>
        <w:rPr>
          <w:rFonts w:hint="eastAsia" w:ascii="黑体" w:hAnsi="黑体" w:eastAsia="黑体" w:cs="黑体"/>
          <w:bCs/>
          <w:sz w:val="36"/>
          <w:szCs w:val="36"/>
        </w:rPr>
        <w:t>预算情况说明</w:t>
      </w:r>
    </w:p>
    <w:p w14:paraId="408F2464"/>
    <w:p w14:paraId="415A1173">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一、关于2025年收支总表的说明</w:t>
      </w:r>
    </w:p>
    <w:p w14:paraId="5D56F9DC">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按照综合预算的原则，</w:t>
      </w:r>
      <w:r>
        <w:rPr>
          <w:rFonts w:hint="eastAsia" w:ascii="仿宋" w:hAnsi="仿宋" w:eastAsia="仿宋" w:cs="仿宋"/>
          <w:sz w:val="32"/>
          <w:szCs w:val="32"/>
          <w:lang w:eastAsia="zh-CN"/>
        </w:rPr>
        <w:t>淮北市相山区生态环境分局</w:t>
      </w:r>
      <w:r>
        <w:rPr>
          <w:rFonts w:hint="eastAsia" w:ascii="仿宋" w:hAnsi="仿宋" w:eastAsia="仿宋" w:cs="仿宋"/>
          <w:sz w:val="32"/>
          <w:szCs w:val="32"/>
        </w:rPr>
        <w:t>所有收入和支出均纳入</w:t>
      </w:r>
      <w:r>
        <w:rPr>
          <w:rFonts w:hint="eastAsia" w:ascii="仿宋" w:hAnsi="仿宋" w:eastAsia="仿宋" w:cs="仿宋"/>
          <w:sz w:val="32"/>
          <w:szCs w:val="32"/>
          <w:lang w:eastAsia="zh-CN"/>
        </w:rPr>
        <w:t>单位</w:t>
      </w:r>
      <w:r>
        <w:rPr>
          <w:rFonts w:hint="eastAsia" w:ascii="仿宋" w:hAnsi="仿宋" w:eastAsia="仿宋" w:cs="仿宋"/>
          <w:sz w:val="32"/>
          <w:szCs w:val="32"/>
        </w:rPr>
        <w:t>预算管理。</w:t>
      </w:r>
      <w:r>
        <w:rPr>
          <w:rFonts w:hint="eastAsia" w:ascii="仿宋" w:hAnsi="仿宋" w:eastAsia="仿宋" w:cs="仿宋"/>
          <w:sz w:val="32"/>
          <w:szCs w:val="32"/>
          <w:lang w:eastAsia="zh-CN"/>
        </w:rPr>
        <w:t>淮北市相山区生态环境分局</w:t>
      </w:r>
      <w:r>
        <w:rPr>
          <w:rFonts w:hint="eastAsia" w:ascii="仿宋" w:hAnsi="仿宋" w:eastAsia="仿宋" w:cs="仿宋"/>
          <w:kern w:val="0"/>
          <w:sz w:val="32"/>
          <w:szCs w:val="32"/>
          <w:lang w:val="en-US" w:eastAsia="zh-CN" w:bidi="ar-SA"/>
        </w:rPr>
        <w:t>2025</w:t>
      </w:r>
      <w:r>
        <w:rPr>
          <w:rFonts w:hint="eastAsia" w:ascii="仿宋" w:hAnsi="仿宋" w:eastAsia="仿宋" w:cs="仿宋"/>
          <w:sz w:val="32"/>
          <w:szCs w:val="32"/>
        </w:rPr>
        <w:t>年收支总预算</w:t>
      </w:r>
      <w:r>
        <w:rPr>
          <w:rFonts w:hint="eastAsia" w:ascii="仿宋" w:hAnsi="仿宋" w:eastAsia="仿宋" w:cs="仿宋"/>
          <w:sz w:val="32"/>
          <w:szCs w:val="32"/>
          <w:lang w:eastAsia="zh-CN"/>
        </w:rPr>
        <w:t>401.11</w:t>
      </w:r>
      <w:r>
        <w:rPr>
          <w:rFonts w:hint="eastAsia" w:ascii="仿宋" w:hAnsi="仿宋" w:eastAsia="仿宋" w:cs="仿宋"/>
          <w:sz w:val="32"/>
          <w:szCs w:val="32"/>
        </w:rPr>
        <w:t>万元，收入全部是一般公共预算拨款收入，支出包括：社会保障和就业支出、卫生健康支出、节能环保支出、住房保障支出。</w:t>
      </w:r>
    </w:p>
    <w:p w14:paraId="76811EDA">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二、关于2025年收入总表的说明</w:t>
      </w:r>
    </w:p>
    <w:p w14:paraId="3C6E9450">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rPr>
        <w:t>2025年收入预算</w:t>
      </w:r>
      <w:r>
        <w:rPr>
          <w:rFonts w:hint="eastAsia" w:ascii="仿宋" w:hAnsi="仿宋" w:eastAsia="仿宋" w:cs="仿宋"/>
          <w:sz w:val="32"/>
          <w:szCs w:val="32"/>
          <w:lang w:eastAsia="zh-CN"/>
        </w:rPr>
        <w:t>401.11</w:t>
      </w:r>
      <w:r>
        <w:rPr>
          <w:rFonts w:hint="eastAsia" w:ascii="仿宋" w:hAnsi="仿宋" w:eastAsia="仿宋" w:cs="仿宋"/>
          <w:kern w:val="0"/>
          <w:sz w:val="32"/>
          <w:szCs w:val="32"/>
        </w:rPr>
        <w:t>万元，其中，本年收入</w:t>
      </w:r>
      <w:r>
        <w:rPr>
          <w:rFonts w:hint="eastAsia" w:ascii="仿宋" w:hAnsi="仿宋" w:eastAsia="仿宋" w:cs="仿宋"/>
          <w:sz w:val="32"/>
          <w:szCs w:val="32"/>
          <w:lang w:eastAsia="zh-CN"/>
        </w:rPr>
        <w:t>401.11</w:t>
      </w:r>
      <w:r>
        <w:rPr>
          <w:rFonts w:hint="eastAsia" w:ascii="仿宋" w:hAnsi="仿宋" w:eastAsia="仿宋" w:cs="仿宋"/>
          <w:kern w:val="0"/>
          <w:sz w:val="32"/>
          <w:szCs w:val="32"/>
        </w:rPr>
        <w:t>万元。</w:t>
      </w:r>
    </w:p>
    <w:p w14:paraId="4AA34532">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（一）本年收入</w:t>
      </w:r>
      <w:r>
        <w:rPr>
          <w:rFonts w:hint="eastAsia" w:ascii="仿宋" w:hAnsi="仿宋" w:eastAsia="仿宋" w:cs="仿宋"/>
          <w:sz w:val="32"/>
          <w:szCs w:val="32"/>
          <w:lang w:eastAsia="zh-CN"/>
        </w:rPr>
        <w:t>401.11</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主要包括：一般公共预算拨款收入</w:t>
      </w:r>
      <w:r>
        <w:rPr>
          <w:rFonts w:hint="eastAsia" w:ascii="仿宋" w:hAnsi="仿宋" w:eastAsia="仿宋" w:cs="仿宋"/>
          <w:sz w:val="32"/>
          <w:szCs w:val="32"/>
          <w:lang w:eastAsia="zh-CN"/>
        </w:rPr>
        <w:t>401.11</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，比2024年预算</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28.84万元，下降6.71%，</w:t>
      </w:r>
      <w:r>
        <w:rPr>
          <w:rFonts w:hint="eastAsia" w:ascii="仿宋" w:hAnsi="仿宋" w:eastAsia="仿宋" w:cs="仿宋"/>
          <w:kern w:val="0"/>
          <w:sz w:val="32"/>
          <w:szCs w:val="32"/>
          <w:lang w:eastAsia="zh-CN"/>
        </w:rPr>
        <w:t>原因主要是人员变动产生相关金额、项目资金额减少</w:t>
      </w:r>
      <w:r>
        <w:rPr>
          <w:rFonts w:hint="eastAsia" w:ascii="仿宋" w:hAnsi="仿宋" w:eastAsia="仿宋" w:cs="仿宋"/>
          <w:kern w:val="0"/>
          <w:sz w:val="32"/>
          <w:szCs w:val="32"/>
        </w:rPr>
        <w:t>；政府性基金预算拨款收入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%，比2024年预算增加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%，原因主要是无政府性基金预算拨款收入；财政专户管理资金收入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%，比2024年预算增加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%，原因主要是无财政专户管理资金收入。</w:t>
      </w:r>
    </w:p>
    <w:p w14:paraId="77C9665C">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三、关于2025年支出总表的说明</w:t>
      </w:r>
    </w:p>
    <w:p w14:paraId="1A0E3FC9">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rPr>
        <w:t>2025年支出预算</w:t>
      </w:r>
      <w:r>
        <w:rPr>
          <w:rFonts w:hint="eastAsia" w:ascii="仿宋" w:hAnsi="仿宋" w:eastAsia="仿宋" w:cs="仿宋"/>
          <w:sz w:val="32"/>
          <w:szCs w:val="32"/>
          <w:lang w:eastAsia="zh-CN"/>
        </w:rPr>
        <w:t>401.11</w:t>
      </w:r>
      <w:r>
        <w:rPr>
          <w:rFonts w:hint="eastAsia" w:ascii="仿宋" w:hAnsi="仿宋" w:eastAsia="仿宋" w:cs="仿宋"/>
          <w:kern w:val="0"/>
          <w:sz w:val="32"/>
          <w:szCs w:val="32"/>
        </w:rPr>
        <w:t>万元，比2024年预算</w:t>
      </w:r>
      <w:r>
        <w:rPr>
          <w:rFonts w:hint="eastAsia" w:ascii="仿宋" w:hAnsi="仿宋" w:eastAsia="仿宋" w:cs="仿宋"/>
          <w:kern w:val="0"/>
          <w:sz w:val="32"/>
          <w:szCs w:val="32"/>
          <w:lang w:eastAsia="zh-CN"/>
        </w:rPr>
        <w:t>减少28.84万元，下降6.71%，原因主要是人员变动产生相关金额、项目资金额支出减少</w:t>
      </w:r>
      <w:r>
        <w:rPr>
          <w:rFonts w:hint="eastAsia" w:ascii="仿宋" w:hAnsi="仿宋" w:eastAsia="仿宋" w:cs="仿宋"/>
          <w:kern w:val="0"/>
          <w:sz w:val="32"/>
          <w:szCs w:val="32"/>
        </w:rPr>
        <w:t>。其中，基本支出</w:t>
      </w:r>
      <w:r>
        <w:rPr>
          <w:rFonts w:hint="eastAsia" w:ascii="仿宋" w:hAnsi="仿宋" w:eastAsia="仿宋" w:cs="仿宋"/>
          <w:kern w:val="0"/>
          <w:sz w:val="32"/>
          <w:szCs w:val="32"/>
          <w:lang w:eastAsia="zh-CN"/>
        </w:rPr>
        <w:t>344.09</w:t>
      </w:r>
      <w:r>
        <w:rPr>
          <w:rFonts w:hint="eastAsia" w:ascii="仿宋" w:hAnsi="仿宋" w:eastAsia="仿宋" w:cs="仿宋"/>
          <w:kern w:val="0"/>
          <w:sz w:val="32"/>
          <w:szCs w:val="32"/>
        </w:rPr>
        <w:t>万元，占</w:t>
      </w:r>
      <w:r>
        <w:rPr>
          <w:rFonts w:hint="eastAsia" w:ascii="仿宋" w:hAnsi="仿宋" w:eastAsia="仿宋" w:cs="仿宋"/>
          <w:kern w:val="0"/>
          <w:sz w:val="32"/>
          <w:szCs w:val="32"/>
          <w:lang w:eastAsia="zh-CN"/>
        </w:rPr>
        <w:t>85.78%</w:t>
      </w:r>
      <w:r>
        <w:rPr>
          <w:rFonts w:hint="eastAsia" w:ascii="仿宋" w:hAnsi="仿宋" w:eastAsia="仿宋" w:cs="仿宋"/>
          <w:kern w:val="0"/>
          <w:sz w:val="32"/>
          <w:szCs w:val="32"/>
        </w:rPr>
        <w:t>，主要用于保障机构日常运转、完成日常工作任务；项目支出</w:t>
      </w:r>
      <w:r>
        <w:rPr>
          <w:rFonts w:hint="eastAsia" w:ascii="仿宋" w:hAnsi="仿宋" w:eastAsia="仿宋" w:cs="仿宋"/>
          <w:kern w:val="0"/>
          <w:sz w:val="32"/>
          <w:szCs w:val="32"/>
          <w:lang w:eastAsia="zh-CN"/>
        </w:rPr>
        <w:t>57.02</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14.22</w:t>
      </w:r>
      <w:r>
        <w:rPr>
          <w:rFonts w:hint="eastAsia" w:ascii="仿宋" w:hAnsi="仿宋" w:eastAsia="仿宋" w:cs="仿宋"/>
          <w:kern w:val="0"/>
          <w:sz w:val="32"/>
          <w:szCs w:val="32"/>
        </w:rPr>
        <w:t>%，主要用于节能环保支出。</w:t>
      </w:r>
    </w:p>
    <w:p w14:paraId="103A45B0">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四、关于2025年财政拨款收支总表的说明</w:t>
      </w:r>
    </w:p>
    <w:p w14:paraId="175958F0">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rPr>
        <w:t>2025年财政拨款收支预算</w:t>
      </w:r>
      <w:r>
        <w:rPr>
          <w:rFonts w:hint="eastAsia" w:ascii="仿宋" w:hAnsi="仿宋" w:eastAsia="仿宋" w:cs="仿宋"/>
          <w:sz w:val="32"/>
          <w:szCs w:val="32"/>
          <w:lang w:eastAsia="zh-CN"/>
        </w:rPr>
        <w:t>401.11</w:t>
      </w:r>
      <w:r>
        <w:rPr>
          <w:rFonts w:hint="eastAsia" w:ascii="仿宋" w:hAnsi="仿宋" w:eastAsia="仿宋" w:cs="仿宋"/>
          <w:kern w:val="0"/>
          <w:sz w:val="32"/>
          <w:szCs w:val="32"/>
        </w:rPr>
        <w:t>万元。收入按资金来源分为：一般公共预算拨款</w:t>
      </w:r>
      <w:r>
        <w:rPr>
          <w:rFonts w:hint="eastAsia" w:ascii="仿宋" w:hAnsi="仿宋" w:eastAsia="仿宋" w:cs="仿宋"/>
          <w:sz w:val="32"/>
          <w:szCs w:val="32"/>
          <w:lang w:eastAsia="zh-CN"/>
        </w:rPr>
        <w:t>401.11</w:t>
      </w:r>
      <w:r>
        <w:rPr>
          <w:rFonts w:hint="eastAsia" w:ascii="仿宋" w:hAnsi="仿宋" w:eastAsia="仿宋" w:cs="仿宋"/>
          <w:kern w:val="0"/>
          <w:sz w:val="32"/>
          <w:szCs w:val="32"/>
        </w:rPr>
        <w:t>万元、政府性基金预算拨款</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万元；按资金年度分为：本年财政拨款收入</w:t>
      </w:r>
      <w:r>
        <w:rPr>
          <w:rFonts w:hint="eastAsia" w:ascii="仿宋" w:hAnsi="仿宋" w:eastAsia="仿宋" w:cs="仿宋"/>
          <w:kern w:val="0"/>
          <w:sz w:val="32"/>
          <w:szCs w:val="32"/>
          <w:lang w:eastAsia="zh-CN"/>
        </w:rPr>
        <w:t>401.11</w:t>
      </w:r>
      <w:r>
        <w:rPr>
          <w:rFonts w:hint="eastAsia" w:ascii="仿宋" w:hAnsi="仿宋" w:eastAsia="仿宋" w:cs="仿宋"/>
          <w:kern w:val="0"/>
          <w:sz w:val="32"/>
          <w:szCs w:val="32"/>
        </w:rPr>
        <w:t>万元。支出按功能分类分为：</w:t>
      </w:r>
      <w:r>
        <w:rPr>
          <w:rFonts w:hint="eastAsia" w:ascii="仿宋" w:hAnsi="仿宋" w:eastAsia="仿宋" w:cs="仿宋"/>
          <w:kern w:val="0"/>
          <w:sz w:val="32"/>
          <w:szCs w:val="32"/>
          <w:lang w:val="en-US" w:eastAsia="zh-CN"/>
        </w:rPr>
        <w:t>社会保障和就业支出9.54万元，占2.38%；节能环保支出342.93万元，占85.49%；住房保障支出48.64万元，占12.13%。</w:t>
      </w:r>
    </w:p>
    <w:p w14:paraId="2AFCB09C">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p>
    <w:p w14:paraId="4E5A45A5">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五、关于2025年一般公共预算支出表的说明</w:t>
      </w:r>
    </w:p>
    <w:p w14:paraId="6FA491CF">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（一）一般公共预算支出规模变化情况。</w:t>
      </w:r>
    </w:p>
    <w:p w14:paraId="793558D6">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rPr>
        <w:t>2025年一般公共预算支出</w:t>
      </w:r>
      <w:r>
        <w:rPr>
          <w:rFonts w:hint="eastAsia" w:ascii="仿宋" w:hAnsi="仿宋" w:eastAsia="仿宋" w:cs="仿宋"/>
          <w:sz w:val="32"/>
          <w:szCs w:val="32"/>
          <w:lang w:eastAsia="zh-CN"/>
        </w:rPr>
        <w:t>401.11</w:t>
      </w:r>
      <w:r>
        <w:rPr>
          <w:rFonts w:hint="eastAsia" w:ascii="仿宋" w:hAnsi="仿宋" w:eastAsia="仿宋" w:cs="仿宋"/>
          <w:kern w:val="0"/>
          <w:sz w:val="32"/>
          <w:szCs w:val="32"/>
        </w:rPr>
        <w:t>万元，比2024年预算</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28.84万元，下降6.71%</w:t>
      </w:r>
      <w:r>
        <w:rPr>
          <w:rFonts w:hint="eastAsia" w:ascii="仿宋" w:hAnsi="仿宋" w:eastAsia="仿宋" w:cs="仿宋"/>
          <w:kern w:val="0"/>
          <w:sz w:val="32"/>
          <w:szCs w:val="32"/>
          <w:lang w:eastAsia="zh-CN"/>
        </w:rPr>
        <w:t>，原因主要是人员变动产生相关金额、项目资金额支出减少。</w:t>
      </w:r>
    </w:p>
    <w:p w14:paraId="781D8A9E">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（二）一般公共预算支出结构情况。</w:t>
      </w:r>
    </w:p>
    <w:p w14:paraId="6A7D2663">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社会保障和就业支出9.54万元，占2.38%；节能环保支出342.93万元，占85.49%；住房保障支出48.64万元，占12.13%。</w:t>
      </w:r>
    </w:p>
    <w:p w14:paraId="10D68383">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（三）一般公共预算支出具体使用情况。</w:t>
      </w:r>
    </w:p>
    <w:p w14:paraId="06ACDE63">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社会保障和就业支出（类）行政事业单位养老支出（款）行政单位离退休（项）</w:t>
      </w:r>
      <w:r>
        <w:rPr>
          <w:rFonts w:hint="eastAsia" w:ascii="仿宋" w:hAnsi="仿宋" w:eastAsia="仿宋" w:cs="仿宋"/>
          <w:kern w:val="0"/>
          <w:sz w:val="32"/>
          <w:szCs w:val="32"/>
          <w:lang w:val="en-US" w:eastAsia="zh-CN"/>
        </w:rPr>
        <w:t>2025</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预算</w:t>
      </w:r>
      <w:r>
        <w:rPr>
          <w:rFonts w:hint="eastAsia" w:ascii="仿宋" w:hAnsi="仿宋" w:eastAsia="仿宋" w:cs="仿宋"/>
          <w:kern w:val="0"/>
          <w:sz w:val="32"/>
          <w:szCs w:val="32"/>
          <w:lang w:val="en-US" w:eastAsia="zh-CN"/>
        </w:rPr>
        <w:t>9.54</w:t>
      </w:r>
      <w:r>
        <w:rPr>
          <w:rFonts w:hint="eastAsia" w:ascii="仿宋" w:hAnsi="仿宋" w:eastAsia="仿宋" w:cs="仿宋"/>
          <w:kern w:val="0"/>
          <w:sz w:val="32"/>
          <w:szCs w:val="32"/>
        </w:rPr>
        <w:t>万元，比</w:t>
      </w:r>
      <w:r>
        <w:rPr>
          <w:rFonts w:hint="eastAsia" w:ascii="仿宋" w:hAnsi="仿宋" w:eastAsia="仿宋" w:cs="仿宋"/>
          <w:kern w:val="0"/>
          <w:sz w:val="32"/>
          <w:szCs w:val="32"/>
          <w:lang w:val="en-US" w:eastAsia="zh-CN"/>
        </w:rPr>
        <w:t>2024</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预算增加</w:t>
      </w:r>
      <w:r>
        <w:rPr>
          <w:rFonts w:hint="eastAsia" w:ascii="仿宋" w:hAnsi="仿宋" w:eastAsia="仿宋" w:cs="仿宋"/>
          <w:kern w:val="0"/>
          <w:sz w:val="32"/>
          <w:szCs w:val="32"/>
          <w:lang w:val="en-US" w:eastAsia="zh-CN"/>
        </w:rPr>
        <w:t>0.07</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0.74%</w:t>
      </w:r>
      <w:r>
        <w:rPr>
          <w:rFonts w:hint="eastAsia" w:ascii="仿宋" w:hAnsi="仿宋" w:eastAsia="仿宋" w:cs="仿宋"/>
          <w:kern w:val="0"/>
          <w:sz w:val="32"/>
          <w:szCs w:val="32"/>
        </w:rPr>
        <w:t>，原因主要是</w:t>
      </w:r>
      <w:r>
        <w:rPr>
          <w:rFonts w:hint="eastAsia" w:ascii="仿宋" w:hAnsi="仿宋" w:eastAsia="仿宋" w:cs="仿宋"/>
          <w:sz w:val="32"/>
          <w:szCs w:val="32"/>
          <w:lang w:eastAsia="zh-CN"/>
        </w:rPr>
        <w:t>正常性政策增加</w:t>
      </w:r>
      <w:r>
        <w:rPr>
          <w:rFonts w:hint="eastAsia" w:ascii="仿宋" w:hAnsi="仿宋" w:eastAsia="仿宋" w:cs="仿宋"/>
          <w:kern w:val="0"/>
          <w:sz w:val="32"/>
          <w:szCs w:val="32"/>
        </w:rPr>
        <w:t>。</w:t>
      </w:r>
    </w:p>
    <w:p w14:paraId="780C577A">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节能环保支出（类）环境保护管理事务（款）行政运行（项）</w:t>
      </w:r>
      <w:r>
        <w:rPr>
          <w:rFonts w:hint="eastAsia" w:ascii="仿宋" w:hAnsi="仿宋" w:eastAsia="仿宋" w:cs="仿宋"/>
          <w:kern w:val="0"/>
          <w:sz w:val="32"/>
          <w:szCs w:val="32"/>
          <w:lang w:val="en-US" w:eastAsia="zh-CN"/>
        </w:rPr>
        <w:t>2025年预算342.93万元，比2024年预算</w:t>
      </w:r>
      <w:r>
        <w:rPr>
          <w:rFonts w:hint="eastAsia" w:ascii="仿宋" w:hAnsi="仿宋" w:eastAsia="仿宋" w:cs="仿宋"/>
          <w:kern w:val="0"/>
          <w:sz w:val="32"/>
          <w:szCs w:val="32"/>
        </w:rPr>
        <w:t>增加</w:t>
      </w:r>
      <w:r>
        <w:rPr>
          <w:rFonts w:hint="eastAsia" w:ascii="仿宋" w:hAnsi="仿宋" w:eastAsia="仿宋" w:cs="仿宋"/>
          <w:kern w:val="0"/>
          <w:sz w:val="32"/>
          <w:szCs w:val="32"/>
          <w:lang w:val="en-US" w:eastAsia="zh-CN"/>
        </w:rPr>
        <w:t>13.51</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4.10%，原因主要是政策性增加</w:t>
      </w:r>
      <w:r>
        <w:rPr>
          <w:rFonts w:hint="eastAsia" w:ascii="仿宋" w:hAnsi="仿宋" w:eastAsia="仿宋" w:cs="仿宋"/>
          <w:kern w:val="0"/>
          <w:sz w:val="32"/>
          <w:szCs w:val="32"/>
        </w:rPr>
        <w:t>。</w:t>
      </w:r>
    </w:p>
    <w:p w14:paraId="3FD75E2C">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、住房保障支出（类）住房改革支出（款）住房公积金（项）</w:t>
      </w:r>
      <w:r>
        <w:rPr>
          <w:rFonts w:hint="eastAsia" w:ascii="仿宋" w:hAnsi="仿宋" w:eastAsia="仿宋" w:cs="仿宋"/>
          <w:kern w:val="0"/>
          <w:sz w:val="32"/>
          <w:szCs w:val="32"/>
          <w:lang w:val="en-US" w:eastAsia="zh-CN"/>
        </w:rPr>
        <w:t>2025年预算29.19万元，比2024年预算减少2.61万元，下降8.21</w:t>
      </w:r>
      <w:r>
        <w:rPr>
          <w:rFonts w:hint="eastAsia" w:ascii="仿宋" w:hAnsi="仿宋" w:eastAsia="仿宋" w:cs="仿宋"/>
          <w:b w:val="0"/>
          <w:bCs w:val="0"/>
          <w:kern w:val="0"/>
          <w:sz w:val="32"/>
          <w:szCs w:val="32"/>
          <w:lang w:val="en-US" w:eastAsia="zh-CN"/>
        </w:rPr>
        <w:t>%</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人员变动公积金基数调整</w:t>
      </w:r>
      <w:r>
        <w:rPr>
          <w:rFonts w:hint="eastAsia" w:ascii="仿宋" w:hAnsi="仿宋" w:eastAsia="仿宋" w:cs="仿宋"/>
          <w:kern w:val="0"/>
          <w:sz w:val="32"/>
          <w:szCs w:val="32"/>
        </w:rPr>
        <w:t>。</w:t>
      </w:r>
    </w:p>
    <w:p w14:paraId="61EA093B">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住房保障支出（类）住房改革支出（款）</w:t>
      </w:r>
      <w:r>
        <w:rPr>
          <w:rFonts w:hint="eastAsia" w:ascii="仿宋" w:hAnsi="仿宋" w:eastAsia="仿宋" w:cs="仿宋"/>
          <w:b/>
          <w:bCs/>
          <w:kern w:val="0"/>
          <w:sz w:val="32"/>
          <w:szCs w:val="32"/>
          <w:lang w:val="en-US" w:eastAsia="zh-CN"/>
        </w:rPr>
        <w:t>提租补贴</w:t>
      </w:r>
      <w:r>
        <w:rPr>
          <w:rFonts w:hint="eastAsia" w:ascii="仿宋" w:hAnsi="仿宋" w:eastAsia="仿宋" w:cs="仿宋"/>
          <w:b/>
          <w:bCs/>
          <w:kern w:val="0"/>
          <w:sz w:val="32"/>
          <w:szCs w:val="32"/>
        </w:rPr>
        <w:t>（项）</w:t>
      </w:r>
      <w:r>
        <w:rPr>
          <w:rFonts w:hint="eastAsia" w:ascii="仿宋" w:hAnsi="仿宋" w:eastAsia="仿宋" w:cs="仿宋"/>
          <w:kern w:val="0"/>
          <w:sz w:val="32"/>
          <w:szCs w:val="32"/>
          <w:lang w:val="en-US" w:eastAsia="zh-CN"/>
        </w:rPr>
        <w:t>2025年预算7.30万元，比2024年预算减少0.65万元，下降8.18%</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人员</w:t>
      </w:r>
      <w:r>
        <w:rPr>
          <w:rFonts w:hint="eastAsia" w:ascii="仿宋" w:hAnsi="仿宋" w:eastAsia="仿宋" w:cs="仿宋"/>
          <w:kern w:val="0"/>
          <w:sz w:val="32"/>
          <w:szCs w:val="32"/>
          <w:lang w:eastAsia="zh-CN"/>
        </w:rPr>
        <w:t>变动</w:t>
      </w:r>
      <w:r>
        <w:rPr>
          <w:rFonts w:hint="eastAsia" w:ascii="仿宋" w:hAnsi="仿宋" w:eastAsia="仿宋" w:cs="仿宋"/>
          <w:kern w:val="0"/>
          <w:sz w:val="32"/>
          <w:szCs w:val="32"/>
          <w:lang w:val="en-US" w:eastAsia="zh-CN"/>
        </w:rPr>
        <w:t>基数调整</w:t>
      </w:r>
      <w:r>
        <w:rPr>
          <w:rFonts w:hint="eastAsia" w:ascii="仿宋" w:hAnsi="仿宋" w:eastAsia="仿宋" w:cs="仿宋"/>
          <w:kern w:val="0"/>
          <w:sz w:val="32"/>
          <w:szCs w:val="32"/>
        </w:rPr>
        <w:t>。</w:t>
      </w:r>
    </w:p>
    <w:p w14:paraId="1978E1A7">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住房保障支出（类）住房改革支出（款）购房补贴（项）</w:t>
      </w:r>
      <w:r>
        <w:rPr>
          <w:rFonts w:hint="eastAsia" w:ascii="仿宋" w:hAnsi="仿宋" w:eastAsia="仿宋" w:cs="仿宋"/>
          <w:kern w:val="0"/>
          <w:sz w:val="32"/>
          <w:szCs w:val="32"/>
          <w:lang w:val="en-US" w:eastAsia="zh-CN"/>
        </w:rPr>
        <w:t>2025年预算12.16万元，比2024年预算减少1.09万元，下降8.23%</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人员变动调整</w:t>
      </w:r>
      <w:r>
        <w:rPr>
          <w:rFonts w:hint="eastAsia" w:ascii="仿宋" w:hAnsi="仿宋" w:eastAsia="仿宋" w:cs="仿宋"/>
          <w:kern w:val="0"/>
          <w:sz w:val="32"/>
          <w:szCs w:val="32"/>
        </w:rPr>
        <w:t>。</w:t>
      </w:r>
    </w:p>
    <w:p w14:paraId="4DECDECF">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六、关于2025年一般公共预算基本支出表的说明</w:t>
      </w:r>
    </w:p>
    <w:p w14:paraId="3169BD7A">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rPr>
        <w:t>2025年一般公共预算基本支出</w:t>
      </w:r>
      <w:r>
        <w:rPr>
          <w:rFonts w:hint="eastAsia" w:ascii="仿宋" w:hAnsi="仿宋" w:eastAsia="仿宋" w:cs="仿宋"/>
          <w:kern w:val="0"/>
          <w:sz w:val="32"/>
          <w:szCs w:val="32"/>
          <w:lang w:eastAsia="zh-CN"/>
        </w:rPr>
        <w:t>344.09</w:t>
      </w:r>
      <w:r>
        <w:rPr>
          <w:rFonts w:hint="eastAsia" w:ascii="仿宋" w:hAnsi="仿宋" w:eastAsia="仿宋" w:cs="仿宋"/>
          <w:kern w:val="0"/>
          <w:sz w:val="32"/>
          <w:szCs w:val="32"/>
        </w:rPr>
        <w:t>万元，其中，人员经费</w:t>
      </w:r>
      <w:r>
        <w:rPr>
          <w:rFonts w:hint="eastAsia" w:ascii="仿宋" w:hAnsi="仿宋" w:eastAsia="仿宋" w:cs="仿宋"/>
          <w:kern w:val="0"/>
          <w:sz w:val="32"/>
          <w:szCs w:val="32"/>
          <w:lang w:eastAsia="zh-CN"/>
        </w:rPr>
        <w:t>316.73</w:t>
      </w:r>
      <w:r>
        <w:rPr>
          <w:rFonts w:hint="eastAsia" w:ascii="仿宋" w:hAnsi="仿宋" w:eastAsia="仿宋" w:cs="仿宋"/>
          <w:kern w:val="0"/>
          <w:sz w:val="32"/>
          <w:szCs w:val="32"/>
        </w:rPr>
        <w:t>万元，公用经费</w:t>
      </w:r>
      <w:r>
        <w:rPr>
          <w:rFonts w:hint="eastAsia" w:ascii="仿宋" w:hAnsi="仿宋" w:eastAsia="仿宋" w:cs="仿宋"/>
          <w:kern w:val="0"/>
          <w:sz w:val="32"/>
          <w:szCs w:val="32"/>
          <w:lang w:eastAsia="zh-CN"/>
        </w:rPr>
        <w:t>27.36</w:t>
      </w:r>
      <w:r>
        <w:rPr>
          <w:rFonts w:hint="eastAsia" w:ascii="仿宋" w:hAnsi="仿宋" w:eastAsia="仿宋" w:cs="仿宋"/>
          <w:kern w:val="0"/>
          <w:sz w:val="32"/>
          <w:szCs w:val="32"/>
        </w:rPr>
        <w:t>万元。</w:t>
      </w:r>
    </w:p>
    <w:p w14:paraId="1B5B95C4">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（一）人员经费</w:t>
      </w:r>
      <w:r>
        <w:rPr>
          <w:rFonts w:hint="eastAsia" w:ascii="仿宋" w:hAnsi="仿宋" w:eastAsia="仿宋" w:cs="仿宋"/>
          <w:kern w:val="0"/>
          <w:sz w:val="32"/>
          <w:szCs w:val="32"/>
          <w:lang w:eastAsia="zh-CN"/>
        </w:rPr>
        <w:t>316.73</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主要包括:基本工资、津贴补贴、奖金、绩效工资、机关事业单位基本养老保险费、职业年金缴费、职工基本医疗保险缴费、公务员医疗补助缴费、其他社会保障缴费、</w:t>
      </w:r>
      <w:r>
        <w:rPr>
          <w:rFonts w:hint="eastAsia" w:ascii="仿宋" w:hAnsi="仿宋" w:eastAsia="仿宋" w:cs="仿宋"/>
          <w:kern w:val="0"/>
          <w:sz w:val="32"/>
          <w:szCs w:val="32"/>
          <w:lang w:eastAsia="zh-CN"/>
        </w:rPr>
        <w:t>办公费、</w:t>
      </w:r>
      <w:r>
        <w:rPr>
          <w:rFonts w:hint="eastAsia" w:ascii="仿宋" w:hAnsi="仿宋" w:eastAsia="仿宋" w:cs="仿宋"/>
          <w:kern w:val="0"/>
          <w:sz w:val="32"/>
          <w:szCs w:val="32"/>
        </w:rPr>
        <w:t>工会经费、福利费、住房公积金、其他工资福利支出、退休费、医疗费补助、奖励金、对其他个人和家庭的补助支出。</w:t>
      </w:r>
    </w:p>
    <w:p w14:paraId="37FABFF5">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（二）公用经费</w:t>
      </w:r>
      <w:r>
        <w:rPr>
          <w:rFonts w:hint="eastAsia" w:ascii="仿宋" w:hAnsi="仿宋" w:eastAsia="仿宋" w:cs="仿宋"/>
          <w:kern w:val="0"/>
          <w:sz w:val="32"/>
          <w:szCs w:val="32"/>
          <w:lang w:eastAsia="zh-CN"/>
        </w:rPr>
        <w:t>27.36</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主要包括：办公费</w:t>
      </w:r>
      <w:r>
        <w:rPr>
          <w:rFonts w:hint="eastAsia" w:ascii="仿宋" w:hAnsi="仿宋" w:eastAsia="仿宋" w:cs="仿宋"/>
          <w:kern w:val="0"/>
          <w:sz w:val="32"/>
          <w:szCs w:val="32"/>
          <w:lang w:eastAsia="zh-CN"/>
        </w:rPr>
        <w:t>、维修（护）费、公务接待费、被装购置费、</w:t>
      </w:r>
      <w:r>
        <w:rPr>
          <w:rFonts w:hint="eastAsia" w:ascii="仿宋" w:hAnsi="仿宋" w:eastAsia="仿宋" w:cs="仿宋"/>
          <w:kern w:val="0"/>
          <w:sz w:val="32"/>
          <w:szCs w:val="32"/>
        </w:rPr>
        <w:t>其他交通费用、其他商品服务支出。</w:t>
      </w:r>
    </w:p>
    <w:p w14:paraId="0517B55E">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七、关于2025年政府性基金预算支出表的说明</w:t>
      </w:r>
    </w:p>
    <w:p w14:paraId="56F8F0A8">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rPr>
        <w:t>2025年没有政府性基金预算拨款收入，也没有使用政府性基金预算拨款安排的支出。</w:t>
      </w:r>
    </w:p>
    <w:p w14:paraId="42CD52E2">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八、关于2025年国有资本经营预算支出表的说明</w:t>
      </w:r>
    </w:p>
    <w:p w14:paraId="1FD28D79">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rPr>
        <w:t>2025年没有国有资本经营预算拨款收入，也没有使用国有资本经营预算拨款安排的支出。</w:t>
      </w:r>
    </w:p>
    <w:p w14:paraId="4E7FF0D8">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九、关于2025年项目支出表的说明</w:t>
      </w:r>
    </w:p>
    <w:p w14:paraId="0F7FD715">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rPr>
        <w:t>2025年预算共安排项目支出</w:t>
      </w:r>
      <w:r>
        <w:rPr>
          <w:rFonts w:hint="eastAsia" w:ascii="仿宋" w:hAnsi="仿宋" w:eastAsia="仿宋" w:cs="仿宋"/>
          <w:kern w:val="0"/>
          <w:sz w:val="32"/>
          <w:szCs w:val="32"/>
          <w:lang w:eastAsia="zh-CN"/>
        </w:rPr>
        <w:t>57.02</w:t>
      </w:r>
      <w:r>
        <w:rPr>
          <w:rFonts w:hint="eastAsia" w:ascii="仿宋" w:hAnsi="仿宋" w:eastAsia="仿宋" w:cs="仿宋"/>
          <w:kern w:val="0"/>
          <w:sz w:val="32"/>
          <w:szCs w:val="32"/>
        </w:rPr>
        <w:t>万元，比2024年预算</w:t>
      </w:r>
      <w:r>
        <w:rPr>
          <w:rFonts w:hint="eastAsia" w:ascii="仿宋" w:hAnsi="仿宋" w:eastAsia="仿宋" w:cs="仿宋"/>
          <w:kern w:val="0"/>
          <w:sz w:val="32"/>
          <w:szCs w:val="32"/>
          <w:lang w:val="en-US" w:eastAsia="zh-CN"/>
        </w:rPr>
        <w:t>减少6.63</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下降10.42</w:t>
      </w:r>
      <w:r>
        <w:rPr>
          <w:rFonts w:hint="eastAsia" w:ascii="仿宋" w:hAnsi="仿宋" w:eastAsia="仿宋" w:cs="仿宋"/>
          <w:kern w:val="0"/>
          <w:sz w:val="32"/>
          <w:szCs w:val="32"/>
        </w:rPr>
        <w:t>%，原因主要是</w:t>
      </w:r>
      <w:r>
        <w:rPr>
          <w:rFonts w:hint="eastAsia" w:ascii="仿宋" w:hAnsi="仿宋" w:eastAsia="仿宋" w:cs="仿宋"/>
          <w:sz w:val="32"/>
          <w:szCs w:val="32"/>
          <w:lang w:val="en-US" w:eastAsia="zh-CN"/>
        </w:rPr>
        <w:t>单位日常运行经费减少</w:t>
      </w:r>
      <w:r>
        <w:rPr>
          <w:rFonts w:hint="eastAsia" w:ascii="仿宋" w:hAnsi="仿宋" w:eastAsia="仿宋" w:cs="仿宋"/>
          <w:kern w:val="0"/>
          <w:sz w:val="32"/>
          <w:szCs w:val="32"/>
        </w:rPr>
        <w:t>。主要包括：本年财政拨款安排</w:t>
      </w:r>
      <w:r>
        <w:rPr>
          <w:rFonts w:hint="eastAsia" w:ascii="仿宋" w:hAnsi="仿宋" w:eastAsia="仿宋" w:cs="仿宋"/>
          <w:kern w:val="0"/>
          <w:sz w:val="32"/>
          <w:szCs w:val="32"/>
          <w:lang w:eastAsia="zh-CN"/>
        </w:rPr>
        <w:t>57.02</w:t>
      </w:r>
      <w:r>
        <w:rPr>
          <w:rFonts w:hint="eastAsia" w:ascii="仿宋" w:hAnsi="仿宋" w:eastAsia="仿宋" w:cs="仿宋"/>
          <w:kern w:val="0"/>
          <w:sz w:val="32"/>
          <w:szCs w:val="32"/>
        </w:rPr>
        <w:t>万元（其中，一般公共预算拨款安排</w:t>
      </w:r>
      <w:r>
        <w:rPr>
          <w:rFonts w:hint="eastAsia" w:ascii="仿宋" w:hAnsi="仿宋" w:eastAsia="仿宋" w:cs="仿宋"/>
          <w:kern w:val="0"/>
          <w:sz w:val="32"/>
          <w:szCs w:val="32"/>
          <w:lang w:eastAsia="zh-CN"/>
        </w:rPr>
        <w:t>57.02</w:t>
      </w:r>
      <w:r>
        <w:rPr>
          <w:rFonts w:hint="eastAsia" w:ascii="仿宋" w:hAnsi="仿宋" w:eastAsia="仿宋" w:cs="仿宋"/>
          <w:kern w:val="0"/>
          <w:sz w:val="32"/>
          <w:szCs w:val="32"/>
        </w:rPr>
        <w:t>万元，政府性基金预算拨款安排</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万元），财政专户管理资金安排</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3FE5A723">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十、关于2025年政府采购支出表的说明</w:t>
      </w:r>
    </w:p>
    <w:p w14:paraId="1CB05E70">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rPr>
        <w:t>2025年没有使用一般公共预算拨款、政府性基金预算拨款、国有资本经营预算拨款、财政专户管理资金和单位资金安排的政府采购支出。</w:t>
      </w:r>
    </w:p>
    <w:p w14:paraId="6FF0B393">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十一、关于2025年政府购买服务支出表的说明</w:t>
      </w:r>
    </w:p>
    <w:p w14:paraId="259A20EB">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rPr>
        <w:t>2025年没有安排政府购买服务支出。</w:t>
      </w:r>
    </w:p>
    <w:p w14:paraId="172C4FFE">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十二、关于2025年通用资产配置支出表的说明</w:t>
      </w:r>
    </w:p>
    <w:p w14:paraId="0F6EF999">
      <w:pPr>
        <w:pStyle w:val="1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sz w:val="32"/>
          <w:szCs w:val="32"/>
        </w:rPr>
        <w:t>2025年没有安排通用资产配置支出。</w:t>
      </w:r>
    </w:p>
    <w:p w14:paraId="6FAD717F">
      <w:pPr>
        <w:pStyle w:val="12"/>
        <w:adjustRightInd w:val="0"/>
        <w:snapToGrid w:val="0"/>
        <w:spacing w:line="560" w:lineRule="exact"/>
        <w:ind w:firstLine="630" w:firstLineChars="196"/>
        <w:rPr>
          <w:rFonts w:hint="eastAsia" w:ascii="仿宋" w:hAnsi="仿宋" w:eastAsia="仿宋" w:cs="仿宋"/>
          <w:b/>
          <w:bCs w:val="0"/>
          <w:sz w:val="32"/>
          <w:szCs w:val="32"/>
        </w:rPr>
      </w:pPr>
      <w:r>
        <w:rPr>
          <w:rFonts w:hint="eastAsia" w:ascii="仿宋" w:hAnsi="仿宋" w:eastAsia="仿宋" w:cs="仿宋"/>
          <w:b/>
          <w:bCs w:val="0"/>
          <w:sz w:val="32"/>
          <w:szCs w:val="32"/>
        </w:rPr>
        <w:t>十</w:t>
      </w:r>
      <w:r>
        <w:rPr>
          <w:rFonts w:hint="eastAsia" w:ascii="仿宋" w:hAnsi="仿宋" w:eastAsia="仿宋" w:cs="仿宋"/>
          <w:b/>
          <w:bCs w:val="0"/>
          <w:sz w:val="32"/>
          <w:szCs w:val="32"/>
          <w:lang w:eastAsia="zh-CN"/>
        </w:rPr>
        <w:t>三</w:t>
      </w:r>
      <w:r>
        <w:rPr>
          <w:rFonts w:hint="eastAsia" w:ascii="仿宋" w:hAnsi="仿宋" w:eastAsia="仿宋" w:cs="仿宋"/>
          <w:b/>
          <w:bCs w:val="0"/>
          <w:sz w:val="32"/>
          <w:szCs w:val="32"/>
        </w:rPr>
        <w:t>、其他重要事项情况说明</w:t>
      </w:r>
    </w:p>
    <w:p w14:paraId="50FC1CC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6ED718CE">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eastAsia" w:ascii="仿宋" w:hAnsi="仿宋" w:eastAsia="仿宋" w:cs="仿宋"/>
          <w:kern w:val="0"/>
          <w:sz w:val="32"/>
          <w:szCs w:val="32"/>
        </w:rPr>
      </w:pPr>
      <w:r>
        <w:rPr>
          <w:rFonts w:hint="default"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w:t>
      </w:r>
      <w:r>
        <w:rPr>
          <w:rFonts w:hint="eastAsia" w:ascii="仿宋" w:hAnsi="仿宋" w:eastAsia="仿宋" w:cs="仿宋"/>
          <w:b/>
          <w:bCs/>
          <w:kern w:val="0"/>
          <w:sz w:val="32"/>
          <w:szCs w:val="32"/>
        </w:rPr>
        <w:t>“</w:t>
      </w:r>
      <w:r>
        <w:rPr>
          <w:rFonts w:hint="eastAsia" w:ascii="仿宋" w:hAnsi="仿宋" w:eastAsia="仿宋" w:cs="仿宋"/>
          <w:b/>
          <w:bCs/>
          <w:kern w:val="0"/>
          <w:sz w:val="32"/>
          <w:szCs w:val="32"/>
          <w:lang w:eastAsia="zh-CN"/>
        </w:rPr>
        <w:t>单位</w:t>
      </w:r>
      <w:r>
        <w:rPr>
          <w:rFonts w:hint="eastAsia" w:ascii="仿宋" w:hAnsi="仿宋" w:eastAsia="仿宋" w:cs="仿宋"/>
          <w:b/>
          <w:bCs/>
          <w:kern w:val="0"/>
          <w:sz w:val="32"/>
          <w:szCs w:val="32"/>
        </w:rPr>
        <w:t>运行费”项目。</w:t>
      </w:r>
    </w:p>
    <w:p w14:paraId="2D3CB756">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（1）项目概述。</w:t>
      </w:r>
      <w:r>
        <w:rPr>
          <w:rFonts w:hint="eastAsia" w:ascii="仿宋" w:hAnsi="仿宋" w:eastAsia="仿宋" w:cs="仿宋"/>
          <w:sz w:val="32"/>
          <w:szCs w:val="32"/>
          <w:lang w:eastAsia="zh-CN"/>
        </w:rPr>
        <w:t>主要是</w:t>
      </w:r>
      <w:r>
        <w:rPr>
          <w:rFonts w:hint="eastAsia" w:ascii="仿宋" w:hAnsi="仿宋" w:eastAsia="仿宋" w:cs="仿宋"/>
          <w:kern w:val="0"/>
          <w:sz w:val="32"/>
          <w:szCs w:val="32"/>
          <w:lang w:eastAsia="zh-CN"/>
        </w:rPr>
        <w:t>保障全区生态环境保护工作正常运行的需要。</w:t>
      </w:r>
    </w:p>
    <w:p w14:paraId="6A22F5BF">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立项依据。</w:t>
      </w:r>
      <w:r>
        <w:rPr>
          <w:rFonts w:hint="eastAsia" w:ascii="仿宋" w:hAnsi="仿宋" w:eastAsia="仿宋" w:cs="仿宋"/>
          <w:sz w:val="32"/>
          <w:szCs w:val="32"/>
          <w:lang w:val="en-US" w:eastAsia="zh-CN"/>
        </w:rPr>
        <w:t>生态环境分局部门职责</w:t>
      </w:r>
    </w:p>
    <w:p w14:paraId="0E4533B2">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实施主体。</w:t>
      </w:r>
      <w:r>
        <w:rPr>
          <w:rFonts w:hint="eastAsia" w:ascii="仿宋" w:hAnsi="仿宋" w:eastAsia="仿宋" w:cs="仿宋"/>
          <w:kern w:val="0"/>
          <w:sz w:val="32"/>
          <w:szCs w:val="32"/>
          <w:lang w:val="en-US" w:eastAsia="zh-CN"/>
        </w:rPr>
        <w:t>淮北市相山区生态环境分局。</w:t>
      </w:r>
    </w:p>
    <w:p w14:paraId="50BC239C">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起止时间</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2025.1-12</w:t>
      </w:r>
    </w:p>
    <w:p w14:paraId="2402229E">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项目内容。</w:t>
      </w:r>
      <w:r>
        <w:rPr>
          <w:rFonts w:hint="eastAsia" w:ascii="仿宋" w:hAnsi="仿宋" w:eastAsia="仿宋" w:cs="仿宋"/>
          <w:sz w:val="32"/>
          <w:szCs w:val="32"/>
        </w:rPr>
        <w:t>保障</w:t>
      </w:r>
      <w:r>
        <w:rPr>
          <w:rFonts w:hint="eastAsia" w:ascii="仿宋" w:hAnsi="仿宋" w:eastAsia="仿宋" w:cs="仿宋"/>
          <w:sz w:val="32"/>
          <w:szCs w:val="32"/>
          <w:lang w:eastAsia="zh-CN"/>
        </w:rPr>
        <w:t>单位</w:t>
      </w:r>
      <w:r>
        <w:rPr>
          <w:rFonts w:hint="eastAsia" w:ascii="仿宋" w:hAnsi="仿宋" w:eastAsia="仿宋" w:cs="仿宋"/>
          <w:sz w:val="32"/>
          <w:szCs w:val="32"/>
        </w:rPr>
        <w:t>正常运转、完成日常工作任务而发生的公用支出。</w:t>
      </w:r>
    </w:p>
    <w:p w14:paraId="44E02392">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年度预算安排</w:t>
      </w:r>
      <w:r>
        <w:rPr>
          <w:rFonts w:hint="eastAsia" w:ascii="仿宋" w:hAnsi="仿宋" w:eastAsia="仿宋" w:cs="仿宋"/>
          <w:kern w:val="0"/>
          <w:sz w:val="32"/>
          <w:szCs w:val="32"/>
          <w:lang w:eastAsia="zh-CN"/>
        </w:rPr>
        <w:t>。</w:t>
      </w:r>
      <w:r>
        <w:rPr>
          <w:rFonts w:hint="eastAsia" w:ascii="仿宋" w:hAnsi="仿宋" w:eastAsia="仿宋" w:cs="仿宋"/>
          <w:sz w:val="32"/>
          <w:szCs w:val="32"/>
          <w:lang w:val="en-US" w:eastAsia="zh-CN"/>
        </w:rPr>
        <w:t>预算资金57.02万元。</w:t>
      </w:r>
    </w:p>
    <w:p w14:paraId="7AEB8CEE">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（7）绩效目标。</w:t>
      </w:r>
    </w:p>
    <w:tbl>
      <w:tblPr>
        <w:tblStyle w:val="1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BAD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11C402B">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B60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0045534">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0132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4C2B68E">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4F84605C">
            <w:pPr>
              <w:jc w:val="center"/>
              <w:rPr>
                <w:rFonts w:ascii="宋体" w:cs="宋体"/>
                <w:sz w:val="20"/>
              </w:rPr>
            </w:pPr>
            <w:r>
              <w:rPr>
                <w:rFonts w:hint="eastAsia" w:ascii="宋体" w:cs="宋体"/>
                <w:sz w:val="20"/>
              </w:rPr>
              <w:t>单位运行费</w:t>
            </w:r>
          </w:p>
        </w:tc>
      </w:tr>
      <w:tr w14:paraId="4522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D7E391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3B18E08B">
            <w:pPr>
              <w:jc w:val="center"/>
              <w:rPr>
                <w:rFonts w:ascii="宋体" w:cs="宋体"/>
                <w:sz w:val="20"/>
              </w:rPr>
            </w:pPr>
            <w:r>
              <w:rPr>
                <w:rFonts w:hint="eastAsia" w:ascii="宋体" w:hAnsi="宋体" w:cs="宋体"/>
                <w:kern w:val="0"/>
                <w:sz w:val="22"/>
                <w:szCs w:val="22"/>
                <w:lang w:val="en-US" w:eastAsia="zh-CN"/>
              </w:rPr>
              <w:t>264-</w:t>
            </w:r>
            <w:r>
              <w:rPr>
                <w:rFonts w:hint="eastAsia" w:ascii="宋体" w:hAnsi="宋体" w:cs="宋体"/>
                <w:kern w:val="0"/>
                <w:sz w:val="22"/>
                <w:szCs w:val="22"/>
                <w:lang w:eastAsia="zh-CN"/>
              </w:rPr>
              <w:t>淮北市生态环境局</w:t>
            </w:r>
          </w:p>
        </w:tc>
        <w:tc>
          <w:tcPr>
            <w:tcW w:w="1848" w:type="dxa"/>
            <w:tcBorders>
              <w:tl2br w:val="nil"/>
              <w:tr2bl w:val="nil"/>
            </w:tcBorders>
            <w:vAlign w:val="center"/>
          </w:tcPr>
          <w:p w14:paraId="6C965131">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0EC3C84">
            <w:pPr>
              <w:jc w:val="center"/>
            </w:pPr>
            <w:r>
              <w:rPr>
                <w:rFonts w:hint="eastAsia" w:ascii="宋体" w:hAnsi="宋体" w:cs="宋体"/>
                <w:kern w:val="0"/>
                <w:sz w:val="22"/>
                <w:szCs w:val="22"/>
                <w:lang w:eastAsia="zh-CN"/>
              </w:rPr>
              <w:t>淮北市相山区生态环境分局</w:t>
            </w:r>
          </w:p>
        </w:tc>
      </w:tr>
      <w:tr w14:paraId="44B2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73D7E3E">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55DED60C">
            <w:pPr>
              <w:jc w:val="center"/>
              <w:rPr>
                <w:rFonts w:hint="eastAsia" w:ascii="宋体" w:cs="宋体" w:eastAsiaTheme="minorEastAsia"/>
                <w:sz w:val="20"/>
                <w:lang w:eastAsia="zh-CN"/>
              </w:rPr>
            </w:pPr>
            <w:r>
              <w:rPr>
                <w:rFonts w:hint="eastAsia" w:ascii="宋体" w:cs="宋体"/>
                <w:sz w:val="20"/>
                <w:lang w:eastAsia="zh-CN"/>
              </w:rPr>
              <w:t>年初预算</w:t>
            </w:r>
          </w:p>
        </w:tc>
        <w:tc>
          <w:tcPr>
            <w:tcW w:w="1848" w:type="dxa"/>
            <w:tcBorders>
              <w:tl2br w:val="nil"/>
              <w:tr2bl w:val="nil"/>
            </w:tcBorders>
            <w:vAlign w:val="center"/>
          </w:tcPr>
          <w:p w14:paraId="39F9BFCC">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7D0EA08D">
            <w:pPr>
              <w:jc w:val="center"/>
              <w:rPr>
                <w:rFonts w:hint="default" w:eastAsiaTheme="minorEastAsia"/>
                <w:lang w:val="en-US" w:eastAsia="zh-CN"/>
              </w:rPr>
            </w:pPr>
            <w:r>
              <w:rPr>
                <w:rFonts w:hint="eastAsia" w:ascii="宋体" w:hAnsi="宋体" w:cs="宋体"/>
                <w:kern w:val="0"/>
                <w:sz w:val="22"/>
                <w:szCs w:val="22"/>
                <w:lang w:val="en-US" w:eastAsia="zh-CN"/>
              </w:rPr>
              <w:t>2025.1-12</w:t>
            </w:r>
          </w:p>
        </w:tc>
      </w:tr>
      <w:tr w14:paraId="3D2D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A474F01">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14:paraId="1906B0BB">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3611BB49">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52FCAC74">
            <w:pPr>
              <w:jc w:val="center"/>
              <w:rPr>
                <w:rFonts w:hint="default" w:ascii="宋体" w:cs="宋体" w:eastAsiaTheme="minorEastAsia"/>
                <w:sz w:val="20"/>
                <w:lang w:val="en-US" w:eastAsia="zh-CN"/>
              </w:rPr>
            </w:pPr>
            <w:r>
              <w:rPr>
                <w:rFonts w:hint="eastAsia" w:ascii="宋体" w:cs="宋体"/>
                <w:sz w:val="20"/>
                <w:lang w:val="en-US" w:eastAsia="zh-CN"/>
              </w:rPr>
              <w:t>57.02</w:t>
            </w:r>
          </w:p>
        </w:tc>
      </w:tr>
      <w:tr w14:paraId="74AB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81F6DEC">
            <w:pPr>
              <w:jc w:val="center"/>
              <w:rPr>
                <w:rFonts w:ascii="宋体" w:cs="宋体"/>
                <w:sz w:val="20"/>
              </w:rPr>
            </w:pPr>
          </w:p>
        </w:tc>
        <w:tc>
          <w:tcPr>
            <w:tcW w:w="3349" w:type="dxa"/>
            <w:gridSpan w:val="2"/>
            <w:tcBorders>
              <w:tl2br w:val="nil"/>
              <w:tr2bl w:val="nil"/>
            </w:tcBorders>
            <w:vAlign w:val="center"/>
          </w:tcPr>
          <w:p w14:paraId="0FCB6074">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5FB0A096">
            <w:pPr>
              <w:jc w:val="center"/>
              <w:rPr>
                <w:rFonts w:hint="default" w:ascii="宋体" w:cs="宋体"/>
                <w:sz w:val="20"/>
                <w:lang w:val="en-US"/>
              </w:rPr>
            </w:pPr>
            <w:r>
              <w:rPr>
                <w:rFonts w:hint="eastAsia" w:ascii="宋体" w:cs="宋体"/>
                <w:sz w:val="20"/>
                <w:lang w:val="en-US" w:eastAsia="zh-CN"/>
              </w:rPr>
              <w:t>57.02</w:t>
            </w:r>
          </w:p>
        </w:tc>
      </w:tr>
      <w:tr w14:paraId="51B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0434D45">
            <w:pPr>
              <w:jc w:val="center"/>
              <w:rPr>
                <w:rFonts w:ascii="宋体" w:cs="宋体"/>
                <w:sz w:val="20"/>
              </w:rPr>
            </w:pPr>
          </w:p>
        </w:tc>
        <w:tc>
          <w:tcPr>
            <w:tcW w:w="3349" w:type="dxa"/>
            <w:gridSpan w:val="2"/>
            <w:tcBorders>
              <w:tl2br w:val="nil"/>
              <w:tr2bl w:val="nil"/>
            </w:tcBorders>
            <w:vAlign w:val="center"/>
          </w:tcPr>
          <w:p w14:paraId="545C9883">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6FD56398">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3C14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20394BF">
            <w:pPr>
              <w:jc w:val="center"/>
              <w:rPr>
                <w:rFonts w:ascii="宋体" w:cs="宋体"/>
                <w:sz w:val="20"/>
              </w:rPr>
            </w:pPr>
          </w:p>
        </w:tc>
        <w:tc>
          <w:tcPr>
            <w:tcW w:w="3349" w:type="dxa"/>
            <w:gridSpan w:val="2"/>
            <w:tcBorders>
              <w:tl2br w:val="nil"/>
              <w:tr2bl w:val="nil"/>
            </w:tcBorders>
            <w:vAlign w:val="center"/>
          </w:tcPr>
          <w:p w14:paraId="4203D74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688BAB84">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4D3F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4F6F71E">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年度</w:t>
            </w:r>
          </w:p>
          <w:p w14:paraId="600CBCC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1CE751DE">
            <w:pPr>
              <w:jc w:val="left"/>
              <w:rPr>
                <w:rFonts w:ascii="宋体" w:cs="宋体"/>
                <w:sz w:val="20"/>
              </w:rPr>
            </w:pPr>
            <w:r>
              <w:rPr>
                <w:rFonts w:hint="eastAsia" w:ascii="宋体" w:cs="宋体"/>
                <w:sz w:val="20"/>
                <w:lang w:eastAsia="zh-CN"/>
              </w:rPr>
              <w:t>一是</w:t>
            </w:r>
            <w:r>
              <w:rPr>
                <w:rFonts w:hint="eastAsia" w:ascii="宋体" w:cs="宋体"/>
                <w:sz w:val="20"/>
              </w:rPr>
              <w:t>高标准打好蓝天保卫战</w:t>
            </w:r>
            <w:r>
              <w:rPr>
                <w:rFonts w:hint="eastAsia" w:ascii="宋体" w:cs="宋体"/>
                <w:sz w:val="20"/>
                <w:lang w:eastAsia="zh-CN"/>
              </w:rPr>
              <w:t>；</w:t>
            </w:r>
            <w:r>
              <w:rPr>
                <w:rFonts w:hint="eastAsia" w:ascii="宋体" w:cs="宋体"/>
                <w:sz w:val="20"/>
                <w:lang w:val="en-US" w:eastAsia="zh-CN"/>
              </w:rPr>
              <w:t>二是</w:t>
            </w:r>
            <w:r>
              <w:rPr>
                <w:rFonts w:hint="eastAsia" w:ascii="宋体" w:cs="宋体"/>
                <w:sz w:val="20"/>
              </w:rPr>
              <w:t>多举措打好碧水保卫战</w:t>
            </w:r>
            <w:r>
              <w:rPr>
                <w:rFonts w:hint="eastAsia" w:ascii="宋体" w:cs="宋体"/>
                <w:sz w:val="20"/>
                <w:lang w:eastAsia="zh-CN"/>
              </w:rPr>
              <w:t>；</w:t>
            </w:r>
            <w:r>
              <w:rPr>
                <w:rFonts w:hint="eastAsia" w:ascii="宋体" w:cs="宋体"/>
                <w:sz w:val="20"/>
                <w:lang w:val="en-US" w:eastAsia="zh-CN"/>
              </w:rPr>
              <w:t>三是</w:t>
            </w:r>
            <w:r>
              <w:rPr>
                <w:rFonts w:hint="eastAsia" w:ascii="宋体" w:cs="宋体"/>
                <w:sz w:val="20"/>
              </w:rPr>
              <w:t>全方位推进净土保卫战</w:t>
            </w:r>
            <w:r>
              <w:rPr>
                <w:rFonts w:hint="eastAsia" w:ascii="宋体" w:cs="宋体"/>
                <w:sz w:val="20"/>
                <w:lang w:eastAsia="zh-CN"/>
              </w:rPr>
              <w:t>；</w:t>
            </w:r>
            <w:r>
              <w:rPr>
                <w:rFonts w:hint="eastAsia" w:ascii="宋体" w:cs="宋体"/>
                <w:sz w:val="20"/>
                <w:lang w:val="en-US" w:eastAsia="zh-CN"/>
              </w:rPr>
              <w:t>四是</w:t>
            </w:r>
            <w:r>
              <w:rPr>
                <w:rFonts w:hint="eastAsia" w:ascii="宋体" w:cs="宋体"/>
                <w:sz w:val="20"/>
              </w:rPr>
              <w:t>坚决抓好环保督察反馈问题整改</w:t>
            </w:r>
            <w:r>
              <w:rPr>
                <w:rFonts w:hint="eastAsia" w:ascii="宋体" w:cs="宋体"/>
                <w:sz w:val="20"/>
                <w:lang w:eastAsia="zh-CN"/>
              </w:rPr>
              <w:t>；</w:t>
            </w:r>
            <w:r>
              <w:rPr>
                <w:rFonts w:hint="eastAsia" w:ascii="宋体" w:cs="宋体"/>
                <w:sz w:val="20"/>
                <w:lang w:val="en-US" w:eastAsia="zh-CN"/>
              </w:rPr>
              <w:t>五是</w:t>
            </w:r>
            <w:r>
              <w:rPr>
                <w:rFonts w:hint="eastAsia" w:ascii="宋体" w:cs="宋体"/>
                <w:sz w:val="20"/>
              </w:rPr>
              <w:t>持续抓好生态环境执法检查。</w:t>
            </w:r>
          </w:p>
        </w:tc>
      </w:tr>
      <w:tr w14:paraId="3A7F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232660D">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绩</w:t>
            </w:r>
          </w:p>
          <w:p w14:paraId="604E8167">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效</w:t>
            </w:r>
          </w:p>
          <w:p w14:paraId="40BA2988">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指</w:t>
            </w:r>
          </w:p>
          <w:p w14:paraId="4AF31278">
            <w:pPr>
              <w:widowControl/>
              <w:jc w:val="center"/>
              <w:textAlignment w:val="center"/>
              <w:rPr>
                <w:rFonts w:ascii="宋体" w:cs="宋体"/>
                <w:sz w:val="20"/>
              </w:rPr>
            </w:pP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182AEB4B">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一级</w:t>
            </w:r>
          </w:p>
          <w:p w14:paraId="3C9E538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4C13A67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1534A7CC">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6EF6EFE3">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2855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12B0252F">
            <w:pPr>
              <w:jc w:val="center"/>
              <w:rPr>
                <w:rFonts w:ascii="宋体" w:cs="宋体"/>
                <w:sz w:val="20"/>
              </w:rPr>
            </w:pPr>
          </w:p>
        </w:tc>
        <w:tc>
          <w:tcPr>
            <w:tcW w:w="723" w:type="dxa"/>
            <w:vMerge w:val="restart"/>
            <w:tcBorders>
              <w:tl2br w:val="nil"/>
              <w:tr2bl w:val="nil"/>
            </w:tcBorders>
            <w:vAlign w:val="center"/>
          </w:tcPr>
          <w:p w14:paraId="25D62E42">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185BB27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64F9E111">
            <w:pPr>
              <w:keepNext w:val="0"/>
              <w:keepLines w:val="0"/>
              <w:widowControl/>
              <w:suppressLineNumbers w:val="0"/>
              <w:jc w:val="left"/>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经费支出月数</w:t>
            </w:r>
          </w:p>
        </w:tc>
        <w:tc>
          <w:tcPr>
            <w:tcW w:w="4228" w:type="dxa"/>
            <w:gridSpan w:val="2"/>
            <w:tcBorders>
              <w:tl2br w:val="nil"/>
              <w:tr2bl w:val="nil"/>
            </w:tcBorders>
            <w:vAlign w:val="center"/>
          </w:tcPr>
          <w:p w14:paraId="085EED4C">
            <w:pPr>
              <w:keepNext w:val="0"/>
              <w:keepLines w:val="0"/>
              <w:widowControl/>
              <w:suppressLineNumbers w:val="0"/>
              <w:jc w:val="center"/>
              <w:textAlignment w:val="center"/>
              <w:rPr>
                <w:rFonts w:hint="default" w:ascii="宋体" w:cs="宋体" w:eastAsiaTheme="minorEastAsia"/>
                <w:sz w:val="20"/>
                <w:lang w:val="en-US" w:eastAsia="zh-CN"/>
              </w:rPr>
            </w:pPr>
            <w:r>
              <w:rPr>
                <w:rFonts w:hint="eastAsia" w:ascii="宋体" w:hAnsi="宋体" w:eastAsia="宋体" w:cs="宋体"/>
                <w:i w:val="0"/>
                <w:iCs w:val="0"/>
                <w:color w:val="000000"/>
                <w:kern w:val="0"/>
                <w:sz w:val="20"/>
                <w:szCs w:val="20"/>
                <w:u w:val="none"/>
                <w:lang w:val="en-US" w:eastAsia="zh-CN" w:bidi="ar"/>
              </w:rPr>
              <w:t>12</w:t>
            </w:r>
          </w:p>
        </w:tc>
      </w:tr>
      <w:tr w14:paraId="5355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4B567BAD">
            <w:pPr>
              <w:jc w:val="center"/>
              <w:rPr>
                <w:rFonts w:ascii="宋体" w:cs="宋体"/>
                <w:sz w:val="20"/>
              </w:rPr>
            </w:pPr>
          </w:p>
        </w:tc>
        <w:tc>
          <w:tcPr>
            <w:tcW w:w="723" w:type="dxa"/>
            <w:vMerge w:val="continue"/>
            <w:tcBorders>
              <w:tl2br w:val="nil"/>
              <w:tr2bl w:val="nil"/>
            </w:tcBorders>
            <w:vAlign w:val="center"/>
          </w:tcPr>
          <w:p w14:paraId="15C305FF">
            <w:pPr>
              <w:jc w:val="center"/>
              <w:rPr>
                <w:rFonts w:ascii="宋体" w:cs="宋体"/>
                <w:sz w:val="20"/>
              </w:rPr>
            </w:pPr>
          </w:p>
        </w:tc>
        <w:tc>
          <w:tcPr>
            <w:tcW w:w="759" w:type="dxa"/>
            <w:gridSpan w:val="2"/>
            <w:vMerge w:val="restart"/>
            <w:tcBorders>
              <w:tl2br w:val="nil"/>
              <w:tr2bl w:val="nil"/>
            </w:tcBorders>
            <w:vAlign w:val="center"/>
          </w:tcPr>
          <w:p w14:paraId="1E6DD52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52C9061A">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经费支出合规性</w:t>
            </w:r>
          </w:p>
        </w:tc>
        <w:tc>
          <w:tcPr>
            <w:tcW w:w="4228" w:type="dxa"/>
            <w:gridSpan w:val="2"/>
            <w:tcBorders>
              <w:tl2br w:val="nil"/>
              <w:tr2bl w:val="nil"/>
            </w:tcBorders>
            <w:vAlign w:val="center"/>
          </w:tcPr>
          <w:p w14:paraId="777A5A2B">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严格执行相关财经法规、制度</w:t>
            </w:r>
          </w:p>
        </w:tc>
      </w:tr>
      <w:tr w14:paraId="68CD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7820C1A">
            <w:pPr>
              <w:jc w:val="center"/>
              <w:rPr>
                <w:rFonts w:ascii="宋体" w:cs="宋体"/>
                <w:sz w:val="20"/>
              </w:rPr>
            </w:pPr>
          </w:p>
        </w:tc>
        <w:tc>
          <w:tcPr>
            <w:tcW w:w="723" w:type="dxa"/>
            <w:vMerge w:val="continue"/>
            <w:tcBorders>
              <w:tl2br w:val="nil"/>
              <w:tr2bl w:val="nil"/>
            </w:tcBorders>
            <w:vAlign w:val="center"/>
          </w:tcPr>
          <w:p w14:paraId="28C08EA9">
            <w:pPr>
              <w:jc w:val="center"/>
              <w:rPr>
                <w:rFonts w:ascii="宋体" w:cs="宋体"/>
                <w:sz w:val="20"/>
              </w:rPr>
            </w:pPr>
          </w:p>
        </w:tc>
        <w:tc>
          <w:tcPr>
            <w:tcW w:w="759" w:type="dxa"/>
            <w:gridSpan w:val="2"/>
            <w:vMerge w:val="restart"/>
            <w:tcBorders>
              <w:tl2br w:val="nil"/>
              <w:tr2bl w:val="nil"/>
            </w:tcBorders>
            <w:vAlign w:val="center"/>
          </w:tcPr>
          <w:p w14:paraId="310A714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4228BB16">
            <w:pPr>
              <w:keepNext w:val="0"/>
              <w:keepLines w:val="0"/>
              <w:widowControl/>
              <w:suppressLineNumbers w:val="0"/>
              <w:jc w:val="left"/>
              <w:textAlignment w:val="center"/>
              <w:rPr>
                <w:rFonts w:hint="eastAsia" w:ascii="宋体" w:eastAsia="宋体" w:cs="宋体"/>
                <w:sz w:val="20"/>
                <w:lang w:eastAsia="zh-CN"/>
              </w:rPr>
            </w:pPr>
            <w:r>
              <w:rPr>
                <w:rFonts w:hint="eastAsia" w:ascii="宋体" w:hAnsi="宋体" w:eastAsia="宋体" w:cs="宋体"/>
                <w:i w:val="0"/>
                <w:iCs w:val="0"/>
                <w:color w:val="000000"/>
                <w:kern w:val="0"/>
                <w:sz w:val="20"/>
                <w:szCs w:val="20"/>
                <w:u w:val="none"/>
                <w:lang w:val="en-US" w:eastAsia="zh-CN" w:bidi="ar"/>
              </w:rPr>
              <w:t>经费支出时效性</w:t>
            </w:r>
          </w:p>
        </w:tc>
        <w:tc>
          <w:tcPr>
            <w:tcW w:w="4228" w:type="dxa"/>
            <w:gridSpan w:val="2"/>
            <w:tcBorders>
              <w:tl2br w:val="nil"/>
              <w:tr2bl w:val="nil"/>
            </w:tcBorders>
            <w:vAlign w:val="center"/>
          </w:tcPr>
          <w:p w14:paraId="2FA1D06E">
            <w:pPr>
              <w:keepNext w:val="0"/>
              <w:keepLines w:val="0"/>
              <w:widowControl/>
              <w:suppressLineNumbers w:val="0"/>
              <w:jc w:val="center"/>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及时、序时</w:t>
            </w:r>
          </w:p>
        </w:tc>
      </w:tr>
      <w:tr w14:paraId="2731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114C41A">
            <w:pPr>
              <w:jc w:val="center"/>
              <w:rPr>
                <w:rFonts w:ascii="宋体" w:cs="宋体"/>
                <w:sz w:val="20"/>
              </w:rPr>
            </w:pPr>
          </w:p>
        </w:tc>
        <w:tc>
          <w:tcPr>
            <w:tcW w:w="723" w:type="dxa"/>
            <w:vMerge w:val="continue"/>
            <w:tcBorders>
              <w:tl2br w:val="nil"/>
              <w:tr2bl w:val="nil"/>
            </w:tcBorders>
            <w:vAlign w:val="center"/>
          </w:tcPr>
          <w:p w14:paraId="75B530DB">
            <w:pPr>
              <w:jc w:val="center"/>
              <w:rPr>
                <w:rFonts w:ascii="宋体" w:cs="宋体"/>
                <w:sz w:val="20"/>
              </w:rPr>
            </w:pPr>
          </w:p>
        </w:tc>
        <w:tc>
          <w:tcPr>
            <w:tcW w:w="759" w:type="dxa"/>
            <w:gridSpan w:val="2"/>
            <w:vMerge w:val="continue"/>
            <w:tcBorders>
              <w:tl2br w:val="nil"/>
              <w:tr2bl w:val="nil"/>
            </w:tcBorders>
            <w:vAlign w:val="center"/>
          </w:tcPr>
          <w:p w14:paraId="1087DDA6">
            <w:pPr>
              <w:jc w:val="center"/>
              <w:rPr>
                <w:rFonts w:ascii="宋体" w:cs="宋体"/>
                <w:sz w:val="20"/>
              </w:rPr>
            </w:pPr>
          </w:p>
        </w:tc>
        <w:tc>
          <w:tcPr>
            <w:tcW w:w="2872" w:type="dxa"/>
            <w:tcBorders>
              <w:tl2br w:val="nil"/>
              <w:tr2bl w:val="nil"/>
            </w:tcBorders>
            <w:vAlign w:val="center"/>
          </w:tcPr>
          <w:p w14:paraId="47F00FCC">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经费总额</w:t>
            </w:r>
          </w:p>
        </w:tc>
        <w:tc>
          <w:tcPr>
            <w:tcW w:w="4228" w:type="dxa"/>
            <w:gridSpan w:val="2"/>
            <w:tcBorders>
              <w:tl2br w:val="nil"/>
              <w:tr2bl w:val="nil"/>
            </w:tcBorders>
            <w:vAlign w:val="center"/>
          </w:tcPr>
          <w:p w14:paraId="44E43D78">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≦57.02</w:t>
            </w:r>
          </w:p>
        </w:tc>
      </w:tr>
      <w:tr w14:paraId="446C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04ECD1AE">
            <w:pPr>
              <w:jc w:val="center"/>
              <w:rPr>
                <w:rFonts w:ascii="宋体" w:cs="宋体"/>
                <w:sz w:val="20"/>
              </w:rPr>
            </w:pPr>
          </w:p>
        </w:tc>
        <w:tc>
          <w:tcPr>
            <w:tcW w:w="723" w:type="dxa"/>
            <w:vMerge w:val="continue"/>
            <w:tcBorders>
              <w:tl2br w:val="nil"/>
              <w:tr2bl w:val="nil"/>
            </w:tcBorders>
            <w:vAlign w:val="center"/>
          </w:tcPr>
          <w:p w14:paraId="0C1E990D">
            <w:pPr>
              <w:jc w:val="center"/>
              <w:rPr>
                <w:rFonts w:ascii="宋体" w:cs="宋体"/>
                <w:sz w:val="20"/>
              </w:rPr>
            </w:pPr>
          </w:p>
        </w:tc>
        <w:tc>
          <w:tcPr>
            <w:tcW w:w="759" w:type="dxa"/>
            <w:gridSpan w:val="2"/>
            <w:tcBorders>
              <w:tl2br w:val="nil"/>
              <w:tr2bl w:val="nil"/>
            </w:tcBorders>
            <w:vAlign w:val="center"/>
          </w:tcPr>
          <w:p w14:paraId="4816E81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59438DC4">
            <w:pPr>
              <w:keepNext w:val="0"/>
              <w:keepLines w:val="0"/>
              <w:widowControl/>
              <w:suppressLineNumbers w:val="0"/>
              <w:jc w:val="left"/>
              <w:textAlignment w:val="center"/>
              <w:rPr>
                <w:rFonts w:hint="eastAsia" w:asci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对社会经济发展的影响</w:t>
            </w:r>
          </w:p>
        </w:tc>
        <w:tc>
          <w:tcPr>
            <w:tcW w:w="4228" w:type="dxa"/>
            <w:gridSpan w:val="2"/>
            <w:tcBorders>
              <w:tl2br w:val="nil"/>
              <w:tr2bl w:val="nil"/>
            </w:tcBorders>
            <w:vAlign w:val="center"/>
          </w:tcPr>
          <w:p w14:paraId="32043CCC">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较高</w:t>
            </w:r>
          </w:p>
        </w:tc>
      </w:tr>
      <w:tr w14:paraId="57C2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454B5D31">
            <w:pPr>
              <w:jc w:val="center"/>
              <w:rPr>
                <w:rFonts w:ascii="宋体" w:cs="宋体"/>
                <w:sz w:val="20"/>
              </w:rPr>
            </w:pPr>
          </w:p>
        </w:tc>
        <w:tc>
          <w:tcPr>
            <w:tcW w:w="723" w:type="dxa"/>
            <w:vMerge w:val="restart"/>
            <w:tcBorders>
              <w:tl2br w:val="nil"/>
              <w:tr2bl w:val="nil"/>
            </w:tcBorders>
            <w:vAlign w:val="center"/>
          </w:tcPr>
          <w:p w14:paraId="263F8708">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4BB88A4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4FEE2E56">
            <w:pPr>
              <w:keepNext w:val="0"/>
              <w:keepLines w:val="0"/>
              <w:widowControl/>
              <w:suppressLineNumbers w:val="0"/>
              <w:jc w:val="left"/>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民众对环保意识的提升</w:t>
            </w:r>
          </w:p>
        </w:tc>
        <w:tc>
          <w:tcPr>
            <w:tcW w:w="4228" w:type="dxa"/>
            <w:gridSpan w:val="2"/>
            <w:tcBorders>
              <w:tl2br w:val="nil"/>
              <w:tr2bl w:val="nil"/>
            </w:tcBorders>
            <w:vAlign w:val="center"/>
          </w:tcPr>
          <w:p w14:paraId="77530869">
            <w:pPr>
              <w:keepNext w:val="0"/>
              <w:keepLines w:val="0"/>
              <w:widowControl/>
              <w:suppressLineNumbers w:val="0"/>
              <w:jc w:val="center"/>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明显</w:t>
            </w:r>
          </w:p>
        </w:tc>
      </w:tr>
      <w:tr w14:paraId="2E8A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757D6A1B">
            <w:pPr>
              <w:jc w:val="center"/>
              <w:rPr>
                <w:rFonts w:ascii="宋体" w:cs="宋体"/>
                <w:sz w:val="20"/>
              </w:rPr>
            </w:pPr>
          </w:p>
        </w:tc>
        <w:tc>
          <w:tcPr>
            <w:tcW w:w="723" w:type="dxa"/>
            <w:vMerge w:val="continue"/>
            <w:tcBorders>
              <w:tl2br w:val="nil"/>
              <w:tr2bl w:val="nil"/>
            </w:tcBorders>
            <w:vAlign w:val="center"/>
          </w:tcPr>
          <w:p w14:paraId="5B9B7713">
            <w:pPr>
              <w:jc w:val="center"/>
              <w:rPr>
                <w:rFonts w:ascii="宋体" w:cs="宋体"/>
                <w:sz w:val="20"/>
              </w:rPr>
            </w:pPr>
          </w:p>
        </w:tc>
        <w:tc>
          <w:tcPr>
            <w:tcW w:w="759" w:type="dxa"/>
            <w:gridSpan w:val="2"/>
            <w:tcBorders>
              <w:tl2br w:val="nil"/>
              <w:tr2bl w:val="nil"/>
            </w:tcBorders>
            <w:vAlign w:val="center"/>
          </w:tcPr>
          <w:p w14:paraId="328E1EA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0E66ED09">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大气、水等环境质量进一步改善或提升</w:t>
            </w:r>
          </w:p>
        </w:tc>
        <w:tc>
          <w:tcPr>
            <w:tcW w:w="4228" w:type="dxa"/>
            <w:gridSpan w:val="2"/>
            <w:tcBorders>
              <w:tl2br w:val="nil"/>
              <w:tr2bl w:val="nil"/>
            </w:tcBorders>
            <w:vAlign w:val="center"/>
          </w:tcPr>
          <w:p w14:paraId="6900907F">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明显</w:t>
            </w:r>
          </w:p>
        </w:tc>
      </w:tr>
      <w:tr w14:paraId="5EDA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38" w:type="dxa"/>
            <w:vMerge w:val="continue"/>
            <w:tcBorders>
              <w:tl2br w:val="nil"/>
              <w:tr2bl w:val="nil"/>
            </w:tcBorders>
            <w:vAlign w:val="center"/>
          </w:tcPr>
          <w:p w14:paraId="2AF37060">
            <w:pPr>
              <w:jc w:val="center"/>
              <w:rPr>
                <w:rFonts w:ascii="宋体" w:cs="宋体"/>
                <w:sz w:val="20"/>
              </w:rPr>
            </w:pPr>
          </w:p>
        </w:tc>
        <w:tc>
          <w:tcPr>
            <w:tcW w:w="723" w:type="dxa"/>
            <w:vMerge w:val="continue"/>
            <w:tcBorders>
              <w:tl2br w:val="nil"/>
              <w:tr2bl w:val="nil"/>
            </w:tcBorders>
            <w:vAlign w:val="center"/>
          </w:tcPr>
          <w:p w14:paraId="59C6760A">
            <w:pPr>
              <w:jc w:val="center"/>
              <w:rPr>
                <w:rFonts w:ascii="宋体" w:cs="宋体"/>
                <w:sz w:val="20"/>
              </w:rPr>
            </w:pPr>
          </w:p>
        </w:tc>
        <w:tc>
          <w:tcPr>
            <w:tcW w:w="759" w:type="dxa"/>
            <w:gridSpan w:val="2"/>
            <w:tcBorders>
              <w:tl2br w:val="nil"/>
              <w:tr2bl w:val="nil"/>
            </w:tcBorders>
            <w:vAlign w:val="center"/>
          </w:tcPr>
          <w:p w14:paraId="082DDB1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3401522F">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持续对环境保护工作能力、水平提升的影响程度</w:t>
            </w:r>
          </w:p>
        </w:tc>
        <w:tc>
          <w:tcPr>
            <w:tcW w:w="4228" w:type="dxa"/>
            <w:gridSpan w:val="2"/>
            <w:tcBorders>
              <w:tl2br w:val="nil"/>
              <w:tr2bl w:val="nil"/>
            </w:tcBorders>
            <w:vAlign w:val="center"/>
          </w:tcPr>
          <w:p w14:paraId="52DF30B8">
            <w:pPr>
              <w:keepNext w:val="0"/>
              <w:keepLines w:val="0"/>
              <w:widowControl/>
              <w:suppressLineNumbers w:val="0"/>
              <w:jc w:val="center"/>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明显</w:t>
            </w:r>
          </w:p>
        </w:tc>
      </w:tr>
      <w:tr w14:paraId="1AD6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38" w:type="dxa"/>
            <w:vMerge w:val="continue"/>
            <w:tcBorders>
              <w:tl2br w:val="nil"/>
              <w:tr2bl w:val="nil"/>
            </w:tcBorders>
            <w:vAlign w:val="center"/>
          </w:tcPr>
          <w:p w14:paraId="30828B03">
            <w:pPr>
              <w:jc w:val="center"/>
              <w:rPr>
                <w:rFonts w:ascii="宋体" w:cs="宋体"/>
                <w:sz w:val="20"/>
              </w:rPr>
            </w:pPr>
          </w:p>
        </w:tc>
        <w:tc>
          <w:tcPr>
            <w:tcW w:w="723" w:type="dxa"/>
            <w:vMerge w:val="continue"/>
            <w:tcBorders>
              <w:tl2br w:val="nil"/>
              <w:tr2bl w:val="nil"/>
            </w:tcBorders>
            <w:vAlign w:val="center"/>
          </w:tcPr>
          <w:p w14:paraId="33769BE0">
            <w:pPr>
              <w:jc w:val="center"/>
              <w:rPr>
                <w:rFonts w:ascii="宋体" w:cs="宋体"/>
                <w:sz w:val="20"/>
              </w:rPr>
            </w:pPr>
          </w:p>
        </w:tc>
        <w:tc>
          <w:tcPr>
            <w:tcW w:w="759" w:type="dxa"/>
            <w:gridSpan w:val="2"/>
            <w:tcBorders>
              <w:tl2br w:val="nil"/>
              <w:tr2bl w:val="nil"/>
            </w:tcBorders>
            <w:vAlign w:val="center"/>
          </w:tcPr>
          <w:p w14:paraId="21568528">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687F243D">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公众满意度</w:t>
            </w:r>
          </w:p>
        </w:tc>
        <w:tc>
          <w:tcPr>
            <w:tcW w:w="4228" w:type="dxa"/>
            <w:gridSpan w:val="2"/>
            <w:tcBorders>
              <w:tl2br w:val="nil"/>
              <w:tr2bl w:val="nil"/>
            </w:tcBorders>
            <w:vAlign w:val="center"/>
          </w:tcPr>
          <w:p w14:paraId="5E06A812">
            <w:pPr>
              <w:keepNext w:val="0"/>
              <w:keepLines w:val="0"/>
              <w:widowControl/>
              <w:suppressLineNumbers w:val="0"/>
              <w:jc w:val="center"/>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≧95%</w:t>
            </w:r>
          </w:p>
        </w:tc>
      </w:tr>
      <w:tr w14:paraId="6BD8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vAlign w:val="center"/>
          </w:tcPr>
          <w:p w14:paraId="5FF88330">
            <w:pPr>
              <w:jc w:val="center"/>
              <w:rPr>
                <w:rFonts w:ascii="宋体" w:cs="宋体"/>
                <w:sz w:val="20"/>
              </w:rPr>
            </w:pPr>
          </w:p>
        </w:tc>
        <w:tc>
          <w:tcPr>
            <w:tcW w:w="723" w:type="dxa"/>
            <w:tcBorders>
              <w:tl2br w:val="nil"/>
              <w:tr2bl w:val="nil"/>
            </w:tcBorders>
            <w:vAlign w:val="center"/>
          </w:tcPr>
          <w:p w14:paraId="7910470C">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D886717">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0BF5A252">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经费支出月数</w:t>
            </w:r>
          </w:p>
        </w:tc>
        <w:tc>
          <w:tcPr>
            <w:tcW w:w="4228" w:type="dxa"/>
            <w:gridSpan w:val="2"/>
            <w:tcBorders>
              <w:tl2br w:val="nil"/>
              <w:tr2bl w:val="nil"/>
            </w:tcBorders>
            <w:vAlign w:val="center"/>
          </w:tcPr>
          <w:p w14:paraId="0D85E09D">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12</w:t>
            </w:r>
          </w:p>
        </w:tc>
      </w:tr>
    </w:tbl>
    <w:p w14:paraId="07D5B5A7">
      <w:pPr>
        <w:ind w:firstLine="420" w:firstLineChars="200"/>
      </w:pPr>
    </w:p>
    <w:p w14:paraId="5803B03E">
      <w:pPr>
        <w:ind w:firstLine="420" w:firstLineChars="200"/>
      </w:pPr>
    </w:p>
    <w:p w14:paraId="142342D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（二）机关运行经费。</w:t>
      </w:r>
    </w:p>
    <w:p w14:paraId="6F18FED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lang w:val="en-US" w:eastAsia="zh-CN"/>
        </w:rPr>
        <w:t>2025年机关运行经费财政拨款预算27.36万元，比2024年预算减少1.63万元，下降5.62%，原因主要是人员变动差额。</w:t>
      </w:r>
    </w:p>
    <w:p w14:paraId="693511E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（三）政府采购情况。</w:t>
      </w:r>
    </w:p>
    <w:p w14:paraId="7551315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rPr>
        <w:t>2025年政府采购预算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万元。其中：政府采购货物预算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万元，政府采购工程预算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万元，政府采购服务预算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24AF5EF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（四）国有资产占有使用情况。</w:t>
      </w:r>
    </w:p>
    <w:p w14:paraId="1C0AF99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截至2024年12月31日，</w:t>
      </w: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rPr>
        <w:t>共有车辆</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辆，其中：其他用车</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辆。单价50万元以上的通用设备0台（套），单价100万元以上的专用设备0台（套）。</w:t>
      </w:r>
    </w:p>
    <w:p w14:paraId="4FA72A7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2025年</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预算安排购置公务用车0辆，购置费0万元，安排购置单价50万元以上的通用设备0台（套），购置费0万元；安排购置单价100万元以上专用设备0台（套），购置费0万元。</w:t>
      </w:r>
    </w:p>
    <w:p w14:paraId="27C5537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（五）绩效目标设置情况。</w:t>
      </w:r>
    </w:p>
    <w:p w14:paraId="49736B6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2025年，</w:t>
      </w:r>
      <w:r>
        <w:rPr>
          <w:rFonts w:hint="eastAsia" w:ascii="仿宋" w:hAnsi="仿宋" w:eastAsia="仿宋" w:cs="仿宋"/>
          <w:kern w:val="0"/>
          <w:sz w:val="32"/>
          <w:szCs w:val="32"/>
          <w:lang w:eastAsia="zh-CN"/>
        </w:rPr>
        <w:t>淮北市相山区生态环境分局</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个项目实行了绩效目标管理，涉及一般公共预算当年财政拨款</w:t>
      </w:r>
      <w:r>
        <w:rPr>
          <w:rFonts w:hint="eastAsia" w:ascii="仿宋" w:hAnsi="仿宋" w:eastAsia="仿宋" w:cs="仿宋"/>
          <w:kern w:val="0"/>
          <w:sz w:val="32"/>
          <w:szCs w:val="32"/>
          <w:lang w:eastAsia="zh-CN"/>
        </w:rPr>
        <w:t xml:space="preserve">57.02 </w:t>
      </w:r>
      <w:r>
        <w:rPr>
          <w:rFonts w:hint="eastAsia" w:ascii="仿宋" w:hAnsi="仿宋" w:eastAsia="仿宋" w:cs="仿宋"/>
          <w:kern w:val="0"/>
          <w:sz w:val="32"/>
          <w:szCs w:val="32"/>
        </w:rPr>
        <w:t>万元、政府性基金预算当年财政拨款0万元、财政专户管理资金当年安排0万元。</w:t>
      </w:r>
    </w:p>
    <w:p w14:paraId="7B029F5D">
      <w:pPr>
        <w:pStyle w:val="12"/>
        <w:adjustRightInd w:val="0"/>
        <w:snapToGrid w:val="0"/>
        <w:spacing w:line="560" w:lineRule="exact"/>
        <w:jc w:val="center"/>
        <w:rPr>
          <w:rFonts w:ascii="TimesNewRoman" w:hAnsi="TimesNewRoman" w:eastAsia="黑体" w:cs="TimesNewRoman"/>
          <w:bCs/>
          <w:sz w:val="36"/>
          <w:szCs w:val="36"/>
        </w:rPr>
      </w:pPr>
    </w:p>
    <w:p w14:paraId="0E6836FA">
      <w:pPr>
        <w:pStyle w:val="12"/>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75EE8B07"/>
    <w:p w14:paraId="622E34AB">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一、财政拨款收入：</w:t>
      </w:r>
      <w:r>
        <w:rPr>
          <w:rFonts w:hint="eastAsia" w:ascii="仿宋" w:hAnsi="仿宋" w:eastAsia="仿宋" w:cs="仿宋"/>
          <w:sz w:val="32"/>
          <w:szCs w:val="32"/>
        </w:rPr>
        <w:t>指部门或单位从同级财政部门取得的财政预算资金。</w:t>
      </w:r>
    </w:p>
    <w:p w14:paraId="36F34939">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二、事业收入：</w:t>
      </w:r>
      <w:r>
        <w:rPr>
          <w:rFonts w:hint="eastAsia" w:ascii="仿宋" w:hAnsi="仿宋" w:eastAsia="仿宋" w:cs="仿宋"/>
          <w:sz w:val="32"/>
          <w:szCs w:val="32"/>
        </w:rPr>
        <w:t>指事业单位开展专业业务活动及辅助活动所取得的收入。</w:t>
      </w:r>
    </w:p>
    <w:p w14:paraId="5EB26762">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三、财政专户管理资金：</w:t>
      </w:r>
      <w:r>
        <w:rPr>
          <w:rFonts w:hint="eastAsia" w:ascii="仿宋" w:hAnsi="仿宋" w:eastAsia="仿宋" w:cs="仿宋"/>
          <w:sz w:val="32"/>
          <w:szCs w:val="32"/>
        </w:rPr>
        <w:t>指按照非税收入管理相关规定，纳入财政专户管理的教育收费等。</w:t>
      </w:r>
    </w:p>
    <w:p w14:paraId="5455AD0F">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四、事业单位经营收入：</w:t>
      </w:r>
      <w:r>
        <w:rPr>
          <w:rFonts w:hint="eastAsia" w:ascii="仿宋" w:hAnsi="仿宋" w:eastAsia="仿宋" w:cs="仿宋"/>
          <w:sz w:val="32"/>
          <w:szCs w:val="32"/>
        </w:rPr>
        <w:t>指事业单位在专业业务活动及其辅助活动之外开展非独立核算经营活动取得的收入。</w:t>
      </w:r>
    </w:p>
    <w:p w14:paraId="00A693FE">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五、附属单位上缴收入：</w:t>
      </w:r>
      <w:r>
        <w:rPr>
          <w:rFonts w:hint="eastAsia" w:ascii="仿宋" w:hAnsi="仿宋" w:eastAsia="仿宋" w:cs="仿宋"/>
          <w:sz w:val="32"/>
          <w:szCs w:val="32"/>
        </w:rPr>
        <w:t>本单位所属下级单位上缴给本单位的全部收入。</w:t>
      </w:r>
    </w:p>
    <w:p w14:paraId="3ED26DAC">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六、上年结转：</w:t>
      </w:r>
      <w:r>
        <w:rPr>
          <w:rFonts w:hint="eastAsia" w:ascii="仿宋" w:hAnsi="仿宋" w:eastAsia="仿宋" w:cs="仿宋"/>
          <w:sz w:val="32"/>
          <w:szCs w:val="32"/>
        </w:rPr>
        <w:t>指以前年度安排、结转到本年仍按原用途继续使用的资金。</w:t>
      </w:r>
    </w:p>
    <w:p w14:paraId="0DE651CC">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七、结转下年：</w:t>
      </w:r>
      <w:r>
        <w:rPr>
          <w:rFonts w:hint="eastAsia" w:ascii="仿宋" w:hAnsi="仿宋" w:eastAsia="仿宋" w:cs="仿宋"/>
          <w:sz w:val="32"/>
          <w:szCs w:val="32"/>
        </w:rPr>
        <w:t>指以前年度预算安排、因客观条件发生变化无法按原计划实施，需以后年度按原用途继续使用的资金。</w:t>
      </w:r>
    </w:p>
    <w:p w14:paraId="3EBAB3DA">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八、基本支出：</w:t>
      </w:r>
      <w:r>
        <w:rPr>
          <w:rFonts w:hint="eastAsia" w:ascii="仿宋" w:hAnsi="仿宋" w:eastAsia="仿宋" w:cs="仿宋"/>
          <w:sz w:val="32"/>
          <w:szCs w:val="32"/>
        </w:rPr>
        <w:t>指为保障机构正常运转、完成日常工作任务而发生的人员支出和公用支出。</w:t>
      </w:r>
    </w:p>
    <w:p w14:paraId="1A325B9B">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九、项目支出：</w:t>
      </w:r>
      <w:r>
        <w:rPr>
          <w:rFonts w:hint="eastAsia" w:ascii="仿宋" w:hAnsi="仿宋" w:eastAsia="仿宋" w:cs="仿宋"/>
          <w:sz w:val="32"/>
          <w:szCs w:val="32"/>
        </w:rPr>
        <w:t>指在除基本支出之外的支出，主要用于完成特定的工作任务和事业发展目标。</w:t>
      </w:r>
    </w:p>
    <w:p w14:paraId="33A719F9">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 xml:space="preserve">十、机关运行经费: </w:t>
      </w:r>
      <w:r>
        <w:rPr>
          <w:rFonts w:hint="eastAsia" w:ascii="仿宋" w:hAnsi="仿宋" w:eastAsia="仿宋" w:cs="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E28EE"/>
    <w:rsid w:val="00267E33"/>
    <w:rsid w:val="003C28DE"/>
    <w:rsid w:val="004A4DC6"/>
    <w:rsid w:val="0057562B"/>
    <w:rsid w:val="006546AF"/>
    <w:rsid w:val="00704336"/>
    <w:rsid w:val="00726D96"/>
    <w:rsid w:val="00740B10"/>
    <w:rsid w:val="008F6D1A"/>
    <w:rsid w:val="009168AC"/>
    <w:rsid w:val="009A3CA3"/>
    <w:rsid w:val="00AE3242"/>
    <w:rsid w:val="00B964EC"/>
    <w:rsid w:val="00BD640A"/>
    <w:rsid w:val="00DB2A5C"/>
    <w:rsid w:val="00E907C4"/>
    <w:rsid w:val="00EC7755"/>
    <w:rsid w:val="00F45ECB"/>
    <w:rsid w:val="00F974AD"/>
    <w:rsid w:val="0165774E"/>
    <w:rsid w:val="01F86CD9"/>
    <w:rsid w:val="040A2CF3"/>
    <w:rsid w:val="04A86794"/>
    <w:rsid w:val="04BC5D9C"/>
    <w:rsid w:val="04EF43C3"/>
    <w:rsid w:val="052E3D95"/>
    <w:rsid w:val="064222D0"/>
    <w:rsid w:val="06606BFB"/>
    <w:rsid w:val="069114AA"/>
    <w:rsid w:val="07A33243"/>
    <w:rsid w:val="07E775D3"/>
    <w:rsid w:val="08762705"/>
    <w:rsid w:val="090634E1"/>
    <w:rsid w:val="0A2040E9"/>
    <w:rsid w:val="0ABA1C9E"/>
    <w:rsid w:val="0B422D73"/>
    <w:rsid w:val="0B61144B"/>
    <w:rsid w:val="0BF64289"/>
    <w:rsid w:val="0C3152F9"/>
    <w:rsid w:val="0C3B1C9C"/>
    <w:rsid w:val="0C847C19"/>
    <w:rsid w:val="0CAC2B9A"/>
    <w:rsid w:val="0D627974"/>
    <w:rsid w:val="0E1C5AFD"/>
    <w:rsid w:val="0E8A6F0A"/>
    <w:rsid w:val="0F1862C4"/>
    <w:rsid w:val="101919DF"/>
    <w:rsid w:val="11DA7031"/>
    <w:rsid w:val="129D0028"/>
    <w:rsid w:val="13124FA4"/>
    <w:rsid w:val="14067033"/>
    <w:rsid w:val="14B76219"/>
    <w:rsid w:val="158B2D0B"/>
    <w:rsid w:val="15AD5D05"/>
    <w:rsid w:val="1617338D"/>
    <w:rsid w:val="16F5513D"/>
    <w:rsid w:val="16F72C63"/>
    <w:rsid w:val="17343EB7"/>
    <w:rsid w:val="184E0FA9"/>
    <w:rsid w:val="18584AAF"/>
    <w:rsid w:val="18E6075A"/>
    <w:rsid w:val="19257F5C"/>
    <w:rsid w:val="19434886"/>
    <w:rsid w:val="1A2226ED"/>
    <w:rsid w:val="1AE31E7C"/>
    <w:rsid w:val="1B1E53A3"/>
    <w:rsid w:val="1B6F1962"/>
    <w:rsid w:val="1BC20431"/>
    <w:rsid w:val="1C76287C"/>
    <w:rsid w:val="1CAA0778"/>
    <w:rsid w:val="1D772EB6"/>
    <w:rsid w:val="1D9901E0"/>
    <w:rsid w:val="1DAA4ED3"/>
    <w:rsid w:val="1DEF0BDF"/>
    <w:rsid w:val="1E281CF1"/>
    <w:rsid w:val="1F4924CA"/>
    <w:rsid w:val="1F4B4494"/>
    <w:rsid w:val="221C1380"/>
    <w:rsid w:val="223034CD"/>
    <w:rsid w:val="229B6714"/>
    <w:rsid w:val="23151041"/>
    <w:rsid w:val="23BD0B35"/>
    <w:rsid w:val="23C54F36"/>
    <w:rsid w:val="255D6CCF"/>
    <w:rsid w:val="26404B7C"/>
    <w:rsid w:val="26435EC5"/>
    <w:rsid w:val="264E03C6"/>
    <w:rsid w:val="2657371E"/>
    <w:rsid w:val="26753BA5"/>
    <w:rsid w:val="268D3834"/>
    <w:rsid w:val="268D5392"/>
    <w:rsid w:val="28D23530"/>
    <w:rsid w:val="290D7FA6"/>
    <w:rsid w:val="299B2F17"/>
    <w:rsid w:val="299B6018"/>
    <w:rsid w:val="29CE29B6"/>
    <w:rsid w:val="29E63B44"/>
    <w:rsid w:val="2A102562"/>
    <w:rsid w:val="2A2E49E7"/>
    <w:rsid w:val="2B1F2E8D"/>
    <w:rsid w:val="2C1D0F66"/>
    <w:rsid w:val="2C5F48A4"/>
    <w:rsid w:val="2D12039F"/>
    <w:rsid w:val="2D6D604F"/>
    <w:rsid w:val="2DE01426"/>
    <w:rsid w:val="2ED55B28"/>
    <w:rsid w:val="312A0A2A"/>
    <w:rsid w:val="31666F0B"/>
    <w:rsid w:val="31774C75"/>
    <w:rsid w:val="31C854D0"/>
    <w:rsid w:val="328C07BF"/>
    <w:rsid w:val="33064502"/>
    <w:rsid w:val="33D26ADA"/>
    <w:rsid w:val="340D7B12"/>
    <w:rsid w:val="35537627"/>
    <w:rsid w:val="35B244CD"/>
    <w:rsid w:val="36341386"/>
    <w:rsid w:val="378C0D4E"/>
    <w:rsid w:val="382F62A9"/>
    <w:rsid w:val="38827460"/>
    <w:rsid w:val="39FF7EFD"/>
    <w:rsid w:val="3A105C66"/>
    <w:rsid w:val="3A5003C2"/>
    <w:rsid w:val="3ACD1DA9"/>
    <w:rsid w:val="3BF00C95"/>
    <w:rsid w:val="3C1C4D96"/>
    <w:rsid w:val="3C710B37"/>
    <w:rsid w:val="3CAA05F4"/>
    <w:rsid w:val="3CD46098"/>
    <w:rsid w:val="3DCB0822"/>
    <w:rsid w:val="3ED66FB9"/>
    <w:rsid w:val="3F3B3A23"/>
    <w:rsid w:val="3F446727"/>
    <w:rsid w:val="41391F47"/>
    <w:rsid w:val="42601AA3"/>
    <w:rsid w:val="43374264"/>
    <w:rsid w:val="4497145E"/>
    <w:rsid w:val="44A02888"/>
    <w:rsid w:val="44C61D43"/>
    <w:rsid w:val="45141D9E"/>
    <w:rsid w:val="46565349"/>
    <w:rsid w:val="46DA1AD6"/>
    <w:rsid w:val="475F0627"/>
    <w:rsid w:val="482D407D"/>
    <w:rsid w:val="487E46E3"/>
    <w:rsid w:val="488351EA"/>
    <w:rsid w:val="495C67D2"/>
    <w:rsid w:val="4A4C6847"/>
    <w:rsid w:val="4A5751EC"/>
    <w:rsid w:val="4AE26B3A"/>
    <w:rsid w:val="4AF34F14"/>
    <w:rsid w:val="4B136EED"/>
    <w:rsid w:val="4B6B08DB"/>
    <w:rsid w:val="4BBD03AE"/>
    <w:rsid w:val="4BE8259F"/>
    <w:rsid w:val="4C365A00"/>
    <w:rsid w:val="4C467F77"/>
    <w:rsid w:val="4C7C7C39"/>
    <w:rsid w:val="4D6D5452"/>
    <w:rsid w:val="4D8254F4"/>
    <w:rsid w:val="4DEB4B32"/>
    <w:rsid w:val="4E151D2D"/>
    <w:rsid w:val="4E9609D8"/>
    <w:rsid w:val="4FB46DE1"/>
    <w:rsid w:val="501E2A33"/>
    <w:rsid w:val="51516E38"/>
    <w:rsid w:val="531B76FE"/>
    <w:rsid w:val="53262E4E"/>
    <w:rsid w:val="54216F96"/>
    <w:rsid w:val="54977258"/>
    <w:rsid w:val="54F96294"/>
    <w:rsid w:val="563D5BDD"/>
    <w:rsid w:val="56AB18AC"/>
    <w:rsid w:val="570D1327"/>
    <w:rsid w:val="58311772"/>
    <w:rsid w:val="591F15CA"/>
    <w:rsid w:val="59394A94"/>
    <w:rsid w:val="59AC7136"/>
    <w:rsid w:val="5A47702B"/>
    <w:rsid w:val="5A4A6167"/>
    <w:rsid w:val="5CA95D7B"/>
    <w:rsid w:val="5CB85FBE"/>
    <w:rsid w:val="5CBA7F88"/>
    <w:rsid w:val="5D3F189C"/>
    <w:rsid w:val="5DF947FF"/>
    <w:rsid w:val="5E19304C"/>
    <w:rsid w:val="5E3B0C54"/>
    <w:rsid w:val="5E53715D"/>
    <w:rsid w:val="5EA44872"/>
    <w:rsid w:val="60362443"/>
    <w:rsid w:val="6070031E"/>
    <w:rsid w:val="60FB0B6F"/>
    <w:rsid w:val="61021EFD"/>
    <w:rsid w:val="61C55405"/>
    <w:rsid w:val="62E95123"/>
    <w:rsid w:val="635244A2"/>
    <w:rsid w:val="63D06D5A"/>
    <w:rsid w:val="65BE4D8B"/>
    <w:rsid w:val="66CD6DA9"/>
    <w:rsid w:val="66E55C01"/>
    <w:rsid w:val="67DA328C"/>
    <w:rsid w:val="6828049B"/>
    <w:rsid w:val="68B735CD"/>
    <w:rsid w:val="69407A67"/>
    <w:rsid w:val="6962178B"/>
    <w:rsid w:val="696C3BCA"/>
    <w:rsid w:val="696F3EA8"/>
    <w:rsid w:val="6C2954D4"/>
    <w:rsid w:val="6CF01952"/>
    <w:rsid w:val="6D0843F7"/>
    <w:rsid w:val="6D433955"/>
    <w:rsid w:val="6D955425"/>
    <w:rsid w:val="6E7F06E9"/>
    <w:rsid w:val="701E3F32"/>
    <w:rsid w:val="709D579F"/>
    <w:rsid w:val="70CE5958"/>
    <w:rsid w:val="70F37F6F"/>
    <w:rsid w:val="710E63F5"/>
    <w:rsid w:val="716C06E2"/>
    <w:rsid w:val="718C1A9B"/>
    <w:rsid w:val="719A05B2"/>
    <w:rsid w:val="72210599"/>
    <w:rsid w:val="724F2AC9"/>
    <w:rsid w:val="72F773E8"/>
    <w:rsid w:val="731004AA"/>
    <w:rsid w:val="7416093F"/>
    <w:rsid w:val="74A92964"/>
    <w:rsid w:val="74BF5CE3"/>
    <w:rsid w:val="750330C7"/>
    <w:rsid w:val="759251A6"/>
    <w:rsid w:val="767D7C04"/>
    <w:rsid w:val="767E397C"/>
    <w:rsid w:val="76FB6D7B"/>
    <w:rsid w:val="7B1C5B54"/>
    <w:rsid w:val="7C110220"/>
    <w:rsid w:val="7C1D27AC"/>
    <w:rsid w:val="7D6A4C5A"/>
    <w:rsid w:val="7F89586C"/>
    <w:rsid w:val="7F9C6421"/>
    <w:rsid w:val="7FE4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ind w:firstLine="645"/>
      <w:textAlignment w:val="baseline"/>
    </w:pPr>
    <w:rPr>
      <w:rFonts w:ascii="仿宋_GB2312" w:eastAsia="仿宋_GB2312"/>
      <w:sz w:val="32"/>
    </w:rPr>
  </w:style>
  <w:style w:type="paragraph" w:styleId="4">
    <w:name w:val="Body Text"/>
    <w:basedOn w:val="1"/>
    <w:next w:val="5"/>
    <w:qFormat/>
    <w:uiPriority w:val="0"/>
    <w:pPr>
      <w:spacing w:after="120"/>
    </w:pPr>
  </w:style>
  <w:style w:type="paragraph" w:styleId="5">
    <w:name w:val="Date"/>
    <w:basedOn w:val="1"/>
    <w:next w:val="1"/>
    <w:qFormat/>
    <w:uiPriority w:val="0"/>
    <w:pPr>
      <w:ind w:left="2500" w:leftChars="2500"/>
    </w:pPr>
  </w:style>
  <w:style w:type="paragraph" w:styleId="6">
    <w:name w:val="Body Text Indent"/>
    <w:basedOn w:val="1"/>
    <w:next w:val="7"/>
    <w:qFormat/>
    <w:uiPriority w:val="99"/>
    <w:pPr>
      <w:ind w:firstLine="420"/>
    </w:pPr>
    <w:rPr>
      <w:rFonts w:eastAsia="楷体_GB2312"/>
      <w:sz w:val="28"/>
      <w:szCs w:val="28"/>
    </w:rPr>
  </w:style>
  <w:style w:type="paragraph" w:styleId="7">
    <w:name w:val="envelope return"/>
    <w:basedOn w:val="1"/>
    <w:qFormat/>
    <w:uiPriority w:val="0"/>
    <w:pPr>
      <w:widowControl/>
      <w:snapToGrid w:val="0"/>
      <w:jc w:val="left"/>
    </w:pPr>
    <w:rPr>
      <w:rFonts w:ascii="Arial" w:hAnsi="Arial" w:cs="Arial"/>
      <w:kern w:val="0"/>
      <w:sz w:val="24"/>
    </w:rPr>
  </w:style>
  <w:style w:type="paragraph" w:styleId="8">
    <w:name w:val="Plain Text"/>
    <w:basedOn w:val="1"/>
    <w:qFormat/>
    <w:uiPriority w:val="0"/>
    <w:rPr>
      <w:rFonts w:hAnsi="Courier New"/>
    </w:rPr>
  </w:style>
  <w:style w:type="paragraph" w:styleId="9">
    <w:name w:val="Body Text Indent 2"/>
    <w:basedOn w:val="1"/>
    <w:next w:val="1"/>
    <w:qFormat/>
    <w:uiPriority w:val="99"/>
    <w:pPr>
      <w:spacing w:after="120" w:line="480" w:lineRule="auto"/>
      <w:ind w:left="420" w:leftChars="200"/>
    </w:pPr>
    <w:rPr>
      <w:rFonts w:ascii="Calibri" w:hAnsi="Calibri" w:eastAsia="宋体" w:cs="Times New Roman"/>
      <w:szCs w:val="24"/>
    </w:rPr>
  </w:style>
  <w:style w:type="paragraph" w:styleId="10">
    <w:name w:val="footer"/>
    <w:basedOn w:val="1"/>
    <w:link w:val="19"/>
    <w:semiHidden/>
    <w:unhideWhenUsed/>
    <w:qFormat/>
    <w:uiPriority w:val="99"/>
    <w:pPr>
      <w:tabs>
        <w:tab w:val="center" w:pos="4153"/>
        <w:tab w:val="right" w:pos="8306"/>
      </w:tabs>
      <w:snapToGrid w:val="0"/>
      <w:jc w:val="left"/>
    </w:pPr>
    <w:rPr>
      <w:sz w:val="18"/>
      <w:szCs w:val="18"/>
    </w:rPr>
  </w:style>
  <w:style w:type="paragraph" w:styleId="11">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4"/>
    <w:qFormat/>
    <w:uiPriority w:val="0"/>
    <w:pPr>
      <w:spacing w:line="312" w:lineRule="auto"/>
      <w:ind w:firstLine="420"/>
    </w:pPr>
    <w:rPr>
      <w:rFonts w:ascii="Tahoma" w:hAnsi="Tahoma" w:cs="Tahoma"/>
    </w:rPr>
  </w:style>
  <w:style w:type="paragraph" w:styleId="14">
    <w:name w:val="Body Text First Indent 2"/>
    <w:basedOn w:val="6"/>
    <w:next w:val="13"/>
    <w:qFormat/>
    <w:uiPriority w:val="0"/>
    <w:pPr>
      <w:ind w:firstLine="200" w:firstLineChars="200"/>
    </w:pPr>
  </w:style>
  <w:style w:type="character" w:styleId="17">
    <w:name w:val="Strong"/>
    <w:basedOn w:val="16"/>
    <w:qFormat/>
    <w:uiPriority w:val="0"/>
    <w:rPr>
      <w:b/>
      <w:bCs/>
    </w:rPr>
  </w:style>
  <w:style w:type="character" w:customStyle="1" w:styleId="18">
    <w:name w:val="页眉 Char"/>
    <w:basedOn w:val="16"/>
    <w:link w:val="11"/>
    <w:semiHidden/>
    <w:qFormat/>
    <w:uiPriority w:val="99"/>
    <w:rPr>
      <w:sz w:val="18"/>
      <w:szCs w:val="18"/>
    </w:rPr>
  </w:style>
  <w:style w:type="character" w:customStyle="1" w:styleId="19">
    <w:name w:val="页脚 Char"/>
    <w:basedOn w:val="16"/>
    <w:link w:val="10"/>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5910</Words>
  <Characters>6494</Characters>
  <Lines>46</Lines>
  <Paragraphs>13</Paragraphs>
  <TotalTime>1</TotalTime>
  <ScaleCrop>false</ScaleCrop>
  <LinksUpToDate>false</LinksUpToDate>
  <CharactersWithSpaces>6606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周超</cp:lastModifiedBy>
  <dcterms:modified xsi:type="dcterms:W3CDTF">2025-02-20T03:24:59Z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eyJoZGlkIjoiMjkzZjNmMTVmZTY3YTA5MTU2YTNkMDcwMzQ3NGY0ZGEifQ==</vt:lpwstr>
  </property>
  <property fmtid="{D5CDD505-2E9C-101B-9397-08002B2CF9AE}" pid="3" name="KSOProductBuildVer">
    <vt:lpwstr>2052-12.1.0.19302</vt:lpwstr>
  </property>
  <property fmtid="{D5CDD505-2E9C-101B-9397-08002B2CF9AE}" pid="4" name="ICV">
    <vt:lpwstr>95632D49CA804573A93A2BB126BCF6A5_12</vt:lpwstr>
  </property>
</Properties>
</file>