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F20F3A">
      <w:pPr>
        <w:keepNext w:val="0"/>
        <w:keepLines w:val="0"/>
        <w:pageBreakBefore w:val="0"/>
        <w:wordWrap/>
        <w:overflowPunct/>
        <w:topLinePunct w:val="0"/>
        <w:bidi w:val="0"/>
        <w:spacing w:line="590" w:lineRule="exact"/>
        <w:rPr>
          <w:rFonts w:hint="default"/>
        </w:rPr>
      </w:pPr>
    </w:p>
    <w:p w14:paraId="2FD260FA">
      <w:pPr>
        <w:keepNext w:val="0"/>
        <w:keepLines w:val="0"/>
        <w:pageBreakBefore w:val="0"/>
        <w:wordWrap/>
        <w:overflowPunct/>
        <w:topLinePunct w:val="0"/>
        <w:bidi w:val="0"/>
        <w:spacing w:line="590" w:lineRule="exact"/>
        <w:rPr>
          <w:rFonts w:hint="default"/>
        </w:rPr>
      </w:pPr>
    </w:p>
    <w:p w14:paraId="1C2A1E7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Times New Roman" w:hAnsi="Times New Roman" w:eastAsia="方正小标宋_GBK" w:cs="Times New Roman"/>
          <w:b w:val="0"/>
          <w:bCs w:val="0"/>
          <w:i w:val="0"/>
          <w:iCs w:val="0"/>
          <w:caps w:val="0"/>
          <w:snapToGrid/>
          <w:color w:val="auto"/>
          <w:spacing w:val="0"/>
          <w:sz w:val="44"/>
          <w:szCs w:val="44"/>
          <w:shd w:val="clear" w:fill="FFFFFF"/>
        </w:rPr>
      </w:pPr>
      <w:bookmarkStart w:id="0" w:name="_GoBack"/>
      <w:r>
        <w:rPr>
          <w:rFonts w:hint="default" w:ascii="Times New Roman" w:hAnsi="Times New Roman" w:eastAsia="方正小标宋_GBK" w:cs="Times New Roman"/>
          <w:b w:val="0"/>
          <w:bCs w:val="0"/>
          <w:i w:val="0"/>
          <w:iCs w:val="0"/>
          <w:caps w:val="0"/>
          <w:snapToGrid/>
          <w:color w:val="auto"/>
          <w:spacing w:val="0"/>
          <w:sz w:val="44"/>
          <w:szCs w:val="44"/>
          <w:shd w:val="clear" w:fill="FFFFFF"/>
        </w:rPr>
        <w:t>关于印发《淮北市机动车排放检验机构记分制管理办法》的通知</w:t>
      </w:r>
    </w:p>
    <w:bookmarkEnd w:id="0"/>
    <w:p w14:paraId="21BD231F">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snapToGrid/>
          <w:color w:val="auto"/>
          <w:spacing w:val="0"/>
          <w:kern w:val="2"/>
          <w:sz w:val="32"/>
          <w:szCs w:val="32"/>
          <w:shd w:val="clear" w:fill="FFFFFF"/>
          <w:lang w:val="en-US" w:eastAsia="zh-CN" w:bidi="ar-SA"/>
        </w:rPr>
        <w:t>淮环〔2020〕17号</w:t>
      </w:r>
    </w:p>
    <w:p w14:paraId="4458FC9D">
      <w:pPr>
        <w:keepNext w:val="0"/>
        <w:keepLines w:val="0"/>
        <w:pageBreakBefore w:val="0"/>
        <w:kinsoku/>
        <w:wordWrap/>
        <w:overflowPunct/>
        <w:topLinePunct w:val="0"/>
        <w:bidi w:val="0"/>
        <w:spacing w:line="590" w:lineRule="exact"/>
        <w:rPr>
          <w:rFonts w:hint="default" w:ascii="Times New Roman" w:hAnsi="Times New Roman" w:cs="Times New Roman"/>
          <w:lang w:val="en-US" w:eastAsia="zh-CN"/>
        </w:rPr>
      </w:pPr>
    </w:p>
    <w:p w14:paraId="38590C9E">
      <w:pPr>
        <w:keepNext w:val="0"/>
        <w:keepLines w:val="0"/>
        <w:pageBreakBefore w:val="0"/>
        <w:widowControl/>
        <w:kinsoku/>
        <w:wordWrap/>
        <w:overflowPunct/>
        <w:topLinePunct w:val="0"/>
        <w:autoSpaceDE w:val="0"/>
        <w:autoSpaceDN w:val="0"/>
        <w:bidi w:val="0"/>
        <w:adjustRightInd w:val="0"/>
        <w:snapToGrid w:val="0"/>
        <w:spacing w:line="590" w:lineRule="exact"/>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市机动车检验协会：</w:t>
      </w:r>
    </w:p>
    <w:p w14:paraId="7A883B8E">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为进一步加强对全市机动车排放检验机构的管理，落实机动车排放检验机构的主体责任，提升政府精细化管理水平，依据相关法律法规、政策标准和国务院简政放权、加强事中事后监管的总体要求</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我局制定了《淮北市机动车排放检验机构记分制管理办法》</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现印发给你们，请认真贯彻执行。</w:t>
      </w:r>
    </w:p>
    <w:p w14:paraId="114D1EB3">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p>
    <w:p w14:paraId="53AB7CDB">
      <w:pPr>
        <w:pStyle w:val="2"/>
        <w:rPr>
          <w:rFonts w:hint="default"/>
        </w:rPr>
      </w:pPr>
    </w:p>
    <w:p w14:paraId="4D3BA865">
      <w:pPr>
        <w:keepNext w:val="0"/>
        <w:keepLines w:val="0"/>
        <w:pageBreakBefore w:val="0"/>
        <w:widowControl/>
        <w:kinsoku/>
        <w:wordWrap/>
        <w:overflowPunct/>
        <w:topLinePunct w:val="0"/>
        <w:autoSpaceDE w:val="0"/>
        <w:autoSpaceDN w:val="0"/>
        <w:bidi w:val="0"/>
        <w:adjustRightInd w:val="0"/>
        <w:snapToGrid w:val="0"/>
        <w:spacing w:line="590" w:lineRule="exact"/>
        <w:ind w:right="420" w:rightChars="200" w:firstLine="640" w:firstLineChars="200"/>
        <w:jc w:val="right"/>
        <w:textAlignment w:val="baseline"/>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napToGrid/>
          <w:color w:val="auto"/>
          <w:kern w:val="2"/>
          <w:sz w:val="32"/>
          <w:szCs w:val="32"/>
          <w:lang w:val="en-US" w:eastAsia="zh-CN" w:bidi="ar-SA"/>
        </w:rPr>
        <w:t>淮北市生态环境局</w:t>
      </w:r>
    </w:p>
    <w:p w14:paraId="205C39CC">
      <w:pPr>
        <w:keepNext w:val="0"/>
        <w:keepLines w:val="0"/>
        <w:pageBreakBefore w:val="0"/>
        <w:widowControl/>
        <w:kinsoku/>
        <w:wordWrap/>
        <w:overflowPunct/>
        <w:topLinePunct w:val="0"/>
        <w:autoSpaceDE w:val="0"/>
        <w:autoSpaceDN w:val="0"/>
        <w:bidi w:val="0"/>
        <w:adjustRightInd w:val="0"/>
        <w:snapToGrid w:val="0"/>
        <w:spacing w:line="590" w:lineRule="exact"/>
        <w:ind w:right="525" w:rightChars="250" w:firstLine="640" w:firstLineChars="200"/>
        <w:jc w:val="right"/>
        <w:textAlignment w:val="baseline"/>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2020年12月30日</w:t>
      </w:r>
    </w:p>
    <w:p w14:paraId="099E6094">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p>
    <w:p w14:paraId="666695CF">
      <w:pPr>
        <w:keepNext w:val="0"/>
        <w:keepLines w:val="0"/>
        <w:pageBreakBefore w:val="0"/>
        <w:widowControl/>
        <w:kinsoku/>
        <w:wordWrap/>
        <w:overflowPunct/>
        <w:topLinePunct w:val="0"/>
        <w:autoSpaceDE w:val="0"/>
        <w:autoSpaceDN w:val="0"/>
        <w:bidi w:val="0"/>
        <w:adjustRightInd w:val="0"/>
        <w:snapToGrid w:val="0"/>
        <w:spacing w:line="590" w:lineRule="exact"/>
        <w:ind w:firstLine="5760" w:firstLineChars="1800"/>
        <w:textAlignment w:val="baseline"/>
        <w:rPr>
          <w:rFonts w:hint="default" w:ascii="Times New Roman" w:hAnsi="Times New Roman" w:eastAsia="方正仿宋_GBK" w:cs="Times New Roman"/>
          <w:sz w:val="32"/>
          <w:szCs w:val="32"/>
          <w:lang w:val="en-US" w:eastAsia="zh-CN"/>
        </w:rPr>
      </w:pPr>
    </w:p>
    <w:p w14:paraId="240A220C">
      <w:pPr>
        <w:keepNext w:val="0"/>
        <w:keepLines w:val="0"/>
        <w:pageBreakBefore w:val="0"/>
        <w:widowControl/>
        <w:kinsoku/>
        <w:wordWrap/>
        <w:overflowPunct/>
        <w:topLinePunct w:val="0"/>
        <w:autoSpaceDE w:val="0"/>
        <w:autoSpaceDN w:val="0"/>
        <w:bidi w:val="0"/>
        <w:adjustRightInd w:val="0"/>
        <w:snapToGrid w:val="0"/>
        <w:spacing w:line="590" w:lineRule="exact"/>
        <w:ind w:firstLine="5760" w:firstLineChars="1800"/>
        <w:textAlignment w:val="baseline"/>
        <w:rPr>
          <w:rFonts w:hint="default" w:ascii="Times New Roman" w:hAnsi="Times New Roman" w:eastAsia="方正仿宋_GBK" w:cs="Times New Roman"/>
          <w:sz w:val="32"/>
          <w:szCs w:val="32"/>
          <w:lang w:val="en-US" w:eastAsia="zh-CN"/>
        </w:rPr>
      </w:pPr>
    </w:p>
    <w:p w14:paraId="1E3E314B">
      <w:pPr>
        <w:keepNext w:val="0"/>
        <w:keepLines w:val="0"/>
        <w:pageBreakBefore w:val="0"/>
        <w:widowControl/>
        <w:kinsoku/>
        <w:wordWrap/>
        <w:overflowPunct/>
        <w:topLinePunct w:val="0"/>
        <w:autoSpaceDE w:val="0"/>
        <w:autoSpaceDN w:val="0"/>
        <w:bidi w:val="0"/>
        <w:adjustRightInd w:val="0"/>
        <w:snapToGrid w:val="0"/>
        <w:spacing w:line="590" w:lineRule="exact"/>
        <w:ind w:firstLine="5760" w:firstLineChars="1800"/>
        <w:textAlignment w:val="baseline"/>
        <w:rPr>
          <w:rFonts w:hint="default" w:ascii="Times New Roman" w:hAnsi="Times New Roman" w:eastAsia="方正仿宋_GBK" w:cs="Times New Roman"/>
          <w:sz w:val="32"/>
          <w:szCs w:val="32"/>
          <w:lang w:val="en-US" w:eastAsia="zh-CN"/>
        </w:rPr>
      </w:pPr>
    </w:p>
    <w:p w14:paraId="26EC247D">
      <w:pPr>
        <w:keepNext w:val="0"/>
        <w:keepLines w:val="0"/>
        <w:pageBreakBefore w:val="0"/>
        <w:widowControl/>
        <w:kinsoku/>
        <w:wordWrap/>
        <w:overflowPunct/>
        <w:topLinePunct w:val="0"/>
        <w:autoSpaceDE w:val="0"/>
        <w:autoSpaceDN w:val="0"/>
        <w:bidi w:val="0"/>
        <w:adjustRightInd w:val="0"/>
        <w:snapToGrid w:val="0"/>
        <w:spacing w:line="590" w:lineRule="exact"/>
        <w:ind w:firstLine="5760" w:firstLineChars="1800"/>
        <w:textAlignment w:val="baseline"/>
        <w:rPr>
          <w:rFonts w:hint="default" w:ascii="Times New Roman" w:hAnsi="Times New Roman" w:eastAsia="方正仿宋_GBK" w:cs="Times New Roman"/>
          <w:sz w:val="32"/>
          <w:szCs w:val="32"/>
          <w:lang w:val="en-US" w:eastAsia="zh-CN"/>
        </w:rPr>
      </w:pPr>
    </w:p>
    <w:p w14:paraId="4D5CDA6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both"/>
        <w:textAlignment w:val="auto"/>
        <w:rPr>
          <w:rFonts w:hint="default" w:ascii="Times New Roman" w:hAnsi="Times New Roman" w:eastAsia="方正小标宋_GBK" w:cs="Times New Roman"/>
          <w:b w:val="0"/>
          <w:bCs w:val="0"/>
          <w:i w:val="0"/>
          <w:iCs w:val="0"/>
          <w:caps w:val="0"/>
          <w:snapToGrid/>
          <w:color w:val="auto"/>
          <w:spacing w:val="0"/>
          <w:sz w:val="44"/>
          <w:szCs w:val="44"/>
          <w:shd w:val="clear" w:fill="FFFFFF"/>
        </w:rPr>
      </w:pPr>
    </w:p>
    <w:p w14:paraId="0BB3729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Times New Roman" w:hAnsi="Times New Roman" w:eastAsia="方正小标宋_GBK" w:cs="Times New Roman"/>
          <w:b w:val="0"/>
          <w:bCs w:val="0"/>
          <w:i w:val="0"/>
          <w:iCs w:val="0"/>
          <w:caps w:val="0"/>
          <w:snapToGrid/>
          <w:color w:val="auto"/>
          <w:spacing w:val="0"/>
          <w:sz w:val="44"/>
          <w:szCs w:val="44"/>
          <w:shd w:val="clear" w:fill="FFFFFF"/>
        </w:rPr>
      </w:pPr>
      <w:r>
        <w:rPr>
          <w:rFonts w:hint="default" w:ascii="Times New Roman" w:hAnsi="Times New Roman" w:eastAsia="方正小标宋_GBK" w:cs="Times New Roman"/>
          <w:b w:val="0"/>
          <w:bCs w:val="0"/>
          <w:i w:val="0"/>
          <w:iCs w:val="0"/>
          <w:caps w:val="0"/>
          <w:snapToGrid/>
          <w:color w:val="auto"/>
          <w:spacing w:val="0"/>
          <w:sz w:val="44"/>
          <w:szCs w:val="44"/>
          <w:shd w:val="clear" w:fill="FFFFFF"/>
        </w:rPr>
        <w:t>淮北市机动车排放检验机构记分制管理办法</w:t>
      </w:r>
    </w:p>
    <w:p w14:paraId="5A92136F">
      <w:pPr>
        <w:keepNext w:val="0"/>
        <w:keepLines w:val="0"/>
        <w:pageBreakBefore w:val="0"/>
        <w:widowControl/>
        <w:kinsoku/>
        <w:wordWrap/>
        <w:overflowPunct/>
        <w:topLinePunct w:val="0"/>
        <w:autoSpaceDE w:val="0"/>
        <w:autoSpaceDN w:val="0"/>
        <w:bidi w:val="0"/>
        <w:adjustRightInd w:val="0"/>
        <w:snapToGrid w:val="0"/>
        <w:spacing w:line="590" w:lineRule="exact"/>
        <w:textAlignment w:val="baseline"/>
        <w:rPr>
          <w:rFonts w:hint="default" w:ascii="Times New Roman" w:hAnsi="Times New Roman" w:eastAsia="方正仿宋_GBK" w:cs="Times New Roman"/>
          <w:sz w:val="32"/>
          <w:szCs w:val="32"/>
        </w:rPr>
      </w:pPr>
    </w:p>
    <w:p w14:paraId="13729FF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进一步加强对淮北市机动车排放检验机构的管理，落实机动车排放检验机构的主体责任，提升监管部门精细化管理水平，根据《中华人民共和国大气污染防治法》、《中华人民共和国计量法》、《安徽省大气污染防治条例》、《安徽省机动车排气污染防治办法》、《检验检测机构资质认定管理办法》、《汽油车污染物排放限值及测量方法</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双怠速与简易工况法</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GB18285-2018</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和《柴油车污染物排放限值及测量方法</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自由加速法与加载减速法</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GB3847-2018</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等法律、法规、标准的规定和国务院简政放权加强事中事后监管的总体要求，结合本市实际，制定本办法。</w:t>
      </w:r>
    </w:p>
    <w:p w14:paraId="72EA07AB">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一、基本原则</w:t>
      </w:r>
    </w:p>
    <w:p w14:paraId="6D24E0F3">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一</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本办法管理对象为淮北市取得检验检测机构资质认定证书的，从事机动车环保排放检验检测的机动车检验检测机构</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以下简称检验机构</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w:t>
      </w:r>
    </w:p>
    <w:p w14:paraId="3FD60984">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二</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记分制管理主要是依据法律、法规和标准的规定，制定记分体系。一个记分周期为一个自然年12个月，每个记分周期的记分总分值为12分。记分总分值为每次检查的记分的累计值，每项记分标准按照问题的严重程度分别为12分、6分、3分、2分、1分。</w:t>
      </w:r>
    </w:p>
    <w:p w14:paraId="2727BBE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三</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针对检验机构存在的问题，按照标准进行记分。当各项记分累计达到12分时，检验机构应集中时间进行全面、系统的自查整顿，整顿期间不得向社会出具具有证明作用的数据或结果。</w:t>
      </w:r>
    </w:p>
    <w:p w14:paraId="6FAF65A7">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四</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记分项目涉及违法的，不因受记分而免除行政处罚及其他法律责任。</w:t>
      </w:r>
    </w:p>
    <w:p w14:paraId="0AB2A9FF">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五</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市生态环境行政主管部门负责组织实施记分管理工作，受理公众投诉。</w:t>
      </w:r>
    </w:p>
    <w:p w14:paraId="18708364">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二、记分标准</w:t>
      </w:r>
    </w:p>
    <w:p w14:paraId="050E2EA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（一）存在下列弄虚作假等问题之一的，记12分</w:t>
      </w:r>
    </w:p>
    <w:p w14:paraId="59899AA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1.为未经检验或检验不合格的机动车</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除免检机动车外</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出具检验合格报告的；</w:t>
      </w:r>
    </w:p>
    <w:p w14:paraId="19F99EF4">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2.篡改、伪造检验检测数据、结果的；</w:t>
      </w:r>
    </w:p>
    <w:p w14:paraId="5FF63DC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3.擅自减少检验项目或者降低检验标准的；</w:t>
      </w:r>
    </w:p>
    <w:p w14:paraId="698847A4">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4.明知是明令淘汰、报废车辆或用其他车辆替检，仍进行检验并出具合格检验报告的；</w:t>
      </w:r>
    </w:p>
    <w:p w14:paraId="7201451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5.利用临时更换尾气处理设施或临时加装尾气处理设施通过检验并出具合格检验结果的；</w:t>
      </w:r>
    </w:p>
    <w:p w14:paraId="62C47A7C">
      <w:pPr>
        <w:keepNext w:val="0"/>
        <w:keepLines w:val="0"/>
        <w:pageBreakBefore w:val="0"/>
        <w:widowControl/>
        <w:kinsoku/>
        <w:wordWrap/>
        <w:overflowPunct/>
        <w:topLinePunct w:val="0"/>
        <w:autoSpaceDE w:val="0"/>
        <w:autoSpaceDN w:val="0"/>
        <w:bidi w:val="0"/>
        <w:adjustRightInd w:val="0"/>
        <w:snapToGrid w:val="0"/>
        <w:spacing w:line="590" w:lineRule="exact"/>
        <w:ind w:firstLine="5760" w:firstLineChars="1800"/>
        <w:textAlignment w:val="baseline"/>
        <w:rPr>
          <w:rFonts w:hint="default" w:ascii="Times New Roman" w:hAnsi="Times New Roman" w:eastAsia="方正仿宋_GBK" w:cs="Times New Roman"/>
          <w:sz w:val="32"/>
          <w:szCs w:val="32"/>
          <w:lang w:val="en-US" w:eastAsia="zh-CN"/>
        </w:rPr>
      </w:pPr>
    </w:p>
    <w:p w14:paraId="2AC35BD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6.法律法规有规定的，在检验机构整改期间，擅自对外出具检验检测数据或结果的；</w:t>
      </w:r>
    </w:p>
    <w:p w14:paraId="1501008A">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7.故意通过设备作弊</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含不插取样探头</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、安装检测作弊设备或作弊软件程序的；</w:t>
      </w:r>
    </w:p>
    <w:p w14:paraId="6057EC21">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8.检验机构经营或参与经营机动车排气污染治理、调整和维修业务的。</w:t>
      </w:r>
    </w:p>
    <w:p w14:paraId="77DD9CDA">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（二）存在下列问题之一的，记6分</w:t>
      </w:r>
    </w:p>
    <w:p w14:paraId="319BAA6F">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9.基本条件和技术能力不能持续符合资质认定条件和要求的；</w:t>
      </w:r>
    </w:p>
    <w:p w14:paraId="4752DF2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10.超出资质认定证书及证书附表规定的检验检测能力范围出具检验检测报告的；</w:t>
      </w:r>
    </w:p>
    <w:p w14:paraId="717D58E9">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11.要求机动车到指定的场所进行维修、保养等存在影响检验检测公正性行为的；</w:t>
      </w:r>
    </w:p>
    <w:p w14:paraId="75E54E98">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12.非授权签字人签发检验检测报告的；</w:t>
      </w:r>
    </w:p>
    <w:p w14:paraId="13BBFB1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13.拒不接受、不配合监督检查的；</w:t>
      </w:r>
    </w:p>
    <w:p w14:paraId="6FED382A">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14.新增检测线未按要求进行联网，擅自使用并出具报告的</w:t>
      </w:r>
      <w:r>
        <w:rPr>
          <w:rFonts w:hint="default" w:ascii="Times New Roman" w:hAnsi="Times New Roman" w:eastAsia="方正仿宋_GBK" w:cs="Times New Roman"/>
          <w:sz w:val="32"/>
          <w:szCs w:val="32"/>
          <w:lang w:eastAsia="zh-CN"/>
        </w:rPr>
        <w:t>；</w:t>
      </w:r>
    </w:p>
    <w:p w14:paraId="01CB36D3">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15.无正当理由中断网络，故意不通过网络系统实时报送检测数据和监控图像等内容的；监控设施未随检测设备正常开启的</w:t>
      </w:r>
    </w:p>
    <w:p w14:paraId="74B114F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16.检测过程中调整或遮挡视频监控摄像头的；</w:t>
      </w:r>
    </w:p>
    <w:p w14:paraId="56EBD42F">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17.在使用不透光烟度计对柴油车进行检测时，通过翻转不透光烟度计、拉扯取样管线等手段人为制造取样管线与不透光烟</w:t>
      </w:r>
    </w:p>
    <w:p w14:paraId="27089FA0">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度计连接处的急弯、弯折的或在不透光烟度计下方放置异物或干扰不透光烟度计取样读数等行为的；</w:t>
      </w:r>
    </w:p>
    <w:p w14:paraId="4B053159">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18.分析仪未按要求进行隔离，车辆检测过程中有人员接触分析仪或操控平台，且无正当理由的；</w:t>
      </w:r>
    </w:p>
    <w:p w14:paraId="5548F44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19.为在其他检验机构检验不合格的车辆或未经维修的环检不合格车辆进行环检并出具合格检验报告的。</w:t>
      </w:r>
    </w:p>
    <w:p w14:paraId="24779931">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（三）存在下列问题之一的，记3分</w:t>
      </w:r>
    </w:p>
    <w:p w14:paraId="7E82077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20.出具的检验检测报告存在标注的检测单位名称、地址与有效证书不一致的；</w:t>
      </w:r>
    </w:p>
    <w:p w14:paraId="58F1EA88">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21.出具的检验检测报告所对应的原始记录不全的；</w:t>
      </w:r>
    </w:p>
    <w:p w14:paraId="16D8D9C7">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22.在用计量器具不能提供检定、校准证书的；</w:t>
      </w:r>
    </w:p>
    <w:p w14:paraId="5B58411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23.新旧资质认定证书审批空档期对外出具检验检测报告的，检验检测报告上校准证书有效期已过期的；</w:t>
      </w:r>
    </w:p>
    <w:p w14:paraId="3EFEB6B6">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24.未按照有关规定管理、使用标准物质的；</w:t>
      </w:r>
    </w:p>
    <w:p w14:paraId="616C69E1">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25.未按规范要求对检测纸质或检测视频录像、照片、OBD数据等电子档案进行归档的；纸质或电子档案在保存期内丢失、损毁的；</w:t>
      </w:r>
    </w:p>
    <w:p w14:paraId="1030987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26.应当采用工况法检测的车辆采用了双怠速法进行检测，应当采用加载减速的车辆采用了自由加速法进行检测的，或变更检测方法未提供依据的；</w:t>
      </w:r>
    </w:p>
    <w:p w14:paraId="7AC22CDC">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lang w:val="en-US" w:eastAsia="zh-CN"/>
        </w:rPr>
      </w:pPr>
    </w:p>
    <w:p w14:paraId="276264E6">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27.柴油车检测线取样探头、取样管漏气或者堵塞的；汽油车检测线取样系统密闭性测试不符合要求的；</w:t>
      </w:r>
    </w:p>
    <w:p w14:paraId="350DA43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28.在车辆检测过程中取样探头发生脱垂、掉落，未终止检测并出具正式报告的；</w:t>
      </w:r>
    </w:p>
    <w:p w14:paraId="68CEC68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29.未按要求进行外观检查、</w:t>
      </w:r>
      <w:r>
        <w:rPr>
          <w:rFonts w:hint="eastAsia" w:ascii="Times New Roman" w:hAnsi="Times New Roman" w:eastAsia="方正仿宋_GBK" w:cs="Times New Roman"/>
          <w:sz w:val="32"/>
          <w:szCs w:val="32"/>
          <w:lang w:val="en-US" w:eastAsia="zh-CN"/>
        </w:rPr>
        <w:t>O</w:t>
      </w:r>
      <w:r>
        <w:rPr>
          <w:rFonts w:hint="default" w:ascii="Times New Roman" w:hAnsi="Times New Roman" w:eastAsia="方正仿宋_GBK" w:cs="Times New Roman"/>
          <w:sz w:val="32"/>
          <w:szCs w:val="32"/>
        </w:rPr>
        <w:t>BD装置检查等相关内容，依然判定车辆检查通过的；</w:t>
      </w:r>
    </w:p>
    <w:p w14:paraId="308656A3">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30.车辆在尾气排放检测过程中数据存在异常，且检验机构不能做出合理解释的。</w:t>
      </w:r>
    </w:p>
    <w:p w14:paraId="36130807">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（四）存在下列问题之一的，记2分</w:t>
      </w:r>
    </w:p>
    <w:p w14:paraId="7BEBBCC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31.检验机构因检测仪器设备维修、软件升级、内部整改等可预知原因需要暂停检测的，未提前2日向生态环境行政主管部门提交书面报告，未张贴告示或向车主做好必要的解释工作的</w:t>
      </w:r>
      <w:r>
        <w:rPr>
          <w:rFonts w:hint="default" w:ascii="Times New Roman" w:hAnsi="Times New Roman" w:eastAsia="方正仿宋_GBK" w:cs="Times New Roman"/>
          <w:sz w:val="32"/>
          <w:szCs w:val="32"/>
          <w:lang w:eastAsia="zh-CN"/>
        </w:rPr>
        <w:t>；</w:t>
      </w:r>
    </w:p>
    <w:p w14:paraId="2640FEF1">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32.授权签字人发生变化，没有办理相关变更手续的；</w:t>
      </w:r>
    </w:p>
    <w:p w14:paraId="6AC3533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33.检测设备计算机不能专机专用的，安装除操作系统</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含操作系统自带软件</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、检测软件、杀毒软件以外其他软件的；或是从事环保检验以外工作的；</w:t>
      </w:r>
    </w:p>
    <w:p w14:paraId="3A8D6FBC">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34.未按要求每日在检测前做检测设备自检、泄漏、标定、环境背景空气测量等工作的；</w:t>
      </w:r>
    </w:p>
    <w:p w14:paraId="328A995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35.设备管路连接状态发生改变后，未再对检测设备进行泄露检查的；</w:t>
      </w:r>
    </w:p>
    <w:p w14:paraId="40506D6E">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lang w:val="en-US" w:eastAsia="zh-CN"/>
        </w:rPr>
      </w:pPr>
    </w:p>
    <w:p w14:paraId="68EBA211">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36.视频监控摄像头位置不合理，经执法人员指出后，在规定时间内仍未进行调整的；</w:t>
      </w:r>
    </w:p>
    <w:p w14:paraId="2FEB5403">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37.检测过程中取样探头插入排气管少于400mm的；</w:t>
      </w:r>
    </w:p>
    <w:p w14:paraId="4900694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38.检测过程中不测定发动机转速的；</w:t>
      </w:r>
    </w:p>
    <w:p w14:paraId="6A7B4BB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39.汽油车检测线检测独立双排气管车辆时未按规定使用Y型取样管对称双探头的；</w:t>
      </w:r>
    </w:p>
    <w:p w14:paraId="6BBB39F7">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40.车辆检测如需加排气延长管的，未按要求加排气延长管的</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车辆排气管与延长管连接处应有效密封</w:t>
      </w: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eastAsia="zh-CN"/>
        </w:rPr>
        <w:t>；</w:t>
      </w:r>
    </w:p>
    <w:p w14:paraId="5B5D8225">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41.汽油车检测时未测定过量空气系数</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λ</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,或过量空气系数</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λ</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超过推荐值，未重新检测的；</w:t>
      </w:r>
    </w:p>
    <w:p w14:paraId="7A12CE7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42.检测前未对车辆的技术状况进行检查，以确定是否能够进行后续排放检测；</w:t>
      </w:r>
    </w:p>
    <w:p w14:paraId="157952EC">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43.发动机未充分预热就直接进行检测的；</w:t>
      </w:r>
    </w:p>
    <w:p w14:paraId="72B11ED8">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44.每次检测前未对不透光烟度计进行0%和100%点的不透光度检查或检查结果不满足标准要求的。</w:t>
      </w:r>
    </w:p>
    <w:p w14:paraId="1C13DF46">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楷体_GBK" w:cs="Times New Roman"/>
          <w:i w:val="0"/>
          <w:iCs w:val="0"/>
          <w:caps w:val="0"/>
          <w:snapToGrid/>
          <w:color w:val="auto"/>
          <w:spacing w:val="0"/>
          <w:kern w:val="2"/>
          <w:sz w:val="32"/>
          <w:szCs w:val="32"/>
          <w:shd w:val="clear" w:fill="FFFFFF"/>
          <w:lang w:val="en-US" w:eastAsia="zh-CN" w:bidi="ar-SA"/>
        </w:rPr>
        <w:t>（五）存在下列问题之一的，记1分</w:t>
      </w:r>
    </w:p>
    <w:p w14:paraId="7CF415B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45.法定代表人、地址名称、机构负责人发生变化，未向环保部门进行备案的；</w:t>
      </w:r>
    </w:p>
    <w:p w14:paraId="27A5A01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46.检验检测报告没有使用或错误地使用CMA标志、编号的；</w:t>
      </w:r>
    </w:p>
    <w:p w14:paraId="25A4655A">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47.出具的检验检测报告没有加盖检验检测专用章或公章的；</w:t>
      </w:r>
    </w:p>
    <w:p w14:paraId="4EEF09BE">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48.因检测设备、网络故障等原因不能正常开展检验检测工作，未及时向环保部门报告的；</w:t>
      </w:r>
    </w:p>
    <w:p w14:paraId="7262CCA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49.未按规范要求，填写检测设备运行记录的；</w:t>
      </w:r>
    </w:p>
    <w:p w14:paraId="41F7052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50.检测机构工作人员未以本人实名登录使用检测站信息管理系统的；</w:t>
      </w:r>
    </w:p>
    <w:p w14:paraId="15D5ABB3">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51.采用稳态工况法或加载减速法检测车辆时，车辆未选择正确档位的；</w:t>
      </w:r>
    </w:p>
    <w:p w14:paraId="7DD7A04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52.未按规范要求，将车辆信息和车主信息完整、准确录入检测站信息管理系统的。</w:t>
      </w:r>
    </w:p>
    <w:p w14:paraId="2CC48BC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三、记分方式</w:t>
      </w:r>
    </w:p>
    <w:p w14:paraId="0C797D41">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一</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生态环境行政主管部门通过日常监督检查、专项监督检查、网络监控等方式，发现并查实检验机构存在的问题，填写《淮北市市机动车检验机构问题确认记分单》</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以下简称《记分单》</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w:t>
      </w:r>
    </w:p>
    <w:p w14:paraId="3C486D6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二</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通过现场检查、网络监控等过程中发现的问题，由2名及以上生态环境工作人员填写《记分单》</w:t>
      </w:r>
      <w:r>
        <w:rPr>
          <w:rFonts w:hint="default" w:ascii="Times New Roman" w:hAnsi="Times New Roman" w:eastAsia="方正仿宋_GBK" w:cs="Times New Roman"/>
          <w:sz w:val="32"/>
          <w:szCs w:val="32"/>
          <w:lang w:eastAsia="zh-CN"/>
        </w:rPr>
        <w:t>。</w:t>
      </w:r>
    </w:p>
    <w:p w14:paraId="74A0E61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三</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《记分单》一式三份，由检验机构负责人签字确认，并加盖检验机构公章。一份由检验机构存档，一份由检查单位存档，一份交生态环境行政主管部门。</w:t>
      </w:r>
    </w:p>
    <w:p w14:paraId="7EFFDF43">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四</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eastAsia="zh-CN"/>
        </w:rPr>
        <w:t>生态环境行政主管部门依据本办法规定的记分标准及《记分单》记分，记分按照就高不就低、单次检</w:t>
      </w:r>
      <w:r>
        <w:rPr>
          <w:rFonts w:hint="default" w:ascii="Times New Roman" w:hAnsi="Times New Roman" w:eastAsia="方正仿宋_GBK" w:cs="Times New Roman"/>
          <w:sz w:val="32"/>
          <w:szCs w:val="32"/>
        </w:rPr>
        <w:t>查同类问题不累加的原则。</w:t>
      </w:r>
    </w:p>
    <w:p w14:paraId="25697590">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pPr>
      <w:r>
        <w:rPr>
          <w:rFonts w:hint="default" w:ascii="Times New Roman" w:hAnsi="Times New Roman" w:eastAsia="方正黑体_GBK" w:cs="Times New Roman"/>
          <w:i w:val="0"/>
          <w:iCs w:val="0"/>
          <w:caps w:val="0"/>
          <w:snapToGrid/>
          <w:color w:val="auto"/>
          <w:spacing w:val="0"/>
          <w:kern w:val="2"/>
          <w:sz w:val="32"/>
          <w:szCs w:val="32"/>
          <w:shd w:val="clear" w:fill="FFFFFF"/>
          <w:lang w:val="en-US" w:eastAsia="zh-CN" w:bidi="ar-SA"/>
        </w:rPr>
        <w:t>四、管理措施</w:t>
      </w:r>
    </w:p>
    <w:p w14:paraId="4862D77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一</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检验机构存在记分标准第1项至第8项中任一行为的，市生态环境行政主管部门立即暂停对该检验机构的网络支持，并按照相关法律法规予以行政处罚；对检验机构法人、授权签字人和相关工作人员实施联合惩戒，列入信用黑名单，纳入信用管理体系，涉及犯罪的移交司法机关。</w:t>
      </w:r>
    </w:p>
    <w:p w14:paraId="6CDB4E7F">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二</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检验机构在一个记分周期内累计记分值达到12分的，由市生态环境行政主管部门责令其整改，整改期为一个月，整改期间暂停该检验机构的网络支持，不得向社会出具具有证明作用的数据或结果。整改期间整改完成后，检验机构向生态环境行政主管部门提交整改报告。</w:t>
      </w:r>
    </w:p>
    <w:p w14:paraId="159CFD47">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三</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生态环境行政主管部门收到整改报告后，对其进行现场检查验收，验收通过后原计分清零</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验收不合格的继续进行整改。</w:t>
      </w:r>
    </w:p>
    <w:p w14:paraId="21EBF3C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四</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需要恢复环检网络支持的检验机构向生态环境行政主管部门提交书面申请，由市生态环境行政主管部门对整改情况核实通过后恢复其网络支持。</w:t>
      </w:r>
    </w:p>
    <w:p w14:paraId="44CC06E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lang w:val="en-US" w:eastAsia="zh-CN"/>
        </w:rPr>
      </w:pPr>
    </w:p>
    <w:p w14:paraId="74AC2F59">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五</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生态环境行政主管部门应对记3分至6分的机动车检验检测机构加强监管频次；记分超过6分的，生态环境行政主管部门应约谈机动车检验机构负责人。</w:t>
      </w:r>
    </w:p>
    <w:p w14:paraId="2FF79577">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六</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检验机构在一个记分周期内记分未达到12分的，在下一个记分周期开始之日，原记分清零</w:t>
      </w:r>
      <w:r>
        <w:rPr>
          <w:rFonts w:hint="default" w:ascii="Times New Roman" w:hAnsi="Times New Roman" w:eastAsia="方正仿宋_GBK" w:cs="Times New Roman"/>
          <w:sz w:val="32"/>
          <w:szCs w:val="32"/>
          <w:lang w:eastAsia="zh-CN"/>
        </w:rPr>
        <w:t>。</w:t>
      </w:r>
    </w:p>
    <w:p w14:paraId="27B2EE2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各检验机构应加强管理，针对本办法的记分项完成自查对标工作。对自查发现的违法违规行为，应采取措施及时改正并主动消除或减轻不良影响，必要时应主动暂停检测业务进行整改，并及时向市生态环境行政主管部门书面报告有关情况。</w:t>
      </w:r>
    </w:p>
    <w:p w14:paraId="162A29BA">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八</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生态环境行政主管部门工作人员滥用职权、玩忽职守、徇私舞弊的，依法予以行政处分；构成犯罪的，依法追究刑事责任。</w:t>
      </w:r>
    </w:p>
    <w:p w14:paraId="665E1E6C">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九</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本办法由市生态环境局负责解释并接受举报。</w:t>
      </w:r>
    </w:p>
    <w:p w14:paraId="0BD2A3E9">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本办法2021年1月1日起施行。</w:t>
      </w:r>
    </w:p>
    <w:p w14:paraId="1D4B22D7">
      <w:pPr>
        <w:keepNext w:val="0"/>
        <w:keepLines w:val="0"/>
        <w:pageBreakBefore w:val="0"/>
        <w:tabs>
          <w:tab w:val="left" w:pos="1295"/>
        </w:tabs>
        <w:kinsoku/>
        <w:wordWrap/>
        <w:overflowPunct/>
        <w:topLinePunct w:val="0"/>
        <w:bidi w:val="0"/>
        <w:spacing w:line="590" w:lineRule="exact"/>
        <w:ind w:firstLine="640" w:firstLineChars="200"/>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附件：淮北市机动车检验机构问题确认记分单</w:t>
      </w:r>
    </w:p>
    <w:p w14:paraId="5633FDDC">
      <w:pPr>
        <w:keepNext w:val="0"/>
        <w:keepLines w:val="0"/>
        <w:pageBreakBefore w:val="0"/>
        <w:kinsoku/>
        <w:wordWrap/>
        <w:overflowPunct/>
        <w:topLinePunct w:val="0"/>
        <w:bidi w:val="0"/>
        <w:spacing w:line="59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br w:type="page"/>
      </w:r>
    </w:p>
    <w:p w14:paraId="6428F640">
      <w:pPr>
        <w:keepNext w:val="0"/>
        <w:keepLines w:val="0"/>
        <w:pageBreakBefore w:val="0"/>
        <w:widowControl/>
        <w:kinsoku/>
        <w:wordWrap/>
        <w:overflowPunct/>
        <w:topLinePunct w:val="0"/>
        <w:autoSpaceDE w:val="0"/>
        <w:autoSpaceDN w:val="0"/>
        <w:bidi w:val="0"/>
        <w:adjustRightInd w:val="0"/>
        <w:snapToGrid w:val="0"/>
        <w:spacing w:line="590" w:lineRule="exact"/>
        <w:textAlignment w:val="baseline"/>
        <w:rPr>
          <w:rFonts w:hint="default" w:ascii="Times New Roman" w:hAnsi="Times New Roman" w:eastAsia="黑体" w:cs="Times New Roman"/>
          <w:sz w:val="32"/>
          <w:szCs w:val="32"/>
        </w:rPr>
      </w:pPr>
      <w:r>
        <w:rPr>
          <w:rFonts w:hint="default" w:ascii="Times New Roman" w:hAnsi="Times New Roman" w:eastAsia="黑体" w:cs="Times New Roman"/>
          <w:sz w:val="32"/>
          <w:szCs w:val="32"/>
        </w:rPr>
        <w:t>附件：</w:t>
      </w:r>
    </w:p>
    <w:p w14:paraId="5CFF86D2">
      <w:pPr>
        <w:pStyle w:val="2"/>
        <w:keepNext w:val="0"/>
        <w:keepLines w:val="0"/>
        <w:pageBreakBefore w:val="0"/>
        <w:wordWrap/>
        <w:overflowPunct/>
        <w:topLinePunct w:val="0"/>
        <w:bidi w:val="0"/>
        <w:spacing w:line="590" w:lineRule="exact"/>
        <w:rPr>
          <w:rFonts w:hint="default"/>
        </w:rPr>
      </w:pPr>
    </w:p>
    <w:p w14:paraId="1D0A2A59">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pPr>
      <w:r>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t>淮北市机动车检验机构问题确认记分单</w:t>
      </w:r>
    </w:p>
    <w:p w14:paraId="2E5FC03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i w:val="0"/>
          <w:iCs w:val="0"/>
          <w:caps w:val="0"/>
          <w:snapToGrid/>
          <w:color w:val="auto"/>
          <w:spacing w:val="0"/>
          <w:kern w:val="2"/>
          <w:sz w:val="44"/>
          <w:szCs w:val="44"/>
          <w:shd w:val="clear" w:fill="FFFFFF"/>
          <w:lang w:val="en-US" w:eastAsia="zh-CN" w:bidi="ar-SA"/>
        </w:rPr>
      </w:pPr>
    </w:p>
    <w:tbl>
      <w:tblPr>
        <w:tblStyle w:val="10"/>
        <w:tblpPr w:leftFromText="180" w:rightFromText="180" w:vertAnchor="text" w:horzAnchor="page" w:tblpXSpec="center" w:tblpY="352"/>
        <w:tblOverlap w:val="never"/>
        <w:tblW w:w="915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03"/>
        <w:gridCol w:w="1728"/>
        <w:gridCol w:w="879"/>
        <w:gridCol w:w="4840"/>
      </w:tblGrid>
      <w:tr w14:paraId="47E57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150" w:type="dxa"/>
            <w:gridSpan w:val="4"/>
            <w:vAlign w:val="top"/>
          </w:tcPr>
          <w:p w14:paraId="25EEAD19">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检验机构名称(盖章):</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时间：</w:t>
            </w:r>
          </w:p>
          <w:p w14:paraId="21425946">
            <w:pPr>
              <w:keepNext w:val="0"/>
              <w:keepLines w:val="0"/>
              <w:pageBreakBefore w:val="0"/>
              <w:widowControl/>
              <w:kinsoku/>
              <w:wordWrap/>
              <w:overflowPunct/>
              <w:topLinePunct w:val="0"/>
              <w:autoSpaceDE w:val="0"/>
              <w:autoSpaceDN w:val="0"/>
              <w:bidi w:val="0"/>
              <w:adjustRightInd w:val="0"/>
              <w:snapToGrid w:val="0"/>
              <w:spacing w:line="590" w:lineRule="exact"/>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月</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日</w:t>
            </w:r>
          </w:p>
        </w:tc>
      </w:tr>
      <w:tr w14:paraId="77DBA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jc w:val="center"/>
        </w:trPr>
        <w:tc>
          <w:tcPr>
            <w:tcW w:w="1703" w:type="dxa"/>
            <w:vAlign w:val="top"/>
          </w:tcPr>
          <w:p w14:paraId="08D24EDA">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记分项目</w:t>
            </w:r>
          </w:p>
        </w:tc>
        <w:tc>
          <w:tcPr>
            <w:tcW w:w="1728" w:type="dxa"/>
            <w:vAlign w:val="top"/>
          </w:tcPr>
          <w:p w14:paraId="4D55592C">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记分条款</w:t>
            </w:r>
          </w:p>
        </w:tc>
        <w:tc>
          <w:tcPr>
            <w:tcW w:w="879" w:type="dxa"/>
            <w:vAlign w:val="top"/>
          </w:tcPr>
          <w:p w14:paraId="351991CA">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分值</w:t>
            </w:r>
          </w:p>
        </w:tc>
        <w:tc>
          <w:tcPr>
            <w:tcW w:w="4840" w:type="dxa"/>
            <w:vAlign w:val="top"/>
          </w:tcPr>
          <w:p w14:paraId="76DD6A07">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记分情况</w:t>
            </w:r>
          </w:p>
        </w:tc>
      </w:tr>
      <w:tr w14:paraId="14B1C2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0" w:hRule="atLeast"/>
          <w:jc w:val="center"/>
        </w:trPr>
        <w:tc>
          <w:tcPr>
            <w:tcW w:w="1703" w:type="dxa"/>
            <w:vAlign w:val="top"/>
          </w:tcPr>
          <w:p w14:paraId="44CF0337">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第一大项</w:t>
            </w:r>
          </w:p>
          <w:p w14:paraId="2E9CA911">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(12分)</w:t>
            </w:r>
          </w:p>
        </w:tc>
        <w:tc>
          <w:tcPr>
            <w:tcW w:w="1728" w:type="dxa"/>
            <w:vAlign w:val="top"/>
          </w:tcPr>
          <w:p w14:paraId="04F2E07A">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879" w:type="dxa"/>
            <w:vAlign w:val="top"/>
          </w:tcPr>
          <w:p w14:paraId="53B4A4AF">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4840" w:type="dxa"/>
            <w:vAlign w:val="top"/>
          </w:tcPr>
          <w:p w14:paraId="15804DD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r>
      <w:tr w14:paraId="062A0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4" w:hRule="atLeast"/>
          <w:jc w:val="center"/>
        </w:trPr>
        <w:tc>
          <w:tcPr>
            <w:tcW w:w="1703" w:type="dxa"/>
            <w:vAlign w:val="top"/>
          </w:tcPr>
          <w:p w14:paraId="41556AD3">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第二大项</w:t>
            </w:r>
          </w:p>
          <w:p w14:paraId="78B5FAE0">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(6分)</w:t>
            </w:r>
          </w:p>
        </w:tc>
        <w:tc>
          <w:tcPr>
            <w:tcW w:w="1728" w:type="dxa"/>
            <w:vAlign w:val="top"/>
          </w:tcPr>
          <w:p w14:paraId="11E6162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879" w:type="dxa"/>
            <w:vAlign w:val="top"/>
          </w:tcPr>
          <w:p w14:paraId="603178F9">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4840" w:type="dxa"/>
            <w:vAlign w:val="top"/>
          </w:tcPr>
          <w:p w14:paraId="78C482D5">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r>
      <w:tr w14:paraId="3A65C4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4" w:hRule="atLeast"/>
          <w:jc w:val="center"/>
        </w:trPr>
        <w:tc>
          <w:tcPr>
            <w:tcW w:w="1703" w:type="dxa"/>
            <w:vAlign w:val="top"/>
          </w:tcPr>
          <w:p w14:paraId="75B6A75D">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第三大项</w:t>
            </w:r>
          </w:p>
          <w:p w14:paraId="39215A76">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(3分)</w:t>
            </w:r>
          </w:p>
        </w:tc>
        <w:tc>
          <w:tcPr>
            <w:tcW w:w="1728" w:type="dxa"/>
            <w:vAlign w:val="top"/>
          </w:tcPr>
          <w:p w14:paraId="0E0ADAAA">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879" w:type="dxa"/>
            <w:vAlign w:val="top"/>
          </w:tcPr>
          <w:p w14:paraId="59DE365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4840" w:type="dxa"/>
            <w:vAlign w:val="top"/>
          </w:tcPr>
          <w:p w14:paraId="256BE769">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r>
      <w:tr w14:paraId="0FA885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4" w:hRule="atLeast"/>
          <w:jc w:val="center"/>
        </w:trPr>
        <w:tc>
          <w:tcPr>
            <w:tcW w:w="1703" w:type="dxa"/>
            <w:vAlign w:val="top"/>
          </w:tcPr>
          <w:p w14:paraId="0387C780">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第四大项</w:t>
            </w:r>
          </w:p>
          <w:p w14:paraId="61BA8C2C">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(2分)</w:t>
            </w:r>
          </w:p>
        </w:tc>
        <w:tc>
          <w:tcPr>
            <w:tcW w:w="1728" w:type="dxa"/>
            <w:vAlign w:val="top"/>
          </w:tcPr>
          <w:p w14:paraId="052AAA46">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879" w:type="dxa"/>
            <w:vAlign w:val="top"/>
          </w:tcPr>
          <w:p w14:paraId="0CF0464B">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4840" w:type="dxa"/>
            <w:vAlign w:val="top"/>
          </w:tcPr>
          <w:p w14:paraId="59301039">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r>
      <w:tr w14:paraId="61BD4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jc w:val="center"/>
        </w:trPr>
        <w:tc>
          <w:tcPr>
            <w:tcW w:w="1703" w:type="dxa"/>
            <w:vAlign w:val="top"/>
          </w:tcPr>
          <w:p w14:paraId="2262FFCF">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第五大项</w:t>
            </w:r>
          </w:p>
          <w:p w14:paraId="503356EB">
            <w:pPr>
              <w:keepNext w:val="0"/>
              <w:keepLines w:val="0"/>
              <w:pageBreakBefore w:val="0"/>
              <w:widowControl/>
              <w:kinsoku/>
              <w:wordWrap/>
              <w:overflowPunct/>
              <w:topLinePunct w:val="0"/>
              <w:autoSpaceDE w:val="0"/>
              <w:autoSpaceDN w:val="0"/>
              <w:bidi w:val="0"/>
              <w:adjustRightInd w:val="0"/>
              <w:snapToGrid w:val="0"/>
              <w:spacing w:line="590" w:lineRule="exact"/>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(1分)</w:t>
            </w:r>
          </w:p>
        </w:tc>
        <w:tc>
          <w:tcPr>
            <w:tcW w:w="1728" w:type="dxa"/>
            <w:vAlign w:val="top"/>
          </w:tcPr>
          <w:p w14:paraId="51CBC25A">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879" w:type="dxa"/>
            <w:vAlign w:val="top"/>
          </w:tcPr>
          <w:p w14:paraId="65FA05D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4840" w:type="dxa"/>
            <w:vAlign w:val="top"/>
          </w:tcPr>
          <w:p w14:paraId="02C8DE98">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r>
      <w:tr w14:paraId="3D8A0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jc w:val="center"/>
        </w:trPr>
        <w:tc>
          <w:tcPr>
            <w:tcW w:w="3431" w:type="dxa"/>
            <w:gridSpan w:val="2"/>
            <w:vAlign w:val="top"/>
          </w:tcPr>
          <w:p w14:paraId="23777A52">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合计</w:t>
            </w:r>
          </w:p>
        </w:tc>
        <w:tc>
          <w:tcPr>
            <w:tcW w:w="879" w:type="dxa"/>
            <w:vAlign w:val="top"/>
          </w:tcPr>
          <w:p w14:paraId="0CEA096F">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c>
          <w:tcPr>
            <w:tcW w:w="4840" w:type="dxa"/>
            <w:vAlign w:val="top"/>
          </w:tcPr>
          <w:p w14:paraId="10861BD8">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center"/>
              <w:textAlignment w:val="baseline"/>
              <w:rPr>
                <w:rFonts w:hint="default" w:ascii="Times New Roman" w:hAnsi="Times New Roman" w:eastAsia="方正仿宋_GBK" w:cs="Times New Roman"/>
                <w:sz w:val="32"/>
                <w:szCs w:val="32"/>
              </w:rPr>
            </w:pPr>
          </w:p>
        </w:tc>
      </w:tr>
      <w:tr w14:paraId="24FE5F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150" w:type="dxa"/>
            <w:gridSpan w:val="4"/>
            <w:vAlign w:val="top"/>
          </w:tcPr>
          <w:p w14:paraId="2C4A4561">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检查人员签名：</w:t>
            </w:r>
          </w:p>
          <w:p w14:paraId="61A04FEA">
            <w:pPr>
              <w:keepNext w:val="0"/>
              <w:keepLines w:val="0"/>
              <w:pageBreakBefore w:val="0"/>
              <w:widowControl/>
              <w:kinsoku/>
              <w:wordWrap/>
              <w:overflowPunct/>
              <w:topLinePunct w:val="0"/>
              <w:autoSpaceDE w:val="0"/>
              <w:autoSpaceDN w:val="0"/>
              <w:bidi w:val="0"/>
              <w:adjustRightInd w:val="0"/>
              <w:snapToGrid w:val="0"/>
              <w:spacing w:line="590" w:lineRule="exact"/>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检验机构负责人签名：</w:t>
            </w:r>
          </w:p>
        </w:tc>
      </w:tr>
    </w:tbl>
    <w:p w14:paraId="689750A8">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说明：</w:t>
      </w:r>
    </w:p>
    <w:p w14:paraId="4CB0059D">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1、市生态环境行政主管部门负责组织实施记分管理工作。</w:t>
      </w:r>
    </w:p>
    <w:p w14:paraId="534E7B64">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一个记分周期为一个自然年12个月，从1月1日起至12月31日止，每个记分周期的记分总分值为12分。被责令整改并通过整改验收的，原记分清零；一个记分周期内记分未达到12分的，在下一个记分周期开始之日，原记分清零。</w:t>
      </w:r>
    </w:p>
    <w:p w14:paraId="16EA3A8F">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记分总分值为每次检查的记分的累计值，每项记分标准按照问题的严重程度分别为12分、6分、3分、2分、1分。若同时发现存在多个记分项目情况的，则分别对其进行记分，若存在相同的问题分属两个以上记分项目的则按照分高的记一次分。</w:t>
      </w:r>
    </w:p>
    <w:p w14:paraId="66123AA0">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4、检验机构在一个记分周期内累计记分值达到12分的，由市生态环境行政主管部门责令其整改并暂停其网络支持；记分超过6分的，由生态环境行政主管部门约谈检验机构负责人。</w:t>
      </w:r>
    </w:p>
    <w:p w14:paraId="7C49666C">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jc w:val="both"/>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5、记分项目涉及违法的，应同时予以立案查处，不得因受记分而免除行政处罚和其他法律责任。</w:t>
      </w:r>
    </w:p>
    <w:p w14:paraId="27A3FBA6">
      <w:pPr>
        <w:keepNext w:val="0"/>
        <w:keepLines w:val="0"/>
        <w:pageBreakBefore w:val="0"/>
        <w:widowControl/>
        <w:kinsoku/>
        <w:wordWrap/>
        <w:overflowPunct/>
        <w:topLinePunct w:val="0"/>
        <w:autoSpaceDE w:val="0"/>
        <w:autoSpaceDN w:val="0"/>
        <w:bidi w:val="0"/>
        <w:adjustRightInd w:val="0"/>
        <w:snapToGrid w:val="0"/>
        <w:spacing w:line="590" w:lineRule="exact"/>
        <w:ind w:firstLine="640" w:firstLineChars="200"/>
        <w:textAlignment w:val="baseline"/>
        <w:rPr>
          <w:rFonts w:hint="default" w:ascii="Times New Roman" w:hAnsi="Times New Roman" w:eastAsia="方正仿宋_GBK" w:cs="Times New Roman"/>
          <w:sz w:val="32"/>
          <w:szCs w:val="32"/>
          <w:lang w:val="en-US" w:eastAsia="zh-CN"/>
        </w:rPr>
      </w:pPr>
    </w:p>
    <w:sectPr>
      <w:headerReference r:id="rId5" w:type="default"/>
      <w:footerReference r:id="rId6" w:type="default"/>
      <w:pgSz w:w="11906" w:h="16838"/>
      <w:pgMar w:top="1962" w:right="1474" w:bottom="1848" w:left="1587" w:header="851" w:footer="794"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600BC">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31687F">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E31687F">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14:paraId="529F6768">
    <w:pPr>
      <w:pStyle w:val="6"/>
      <w:keepNext w:val="0"/>
      <w:keepLines w:val="0"/>
      <w:pageBreakBefore w:val="0"/>
      <w:widowControl/>
      <w:kinsoku w:val="0"/>
      <w:wordWrap/>
      <w:overflowPunct/>
      <w:topLinePunct w:val="0"/>
      <w:bidi w:val="0"/>
      <w:adjustRightInd w:val="0"/>
      <w:snapToGrid w:val="0"/>
      <w:spacing w:before="0" w:beforeLines="150"/>
      <w:ind w:left="0" w:leftChars="0" w:right="735" w:rightChars="350" w:firstLine="0" w:firstLineChars="0"/>
      <w:jc w:val="right"/>
      <w:textAlignment w:val="baseline"/>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CN"/>
      </w:rPr>
      <w:t xml:space="preserve">淮北市生态环境局发布 </w:t>
    </w:r>
  </w:p>
  <w:p w14:paraId="160A0724">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7149E">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p>
  <w:p w14:paraId="630B65F0">
    <w:pPr>
      <w:pStyle w:val="6"/>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val="0"/>
        <w:bCs w:val="0"/>
        <w:color w:val="005192"/>
        <w:sz w:val="32"/>
        <w:szCs w:val="32"/>
        <w:lang w:val="en-US" w:eastAsia="zh-CN"/>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417195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32.85pt;height:0pt;width:442.55pt;z-index:251659264;mso-width-relative:page;mso-height-relative:page;" filled="f" stroked="t" coordsize="21600,21600" o:gfxdata="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g+hELTAAAABwEAAA8AAAAAAAAAAQAgAAAAIgAAAGRycy9kb3ducmV2LnhtbFBLAQIUABQAAAAI&#10;AIdO4kAF7rse8gEAAL0DAAAOAAAAAAAAAAEAIAAAACIBAABkcnMvZTJvRG9jLnhtbFBLBQYAAAAA&#10;BgAGAFkBAACG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淮北市生态环境局行政</w:t>
    </w:r>
    <w:r>
      <w:rPr>
        <w:rFonts w:hint="eastAsia" w:ascii="宋体" w:hAnsi="宋体" w:eastAsia="宋体" w:cs="宋体"/>
        <w:b/>
        <w:bCs/>
        <w:color w:val="005192"/>
        <w:sz w:val="32"/>
        <w:szCs w:val="32"/>
        <w:lang w:val="en-US" w:eastAsia="zh-CN"/>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formatting="1"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kYjhmYWVjY2MwYTNjM2VkMzk0M2I2ZjA1MTdiZWEifQ=="/>
  </w:docVars>
  <w:rsids>
    <w:rsidRoot w:val="00172A27"/>
    <w:rsid w:val="019E71BD"/>
    <w:rsid w:val="02022BF8"/>
    <w:rsid w:val="03B653D0"/>
    <w:rsid w:val="04B679C3"/>
    <w:rsid w:val="04E36072"/>
    <w:rsid w:val="06E45A7E"/>
    <w:rsid w:val="080F63D8"/>
    <w:rsid w:val="09341458"/>
    <w:rsid w:val="099D77BD"/>
    <w:rsid w:val="0B0912D7"/>
    <w:rsid w:val="0BA852CC"/>
    <w:rsid w:val="0CFF758B"/>
    <w:rsid w:val="0E211C5A"/>
    <w:rsid w:val="0F476BAA"/>
    <w:rsid w:val="0F973CB0"/>
    <w:rsid w:val="136744AF"/>
    <w:rsid w:val="149640CF"/>
    <w:rsid w:val="152D2DCA"/>
    <w:rsid w:val="1B256488"/>
    <w:rsid w:val="1DEC284C"/>
    <w:rsid w:val="1E6523AC"/>
    <w:rsid w:val="2046072F"/>
    <w:rsid w:val="20FA1961"/>
    <w:rsid w:val="22440422"/>
    <w:rsid w:val="27D13315"/>
    <w:rsid w:val="299D58EC"/>
    <w:rsid w:val="2AD4459D"/>
    <w:rsid w:val="2D3C07D5"/>
    <w:rsid w:val="31A15F24"/>
    <w:rsid w:val="333E3E89"/>
    <w:rsid w:val="34366C11"/>
    <w:rsid w:val="36455341"/>
    <w:rsid w:val="383501B0"/>
    <w:rsid w:val="395347B5"/>
    <w:rsid w:val="395D152B"/>
    <w:rsid w:val="39A232A0"/>
    <w:rsid w:val="39E745AA"/>
    <w:rsid w:val="3B5A6BBB"/>
    <w:rsid w:val="3EDA13A6"/>
    <w:rsid w:val="41670862"/>
    <w:rsid w:val="42F058B7"/>
    <w:rsid w:val="436109F6"/>
    <w:rsid w:val="441A38D4"/>
    <w:rsid w:val="450B0319"/>
    <w:rsid w:val="494472EE"/>
    <w:rsid w:val="49C34AA3"/>
    <w:rsid w:val="49EA4E1F"/>
    <w:rsid w:val="4BC77339"/>
    <w:rsid w:val="4C9236C5"/>
    <w:rsid w:val="4CEE08D8"/>
    <w:rsid w:val="505C172E"/>
    <w:rsid w:val="51DC3404"/>
    <w:rsid w:val="52AA43D1"/>
    <w:rsid w:val="52F46F0B"/>
    <w:rsid w:val="53D8014D"/>
    <w:rsid w:val="551A23E0"/>
    <w:rsid w:val="55366C36"/>
    <w:rsid w:val="55E064E0"/>
    <w:rsid w:val="572C6D10"/>
    <w:rsid w:val="5C733F8F"/>
    <w:rsid w:val="5D9742C7"/>
    <w:rsid w:val="5DC34279"/>
    <w:rsid w:val="5F3E1D25"/>
    <w:rsid w:val="60031C46"/>
    <w:rsid w:val="608816D1"/>
    <w:rsid w:val="60EF4E7F"/>
    <w:rsid w:val="611A0FF5"/>
    <w:rsid w:val="617D7092"/>
    <w:rsid w:val="665233C1"/>
    <w:rsid w:val="6AD9688B"/>
    <w:rsid w:val="6D0E3F22"/>
    <w:rsid w:val="716E5B63"/>
    <w:rsid w:val="71B132B0"/>
    <w:rsid w:val="739E31BE"/>
    <w:rsid w:val="77CD6ACF"/>
    <w:rsid w:val="7C9011D9"/>
    <w:rsid w:val="7DC651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3">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Body Text Indent 2"/>
    <w:basedOn w:val="1"/>
    <w:next w:val="1"/>
    <w:autoRedefine/>
    <w:qFormat/>
    <w:uiPriority w:val="0"/>
    <w:pPr>
      <w:spacing w:line="590" w:lineRule="exact"/>
      <w:ind w:firstLine="880" w:firstLineChars="200"/>
    </w:pPr>
    <w:rPr>
      <w:rFonts w:eastAsia="方正仿宋_GBK"/>
      <w:b/>
      <w:bCs/>
      <w:kern w:val="0"/>
      <w:sz w:val="32"/>
      <w:szCs w:val="32"/>
    </w:rPr>
  </w:style>
  <w:style w:type="paragraph" w:styleId="4">
    <w:name w:val="annotation text"/>
    <w:basedOn w:val="1"/>
    <w:autoRedefine/>
    <w:qFormat/>
    <w:uiPriority w:val="0"/>
    <w:pPr>
      <w:jc w:val="left"/>
    </w:p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customStyle="1" w:styleId="10">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2106</Words>
  <Characters>2202</Characters>
  <Lines>1</Lines>
  <Paragraphs>1</Paragraphs>
  <TotalTime>7</TotalTime>
  <ScaleCrop>false</ScaleCrop>
  <LinksUpToDate>false</LinksUpToDate>
  <CharactersWithSpaces>2202</CharactersWithSpaces>
  <Application>WPS Office_12.1.0.18888_F1E327BC-269C-435d-A152-05C5408002CA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着眼</cp:lastModifiedBy>
  <cp:lastPrinted>2021-10-26T03:30:00Z</cp:lastPrinted>
  <dcterms:modified xsi:type="dcterms:W3CDTF">2024-10-31T03:20:04Z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2052-12.1.0.18888</vt:lpwstr>
  </property>
  <property fmtid="{D5CDD505-2E9C-101B-9397-08002B2CF9AE}" pid="3" name="ICV">
    <vt:lpwstr>5CD0C8FD95B04F3796CF76C44AD1EAA7_13</vt:lpwstr>
  </property>
</Properties>
</file>